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FEB" w:rsidRDefault="00F042ED" w:rsidP="00027FEB">
      <w:pPr>
        <w:jc w:val="center"/>
        <w:rPr>
          <w:b/>
          <w:lang w:val="en-US"/>
        </w:rPr>
      </w:pPr>
      <w:r w:rsidRPr="00F042ED">
        <w:rPr>
          <w:rFonts w:ascii="Calibri" w:hAnsi="Calibri" w:cs="Calibri"/>
          <w:b/>
          <w:color w:val="000000"/>
          <w:shd w:val="clear" w:color="auto" w:fill="FFFFFF"/>
          <w:lang w:val="en-US"/>
        </w:rPr>
        <w:t>No User is an Island - Relational Disclosure as a regulatory strategy to promote users' awareness in data processing</w:t>
      </w:r>
      <w:bookmarkStart w:id="0" w:name="_GoBack"/>
      <w:bookmarkEnd w:id="0"/>
    </w:p>
    <w:p w:rsidR="00027FEB" w:rsidRDefault="00027FEB" w:rsidP="00027FEB">
      <w:pPr>
        <w:pStyle w:val="Nessunaspaziatura"/>
        <w:spacing w:line="360" w:lineRule="auto"/>
        <w:ind w:firstLine="284"/>
        <w:jc w:val="both"/>
        <w:rPr>
          <w:rFonts w:ascii="Book Antiqua" w:hAnsi="Book Antiqua"/>
          <w:lang w:val="en-US"/>
        </w:rPr>
      </w:pPr>
      <w:r>
        <w:rPr>
          <w:rFonts w:ascii="Book Antiqua" w:hAnsi="Book Antiqua"/>
          <w:lang w:val="en-US"/>
        </w:rPr>
        <w:t>Digital markets are</w:t>
      </w:r>
      <w:r w:rsidRPr="00796B5B">
        <w:rPr>
          <w:rFonts w:ascii="Book Antiqua" w:hAnsi="Book Antiqua"/>
          <w:lang w:val="en-US"/>
        </w:rPr>
        <w:t xml:space="preserve"> flexible and developing, and so it is </w:t>
      </w:r>
      <w:r>
        <w:rPr>
          <w:rFonts w:ascii="Book Antiqua" w:hAnsi="Book Antiqua"/>
          <w:lang w:val="en-US"/>
        </w:rPr>
        <w:t>privacy law</w:t>
      </w:r>
      <w:r w:rsidRPr="00796B5B">
        <w:rPr>
          <w:rFonts w:ascii="Book Antiqua" w:hAnsi="Book Antiqua"/>
          <w:lang w:val="en-US"/>
        </w:rPr>
        <w:t>.</w:t>
      </w:r>
    </w:p>
    <w:p w:rsidR="00027FEB" w:rsidRDefault="00027FEB" w:rsidP="00027FEB">
      <w:pPr>
        <w:pStyle w:val="Nessunaspaziatura"/>
        <w:spacing w:line="360" w:lineRule="auto"/>
        <w:ind w:firstLine="284"/>
        <w:jc w:val="both"/>
        <w:rPr>
          <w:rFonts w:ascii="Book Antiqua" w:hAnsi="Book Antiqua"/>
          <w:lang w:val="en-US"/>
        </w:rPr>
      </w:pPr>
      <w:r>
        <w:rPr>
          <w:rFonts w:ascii="Book Antiqua" w:hAnsi="Book Antiqua"/>
          <w:lang w:val="en-US"/>
        </w:rPr>
        <w:t>Before and together the enactment of the GDPR</w:t>
      </w:r>
      <w:r w:rsidRPr="00796B5B">
        <w:rPr>
          <w:rFonts w:ascii="Book Antiqua" w:hAnsi="Book Antiqua"/>
          <w:lang w:val="en-US"/>
        </w:rPr>
        <w:t xml:space="preserve">, </w:t>
      </w:r>
      <w:r>
        <w:rPr>
          <w:rFonts w:ascii="Book Antiqua" w:hAnsi="Book Antiqua"/>
          <w:lang w:val="en-US"/>
        </w:rPr>
        <w:t>data protection rules</w:t>
      </w:r>
      <w:r w:rsidRPr="00796B5B">
        <w:rPr>
          <w:rFonts w:ascii="Book Antiqua" w:hAnsi="Book Antiqua"/>
          <w:lang w:val="en-US"/>
        </w:rPr>
        <w:t xml:space="preserve"> ha</w:t>
      </w:r>
      <w:r>
        <w:rPr>
          <w:rFonts w:ascii="Book Antiqua" w:hAnsi="Book Antiqua"/>
          <w:lang w:val="en-US"/>
        </w:rPr>
        <w:t>ve</w:t>
      </w:r>
      <w:r w:rsidRPr="00796B5B">
        <w:rPr>
          <w:rFonts w:ascii="Book Antiqua" w:hAnsi="Book Antiqua"/>
          <w:lang w:val="en-US"/>
        </w:rPr>
        <w:t xml:space="preserve"> drawn contributions, amongst others, from sociology</w:t>
      </w:r>
      <w:r>
        <w:rPr>
          <w:rFonts w:ascii="Book Antiqua" w:hAnsi="Book Antiqua"/>
          <w:lang w:val="en-US"/>
        </w:rPr>
        <w:t>, anthropology, economics</w:t>
      </w:r>
      <w:r w:rsidRPr="00796B5B">
        <w:rPr>
          <w:rFonts w:ascii="Book Antiqua" w:hAnsi="Book Antiqua"/>
          <w:lang w:val="en-US"/>
        </w:rPr>
        <w:t xml:space="preserve"> and marketing, in order to encompass emerging empirical and theoretical findings, and to accordingly shape the modes of   </w:t>
      </w:r>
      <w:r>
        <w:rPr>
          <w:rFonts w:ascii="Book Antiqua" w:hAnsi="Book Antiqua"/>
          <w:lang w:val="en-US"/>
        </w:rPr>
        <w:t>us</w:t>
      </w:r>
      <w:r w:rsidRPr="00796B5B">
        <w:rPr>
          <w:rFonts w:ascii="Book Antiqua" w:hAnsi="Book Antiqua"/>
          <w:lang w:val="en-US"/>
        </w:rPr>
        <w:t xml:space="preserve">ers’ rights </w:t>
      </w:r>
      <w:r>
        <w:rPr>
          <w:rFonts w:ascii="Book Antiqua" w:hAnsi="Book Antiqua"/>
          <w:lang w:val="en-US"/>
        </w:rPr>
        <w:t>throughout</w:t>
      </w:r>
      <w:r w:rsidRPr="00796B5B">
        <w:rPr>
          <w:rFonts w:ascii="Book Antiqua" w:hAnsi="Book Antiqua"/>
          <w:lang w:val="en-US"/>
        </w:rPr>
        <w:t xml:space="preserve"> their interactions with business operators.</w:t>
      </w:r>
    </w:p>
    <w:p w:rsidR="00A15282" w:rsidRDefault="00027FEB" w:rsidP="00A15282">
      <w:pPr>
        <w:pStyle w:val="Nessunaspaziatura"/>
        <w:spacing w:line="360" w:lineRule="auto"/>
        <w:ind w:firstLine="284"/>
        <w:jc w:val="both"/>
        <w:rPr>
          <w:rFonts w:ascii="Book Antiqua" w:hAnsi="Book Antiqua"/>
          <w:lang w:val="en-US"/>
        </w:rPr>
      </w:pPr>
      <w:r>
        <w:rPr>
          <w:rFonts w:ascii="Book Antiqua" w:hAnsi="Book Antiqua"/>
          <w:lang w:val="en-US"/>
        </w:rPr>
        <w:t>This is, of course, because privacy has an inherent social dimension: th</w:t>
      </w:r>
      <w:r w:rsidRPr="00027FEB">
        <w:rPr>
          <w:rFonts w:ascii="Book Antiqua" w:hAnsi="Book Antiqua"/>
          <w:lang w:val="en-US"/>
        </w:rPr>
        <w:t>e concept of</w:t>
      </w:r>
      <w:r>
        <w:rPr>
          <w:rFonts w:ascii="Book Antiqua" w:hAnsi="Book Antiqua"/>
          <w:lang w:val="en-US"/>
        </w:rPr>
        <w:t xml:space="preserve"> </w:t>
      </w:r>
      <w:r w:rsidRPr="00027FEB">
        <w:rPr>
          <w:rFonts w:ascii="Book Antiqua" w:hAnsi="Book Antiqua"/>
          <w:lang w:val="en-US"/>
        </w:rPr>
        <w:t>identity and autonomy, of equality and freedom, of the meaning of social</w:t>
      </w:r>
      <w:r>
        <w:rPr>
          <w:rFonts w:ascii="Book Antiqua" w:hAnsi="Book Antiqua"/>
          <w:lang w:val="en-US"/>
        </w:rPr>
        <w:t xml:space="preserve"> </w:t>
      </w:r>
      <w:r w:rsidRPr="00027FEB">
        <w:rPr>
          <w:rFonts w:ascii="Book Antiqua" w:hAnsi="Book Antiqua"/>
          <w:lang w:val="en-US"/>
        </w:rPr>
        <w:t>relations, and of political relations, all play a distinct role in</w:t>
      </w:r>
      <w:r>
        <w:rPr>
          <w:rFonts w:ascii="Book Antiqua" w:hAnsi="Book Antiqua"/>
          <w:lang w:val="en-US"/>
        </w:rPr>
        <w:t xml:space="preserve"> privacy law.</w:t>
      </w:r>
    </w:p>
    <w:p w:rsidR="00CA6E0A" w:rsidRDefault="00CA6E0A" w:rsidP="00CA6E0A">
      <w:pPr>
        <w:pStyle w:val="Nessunaspaziatura"/>
        <w:spacing w:line="360" w:lineRule="auto"/>
        <w:ind w:firstLine="284"/>
        <w:jc w:val="both"/>
        <w:rPr>
          <w:rFonts w:ascii="Book Antiqua" w:hAnsi="Book Antiqua"/>
          <w:lang w:val="en-US"/>
        </w:rPr>
      </w:pPr>
      <w:r>
        <w:rPr>
          <w:rFonts w:ascii="Book Antiqua" w:hAnsi="Book Antiqua"/>
          <w:lang w:val="en-US"/>
        </w:rPr>
        <w:t>Undoubtedly</w:t>
      </w:r>
      <w:r w:rsidRPr="00796B5B">
        <w:rPr>
          <w:rFonts w:ascii="Book Antiqua" w:hAnsi="Book Antiqua"/>
          <w:lang w:val="en-US"/>
        </w:rPr>
        <w:t xml:space="preserve">, a central role in constructing </w:t>
      </w:r>
      <w:r>
        <w:rPr>
          <w:rFonts w:ascii="Book Antiqua" w:hAnsi="Book Antiqua"/>
          <w:lang w:val="en-US"/>
        </w:rPr>
        <w:t>privacy and data protection law has</w:t>
      </w:r>
      <w:r w:rsidRPr="00796B5B">
        <w:rPr>
          <w:rFonts w:ascii="Book Antiqua" w:hAnsi="Book Antiqua"/>
          <w:lang w:val="en-US"/>
        </w:rPr>
        <w:t xml:space="preserve"> been played by</w:t>
      </w:r>
      <w:r>
        <w:rPr>
          <w:rFonts w:ascii="Book Antiqua" w:hAnsi="Book Antiqua"/>
          <w:lang w:val="en-US"/>
        </w:rPr>
        <w:t xml:space="preserve"> decision-making studies</w:t>
      </w:r>
      <w:r w:rsidRPr="00796B5B">
        <w:rPr>
          <w:rFonts w:ascii="Book Antiqua" w:hAnsi="Book Antiqua"/>
          <w:lang w:val="en-US"/>
        </w:rPr>
        <w:t xml:space="preserve">: </w:t>
      </w:r>
      <w:r>
        <w:rPr>
          <w:rFonts w:ascii="Book Antiqua" w:hAnsi="Book Antiqua"/>
          <w:lang w:val="en-US"/>
        </w:rPr>
        <w:t xml:space="preserve">since </w:t>
      </w:r>
      <w:r w:rsidRPr="00796B5B">
        <w:rPr>
          <w:rFonts w:ascii="Book Antiqua" w:hAnsi="Book Antiqua"/>
          <w:lang w:val="en-US"/>
        </w:rPr>
        <w:t xml:space="preserve">in its early days, </w:t>
      </w:r>
      <w:r>
        <w:rPr>
          <w:rFonts w:ascii="Book Antiqua" w:hAnsi="Book Antiqua"/>
          <w:lang w:val="en-US"/>
        </w:rPr>
        <w:t>individual protection</w:t>
      </w:r>
      <w:r w:rsidRPr="00796B5B">
        <w:rPr>
          <w:rFonts w:ascii="Book Antiqua" w:hAnsi="Book Antiqua"/>
          <w:lang w:val="en-US"/>
        </w:rPr>
        <w:t xml:space="preserve"> has been structured according to the axioms of economic neoclassical theory related to market equilibria in competitive markets, the determinants of individual decision-making, and profit-maximizing rational strategies.</w:t>
      </w:r>
    </w:p>
    <w:p w:rsidR="00CA6E0A" w:rsidRDefault="00CA6E0A" w:rsidP="00CA6E0A">
      <w:pPr>
        <w:pStyle w:val="Nessunaspaziatura"/>
        <w:spacing w:line="360" w:lineRule="auto"/>
        <w:ind w:firstLine="284"/>
        <w:jc w:val="both"/>
        <w:rPr>
          <w:rFonts w:ascii="Book Antiqua" w:hAnsi="Book Antiqua"/>
          <w:lang w:val="en-US"/>
        </w:rPr>
      </w:pPr>
      <w:r w:rsidRPr="00796B5B">
        <w:rPr>
          <w:rFonts w:ascii="Book Antiqua" w:hAnsi="Book Antiqua"/>
          <w:lang w:val="en-US"/>
        </w:rPr>
        <w:t>Accordingly, the</w:t>
      </w:r>
      <w:r w:rsidRPr="00796B5B">
        <w:rPr>
          <w:rFonts w:ascii="Book Antiqua" w:hAnsi="Book Antiqua"/>
          <w:sz w:val="23"/>
          <w:szCs w:val="23"/>
          <w:lang w:val="en-US"/>
        </w:rPr>
        <w:t xml:space="preserve"> attribution of rights in favor of </w:t>
      </w:r>
      <w:r>
        <w:rPr>
          <w:rFonts w:ascii="Book Antiqua" w:hAnsi="Book Antiqua"/>
          <w:sz w:val="23"/>
          <w:szCs w:val="23"/>
          <w:lang w:val="en-US"/>
        </w:rPr>
        <w:t>user</w:t>
      </w:r>
      <w:r w:rsidRPr="00796B5B">
        <w:rPr>
          <w:rFonts w:ascii="Book Antiqua" w:hAnsi="Book Antiqua"/>
          <w:sz w:val="23"/>
          <w:szCs w:val="23"/>
          <w:lang w:val="en-US"/>
        </w:rPr>
        <w:t xml:space="preserve">s – and corresponding </w:t>
      </w:r>
      <w:r>
        <w:rPr>
          <w:rFonts w:ascii="Book Antiqua" w:hAnsi="Book Antiqua"/>
          <w:sz w:val="23"/>
          <w:szCs w:val="23"/>
          <w:lang w:val="en-US"/>
        </w:rPr>
        <w:t xml:space="preserve">imposition of </w:t>
      </w:r>
      <w:r w:rsidRPr="00796B5B">
        <w:rPr>
          <w:rFonts w:ascii="Book Antiqua" w:hAnsi="Book Antiqua"/>
          <w:sz w:val="23"/>
          <w:szCs w:val="23"/>
          <w:lang w:val="en-US"/>
        </w:rPr>
        <w:t xml:space="preserve">obligations on professionals – in B2C transactions has been significantly affected by </w:t>
      </w:r>
      <w:r>
        <w:rPr>
          <w:rFonts w:ascii="Book Antiqua" w:hAnsi="Book Antiqua"/>
          <w:sz w:val="23"/>
          <w:szCs w:val="23"/>
          <w:lang w:val="en-US"/>
        </w:rPr>
        <w:t>the view of</w:t>
      </w:r>
      <w:r w:rsidRPr="00796B5B">
        <w:rPr>
          <w:rFonts w:ascii="Book Antiqua" w:hAnsi="Book Antiqua"/>
          <w:sz w:val="23"/>
          <w:szCs w:val="23"/>
          <w:lang w:val="en-US"/>
        </w:rPr>
        <w:t xml:space="preserve"> </w:t>
      </w:r>
      <w:r>
        <w:rPr>
          <w:rFonts w:ascii="Book Antiqua" w:hAnsi="Book Antiqua"/>
          <w:lang w:val="en-US"/>
        </w:rPr>
        <w:t>individual</w:t>
      </w:r>
      <w:r w:rsidRPr="00796B5B">
        <w:rPr>
          <w:rFonts w:ascii="Book Antiqua" w:hAnsi="Book Antiqua"/>
          <w:lang w:val="en-US"/>
        </w:rPr>
        <w:t xml:space="preserve">s as </w:t>
      </w:r>
      <w:proofErr w:type="spellStart"/>
      <w:r w:rsidRPr="00796B5B">
        <w:rPr>
          <w:rFonts w:ascii="Book Antiqua" w:hAnsi="Book Antiqua"/>
          <w:i/>
          <w:lang w:val="en-US"/>
        </w:rPr>
        <w:t>homini</w:t>
      </w:r>
      <w:proofErr w:type="spellEnd"/>
      <w:r w:rsidRPr="00796B5B">
        <w:rPr>
          <w:rFonts w:ascii="Book Antiqua" w:hAnsi="Book Antiqua"/>
          <w:i/>
          <w:lang w:val="en-US"/>
        </w:rPr>
        <w:t xml:space="preserve"> </w:t>
      </w:r>
      <w:proofErr w:type="spellStart"/>
      <w:r w:rsidRPr="00796B5B">
        <w:rPr>
          <w:rFonts w:ascii="Book Antiqua" w:hAnsi="Book Antiqua"/>
          <w:i/>
          <w:lang w:val="en-US"/>
        </w:rPr>
        <w:t>oeconomici</w:t>
      </w:r>
      <w:proofErr w:type="spellEnd"/>
      <w:r w:rsidRPr="00796B5B">
        <w:rPr>
          <w:rFonts w:ascii="Book Antiqua" w:hAnsi="Book Antiqua"/>
          <w:lang w:val="en-US"/>
        </w:rPr>
        <w:t>.</w:t>
      </w:r>
    </w:p>
    <w:p w:rsidR="00CA6E0A" w:rsidRPr="00796B5B" w:rsidRDefault="00CA6E0A" w:rsidP="00CA6E0A">
      <w:pPr>
        <w:pStyle w:val="Nessunaspaziatura"/>
        <w:spacing w:line="360" w:lineRule="auto"/>
        <w:ind w:firstLine="284"/>
        <w:jc w:val="both"/>
        <w:rPr>
          <w:rFonts w:ascii="Book Antiqua" w:hAnsi="Book Antiqua"/>
          <w:lang w:val="en-US"/>
        </w:rPr>
      </w:pPr>
      <w:r w:rsidRPr="00796B5B">
        <w:rPr>
          <w:rFonts w:ascii="Book Antiqua" w:hAnsi="Book Antiqua"/>
          <w:lang w:val="en-US"/>
        </w:rPr>
        <w:t>Yet, as soon as deviations and diversions from the traditional paradigm emerged</w:t>
      </w:r>
      <w:r>
        <w:rPr>
          <w:rFonts w:ascii="Book Antiqua" w:hAnsi="Book Antiqua"/>
          <w:lang w:val="en-US"/>
        </w:rPr>
        <w:t xml:space="preserve">, law </w:t>
      </w:r>
      <w:r w:rsidRPr="00796B5B">
        <w:rPr>
          <w:rFonts w:ascii="Book Antiqua" w:hAnsi="Book Antiqua"/>
          <w:lang w:val="en-US"/>
        </w:rPr>
        <w:t xml:space="preserve">has been proven able to evolve as well, and progressively adjusted in order to encompass new approaches to </w:t>
      </w:r>
      <w:r>
        <w:rPr>
          <w:rFonts w:ascii="Book Antiqua" w:hAnsi="Book Antiqua"/>
          <w:lang w:val="en-US"/>
        </w:rPr>
        <w:t>online interaction</w:t>
      </w:r>
      <w:r w:rsidRPr="00796B5B">
        <w:rPr>
          <w:rFonts w:ascii="Book Antiqua" w:hAnsi="Book Antiqua"/>
          <w:lang w:val="en-US"/>
        </w:rPr>
        <w:t xml:space="preserve"> that largely </w:t>
      </w:r>
      <w:r>
        <w:rPr>
          <w:rFonts w:ascii="Book Antiqua" w:hAnsi="Book Antiqua"/>
          <w:lang w:val="en-US"/>
        </w:rPr>
        <w:t>contrast with</w:t>
      </w:r>
      <w:r w:rsidRPr="00796B5B">
        <w:rPr>
          <w:rFonts w:ascii="Book Antiqua" w:hAnsi="Book Antiqua"/>
          <w:lang w:val="en-US"/>
        </w:rPr>
        <w:t xml:space="preserve"> the rigidity of the conventional economic theory of </w:t>
      </w:r>
      <w:r>
        <w:rPr>
          <w:rFonts w:ascii="Book Antiqua" w:hAnsi="Book Antiqua"/>
          <w:lang w:val="en-US"/>
        </w:rPr>
        <w:t>individual</w:t>
      </w:r>
      <w:r w:rsidRPr="00796B5B">
        <w:rPr>
          <w:rFonts w:ascii="Book Antiqua" w:hAnsi="Book Antiqua"/>
          <w:lang w:val="en-US"/>
        </w:rPr>
        <w:t xml:space="preserve"> behavior.</w:t>
      </w:r>
    </w:p>
    <w:p w:rsidR="00CA6E0A" w:rsidRDefault="00A15282" w:rsidP="00A15282">
      <w:pPr>
        <w:pStyle w:val="Nessunaspaziatura"/>
        <w:spacing w:line="360" w:lineRule="auto"/>
        <w:ind w:firstLine="284"/>
        <w:jc w:val="both"/>
        <w:rPr>
          <w:rFonts w:ascii="Book Antiqua" w:hAnsi="Book Antiqua"/>
          <w:lang w:val="en-US"/>
        </w:rPr>
      </w:pPr>
      <w:r>
        <w:rPr>
          <w:rFonts w:ascii="Book Antiqua" w:hAnsi="Book Antiqua"/>
          <w:lang w:val="en-US"/>
        </w:rPr>
        <w:t>Significant</w:t>
      </w:r>
      <w:r w:rsidR="00CA6E0A" w:rsidRPr="00796B5B">
        <w:rPr>
          <w:rFonts w:ascii="Book Antiqua" w:hAnsi="Book Antiqua"/>
          <w:lang w:val="en-US"/>
        </w:rPr>
        <w:t xml:space="preserve"> improvements refer, </w:t>
      </w:r>
      <w:r w:rsidR="00CA6E0A" w:rsidRPr="00796B5B">
        <w:rPr>
          <w:rFonts w:ascii="Book Antiqua" w:hAnsi="Book Antiqua"/>
          <w:i/>
          <w:lang w:val="en-US"/>
        </w:rPr>
        <w:t>inter alia</w:t>
      </w:r>
      <w:r w:rsidR="00CA6E0A" w:rsidRPr="00796B5B">
        <w:rPr>
          <w:rFonts w:ascii="Book Antiqua" w:hAnsi="Book Antiqua"/>
          <w:lang w:val="en-US"/>
        </w:rPr>
        <w:t>, to the rearrangement of disclosure duties building on studies on information overload, as well as to</w:t>
      </w:r>
      <w:r w:rsidR="00CA6E0A">
        <w:rPr>
          <w:rFonts w:ascii="Book Antiqua" w:hAnsi="Book Antiqua"/>
          <w:lang w:val="en-US"/>
        </w:rPr>
        <w:t xml:space="preserve"> the utilization of</w:t>
      </w:r>
      <w:r w:rsidR="00CA6E0A" w:rsidRPr="00796B5B">
        <w:rPr>
          <w:rFonts w:ascii="Book Antiqua" w:hAnsi="Book Antiqua"/>
          <w:lang w:val="en-US"/>
        </w:rPr>
        <w:t xml:space="preserve"> nudge-based regulatory strategies arising from behavioral investigations.</w:t>
      </w:r>
    </w:p>
    <w:p w:rsidR="0031056E" w:rsidRPr="0031056E" w:rsidRDefault="0031056E" w:rsidP="0031056E">
      <w:pPr>
        <w:pStyle w:val="Nessunaspaziatura"/>
        <w:spacing w:line="360" w:lineRule="auto"/>
        <w:ind w:firstLine="284"/>
        <w:jc w:val="both"/>
        <w:rPr>
          <w:rFonts w:ascii="Book Antiqua" w:hAnsi="Book Antiqua"/>
          <w:lang w:val="en-US"/>
        </w:rPr>
      </w:pPr>
      <w:r>
        <w:rPr>
          <w:rFonts w:ascii="Book Antiqua" w:hAnsi="Book Antiqua"/>
          <w:lang w:val="en-US"/>
        </w:rPr>
        <w:t xml:space="preserve">Accordingly, GDPR </w:t>
      </w:r>
      <w:r w:rsidRPr="0031056E">
        <w:rPr>
          <w:rFonts w:ascii="Book Antiqua" w:hAnsi="Book Antiqua"/>
          <w:lang w:val="en-US"/>
        </w:rPr>
        <w:t>principle of transparency requires that any information or communication relating to the processing of personal data is easily accessible and easy to understand, and that clear and plain language be used</w:t>
      </w:r>
      <w:r>
        <w:rPr>
          <w:rFonts w:ascii="Book Antiqua" w:hAnsi="Book Antiqua"/>
          <w:lang w:val="en-US"/>
        </w:rPr>
        <w:t xml:space="preserve">, moving in favor of a substantive rather than formal transparency that can </w:t>
      </w:r>
      <w:proofErr w:type="gramStart"/>
      <w:r>
        <w:rPr>
          <w:rFonts w:ascii="Book Antiqua" w:hAnsi="Book Antiqua"/>
          <w:lang w:val="en-US"/>
        </w:rPr>
        <w:t>actually promote</w:t>
      </w:r>
      <w:proofErr w:type="gramEnd"/>
      <w:r>
        <w:rPr>
          <w:rFonts w:ascii="Book Antiqua" w:hAnsi="Book Antiqua"/>
          <w:lang w:val="en-US"/>
        </w:rPr>
        <w:t xml:space="preserve"> informational self-determination.</w:t>
      </w:r>
    </w:p>
    <w:p w:rsidR="0031056E" w:rsidRDefault="0031056E" w:rsidP="0031056E">
      <w:pPr>
        <w:pStyle w:val="Nessunaspaziatura"/>
        <w:spacing w:line="360" w:lineRule="auto"/>
        <w:ind w:firstLine="284"/>
        <w:jc w:val="both"/>
        <w:rPr>
          <w:rFonts w:ascii="Book Antiqua" w:hAnsi="Book Antiqua"/>
          <w:lang w:val="en-US"/>
        </w:rPr>
      </w:pPr>
      <w:r w:rsidRPr="00796B5B">
        <w:rPr>
          <w:rFonts w:ascii="Book Antiqua" w:hAnsi="Book Antiqua"/>
          <w:lang w:val="en-US"/>
        </w:rPr>
        <w:t>Still, some axioms of the early neoclassical model</w:t>
      </w:r>
      <w:r>
        <w:rPr>
          <w:rFonts w:ascii="Book Antiqua" w:hAnsi="Book Antiqua"/>
          <w:lang w:val="en-US"/>
        </w:rPr>
        <w:t xml:space="preserve"> as it was originally conceived</w:t>
      </w:r>
      <w:r w:rsidRPr="00796B5B">
        <w:rPr>
          <w:rFonts w:ascii="Book Antiqua" w:hAnsi="Book Antiqua"/>
          <w:lang w:val="en-US"/>
        </w:rPr>
        <w:t xml:space="preserve"> are still present in consumer law</w:t>
      </w:r>
      <w:r>
        <w:rPr>
          <w:rFonts w:ascii="Book Antiqua" w:hAnsi="Book Antiqua"/>
          <w:lang w:val="en-US"/>
        </w:rPr>
        <w:t xml:space="preserve">, </w:t>
      </w:r>
      <w:r w:rsidRPr="00796B5B">
        <w:rPr>
          <w:rFonts w:ascii="Book Antiqua" w:hAnsi="Book Antiqua"/>
          <w:lang w:val="en-US"/>
        </w:rPr>
        <w:t>despite being widely debated amongst economic scholars.</w:t>
      </w:r>
    </w:p>
    <w:p w:rsidR="0031056E" w:rsidRDefault="0031056E" w:rsidP="0031056E">
      <w:pPr>
        <w:pStyle w:val="Nessunaspaziatura"/>
        <w:spacing w:line="360" w:lineRule="auto"/>
        <w:ind w:firstLine="284"/>
        <w:jc w:val="both"/>
        <w:rPr>
          <w:rFonts w:ascii="Book Antiqua" w:hAnsi="Book Antiqua"/>
          <w:lang w:val="en-US"/>
        </w:rPr>
      </w:pPr>
      <w:r w:rsidRPr="00796B5B">
        <w:rPr>
          <w:rFonts w:ascii="Book Antiqua" w:hAnsi="Book Antiqua"/>
          <w:lang w:val="en-US"/>
        </w:rPr>
        <w:lastRenderedPageBreak/>
        <w:t>In particular, the assumption of a</w:t>
      </w:r>
      <w:r>
        <w:rPr>
          <w:rFonts w:ascii="Book Antiqua" w:hAnsi="Book Antiqua"/>
          <w:lang w:val="en-US"/>
        </w:rPr>
        <w:t>-</w:t>
      </w:r>
      <w:r w:rsidRPr="00796B5B">
        <w:rPr>
          <w:rFonts w:ascii="Book Antiqua" w:hAnsi="Book Antiqua"/>
          <w:lang w:val="en-US"/>
        </w:rPr>
        <w:t xml:space="preserve">social individualism still permeates the structure of </w:t>
      </w:r>
      <w:r>
        <w:rPr>
          <w:rFonts w:ascii="Book Antiqua" w:hAnsi="Book Antiqua"/>
          <w:lang w:val="en-US"/>
        </w:rPr>
        <w:t>user rights</w:t>
      </w:r>
      <w:r w:rsidRPr="00796B5B">
        <w:rPr>
          <w:rFonts w:ascii="Book Antiqua" w:hAnsi="Book Antiqua"/>
          <w:lang w:val="en-US"/>
        </w:rPr>
        <w:t xml:space="preserve">: </w:t>
      </w:r>
      <w:r>
        <w:rPr>
          <w:rFonts w:ascii="Book Antiqua" w:hAnsi="Book Antiqua"/>
          <w:lang w:val="en-US"/>
        </w:rPr>
        <w:t>individuals’</w:t>
      </w:r>
      <w:r w:rsidRPr="00796B5B">
        <w:rPr>
          <w:rFonts w:ascii="Book Antiqua" w:hAnsi="Book Antiqua"/>
          <w:lang w:val="en-US"/>
        </w:rPr>
        <w:t xml:space="preserve"> desires and preferences</w:t>
      </w:r>
      <w:r>
        <w:rPr>
          <w:rFonts w:ascii="Book Antiqua" w:hAnsi="Book Antiqua"/>
          <w:lang w:val="en-US"/>
        </w:rPr>
        <w:t xml:space="preserve"> for privacy and data management</w:t>
      </w:r>
      <w:r w:rsidRPr="00796B5B">
        <w:rPr>
          <w:rFonts w:ascii="Book Antiqua" w:hAnsi="Book Antiqua"/>
          <w:lang w:val="en-US"/>
        </w:rPr>
        <w:t xml:space="preserve"> are deemed exogenous, and not affected by the interaction with other</w:t>
      </w:r>
      <w:r>
        <w:rPr>
          <w:rFonts w:ascii="Book Antiqua" w:hAnsi="Book Antiqua"/>
          <w:lang w:val="en-US"/>
        </w:rPr>
        <w:t>s,</w:t>
      </w:r>
      <w:r w:rsidRPr="00796B5B">
        <w:rPr>
          <w:rFonts w:ascii="Book Antiqua" w:hAnsi="Book Antiqua"/>
          <w:lang w:val="en-US"/>
        </w:rPr>
        <w:t xml:space="preserve"> or by the observation of the behavior of their peers.</w:t>
      </w:r>
    </w:p>
    <w:p w:rsidR="00250EF1" w:rsidRPr="00027FEB" w:rsidRDefault="00250EF1" w:rsidP="00250EF1">
      <w:pPr>
        <w:pStyle w:val="Nessunaspaziatura"/>
        <w:spacing w:line="360" w:lineRule="auto"/>
        <w:ind w:firstLine="284"/>
        <w:jc w:val="both"/>
        <w:rPr>
          <w:rFonts w:ascii="Book Antiqua" w:hAnsi="Book Antiqua"/>
          <w:lang w:val="en-US"/>
        </w:rPr>
      </w:pPr>
      <w:r w:rsidRPr="00027FEB">
        <w:rPr>
          <w:rFonts w:ascii="Book Antiqua" w:hAnsi="Book Antiqua"/>
          <w:lang w:val="en-US"/>
        </w:rPr>
        <w:t>In contemporary privacy scholarship, the importance of privacy</w:t>
      </w:r>
      <w:r>
        <w:rPr>
          <w:rFonts w:ascii="Book Antiqua" w:hAnsi="Book Antiqua"/>
          <w:lang w:val="en-US"/>
        </w:rPr>
        <w:t xml:space="preserve"> </w:t>
      </w:r>
      <w:r w:rsidRPr="00027FEB">
        <w:rPr>
          <w:rFonts w:ascii="Book Antiqua" w:hAnsi="Book Antiqua"/>
          <w:lang w:val="en-US"/>
        </w:rPr>
        <w:t>has mostly been justified by the individual interests and rights it protects, the most important of which are individual freedom and autonomy in liberal-democratic societies. From this perspective, it is the autonomy of individuals that is at stake in protecting the privacy of</w:t>
      </w:r>
      <w:r>
        <w:rPr>
          <w:rFonts w:ascii="Book Antiqua" w:hAnsi="Book Antiqua"/>
          <w:lang w:val="en-US"/>
        </w:rPr>
        <w:t xml:space="preserve"> </w:t>
      </w:r>
      <w:r w:rsidRPr="00027FEB">
        <w:rPr>
          <w:rFonts w:ascii="Book Antiqua" w:hAnsi="Book Antiqua"/>
          <w:lang w:val="en-US"/>
        </w:rPr>
        <w:t>personal data and communication in the digital era. This perspective,</w:t>
      </w:r>
      <w:r>
        <w:rPr>
          <w:rFonts w:ascii="Book Antiqua" w:hAnsi="Book Antiqua"/>
          <w:lang w:val="en-US"/>
        </w:rPr>
        <w:t xml:space="preserve"> </w:t>
      </w:r>
      <w:r w:rsidRPr="00027FEB">
        <w:rPr>
          <w:rFonts w:ascii="Book Antiqua" w:hAnsi="Book Antiqua"/>
          <w:lang w:val="en-US"/>
        </w:rPr>
        <w:t>however, seems insufficient to account for many other concerns raised</w:t>
      </w:r>
      <w:r>
        <w:rPr>
          <w:rFonts w:ascii="Book Antiqua" w:hAnsi="Book Antiqua"/>
          <w:lang w:val="en-US"/>
        </w:rPr>
        <w:t xml:space="preserve"> </w:t>
      </w:r>
      <w:r w:rsidRPr="00027FEB">
        <w:rPr>
          <w:rFonts w:ascii="Book Antiqua" w:hAnsi="Book Antiqua"/>
          <w:lang w:val="en-US"/>
        </w:rPr>
        <w:t>in the debates on privacy-invasive technologies. With ever greater frequency, privacy-invasive technologies have been argued to endanger not</w:t>
      </w:r>
      <w:r>
        <w:rPr>
          <w:rFonts w:ascii="Book Antiqua" w:hAnsi="Book Antiqua"/>
          <w:lang w:val="en-US"/>
        </w:rPr>
        <w:t xml:space="preserve"> </w:t>
      </w:r>
      <w:r w:rsidRPr="00027FEB">
        <w:rPr>
          <w:rFonts w:ascii="Book Antiqua" w:hAnsi="Book Antiqua"/>
          <w:lang w:val="en-US"/>
        </w:rPr>
        <w:t>only individual interests but also to affect society and social life more</w:t>
      </w:r>
      <w:r>
        <w:rPr>
          <w:rFonts w:ascii="Book Antiqua" w:hAnsi="Book Antiqua"/>
          <w:lang w:val="en-US"/>
        </w:rPr>
        <w:t xml:space="preserve"> </w:t>
      </w:r>
      <w:r w:rsidRPr="00027FEB">
        <w:rPr>
          <w:rFonts w:ascii="Book Antiqua" w:hAnsi="Book Antiqua"/>
          <w:lang w:val="en-US"/>
        </w:rPr>
        <w:t>generally.</w:t>
      </w:r>
    </w:p>
    <w:p w:rsidR="00250EF1" w:rsidRDefault="00250EF1" w:rsidP="00250EF1">
      <w:pPr>
        <w:pStyle w:val="Nessunaspaziatura"/>
        <w:spacing w:line="360" w:lineRule="auto"/>
        <w:ind w:firstLine="284"/>
        <w:jc w:val="both"/>
        <w:rPr>
          <w:rFonts w:ascii="Book Antiqua" w:hAnsi="Book Antiqua"/>
          <w:lang w:val="en-US"/>
        </w:rPr>
      </w:pPr>
      <w:r w:rsidRPr="00027FEB">
        <w:rPr>
          <w:rFonts w:ascii="Book Antiqua" w:hAnsi="Book Antiqua"/>
          <w:lang w:val="en-US"/>
        </w:rPr>
        <w:t xml:space="preserve"> Privacy scholarship cannot address these broader societal concerns about privacy-invasive</w:t>
      </w:r>
      <w:r>
        <w:rPr>
          <w:rFonts w:ascii="Book Antiqua" w:hAnsi="Book Antiqua"/>
          <w:lang w:val="en-US"/>
        </w:rPr>
        <w:t xml:space="preserve"> </w:t>
      </w:r>
      <w:r w:rsidRPr="00027FEB">
        <w:rPr>
          <w:rFonts w:ascii="Book Antiqua" w:hAnsi="Book Antiqua"/>
          <w:lang w:val="en-US"/>
        </w:rPr>
        <w:t>technologies, however, unless it moves</w:t>
      </w:r>
      <w:r>
        <w:rPr>
          <w:rFonts w:ascii="Book Antiqua" w:hAnsi="Book Antiqua"/>
          <w:lang w:val="en-US"/>
        </w:rPr>
        <w:t xml:space="preserve"> </w:t>
      </w:r>
      <w:r w:rsidRPr="00027FEB">
        <w:rPr>
          <w:rFonts w:ascii="Book Antiqua" w:hAnsi="Book Antiqua"/>
          <w:lang w:val="en-US"/>
        </w:rPr>
        <w:t>beyond the traditional concept of privacy focused on the individual.</w:t>
      </w:r>
    </w:p>
    <w:p w:rsidR="0031056E" w:rsidRDefault="0031056E" w:rsidP="00DD5AEC">
      <w:pPr>
        <w:pStyle w:val="Nessunaspaziatura"/>
        <w:spacing w:line="360" w:lineRule="auto"/>
        <w:ind w:firstLine="284"/>
        <w:jc w:val="both"/>
        <w:rPr>
          <w:rFonts w:ascii="Book Antiqua" w:hAnsi="Book Antiqua"/>
          <w:lang w:val="en-US"/>
        </w:rPr>
      </w:pPr>
      <w:r w:rsidRPr="00796B5B">
        <w:rPr>
          <w:rFonts w:ascii="Book Antiqua" w:hAnsi="Book Antiqua"/>
          <w:lang w:val="en-US"/>
        </w:rPr>
        <w:t>Th</w:t>
      </w:r>
      <w:r w:rsidR="00250EF1">
        <w:rPr>
          <w:rFonts w:ascii="Book Antiqua" w:hAnsi="Book Antiqua"/>
          <w:lang w:val="en-US"/>
        </w:rPr>
        <w:t>is also considering that, accordingly with this view</w:t>
      </w:r>
      <w:r w:rsidRPr="00796B5B">
        <w:rPr>
          <w:rFonts w:ascii="Book Antiqua" w:hAnsi="Book Antiqua"/>
          <w:lang w:val="en-US"/>
        </w:rPr>
        <w:t xml:space="preserve">, </w:t>
      </w:r>
      <w:r>
        <w:rPr>
          <w:rFonts w:ascii="Book Antiqua" w:hAnsi="Book Antiqua"/>
          <w:lang w:val="en-US"/>
        </w:rPr>
        <w:t>privacy-related</w:t>
      </w:r>
      <w:r w:rsidRPr="00796B5B">
        <w:rPr>
          <w:rFonts w:ascii="Book Antiqua" w:hAnsi="Book Antiqua"/>
          <w:lang w:val="en-US"/>
        </w:rPr>
        <w:t xml:space="preserve"> rights (and</w:t>
      </w:r>
      <w:proofErr w:type="gramStart"/>
      <w:r w:rsidRPr="00796B5B">
        <w:rPr>
          <w:rFonts w:ascii="Book Antiqua" w:hAnsi="Book Antiqua"/>
          <w:lang w:val="en-US"/>
        </w:rPr>
        <w:t>, in particular, disclosure</w:t>
      </w:r>
      <w:proofErr w:type="gramEnd"/>
      <w:r w:rsidRPr="00796B5B">
        <w:rPr>
          <w:rFonts w:ascii="Book Antiqua" w:hAnsi="Book Antiqua"/>
          <w:lang w:val="en-US"/>
        </w:rPr>
        <w:t xml:space="preserve"> obligations) are generally regulated by means of standard, a-contextual, models, that focus on the individual relationship between the professional operator and its specific counterparty.</w:t>
      </w:r>
    </w:p>
    <w:p w:rsidR="0031056E" w:rsidRDefault="0031056E" w:rsidP="0031056E">
      <w:pPr>
        <w:pStyle w:val="Nessunaspaziatura"/>
        <w:spacing w:line="360" w:lineRule="auto"/>
        <w:ind w:firstLine="284"/>
        <w:jc w:val="both"/>
        <w:rPr>
          <w:rFonts w:ascii="Book Antiqua" w:hAnsi="Book Antiqua"/>
          <w:lang w:val="en-US"/>
        </w:rPr>
      </w:pPr>
      <w:r>
        <w:rPr>
          <w:rFonts w:ascii="Book Antiqua" w:hAnsi="Book Antiqua"/>
          <w:lang w:val="en-US"/>
        </w:rPr>
        <w:t>Whereas the GDPR states that i</w:t>
      </w:r>
      <w:r w:rsidRPr="0031056E">
        <w:rPr>
          <w:rFonts w:ascii="Book Antiqua" w:hAnsi="Book Antiqua"/>
          <w:lang w:val="en-US"/>
        </w:rPr>
        <w:t>ndividuals should be made aware of risks, rules, safeguards and rights in relation to the processing of personal data and how to exercise their rights in relation to such processing</w:t>
      </w:r>
      <w:r>
        <w:rPr>
          <w:rFonts w:ascii="Book Antiqua" w:hAnsi="Book Antiqua"/>
          <w:lang w:val="en-US"/>
        </w:rPr>
        <w:t xml:space="preserve"> (</w:t>
      </w:r>
      <w:proofErr w:type="spellStart"/>
      <w:r>
        <w:rPr>
          <w:rFonts w:ascii="Book Antiqua" w:hAnsi="Book Antiqua"/>
          <w:lang w:val="en-US"/>
        </w:rPr>
        <w:t>Artt</w:t>
      </w:r>
      <w:proofErr w:type="spellEnd"/>
      <w:r>
        <w:rPr>
          <w:rFonts w:ascii="Book Antiqua" w:hAnsi="Book Antiqua"/>
          <w:lang w:val="en-US"/>
        </w:rPr>
        <w:t>. 13&amp;14 GDPR), and that the consent s</w:t>
      </w:r>
      <w:r w:rsidRPr="0031056E">
        <w:rPr>
          <w:rFonts w:ascii="Book Antiqua" w:hAnsi="Book Antiqua"/>
          <w:lang w:val="en-US"/>
        </w:rPr>
        <w:t>pecific, informed and unambiguous</w:t>
      </w:r>
      <w:r>
        <w:rPr>
          <w:rFonts w:ascii="Book Antiqua" w:hAnsi="Book Antiqua"/>
          <w:lang w:val="en-US"/>
        </w:rPr>
        <w:t xml:space="preserve"> (Recital 32), disclosure rules </w:t>
      </w:r>
      <w:r w:rsidR="00DD5AEC">
        <w:rPr>
          <w:rFonts w:ascii="Book Antiqua" w:hAnsi="Book Antiqua"/>
          <w:lang w:val="en-US"/>
        </w:rPr>
        <w:t xml:space="preserve">still rely on the idea of users as individual deciders, which </w:t>
      </w:r>
      <w:proofErr w:type="gramStart"/>
      <w:r w:rsidR="00DD5AEC">
        <w:rPr>
          <w:rFonts w:ascii="Book Antiqua" w:hAnsi="Book Antiqua"/>
          <w:lang w:val="en-US"/>
        </w:rPr>
        <w:t>are able to</w:t>
      </w:r>
      <w:proofErr w:type="gramEnd"/>
      <w:r w:rsidR="00DD5AEC">
        <w:rPr>
          <w:rFonts w:ascii="Book Antiqua" w:hAnsi="Book Antiqua"/>
          <w:lang w:val="en-US"/>
        </w:rPr>
        <w:t xml:space="preserve"> elaborate information and take choices without a need for contextualization.</w:t>
      </w:r>
    </w:p>
    <w:p w:rsidR="00DD5AEC" w:rsidRDefault="00DD5AEC" w:rsidP="0031056E">
      <w:pPr>
        <w:pStyle w:val="Nessunaspaziatura"/>
        <w:spacing w:line="360" w:lineRule="auto"/>
        <w:ind w:firstLine="284"/>
        <w:jc w:val="both"/>
        <w:rPr>
          <w:rFonts w:ascii="Book Antiqua" w:hAnsi="Book Antiqua"/>
          <w:lang w:val="en-US"/>
        </w:rPr>
      </w:pPr>
      <w:r w:rsidRPr="00DD5AEC">
        <w:rPr>
          <w:rFonts w:ascii="Book Antiqua" w:hAnsi="Book Antiqua"/>
          <w:lang w:val="en-US"/>
        </w:rPr>
        <w:t>European privacy law rests on the implicit assumption that consent to the processing of personal data and the analysis of Big Data is a purely individual choice. Accordingly, privacy lawyers mainly focus on how to empower users to make free and informed choices, for instance through debiasing and nudging</w:t>
      </w:r>
      <w:r>
        <w:rPr>
          <w:rFonts w:ascii="Book Antiqua" w:hAnsi="Book Antiqua"/>
          <w:lang w:val="en-US"/>
        </w:rPr>
        <w:t>.</w:t>
      </w:r>
    </w:p>
    <w:p w:rsidR="00027FEB" w:rsidRDefault="00DD5AEC" w:rsidP="00A15282">
      <w:pPr>
        <w:pStyle w:val="Nessunaspaziatura"/>
        <w:spacing w:line="360" w:lineRule="auto"/>
        <w:ind w:firstLine="284"/>
        <w:jc w:val="both"/>
        <w:rPr>
          <w:rFonts w:ascii="Book Antiqua" w:hAnsi="Book Antiqua"/>
          <w:lang w:val="en-US"/>
        </w:rPr>
      </w:pPr>
      <w:r>
        <w:rPr>
          <w:rFonts w:ascii="Book Antiqua" w:hAnsi="Book Antiqua"/>
          <w:lang w:val="en-US"/>
        </w:rPr>
        <w:t>T</w:t>
      </w:r>
      <w:r w:rsidRPr="00796B5B">
        <w:rPr>
          <w:rFonts w:ascii="Book Antiqua" w:hAnsi="Book Antiqua"/>
          <w:lang w:val="en-US"/>
        </w:rPr>
        <w:t xml:space="preserve">he research focuses on </w:t>
      </w:r>
      <w:proofErr w:type="gramStart"/>
      <w:r w:rsidRPr="00796B5B">
        <w:rPr>
          <w:rFonts w:ascii="Book Antiqua" w:hAnsi="Book Antiqua"/>
          <w:lang w:val="en-US"/>
        </w:rPr>
        <w:t>a</w:t>
      </w:r>
      <w:proofErr w:type="gramEnd"/>
      <w:r w:rsidRPr="00796B5B">
        <w:rPr>
          <w:rFonts w:ascii="Book Antiqua" w:hAnsi="Book Antiqua"/>
          <w:lang w:val="en-US"/>
        </w:rPr>
        <w:t xml:space="preserve"> unspoken axiom, characterizing </w:t>
      </w:r>
      <w:r>
        <w:rPr>
          <w:rFonts w:ascii="Book Antiqua" w:hAnsi="Book Antiqua"/>
          <w:lang w:val="en-US"/>
        </w:rPr>
        <w:t xml:space="preserve">neoclassical theory and </w:t>
      </w:r>
      <w:r w:rsidRPr="00796B5B">
        <w:rPr>
          <w:rFonts w:ascii="Book Antiqua" w:hAnsi="Book Antiqua"/>
          <w:lang w:val="en-US"/>
        </w:rPr>
        <w:t>existing consumer law: the individual nature of decision making</w:t>
      </w:r>
      <w:r w:rsidR="00A15282">
        <w:rPr>
          <w:rFonts w:ascii="Book Antiqua" w:hAnsi="Book Antiqua"/>
          <w:lang w:val="en-US"/>
        </w:rPr>
        <w:t>.</w:t>
      </w:r>
    </w:p>
    <w:p w:rsidR="00A15282" w:rsidRPr="00A15282" w:rsidRDefault="00A15282" w:rsidP="00A15282">
      <w:pPr>
        <w:pStyle w:val="Nessunaspaziatura"/>
        <w:spacing w:line="360" w:lineRule="auto"/>
        <w:ind w:firstLine="284"/>
        <w:jc w:val="both"/>
        <w:rPr>
          <w:rFonts w:ascii="Book Antiqua" w:hAnsi="Book Antiqua"/>
          <w:lang w:val="en-US"/>
        </w:rPr>
      </w:pPr>
      <w:r>
        <w:rPr>
          <w:rFonts w:ascii="Book Antiqua" w:hAnsi="Book Antiqua"/>
          <w:lang w:val="en-AU"/>
        </w:rPr>
        <w:t>Accordingly, the</w:t>
      </w:r>
      <w:r w:rsidRPr="00A15282">
        <w:rPr>
          <w:rFonts w:ascii="Book Antiqua" w:hAnsi="Book Antiqua"/>
          <w:lang w:val="en-AU"/>
        </w:rPr>
        <w:t xml:space="preserve"> paper investigates evidence emerging from studies and experiments that shows that consent in data processing is not only – and often – partially irrational, but also inherently relational. Then</w:t>
      </w:r>
      <w:r>
        <w:rPr>
          <w:rFonts w:ascii="Book Antiqua" w:hAnsi="Book Antiqua"/>
          <w:lang w:val="en-AU"/>
        </w:rPr>
        <w:t>,</w:t>
      </w:r>
      <w:r w:rsidRPr="00A15282">
        <w:rPr>
          <w:rFonts w:ascii="Book Antiqua" w:hAnsi="Book Antiqua"/>
          <w:lang w:val="en-AU"/>
        </w:rPr>
        <w:t xml:space="preserve"> it observes that the regulatory framework laid down by the GDPR does not take into proper account this aspect and subsequently defends the development of a system of contextualized </w:t>
      </w:r>
      <w:r w:rsidRPr="00A15282">
        <w:rPr>
          <w:rFonts w:ascii="Book Antiqua" w:hAnsi="Book Antiqua"/>
          <w:lang w:val="en-AU"/>
        </w:rPr>
        <w:lastRenderedPageBreak/>
        <w:t>disclosure as a tool to promote both trust in AI systems and informed consent</w:t>
      </w:r>
      <w:r>
        <w:rPr>
          <w:rFonts w:ascii="Book Antiqua" w:hAnsi="Book Antiqua"/>
          <w:lang w:val="en-AU"/>
        </w:rPr>
        <w:t>, using personalized services as its experimental setting</w:t>
      </w:r>
      <w:r w:rsidRPr="00A15282">
        <w:rPr>
          <w:rFonts w:ascii="Book Antiqua" w:hAnsi="Book Antiqua"/>
          <w:lang w:val="en-AU"/>
        </w:rPr>
        <w:t>.</w:t>
      </w:r>
    </w:p>
    <w:sectPr w:rsidR="00A15282" w:rsidRPr="00A15282" w:rsidSect="00962339">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DA" w:rsidRDefault="007E62DA" w:rsidP="00F042ED">
      <w:pPr>
        <w:spacing w:after="0" w:line="240" w:lineRule="auto"/>
      </w:pPr>
      <w:r>
        <w:separator/>
      </w:r>
    </w:p>
  </w:endnote>
  <w:endnote w:type="continuationSeparator" w:id="0">
    <w:p w:rsidR="007E62DA" w:rsidRDefault="007E62DA" w:rsidP="00F0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DA" w:rsidRDefault="007E62DA" w:rsidP="00F042ED">
      <w:pPr>
        <w:spacing w:after="0" w:line="240" w:lineRule="auto"/>
      </w:pPr>
      <w:r>
        <w:separator/>
      </w:r>
    </w:p>
  </w:footnote>
  <w:footnote w:type="continuationSeparator" w:id="0">
    <w:p w:rsidR="007E62DA" w:rsidRDefault="007E62DA" w:rsidP="00F04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EB"/>
    <w:rsid w:val="00027FEB"/>
    <w:rsid w:val="00195409"/>
    <w:rsid w:val="00250EF1"/>
    <w:rsid w:val="0031056E"/>
    <w:rsid w:val="004856EC"/>
    <w:rsid w:val="004E7E78"/>
    <w:rsid w:val="005601C4"/>
    <w:rsid w:val="0061776B"/>
    <w:rsid w:val="007E62DA"/>
    <w:rsid w:val="00962339"/>
    <w:rsid w:val="00A15282"/>
    <w:rsid w:val="00B00904"/>
    <w:rsid w:val="00CA6E0A"/>
    <w:rsid w:val="00DD5AEC"/>
    <w:rsid w:val="00EA596A"/>
    <w:rsid w:val="00F042ED"/>
    <w:rsid w:val="00F41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99D24-1039-439E-A399-AC759A5E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ore">
    <w:name w:val="Autore"/>
    <w:qFormat/>
    <w:rsid w:val="004E7E78"/>
    <w:pPr>
      <w:spacing w:before="120" w:after="0" w:line="260" w:lineRule="exact"/>
      <w:jc w:val="center"/>
    </w:pPr>
    <w:rPr>
      <w:rFonts w:ascii="Garamond" w:eastAsia="Calibri" w:hAnsi="Garamond" w:cs="Times New Roman"/>
      <w:smallCaps/>
      <w:szCs w:val="32"/>
    </w:rPr>
  </w:style>
  <w:style w:type="paragraph" w:customStyle="1" w:styleId="Capoverso">
    <w:name w:val="Capoverso"/>
    <w:qFormat/>
    <w:rsid w:val="004E7E78"/>
    <w:pPr>
      <w:widowControl w:val="0"/>
      <w:tabs>
        <w:tab w:val="left" w:pos="2977"/>
      </w:tabs>
      <w:spacing w:after="0" w:line="280" w:lineRule="exact"/>
      <w:ind w:firstLine="284"/>
      <w:jc w:val="both"/>
    </w:pPr>
    <w:rPr>
      <w:rFonts w:ascii="Garamond" w:eastAsia="Calibri" w:hAnsi="Garamond" w:cs="Times New Roman"/>
      <w:sz w:val="24"/>
    </w:rPr>
  </w:style>
  <w:style w:type="character" w:styleId="Collegamentoipertestuale">
    <w:name w:val="Hyperlink"/>
    <w:basedOn w:val="Carpredefinitoparagrafo"/>
    <w:uiPriority w:val="99"/>
    <w:unhideWhenUsed/>
    <w:rsid w:val="004E7E78"/>
    <w:rPr>
      <w:color w:val="0563C1" w:themeColor="hyperlink"/>
      <w:u w:val="single"/>
    </w:rPr>
  </w:style>
  <w:style w:type="paragraph" w:styleId="Intestazione">
    <w:name w:val="header"/>
    <w:basedOn w:val="Normale"/>
    <w:link w:val="IntestazioneCarattere"/>
    <w:uiPriority w:val="99"/>
    <w:unhideWhenUsed/>
    <w:rsid w:val="004E7E78"/>
    <w:pPr>
      <w:tabs>
        <w:tab w:val="center" w:pos="4819"/>
        <w:tab w:val="right" w:pos="9638"/>
      </w:tabs>
      <w:spacing w:after="0" w:line="240" w:lineRule="auto"/>
      <w:jc w:val="both"/>
    </w:pPr>
    <w:rPr>
      <w:rFonts w:ascii="Times New Roman" w:eastAsia="Calibri" w:hAnsi="Times New Roman" w:cs="Times New Roman"/>
      <w:sz w:val="28"/>
    </w:rPr>
  </w:style>
  <w:style w:type="character" w:customStyle="1" w:styleId="IntestazioneCarattere">
    <w:name w:val="Intestazione Carattere"/>
    <w:basedOn w:val="Carpredefinitoparagrafo"/>
    <w:link w:val="Intestazione"/>
    <w:uiPriority w:val="99"/>
    <w:rsid w:val="004E7E78"/>
    <w:rPr>
      <w:rFonts w:ascii="Times New Roman" w:eastAsia="Calibri" w:hAnsi="Times New Roman" w:cs="Times New Roman"/>
      <w:sz w:val="28"/>
    </w:rPr>
  </w:style>
  <w:style w:type="paragraph" w:customStyle="1" w:styleId="Note">
    <w:name w:val="Note"/>
    <w:qFormat/>
    <w:rsid w:val="004E7E78"/>
    <w:pPr>
      <w:widowControl w:val="0"/>
      <w:spacing w:after="0" w:line="240" w:lineRule="exact"/>
      <w:ind w:firstLine="284"/>
      <w:jc w:val="both"/>
    </w:pPr>
    <w:rPr>
      <w:rFonts w:ascii="Garamond" w:eastAsia="Calibri" w:hAnsi="Garamond" w:cs="Times New Roman"/>
      <w:sz w:val="20"/>
      <w:szCs w:val="20"/>
    </w:rPr>
  </w:style>
  <w:style w:type="paragraph" w:customStyle="1" w:styleId="Par">
    <w:name w:val="Par"/>
    <w:basedOn w:val="Normale"/>
    <w:qFormat/>
    <w:rsid w:val="004E7E78"/>
    <w:pPr>
      <w:tabs>
        <w:tab w:val="left" w:pos="2977"/>
      </w:tabs>
      <w:spacing w:before="560" w:after="280" w:line="280" w:lineRule="exact"/>
      <w:ind w:left="284" w:hanging="284"/>
      <w:jc w:val="both"/>
    </w:pPr>
    <w:rPr>
      <w:rFonts w:ascii="Garamond" w:eastAsia="Calibri" w:hAnsi="Garamond" w:cs="Times New Roman"/>
      <w:i/>
      <w:sz w:val="24"/>
    </w:rPr>
  </w:style>
  <w:style w:type="paragraph" w:styleId="Pidipagina">
    <w:name w:val="footer"/>
    <w:basedOn w:val="Normale"/>
    <w:link w:val="PidipaginaCarattere"/>
    <w:uiPriority w:val="99"/>
    <w:unhideWhenUsed/>
    <w:rsid w:val="004E7E78"/>
    <w:pPr>
      <w:tabs>
        <w:tab w:val="center" w:pos="4819"/>
        <w:tab w:val="right" w:pos="9638"/>
      </w:tabs>
      <w:spacing w:after="0" w:line="240" w:lineRule="auto"/>
      <w:jc w:val="both"/>
    </w:pPr>
    <w:rPr>
      <w:rFonts w:ascii="Times New Roman" w:eastAsia="Calibri" w:hAnsi="Times New Roman" w:cs="Times New Roman"/>
      <w:sz w:val="28"/>
    </w:rPr>
  </w:style>
  <w:style w:type="character" w:customStyle="1" w:styleId="PidipaginaCarattere">
    <w:name w:val="Piè di pagina Carattere"/>
    <w:basedOn w:val="Carpredefinitoparagrafo"/>
    <w:link w:val="Pidipagina"/>
    <w:uiPriority w:val="99"/>
    <w:rsid w:val="004E7E78"/>
    <w:rPr>
      <w:rFonts w:ascii="Times New Roman" w:eastAsia="Calibri" w:hAnsi="Times New Roman" w:cs="Times New Roman"/>
      <w:sz w:val="28"/>
    </w:rPr>
  </w:style>
  <w:style w:type="character" w:styleId="Rimandocommento">
    <w:name w:val="annotation reference"/>
    <w:basedOn w:val="Carpredefinitoparagrafo"/>
    <w:uiPriority w:val="99"/>
    <w:semiHidden/>
    <w:unhideWhenUsed/>
    <w:rsid w:val="004E7E78"/>
    <w:rPr>
      <w:sz w:val="16"/>
      <w:szCs w:val="16"/>
    </w:rPr>
  </w:style>
  <w:style w:type="character" w:styleId="Rimandonotaapidipagina">
    <w:name w:val="footnote reference"/>
    <w:aliases w:val="(Footnote Reference),SUPERS,EN Footnote Reference,Footnote symbol,Footnote,Footnote number,fr,o,Footnotemark,FR,Footnotemark1,Footnotemark2,FR1,Footnotemark3,FR2,Footnotemark4,FR3,Footnotemark5,FR4,Footnotemark6"/>
    <w:basedOn w:val="Carpredefinitoparagrafo"/>
    <w:uiPriority w:val="99"/>
    <w:unhideWhenUsed/>
    <w:rsid w:val="004E7E78"/>
    <w:rPr>
      <w:vertAlign w:val="superscript"/>
    </w:rPr>
  </w:style>
  <w:style w:type="paragraph" w:styleId="Testocommento">
    <w:name w:val="annotation text"/>
    <w:basedOn w:val="Normale"/>
    <w:link w:val="TestocommentoCarattere"/>
    <w:uiPriority w:val="99"/>
    <w:semiHidden/>
    <w:unhideWhenUsed/>
    <w:rsid w:val="004E7E78"/>
    <w:pPr>
      <w:spacing w:after="0" w:line="240" w:lineRule="auto"/>
      <w:jc w:val="both"/>
    </w:pPr>
    <w:rPr>
      <w:rFonts w:ascii="Times New Roman" w:eastAsia="Calibri"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4E7E78"/>
    <w:rPr>
      <w:rFonts w:ascii="Times New Roman" w:eastAsia="Calibri"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4E7E78"/>
    <w:rPr>
      <w:b/>
      <w:bCs/>
    </w:rPr>
  </w:style>
  <w:style w:type="character" w:customStyle="1" w:styleId="SoggettocommentoCarattere">
    <w:name w:val="Soggetto commento Carattere"/>
    <w:basedOn w:val="TestocommentoCarattere"/>
    <w:link w:val="Soggettocommento"/>
    <w:uiPriority w:val="99"/>
    <w:semiHidden/>
    <w:rsid w:val="004E7E78"/>
    <w:rPr>
      <w:rFonts w:ascii="Times New Roman" w:eastAsia="Calibri" w:hAnsi="Times New Roman" w:cs="Times New Roman"/>
      <w:b/>
      <w:bCs/>
      <w:sz w:val="20"/>
      <w:szCs w:val="20"/>
    </w:rPr>
  </w:style>
  <w:style w:type="paragraph" w:customStyle="1" w:styleId="Sommario">
    <w:name w:val="Sommario"/>
    <w:qFormat/>
    <w:rsid w:val="004E7E78"/>
    <w:pPr>
      <w:spacing w:before="560" w:after="840" w:line="240" w:lineRule="exact"/>
      <w:ind w:left="284" w:hanging="284"/>
      <w:jc w:val="both"/>
    </w:pPr>
    <w:rPr>
      <w:rFonts w:ascii="Garamond" w:eastAsia="Calibri" w:hAnsi="Garamond" w:cs="Times New Roman"/>
      <w:sz w:val="20"/>
    </w:rPr>
  </w:style>
  <w:style w:type="paragraph" w:styleId="Testofumetto">
    <w:name w:val="Balloon Text"/>
    <w:basedOn w:val="Normale"/>
    <w:link w:val="TestofumettoCarattere"/>
    <w:uiPriority w:val="99"/>
    <w:semiHidden/>
    <w:unhideWhenUsed/>
    <w:rsid w:val="004E7E78"/>
    <w:pPr>
      <w:spacing w:after="0" w:line="240" w:lineRule="auto"/>
      <w:jc w:val="both"/>
    </w:pPr>
    <w:rPr>
      <w:rFonts w:ascii="Segoe UI" w:eastAsia="Calibri" w:hAnsi="Segoe UI" w:cs="Segoe UI"/>
      <w:sz w:val="18"/>
      <w:szCs w:val="18"/>
    </w:rPr>
  </w:style>
  <w:style w:type="character" w:customStyle="1" w:styleId="TestofumettoCarattere">
    <w:name w:val="Testo fumetto Carattere"/>
    <w:basedOn w:val="Carpredefinitoparagrafo"/>
    <w:link w:val="Testofumetto"/>
    <w:uiPriority w:val="99"/>
    <w:semiHidden/>
    <w:rsid w:val="004E7E78"/>
    <w:rPr>
      <w:rFonts w:ascii="Segoe UI" w:eastAsia="Calibri" w:hAnsi="Segoe UI" w:cs="Segoe UI"/>
      <w:sz w:val="18"/>
      <w:szCs w:val="18"/>
    </w:rPr>
  </w:style>
  <w:style w:type="paragraph" w:styleId="Testonotaapidipagina">
    <w:name w:val="footnote text"/>
    <w:basedOn w:val="Normale"/>
    <w:link w:val="TestonotaapidipaginaCarattere"/>
    <w:uiPriority w:val="99"/>
    <w:unhideWhenUsed/>
    <w:rsid w:val="004E7E78"/>
    <w:pPr>
      <w:spacing w:after="0" w:line="276" w:lineRule="auto"/>
      <w:jc w:val="both"/>
    </w:pPr>
    <w:rPr>
      <w:rFonts w:ascii="Times New Roman" w:eastAsia="Calibri" w:hAnsi="Times New Roman" w:cs="Times New Roman"/>
      <w:sz w:val="28"/>
    </w:rPr>
  </w:style>
  <w:style w:type="character" w:customStyle="1" w:styleId="TestonotaapidipaginaCarattere">
    <w:name w:val="Testo nota a piè di pagina Carattere"/>
    <w:basedOn w:val="Carpredefinitoparagrafo"/>
    <w:link w:val="Testonotaapidipagina"/>
    <w:uiPriority w:val="99"/>
    <w:rsid w:val="004E7E78"/>
    <w:rPr>
      <w:rFonts w:ascii="Times New Roman" w:eastAsia="Calibri" w:hAnsi="Times New Roman" w:cs="Times New Roman"/>
      <w:sz w:val="28"/>
    </w:rPr>
  </w:style>
  <w:style w:type="paragraph" w:customStyle="1" w:styleId="Titcap">
    <w:name w:val="Tit cap"/>
    <w:qFormat/>
    <w:rsid w:val="004E7E78"/>
    <w:pPr>
      <w:spacing w:after="0" w:line="280" w:lineRule="exact"/>
      <w:jc w:val="center"/>
    </w:pPr>
    <w:rPr>
      <w:rFonts w:ascii="Garamond" w:eastAsia="Calibri" w:hAnsi="Garamond" w:cs="Times New Roman"/>
      <w:caps/>
      <w:sz w:val="24"/>
      <w:szCs w:val="32"/>
    </w:rPr>
  </w:style>
  <w:style w:type="paragraph" w:customStyle="1" w:styleId="Titdiccap">
    <w:name w:val="Tit dic cap"/>
    <w:qFormat/>
    <w:rsid w:val="004E7E78"/>
    <w:pPr>
      <w:spacing w:before="1600" w:after="200" w:line="280" w:lineRule="exact"/>
      <w:jc w:val="center"/>
    </w:pPr>
    <w:rPr>
      <w:rFonts w:ascii="Garamond" w:eastAsia="Calibri" w:hAnsi="Garamond" w:cs="Times New Roman"/>
      <w:smallCaps/>
      <w:sz w:val="24"/>
      <w:szCs w:val="32"/>
    </w:rPr>
  </w:style>
  <w:style w:type="paragraph" w:styleId="Nessunaspaziatura">
    <w:name w:val="No Spacing"/>
    <w:uiPriority w:val="1"/>
    <w:qFormat/>
    <w:rsid w:val="00027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806</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LUISS Guido Carli</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Davola</dc:creator>
  <cp:keywords/>
  <dc:description/>
  <cp:lastModifiedBy>Antonio Davola</cp:lastModifiedBy>
  <cp:revision>3</cp:revision>
  <cp:lastPrinted>2021-04-20T08:58:00Z</cp:lastPrinted>
  <dcterms:created xsi:type="dcterms:W3CDTF">2021-08-31T11:00:00Z</dcterms:created>
  <dcterms:modified xsi:type="dcterms:W3CDTF">2021-08-31T11:03:00Z</dcterms:modified>
</cp:coreProperties>
</file>