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3CAE" w14:textId="77777777" w:rsidR="004B4FBD" w:rsidRDefault="004B4FBD" w:rsidP="00E317D0">
      <w:pPr>
        <w:spacing w:after="0" w:line="360" w:lineRule="auto"/>
        <w:jc w:val="both"/>
        <w:rPr>
          <w:rFonts w:ascii="Calibri" w:hAnsi="Calibri" w:cs="Calibri"/>
        </w:rPr>
      </w:pPr>
    </w:p>
    <w:p w14:paraId="3FF6C926" w14:textId="77777777" w:rsidR="00E317D0" w:rsidRPr="00E317D0" w:rsidRDefault="00E317D0" w:rsidP="00E317D0">
      <w:pPr>
        <w:spacing w:after="0" w:line="360" w:lineRule="auto"/>
        <w:jc w:val="both"/>
        <w:rPr>
          <w:rFonts w:ascii="Calibri" w:hAnsi="Calibri" w:cs="Calibri"/>
        </w:rPr>
      </w:pPr>
    </w:p>
    <w:p w14:paraId="12CB6790" w14:textId="1C095869" w:rsidR="00E317D0" w:rsidRPr="00E317D0" w:rsidRDefault="00E317D0" w:rsidP="00E317D0">
      <w:pPr>
        <w:widowControl w:val="0"/>
        <w:autoSpaceDE w:val="0"/>
        <w:autoSpaceDN w:val="0"/>
        <w:adjustRightInd w:val="0"/>
        <w:spacing w:after="0" w:line="360" w:lineRule="auto"/>
        <w:ind w:left="567" w:hanging="567"/>
        <w:jc w:val="both"/>
        <w:rPr>
          <w:rFonts w:ascii="Calibri" w:hAnsi="Calibri" w:cs="Calibri"/>
          <w:kern w:val="0"/>
          <w:lang w:val="en-US"/>
        </w:rPr>
      </w:pPr>
      <w:r w:rsidRPr="00E317D0">
        <w:rPr>
          <w:rFonts w:ascii="Calibri" w:hAnsi="Calibri" w:cs="Calibri"/>
          <w:kern w:val="0"/>
          <w:lang w:val="en-US"/>
        </w:rPr>
        <w:t>Title: Legal uncertainty and the cost of capital for SMEs: new insights from the Italian manufacturing industry</w:t>
      </w:r>
    </w:p>
    <w:p w14:paraId="2050C24D" w14:textId="77777777" w:rsidR="00E317D0" w:rsidRPr="00E317D0" w:rsidRDefault="00E317D0" w:rsidP="00E317D0">
      <w:pPr>
        <w:widowControl w:val="0"/>
        <w:autoSpaceDE w:val="0"/>
        <w:autoSpaceDN w:val="0"/>
        <w:adjustRightInd w:val="0"/>
        <w:spacing w:after="0" w:line="360" w:lineRule="auto"/>
        <w:jc w:val="both"/>
        <w:rPr>
          <w:rFonts w:ascii="Calibri" w:hAnsi="Calibri" w:cs="Calibri"/>
          <w:kern w:val="0"/>
          <w:lang w:val="en-US"/>
        </w:rPr>
      </w:pPr>
    </w:p>
    <w:p w14:paraId="553AC649" w14:textId="77777777" w:rsidR="00E317D0" w:rsidRPr="00E317D0" w:rsidRDefault="00E317D0" w:rsidP="00E317D0">
      <w:pPr>
        <w:widowControl w:val="0"/>
        <w:autoSpaceDE w:val="0"/>
        <w:autoSpaceDN w:val="0"/>
        <w:adjustRightInd w:val="0"/>
        <w:spacing w:after="0" w:line="360" w:lineRule="auto"/>
        <w:jc w:val="both"/>
        <w:rPr>
          <w:rFonts w:ascii="Calibri" w:hAnsi="Calibri" w:cs="Calibri"/>
          <w:kern w:val="0"/>
          <w:lang w:val="en-US"/>
        </w:rPr>
      </w:pPr>
    </w:p>
    <w:p w14:paraId="4AD5AED8" w14:textId="30AAF262" w:rsidR="00E317D0" w:rsidRPr="00E317D0" w:rsidRDefault="00E317D0" w:rsidP="00E317D0">
      <w:pPr>
        <w:widowControl w:val="0"/>
        <w:autoSpaceDE w:val="0"/>
        <w:autoSpaceDN w:val="0"/>
        <w:adjustRightInd w:val="0"/>
        <w:spacing w:after="0" w:line="360" w:lineRule="auto"/>
        <w:jc w:val="both"/>
        <w:rPr>
          <w:rFonts w:ascii="Calibri" w:hAnsi="Calibri" w:cs="Calibri"/>
          <w:kern w:val="0"/>
          <w:lang w:val="en-US"/>
        </w:rPr>
      </w:pPr>
      <w:r w:rsidRPr="00E317D0">
        <w:rPr>
          <w:rFonts w:ascii="Calibri" w:hAnsi="Calibri" w:cs="Calibri"/>
          <w:kern w:val="0"/>
          <w:lang w:val="en-US"/>
        </w:rPr>
        <w:t xml:space="preserve">Keywords: </w:t>
      </w:r>
      <w:r w:rsidRPr="00E317D0">
        <w:rPr>
          <w:rFonts w:ascii="Calibri" w:hAnsi="Calibri" w:cs="Calibri"/>
          <w:kern w:val="0"/>
          <w:lang w:val="en-US"/>
        </w:rPr>
        <w:t xml:space="preserve">legal </w:t>
      </w:r>
      <w:r w:rsidRPr="00E317D0">
        <w:rPr>
          <w:rFonts w:ascii="Calibri" w:hAnsi="Calibri" w:cs="Calibri"/>
          <w:kern w:val="0"/>
          <w:lang w:val="en-US"/>
        </w:rPr>
        <w:t>uncertainty</w:t>
      </w:r>
      <w:r w:rsidRPr="00E317D0">
        <w:rPr>
          <w:rFonts w:ascii="Calibri" w:hAnsi="Calibri" w:cs="Calibri"/>
          <w:kern w:val="0"/>
          <w:lang w:val="en-US"/>
        </w:rPr>
        <w:t xml:space="preserve">, length of proceedings, SMEs, manufacturing industry, </w:t>
      </w:r>
    </w:p>
    <w:p w14:paraId="02A16386" w14:textId="77777777" w:rsidR="00E317D0" w:rsidRPr="00E317D0" w:rsidRDefault="00E317D0" w:rsidP="00E317D0">
      <w:pPr>
        <w:widowControl w:val="0"/>
        <w:autoSpaceDE w:val="0"/>
        <w:autoSpaceDN w:val="0"/>
        <w:adjustRightInd w:val="0"/>
        <w:spacing w:after="0" w:line="360" w:lineRule="auto"/>
        <w:jc w:val="both"/>
        <w:rPr>
          <w:rFonts w:ascii="Calibri" w:hAnsi="Calibri" w:cs="Calibri"/>
          <w:kern w:val="0"/>
          <w:lang w:val="en-US"/>
        </w:rPr>
      </w:pPr>
    </w:p>
    <w:p w14:paraId="0473B0FF" w14:textId="77777777" w:rsidR="00E317D0" w:rsidRPr="00E317D0" w:rsidRDefault="00E317D0" w:rsidP="00E317D0">
      <w:pPr>
        <w:widowControl w:val="0"/>
        <w:autoSpaceDE w:val="0"/>
        <w:autoSpaceDN w:val="0"/>
        <w:adjustRightInd w:val="0"/>
        <w:spacing w:after="0" w:line="360" w:lineRule="auto"/>
        <w:jc w:val="both"/>
        <w:rPr>
          <w:rFonts w:ascii="Calibri" w:hAnsi="Calibri" w:cs="Calibri"/>
          <w:kern w:val="0"/>
          <w:lang w:val="en-US"/>
        </w:rPr>
      </w:pPr>
    </w:p>
    <w:p w14:paraId="6559EBA5" w14:textId="30D7EC68" w:rsidR="00E317D0" w:rsidRPr="00E317D0" w:rsidRDefault="00E317D0" w:rsidP="00E317D0">
      <w:pPr>
        <w:widowControl w:val="0"/>
        <w:autoSpaceDE w:val="0"/>
        <w:autoSpaceDN w:val="0"/>
        <w:adjustRightInd w:val="0"/>
        <w:spacing w:after="0" w:line="360" w:lineRule="auto"/>
        <w:jc w:val="both"/>
        <w:rPr>
          <w:rFonts w:ascii="Calibri" w:hAnsi="Calibri" w:cs="Calibri"/>
          <w:kern w:val="0"/>
        </w:rPr>
      </w:pPr>
      <w:proofErr w:type="spellStart"/>
      <w:r w:rsidRPr="00E317D0">
        <w:rPr>
          <w:rFonts w:ascii="Calibri" w:hAnsi="Calibri" w:cs="Calibri"/>
          <w:kern w:val="0"/>
        </w:rPr>
        <w:t>Authors</w:t>
      </w:r>
      <w:proofErr w:type="spellEnd"/>
      <w:r w:rsidRPr="00E317D0">
        <w:rPr>
          <w:rFonts w:ascii="Calibri" w:hAnsi="Calibri" w:cs="Calibri"/>
          <w:kern w:val="0"/>
        </w:rPr>
        <w:t xml:space="preserve">: </w:t>
      </w:r>
      <w:proofErr w:type="spellStart"/>
      <w:r w:rsidRPr="00E317D0">
        <w:rPr>
          <w:rFonts w:ascii="Calibri" w:hAnsi="Calibri" w:cs="Calibri"/>
          <w:kern w:val="0"/>
        </w:rPr>
        <w:t>Falavigna</w:t>
      </w:r>
      <w:proofErr w:type="spellEnd"/>
      <w:r w:rsidRPr="00E317D0">
        <w:rPr>
          <w:rFonts w:ascii="Calibri" w:hAnsi="Calibri" w:cs="Calibri"/>
          <w:kern w:val="0"/>
        </w:rPr>
        <w:t xml:space="preserve"> G.;</w:t>
      </w:r>
      <w:r>
        <w:rPr>
          <w:rStyle w:val="Rimandonotaapidipagina"/>
          <w:rFonts w:ascii="Calibri" w:hAnsi="Calibri" w:cs="Calibri"/>
          <w:kern w:val="0"/>
          <w:lang w:val="en-US"/>
        </w:rPr>
        <w:footnoteReference w:id="1"/>
      </w:r>
      <w:r w:rsidRPr="00E317D0">
        <w:rPr>
          <w:rFonts w:ascii="Calibri" w:hAnsi="Calibri" w:cs="Calibri"/>
          <w:kern w:val="0"/>
        </w:rPr>
        <w:t xml:space="preserve"> Ippoliti R.;</w:t>
      </w:r>
      <w:r>
        <w:rPr>
          <w:rStyle w:val="Rimandonotaapidipagina"/>
          <w:rFonts w:ascii="Calibri" w:hAnsi="Calibri" w:cs="Calibri"/>
          <w:kern w:val="0"/>
        </w:rPr>
        <w:footnoteReference w:id="2"/>
      </w:r>
      <w:r w:rsidR="001F560B">
        <w:rPr>
          <w:rFonts w:ascii="Calibri" w:hAnsi="Calibri" w:cs="Calibri"/>
          <w:kern w:val="0"/>
        </w:rPr>
        <w:t>*</w:t>
      </w:r>
      <w:r w:rsidRPr="00E317D0">
        <w:rPr>
          <w:rFonts w:ascii="Calibri" w:hAnsi="Calibri" w:cs="Calibri"/>
          <w:kern w:val="0"/>
        </w:rPr>
        <w:t xml:space="preserve"> Ramello G.B.</w:t>
      </w:r>
      <w:r>
        <w:rPr>
          <w:rStyle w:val="Rimandonotaapidipagina"/>
          <w:rFonts w:ascii="Calibri" w:hAnsi="Calibri" w:cs="Calibri"/>
          <w:kern w:val="0"/>
        </w:rPr>
        <w:footnoteReference w:id="3"/>
      </w:r>
    </w:p>
    <w:p w14:paraId="45B214F0" w14:textId="77777777" w:rsidR="00E317D0" w:rsidRPr="00E317D0" w:rsidRDefault="00E317D0" w:rsidP="00E317D0">
      <w:pPr>
        <w:widowControl w:val="0"/>
        <w:autoSpaceDE w:val="0"/>
        <w:autoSpaceDN w:val="0"/>
        <w:adjustRightInd w:val="0"/>
        <w:spacing w:after="0" w:line="360" w:lineRule="auto"/>
        <w:jc w:val="both"/>
        <w:rPr>
          <w:rFonts w:ascii="Calibri" w:hAnsi="Calibri" w:cs="Calibri"/>
          <w:kern w:val="0"/>
        </w:rPr>
      </w:pPr>
    </w:p>
    <w:p w14:paraId="1B78DC12" w14:textId="77777777" w:rsidR="00E317D0" w:rsidRPr="00E317D0" w:rsidRDefault="00E317D0" w:rsidP="00E317D0">
      <w:pPr>
        <w:spacing w:after="0" w:line="360" w:lineRule="auto"/>
        <w:jc w:val="both"/>
        <w:rPr>
          <w:rFonts w:ascii="Calibri" w:hAnsi="Calibri" w:cs="Calibri"/>
        </w:rPr>
      </w:pPr>
    </w:p>
    <w:p w14:paraId="13CF5A10" w14:textId="78D6A053" w:rsidR="00E317D0" w:rsidRPr="00E317D0" w:rsidRDefault="00E317D0" w:rsidP="00E317D0">
      <w:pPr>
        <w:spacing w:after="0" w:line="360" w:lineRule="auto"/>
        <w:jc w:val="center"/>
        <w:rPr>
          <w:rFonts w:ascii="Calibri" w:hAnsi="Calibri" w:cs="Calibri"/>
          <w:b/>
          <w:bCs/>
        </w:rPr>
      </w:pPr>
      <w:r w:rsidRPr="00E317D0">
        <w:rPr>
          <w:rFonts w:ascii="Calibri" w:hAnsi="Calibri" w:cs="Calibri"/>
          <w:b/>
          <w:bCs/>
        </w:rPr>
        <w:t>Extended Abstract</w:t>
      </w:r>
    </w:p>
    <w:p w14:paraId="2BE8D777" w14:textId="77777777" w:rsidR="00E317D0" w:rsidRPr="00E317D0" w:rsidRDefault="00E317D0" w:rsidP="00E317D0">
      <w:pPr>
        <w:spacing w:after="0" w:line="360" w:lineRule="auto"/>
        <w:jc w:val="both"/>
        <w:rPr>
          <w:rFonts w:ascii="Calibri" w:hAnsi="Calibri" w:cs="Calibri"/>
          <w:lang w:val="en-US"/>
        </w:rPr>
      </w:pPr>
      <w:r w:rsidRPr="00E317D0">
        <w:rPr>
          <w:rFonts w:ascii="Calibri" w:hAnsi="Calibri" w:cs="Calibri"/>
          <w:lang w:val="en-US"/>
        </w:rPr>
        <w:t>The intersection of judicial efficiency and corporate finance has long intrigued scholars and policymakers alike. This study investigates the impact of legal system performance—specifically, the duration of judicial proceedings—on the cost of corporate borrowing. Drawing on a multidisciplinary framework that integrates legal institutional theory with financial economics, we propose the following hypothesis: the longer the duration of legal proceedings, the higher the interest rate paid by firms on their financial debts.</w:t>
      </w:r>
    </w:p>
    <w:p w14:paraId="1E9EB2B2" w14:textId="67F57F32" w:rsidR="00E317D0" w:rsidRPr="00E317D0" w:rsidRDefault="00E317D0" w:rsidP="00E317D0">
      <w:pPr>
        <w:spacing w:after="0" w:line="360" w:lineRule="auto"/>
        <w:jc w:val="both"/>
        <w:rPr>
          <w:rFonts w:ascii="Calibri" w:hAnsi="Calibri" w:cs="Calibri"/>
          <w:lang w:val="en-US"/>
        </w:rPr>
      </w:pPr>
      <w:r w:rsidRPr="00E317D0">
        <w:rPr>
          <w:rFonts w:ascii="Calibri" w:hAnsi="Calibri" w:cs="Calibri"/>
          <w:lang w:val="en-US"/>
        </w:rPr>
        <w:t xml:space="preserve">Using a panel dataset of firms across </w:t>
      </w:r>
      <w:r>
        <w:rPr>
          <w:rFonts w:ascii="Calibri" w:hAnsi="Calibri" w:cs="Calibri"/>
          <w:lang w:val="en-US"/>
        </w:rPr>
        <w:t xml:space="preserve">first instance </w:t>
      </w:r>
      <w:r w:rsidRPr="00E317D0">
        <w:rPr>
          <w:rFonts w:ascii="Calibri" w:hAnsi="Calibri" w:cs="Calibri"/>
          <w:lang w:val="en-US"/>
        </w:rPr>
        <w:t xml:space="preserve">jurisdictions </w:t>
      </w:r>
      <w:r>
        <w:rPr>
          <w:rFonts w:ascii="Calibri" w:hAnsi="Calibri" w:cs="Calibri"/>
          <w:lang w:val="en-US"/>
        </w:rPr>
        <w:t xml:space="preserve">(i.e., </w:t>
      </w:r>
      <w:proofErr w:type="spellStart"/>
      <w:r w:rsidRPr="00E317D0">
        <w:rPr>
          <w:rFonts w:ascii="Calibri" w:hAnsi="Calibri" w:cs="Calibri"/>
          <w:i/>
          <w:iCs/>
          <w:lang w:val="en-US"/>
        </w:rPr>
        <w:t>Circondari</w:t>
      </w:r>
      <w:proofErr w:type="spellEnd"/>
      <w:r w:rsidRPr="00E317D0">
        <w:rPr>
          <w:rFonts w:ascii="Calibri" w:hAnsi="Calibri" w:cs="Calibri"/>
          <w:i/>
          <w:iCs/>
          <w:lang w:val="en-US"/>
        </w:rPr>
        <w:t xml:space="preserve"> </w:t>
      </w:r>
      <w:proofErr w:type="spellStart"/>
      <w:r w:rsidRPr="00E317D0">
        <w:rPr>
          <w:rFonts w:ascii="Calibri" w:hAnsi="Calibri" w:cs="Calibri"/>
          <w:i/>
          <w:iCs/>
          <w:lang w:val="en-US"/>
        </w:rPr>
        <w:t>Giudiziari</w:t>
      </w:r>
      <w:proofErr w:type="spellEnd"/>
      <w:r>
        <w:rPr>
          <w:rFonts w:ascii="Calibri" w:hAnsi="Calibri" w:cs="Calibri"/>
          <w:lang w:val="en-US"/>
        </w:rPr>
        <w:t xml:space="preserve">) </w:t>
      </w:r>
      <w:r w:rsidRPr="00E317D0">
        <w:rPr>
          <w:rFonts w:ascii="Calibri" w:hAnsi="Calibri" w:cs="Calibri"/>
          <w:lang w:val="en-US"/>
        </w:rPr>
        <w:t>with varying levels of judicial efficiency, we examine whether prolonged litigation timelines correlate with increased perceived risk among lenders, thereby elevating borrowing costs. Our empirical strategy controls for firm-specific financial indicators, macroeconomic conditions, and jurisdictional legal characteristics. Preliminary findings suggest a statistically significant positive relationship between the length of proceedings and interest rates, underscoring the role of legal infrastructure in shaping financial outcomes.</w:t>
      </w:r>
    </w:p>
    <w:p w14:paraId="493A0E8F" w14:textId="77777777" w:rsidR="00E317D0" w:rsidRPr="00E317D0" w:rsidRDefault="00E317D0" w:rsidP="00E317D0">
      <w:pPr>
        <w:spacing w:after="0" w:line="360" w:lineRule="auto"/>
        <w:jc w:val="both"/>
        <w:rPr>
          <w:rFonts w:ascii="Calibri" w:hAnsi="Calibri" w:cs="Calibri"/>
          <w:lang w:val="en-US"/>
        </w:rPr>
      </w:pPr>
      <w:r w:rsidRPr="00E317D0">
        <w:rPr>
          <w:rFonts w:ascii="Calibri" w:hAnsi="Calibri" w:cs="Calibri"/>
          <w:lang w:val="en-US"/>
        </w:rPr>
        <w:t xml:space="preserve">This research contributes to the growing literature on law and finance by highlighting how inefficiencies in the legal system can translate into tangible economic burdens for firms. The </w:t>
      </w:r>
      <w:r w:rsidRPr="00E317D0">
        <w:rPr>
          <w:rFonts w:ascii="Calibri" w:hAnsi="Calibri" w:cs="Calibri"/>
          <w:lang w:val="en-US"/>
        </w:rPr>
        <w:lastRenderedPageBreak/>
        <w:t>implications are particularly relevant for policymakers aiming to foster more competitive credit markets through judicial reform.</w:t>
      </w:r>
    </w:p>
    <w:p w14:paraId="1BF992A6" w14:textId="446FA7BE" w:rsidR="00E317D0" w:rsidRPr="00E317D0" w:rsidRDefault="00E317D0" w:rsidP="00E317D0">
      <w:pPr>
        <w:spacing w:after="0" w:line="360" w:lineRule="auto"/>
        <w:jc w:val="both"/>
        <w:rPr>
          <w:rFonts w:ascii="Calibri" w:hAnsi="Calibri" w:cs="Calibri"/>
          <w:kern w:val="0"/>
          <w:lang w:val="en-US"/>
        </w:rPr>
      </w:pPr>
      <w:r w:rsidRPr="00E317D0">
        <w:rPr>
          <w:rFonts w:ascii="Calibri" w:hAnsi="Calibri" w:cs="Calibri"/>
          <w:kern w:val="0"/>
          <w:lang w:val="en-US"/>
        </w:rPr>
        <w:t xml:space="preserve">Considering judicial district of first instance in 2019, Figure 1 shows some preliminary highlights on the expected relation that we test in our empirical analysis. In detail, the Figure proposes a scatter plot that uses these districts as observations, with the number of SMEs as frequency weights. On the one hand, we have the average interest rate paid by manufacturing SMEs at time </w:t>
      </w:r>
      <w:r w:rsidRPr="00E317D0">
        <w:rPr>
          <w:rFonts w:ascii="Calibri" w:hAnsi="Calibri" w:cs="Calibri"/>
          <w:i/>
          <w:iCs/>
          <w:kern w:val="0"/>
          <w:lang w:val="en-US"/>
        </w:rPr>
        <w:t>t</w:t>
      </w:r>
      <w:r w:rsidRPr="00E317D0">
        <w:rPr>
          <w:rFonts w:ascii="Calibri" w:hAnsi="Calibri" w:cs="Calibri"/>
          <w:kern w:val="0"/>
          <w:lang w:val="en-US"/>
        </w:rPr>
        <w:t xml:space="preserve"> while, on the other hand, we have the average length of proceedings in enforcing an insolvency procedure of mortgage foreclosure (real estate) at time </w:t>
      </w:r>
      <w:r w:rsidRPr="00E317D0">
        <w:rPr>
          <w:rFonts w:ascii="Calibri" w:hAnsi="Calibri" w:cs="Calibri"/>
          <w:i/>
          <w:iCs/>
          <w:kern w:val="0"/>
          <w:lang w:val="en-US"/>
        </w:rPr>
        <w:t>t-1</w:t>
      </w:r>
      <w:r w:rsidRPr="00E317D0">
        <w:rPr>
          <w:rFonts w:ascii="Calibri" w:hAnsi="Calibri" w:cs="Calibri"/>
          <w:kern w:val="0"/>
          <w:lang w:val="en-US"/>
        </w:rPr>
        <w:t>. As the reader can observe, we have a positive relation between the two proxies, suggesting that the higher the judicial delay, the higher the cost for external financial resources. In detail, increasing the length of proceedings by 1% in a district, we expect to observe an increase in the interest rate of 2.22%. According to our hypothesis, this result is due to higher legal uncertainty in case of insolvency, which can push lenders to increase the cost for such financial resources. The econometric models proposed in the successive section will verify whether this hypothesis is sensitive to model definitions (</w:t>
      </w:r>
      <w:proofErr w:type="spellStart"/>
      <w:r w:rsidRPr="00E317D0">
        <w:rPr>
          <w:rFonts w:ascii="Calibri" w:hAnsi="Calibri" w:cs="Calibri"/>
          <w:kern w:val="0"/>
          <w:lang w:val="en-US"/>
        </w:rPr>
        <w:t>i</w:t>
      </w:r>
      <w:proofErr w:type="spellEnd"/>
      <w:r w:rsidRPr="00E317D0">
        <w:rPr>
          <w:rFonts w:ascii="Calibri" w:hAnsi="Calibri" w:cs="Calibri"/>
          <w:kern w:val="0"/>
          <w:lang w:val="en-US"/>
        </w:rPr>
        <w:t>) or other potential alternative explanations (ii), as well as whether it is robust to potential endogeneity (iii).</w:t>
      </w:r>
    </w:p>
    <w:p w14:paraId="507BAAD1" w14:textId="77777777" w:rsidR="00E317D0" w:rsidRPr="00E317D0" w:rsidRDefault="00E317D0" w:rsidP="00E317D0">
      <w:pPr>
        <w:spacing w:after="0" w:line="360" w:lineRule="auto"/>
        <w:rPr>
          <w:rFonts w:ascii="Calibri" w:hAnsi="Calibri" w:cs="Calibri"/>
          <w:kern w:val="0"/>
          <w:lang w:val="en-US"/>
        </w:rPr>
      </w:pPr>
    </w:p>
    <w:tbl>
      <w:tblPr>
        <w:tblStyle w:val="Grigliatabella"/>
        <w:tblW w:w="10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206"/>
        <w:gridCol w:w="322"/>
      </w:tblGrid>
      <w:tr w:rsidR="00E317D0" w:rsidRPr="00E317D0" w14:paraId="259213CA" w14:textId="77777777" w:rsidTr="00E317D0">
        <w:trPr>
          <w:jc w:val="center"/>
        </w:trPr>
        <w:tc>
          <w:tcPr>
            <w:tcW w:w="10812" w:type="dxa"/>
            <w:gridSpan w:val="3"/>
          </w:tcPr>
          <w:p w14:paraId="3354FCD4" w14:textId="77777777" w:rsidR="00E317D0" w:rsidRPr="00E317D0" w:rsidRDefault="00E317D0" w:rsidP="001A6BBC">
            <w:pPr>
              <w:jc w:val="center"/>
              <w:rPr>
                <w:rFonts w:ascii="Calibri" w:hAnsi="Calibri" w:cs="Calibri"/>
                <w:i/>
                <w:iCs/>
                <w:kern w:val="0"/>
                <w:sz w:val="20"/>
                <w:szCs w:val="20"/>
                <w:lang w:val="en-US"/>
              </w:rPr>
            </w:pPr>
            <w:r w:rsidRPr="00E317D0">
              <w:rPr>
                <w:rFonts w:ascii="Calibri" w:hAnsi="Calibri" w:cs="Calibri"/>
                <w:i/>
                <w:iCs/>
                <w:kern w:val="0"/>
                <w:sz w:val="20"/>
                <w:szCs w:val="20"/>
                <w:lang w:val="en-US"/>
              </w:rPr>
              <w:t>Figure 1 – Relation between length of proceedings and cost of capital for SMEs (Italian manufacturing industry, 2019).</w:t>
            </w:r>
          </w:p>
          <w:p w14:paraId="5E740FE1" w14:textId="77777777" w:rsidR="00E317D0" w:rsidRPr="00E317D0" w:rsidRDefault="00E317D0" w:rsidP="001A6BBC">
            <w:pPr>
              <w:jc w:val="center"/>
              <w:rPr>
                <w:rFonts w:ascii="Calibri" w:hAnsi="Calibri" w:cs="Calibri"/>
                <w:i/>
                <w:iCs/>
                <w:kern w:val="0"/>
                <w:sz w:val="20"/>
                <w:szCs w:val="20"/>
                <w:lang w:val="en-US"/>
              </w:rPr>
            </w:pPr>
          </w:p>
        </w:tc>
      </w:tr>
      <w:tr w:rsidR="00E317D0" w14:paraId="631D60E1" w14:textId="77777777" w:rsidTr="00E317D0">
        <w:trPr>
          <w:jc w:val="center"/>
        </w:trPr>
        <w:tc>
          <w:tcPr>
            <w:tcW w:w="10812" w:type="dxa"/>
            <w:gridSpan w:val="3"/>
          </w:tcPr>
          <w:p w14:paraId="700DF92F" w14:textId="77777777" w:rsidR="00E317D0" w:rsidRDefault="00E317D0" w:rsidP="001A6BBC">
            <w:pPr>
              <w:jc w:val="center"/>
              <w:rPr>
                <w:rFonts w:ascii="Calibri" w:hAnsi="Calibri" w:cs="Calibri"/>
                <w:kern w:val="0"/>
              </w:rPr>
            </w:pPr>
            <w:r>
              <w:rPr>
                <w:noProof/>
              </w:rPr>
              <w:drawing>
                <wp:inline distT="0" distB="0" distL="0" distR="0" wp14:anchorId="652BD9CB" wp14:editId="04CD71CD">
                  <wp:extent cx="6003881" cy="3600000"/>
                  <wp:effectExtent l="19050" t="19050" r="16510" b="19685"/>
                  <wp:docPr id="852813958" name="Immagine 2" descr="Immagine che contiene testo, diagramma, schermat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13958" name="Immagine 2" descr="Immagine che contiene testo, diagramma, schermata, linea&#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3881" cy="3600000"/>
                          </a:xfrm>
                          <a:prstGeom prst="rect">
                            <a:avLst/>
                          </a:prstGeom>
                          <a:noFill/>
                          <a:ln>
                            <a:solidFill>
                              <a:schemeClr val="tx1"/>
                            </a:solidFill>
                          </a:ln>
                        </pic:spPr>
                      </pic:pic>
                    </a:graphicData>
                  </a:graphic>
                </wp:inline>
              </w:drawing>
            </w:r>
          </w:p>
        </w:tc>
      </w:tr>
      <w:tr w:rsidR="00E317D0" w:rsidRPr="00E317D0" w14:paraId="0A6C5F70" w14:textId="77777777" w:rsidTr="00E317D0">
        <w:trPr>
          <w:gridBefore w:val="1"/>
          <w:gridAfter w:val="1"/>
          <w:wBefore w:w="284" w:type="dxa"/>
          <w:wAfter w:w="322" w:type="dxa"/>
          <w:jc w:val="center"/>
        </w:trPr>
        <w:tc>
          <w:tcPr>
            <w:tcW w:w="10206" w:type="dxa"/>
          </w:tcPr>
          <w:p w14:paraId="791A8BA6" w14:textId="77777777" w:rsidR="00E317D0" w:rsidRPr="00E317D0" w:rsidRDefault="00E317D0" w:rsidP="001A6BBC">
            <w:pPr>
              <w:ind w:left="319" w:right="315"/>
              <w:jc w:val="both"/>
              <w:rPr>
                <w:rFonts w:ascii="Calibri" w:hAnsi="Calibri" w:cs="Calibri"/>
                <w:i/>
                <w:iCs/>
                <w:kern w:val="0"/>
                <w:sz w:val="20"/>
                <w:szCs w:val="20"/>
                <w:lang w:val="en-US"/>
              </w:rPr>
            </w:pPr>
            <w:r w:rsidRPr="00E317D0">
              <w:rPr>
                <w:rFonts w:ascii="Calibri" w:hAnsi="Calibri" w:cs="Calibri"/>
                <w:i/>
                <w:iCs/>
                <w:kern w:val="0"/>
                <w:sz w:val="20"/>
                <w:szCs w:val="20"/>
                <w:lang w:val="en-US"/>
              </w:rPr>
              <w:t xml:space="preserve">Notes: interest rate is estimated at time t, while length of proceedings at time t-1. We use number of active SMEs as weight of the judicial districts of first instance. </w:t>
            </w:r>
          </w:p>
        </w:tc>
      </w:tr>
    </w:tbl>
    <w:p w14:paraId="1AD98A8B" w14:textId="38D38D1F" w:rsidR="00E317D0" w:rsidRDefault="00E317D0">
      <w:pPr>
        <w:rPr>
          <w:rFonts w:ascii="Calibri" w:hAnsi="Calibri" w:cs="Calibri"/>
          <w:lang w:val="en-US"/>
        </w:rPr>
      </w:pPr>
      <w:r>
        <w:rPr>
          <w:rFonts w:ascii="Calibri" w:hAnsi="Calibri" w:cs="Calibri"/>
          <w:lang w:val="en-US"/>
        </w:rPr>
        <w:br w:type="page"/>
      </w:r>
    </w:p>
    <w:p w14:paraId="17467399" w14:textId="55ABC209" w:rsidR="00E317D0" w:rsidRPr="00603668" w:rsidRDefault="00603668" w:rsidP="00E317D0">
      <w:pPr>
        <w:jc w:val="both"/>
        <w:rPr>
          <w:rFonts w:ascii="Calibri" w:hAnsi="Calibri" w:cs="Calibri"/>
          <w:b/>
          <w:bCs/>
          <w:u w:val="single"/>
          <w:lang w:val="en-US"/>
        </w:rPr>
      </w:pPr>
      <w:r w:rsidRPr="00603668">
        <w:rPr>
          <w:rFonts w:ascii="Calibri" w:hAnsi="Calibri" w:cs="Calibri"/>
          <w:b/>
          <w:bCs/>
          <w:u w:val="single"/>
          <w:lang w:val="en-US"/>
        </w:rPr>
        <w:lastRenderedPageBreak/>
        <w:t>Selected bibliography</w:t>
      </w:r>
    </w:p>
    <w:p w14:paraId="5A1A85C4" w14:textId="77777777" w:rsidR="00603668" w:rsidRDefault="00603668" w:rsidP="00E317D0">
      <w:pPr>
        <w:jc w:val="both"/>
        <w:rPr>
          <w:rFonts w:ascii="Calibri" w:hAnsi="Calibri" w:cs="Calibri"/>
          <w:lang w:val="en-US"/>
        </w:rPr>
      </w:pPr>
    </w:p>
    <w:p w14:paraId="4E2BDF28" w14:textId="015F26D0" w:rsidR="00603668" w:rsidRDefault="00FD00C4" w:rsidP="00E317D0">
      <w:pPr>
        <w:jc w:val="both"/>
        <w:rPr>
          <w:rFonts w:ascii="Calibri" w:hAnsi="Calibri" w:cs="Calibri"/>
        </w:rPr>
      </w:pPr>
      <w:r w:rsidRPr="00FD00C4">
        <w:rPr>
          <w:rFonts w:ascii="Calibri" w:hAnsi="Calibri" w:cs="Calibri"/>
        </w:rPr>
        <w:t xml:space="preserve">Moro, A., </w:t>
      </w:r>
      <w:proofErr w:type="spellStart"/>
      <w:r w:rsidRPr="00FD00C4">
        <w:rPr>
          <w:rFonts w:ascii="Calibri" w:hAnsi="Calibri" w:cs="Calibri"/>
        </w:rPr>
        <w:t>Maresch</w:t>
      </w:r>
      <w:proofErr w:type="spellEnd"/>
      <w:r w:rsidRPr="00FD00C4">
        <w:rPr>
          <w:rFonts w:ascii="Calibri" w:hAnsi="Calibri" w:cs="Calibri"/>
        </w:rPr>
        <w:t xml:space="preserve">, D., &amp; Ferrando, A. (2018). </w:t>
      </w:r>
      <w:r w:rsidRPr="00FD00C4">
        <w:rPr>
          <w:rFonts w:ascii="Calibri" w:hAnsi="Calibri" w:cs="Calibri"/>
          <w:lang w:val="en-US"/>
        </w:rPr>
        <w:t xml:space="preserve">Creditor protection, judicial enforcement and credit access. </w:t>
      </w:r>
      <w:r w:rsidRPr="00FD00C4">
        <w:rPr>
          <w:rFonts w:ascii="Calibri" w:hAnsi="Calibri" w:cs="Calibri"/>
          <w:i/>
          <w:iCs/>
        </w:rPr>
        <w:t xml:space="preserve">The </w:t>
      </w:r>
      <w:proofErr w:type="spellStart"/>
      <w:r w:rsidRPr="00FD00C4">
        <w:rPr>
          <w:rFonts w:ascii="Calibri" w:hAnsi="Calibri" w:cs="Calibri"/>
          <w:i/>
          <w:iCs/>
        </w:rPr>
        <w:t>European</w:t>
      </w:r>
      <w:proofErr w:type="spellEnd"/>
      <w:r w:rsidRPr="00FD00C4">
        <w:rPr>
          <w:rFonts w:ascii="Calibri" w:hAnsi="Calibri" w:cs="Calibri"/>
          <w:i/>
          <w:iCs/>
        </w:rPr>
        <w:t xml:space="preserve"> Journal of Finance</w:t>
      </w:r>
      <w:r w:rsidRPr="00FD00C4">
        <w:rPr>
          <w:rFonts w:ascii="Calibri" w:hAnsi="Calibri" w:cs="Calibri"/>
        </w:rPr>
        <w:t xml:space="preserve">, </w:t>
      </w:r>
      <w:r w:rsidRPr="00FD00C4">
        <w:rPr>
          <w:rFonts w:ascii="Calibri" w:hAnsi="Calibri" w:cs="Calibri"/>
          <w:i/>
          <w:iCs/>
        </w:rPr>
        <w:t>24</w:t>
      </w:r>
      <w:r w:rsidRPr="00FD00C4">
        <w:rPr>
          <w:rFonts w:ascii="Calibri" w:hAnsi="Calibri" w:cs="Calibri"/>
        </w:rPr>
        <w:t>(3), 250-281.</w:t>
      </w:r>
    </w:p>
    <w:p w14:paraId="277B0270" w14:textId="04B7B5DF" w:rsidR="00FD00C4" w:rsidRDefault="00FD00C4" w:rsidP="00E317D0">
      <w:pPr>
        <w:jc w:val="both"/>
        <w:rPr>
          <w:rFonts w:ascii="Calibri" w:hAnsi="Calibri" w:cs="Calibri"/>
        </w:rPr>
      </w:pPr>
      <w:r w:rsidRPr="00FD00C4">
        <w:rPr>
          <w:rFonts w:ascii="Calibri" w:hAnsi="Calibri" w:cs="Calibri"/>
          <w:lang w:val="en-US"/>
        </w:rPr>
        <w:t xml:space="preserve">Shvets, J. (2013). Judicial institutions and firms' external finance: Evidence from Russia. </w:t>
      </w:r>
      <w:r w:rsidRPr="00FD00C4">
        <w:rPr>
          <w:rFonts w:ascii="Calibri" w:hAnsi="Calibri" w:cs="Calibri"/>
          <w:i/>
          <w:iCs/>
        </w:rPr>
        <w:t xml:space="preserve">The Journal of </w:t>
      </w:r>
      <w:proofErr w:type="spellStart"/>
      <w:r w:rsidRPr="00FD00C4">
        <w:rPr>
          <w:rFonts w:ascii="Calibri" w:hAnsi="Calibri" w:cs="Calibri"/>
          <w:i/>
          <w:iCs/>
        </w:rPr>
        <w:t>Law</w:t>
      </w:r>
      <w:proofErr w:type="spellEnd"/>
      <w:r w:rsidRPr="00FD00C4">
        <w:rPr>
          <w:rFonts w:ascii="Calibri" w:hAnsi="Calibri" w:cs="Calibri"/>
          <w:i/>
          <w:iCs/>
        </w:rPr>
        <w:t xml:space="preserve">, </w:t>
      </w:r>
      <w:proofErr w:type="spellStart"/>
      <w:r w:rsidRPr="00FD00C4">
        <w:rPr>
          <w:rFonts w:ascii="Calibri" w:hAnsi="Calibri" w:cs="Calibri"/>
          <w:i/>
          <w:iCs/>
        </w:rPr>
        <w:t>Economics</w:t>
      </w:r>
      <w:proofErr w:type="spellEnd"/>
      <w:r w:rsidRPr="00FD00C4">
        <w:rPr>
          <w:rFonts w:ascii="Calibri" w:hAnsi="Calibri" w:cs="Calibri"/>
          <w:i/>
          <w:iCs/>
        </w:rPr>
        <w:t>, &amp; Organization</w:t>
      </w:r>
      <w:r w:rsidRPr="00FD00C4">
        <w:rPr>
          <w:rFonts w:ascii="Calibri" w:hAnsi="Calibri" w:cs="Calibri"/>
        </w:rPr>
        <w:t xml:space="preserve">, </w:t>
      </w:r>
      <w:r w:rsidRPr="00FD00C4">
        <w:rPr>
          <w:rFonts w:ascii="Calibri" w:hAnsi="Calibri" w:cs="Calibri"/>
          <w:i/>
          <w:iCs/>
        </w:rPr>
        <w:t>29</w:t>
      </w:r>
      <w:r w:rsidRPr="00FD00C4">
        <w:rPr>
          <w:rFonts w:ascii="Calibri" w:hAnsi="Calibri" w:cs="Calibri"/>
        </w:rPr>
        <w:t>(4), 735-764.</w:t>
      </w:r>
    </w:p>
    <w:p w14:paraId="4084152D" w14:textId="77777777" w:rsidR="00285E1D" w:rsidRPr="00285E1D" w:rsidRDefault="00285E1D" w:rsidP="00285E1D">
      <w:pPr>
        <w:jc w:val="both"/>
        <w:rPr>
          <w:rFonts w:ascii="Calibri" w:hAnsi="Calibri" w:cs="Calibri"/>
          <w:lang w:val="en-US"/>
        </w:rPr>
      </w:pPr>
      <w:r w:rsidRPr="00285E1D">
        <w:rPr>
          <w:rFonts w:ascii="Calibri" w:hAnsi="Calibri" w:cs="Calibri"/>
          <w:lang w:val="en-US"/>
        </w:rPr>
        <w:t xml:space="preserve">Fabbri, D. (2010). Law enforcement and firm financing: Theory and evidence. </w:t>
      </w:r>
      <w:r w:rsidRPr="00285E1D">
        <w:rPr>
          <w:rFonts w:ascii="Calibri" w:hAnsi="Calibri" w:cs="Calibri"/>
          <w:i/>
          <w:iCs/>
          <w:lang w:val="en-US"/>
        </w:rPr>
        <w:t>Journal of the European Economic Association</w:t>
      </w:r>
      <w:r w:rsidRPr="00285E1D">
        <w:rPr>
          <w:rFonts w:ascii="Calibri" w:hAnsi="Calibri" w:cs="Calibri"/>
          <w:lang w:val="en-US"/>
        </w:rPr>
        <w:t xml:space="preserve">, </w:t>
      </w:r>
      <w:r w:rsidRPr="00285E1D">
        <w:rPr>
          <w:rFonts w:ascii="Calibri" w:hAnsi="Calibri" w:cs="Calibri"/>
          <w:i/>
          <w:iCs/>
          <w:lang w:val="en-US"/>
        </w:rPr>
        <w:t>8</w:t>
      </w:r>
      <w:r w:rsidRPr="00285E1D">
        <w:rPr>
          <w:rFonts w:ascii="Calibri" w:hAnsi="Calibri" w:cs="Calibri"/>
          <w:lang w:val="en-US"/>
        </w:rPr>
        <w:t>(4), 776-816.</w:t>
      </w:r>
    </w:p>
    <w:p w14:paraId="366B9086" w14:textId="55ED5E4E" w:rsidR="00FD00C4" w:rsidRDefault="00285E1D" w:rsidP="00E317D0">
      <w:pPr>
        <w:jc w:val="both"/>
        <w:rPr>
          <w:rFonts w:ascii="Calibri" w:hAnsi="Calibri" w:cs="Calibri"/>
        </w:rPr>
      </w:pPr>
      <w:r w:rsidRPr="00285E1D">
        <w:rPr>
          <w:rFonts w:ascii="Calibri" w:hAnsi="Calibri" w:cs="Calibri"/>
          <w:lang w:val="en-US"/>
        </w:rPr>
        <w:t xml:space="preserve">Deakin, S., Mollica, V., &amp; Sarkar, P. (2017). Varieties of creditor protection: insolvency law reform and credit expansion in developed market economies. </w:t>
      </w:r>
      <w:proofErr w:type="spellStart"/>
      <w:r w:rsidRPr="00285E1D">
        <w:rPr>
          <w:rFonts w:ascii="Calibri" w:hAnsi="Calibri" w:cs="Calibri"/>
          <w:i/>
          <w:iCs/>
        </w:rPr>
        <w:t>Socio-Economic</w:t>
      </w:r>
      <w:proofErr w:type="spellEnd"/>
      <w:r w:rsidRPr="00285E1D">
        <w:rPr>
          <w:rFonts w:ascii="Calibri" w:hAnsi="Calibri" w:cs="Calibri"/>
          <w:i/>
          <w:iCs/>
        </w:rPr>
        <w:t xml:space="preserve"> Review</w:t>
      </w:r>
      <w:r w:rsidRPr="00285E1D">
        <w:rPr>
          <w:rFonts w:ascii="Calibri" w:hAnsi="Calibri" w:cs="Calibri"/>
        </w:rPr>
        <w:t xml:space="preserve">, </w:t>
      </w:r>
      <w:r w:rsidRPr="00285E1D">
        <w:rPr>
          <w:rFonts w:ascii="Calibri" w:hAnsi="Calibri" w:cs="Calibri"/>
          <w:i/>
          <w:iCs/>
        </w:rPr>
        <w:t>15</w:t>
      </w:r>
      <w:r w:rsidRPr="00285E1D">
        <w:rPr>
          <w:rFonts w:ascii="Calibri" w:hAnsi="Calibri" w:cs="Calibri"/>
        </w:rPr>
        <w:t>(2), 359-384.</w:t>
      </w:r>
    </w:p>
    <w:p w14:paraId="7CAC087B" w14:textId="77777777" w:rsidR="00285E1D" w:rsidRPr="00285E1D" w:rsidRDefault="00285E1D" w:rsidP="00285E1D">
      <w:pPr>
        <w:jc w:val="both"/>
        <w:rPr>
          <w:rFonts w:ascii="Calibri" w:hAnsi="Calibri" w:cs="Calibri"/>
          <w:lang w:val="en-US"/>
        </w:rPr>
      </w:pPr>
      <w:r w:rsidRPr="00285E1D">
        <w:rPr>
          <w:rFonts w:ascii="Calibri" w:hAnsi="Calibri" w:cs="Calibri"/>
          <w:lang w:val="en-US"/>
        </w:rPr>
        <w:t xml:space="preserve">Fabbri, D., &amp; Padula, M. (2004). Does poor legal enforcement make households credit-constrained?. </w:t>
      </w:r>
      <w:r w:rsidRPr="00285E1D">
        <w:rPr>
          <w:rFonts w:ascii="Calibri" w:hAnsi="Calibri" w:cs="Calibri"/>
          <w:i/>
          <w:iCs/>
          <w:lang w:val="en-US"/>
        </w:rPr>
        <w:t>Journal of Banking &amp; Finance</w:t>
      </w:r>
      <w:r w:rsidRPr="00285E1D">
        <w:rPr>
          <w:rFonts w:ascii="Calibri" w:hAnsi="Calibri" w:cs="Calibri"/>
          <w:lang w:val="en-US"/>
        </w:rPr>
        <w:t xml:space="preserve">, </w:t>
      </w:r>
      <w:r w:rsidRPr="00285E1D">
        <w:rPr>
          <w:rFonts w:ascii="Calibri" w:hAnsi="Calibri" w:cs="Calibri"/>
          <w:i/>
          <w:iCs/>
          <w:lang w:val="en-US"/>
        </w:rPr>
        <w:t>28</w:t>
      </w:r>
      <w:r w:rsidRPr="00285E1D">
        <w:rPr>
          <w:rFonts w:ascii="Calibri" w:hAnsi="Calibri" w:cs="Calibri"/>
          <w:lang w:val="en-US"/>
        </w:rPr>
        <w:t>(10), 2369-2397.</w:t>
      </w:r>
    </w:p>
    <w:p w14:paraId="25937EC7" w14:textId="29809145" w:rsidR="00285E1D" w:rsidRDefault="00285E1D" w:rsidP="00E317D0">
      <w:pPr>
        <w:jc w:val="both"/>
        <w:rPr>
          <w:rFonts w:ascii="Calibri" w:hAnsi="Calibri" w:cs="Calibri"/>
        </w:rPr>
      </w:pPr>
      <w:r w:rsidRPr="00285E1D">
        <w:rPr>
          <w:rFonts w:ascii="Calibri" w:hAnsi="Calibri" w:cs="Calibri"/>
          <w:lang w:val="en-US"/>
        </w:rPr>
        <w:t xml:space="preserve">Alok, S., </w:t>
      </w:r>
      <w:proofErr w:type="spellStart"/>
      <w:r w:rsidRPr="00285E1D">
        <w:rPr>
          <w:rFonts w:ascii="Calibri" w:hAnsi="Calibri" w:cs="Calibri"/>
          <w:lang w:val="en-US"/>
        </w:rPr>
        <w:t>Chaurey</w:t>
      </w:r>
      <w:proofErr w:type="spellEnd"/>
      <w:r w:rsidRPr="00285E1D">
        <w:rPr>
          <w:rFonts w:ascii="Calibri" w:hAnsi="Calibri" w:cs="Calibri"/>
          <w:lang w:val="en-US"/>
        </w:rPr>
        <w:t xml:space="preserve">, R., &amp; Nukala, V. (2022). Creditors’ Rights, Threat of Liquidation, and the Labor and Capital Choices of Firms. </w:t>
      </w:r>
      <w:r w:rsidRPr="00285E1D">
        <w:rPr>
          <w:rFonts w:ascii="Calibri" w:hAnsi="Calibri" w:cs="Calibri"/>
          <w:i/>
          <w:iCs/>
        </w:rPr>
        <w:t xml:space="preserve">The Journal of </w:t>
      </w:r>
      <w:proofErr w:type="spellStart"/>
      <w:r w:rsidRPr="00285E1D">
        <w:rPr>
          <w:rFonts w:ascii="Calibri" w:hAnsi="Calibri" w:cs="Calibri"/>
          <w:i/>
          <w:iCs/>
        </w:rPr>
        <w:t>Law</w:t>
      </w:r>
      <w:proofErr w:type="spellEnd"/>
      <w:r w:rsidRPr="00285E1D">
        <w:rPr>
          <w:rFonts w:ascii="Calibri" w:hAnsi="Calibri" w:cs="Calibri"/>
          <w:i/>
          <w:iCs/>
        </w:rPr>
        <w:t xml:space="preserve"> and </w:t>
      </w:r>
      <w:proofErr w:type="spellStart"/>
      <w:r w:rsidRPr="00285E1D">
        <w:rPr>
          <w:rFonts w:ascii="Calibri" w:hAnsi="Calibri" w:cs="Calibri"/>
          <w:i/>
          <w:iCs/>
        </w:rPr>
        <w:t>Economics</w:t>
      </w:r>
      <w:proofErr w:type="spellEnd"/>
      <w:r w:rsidRPr="00285E1D">
        <w:rPr>
          <w:rFonts w:ascii="Calibri" w:hAnsi="Calibri" w:cs="Calibri"/>
        </w:rPr>
        <w:t xml:space="preserve">, </w:t>
      </w:r>
      <w:r w:rsidRPr="00285E1D">
        <w:rPr>
          <w:rFonts w:ascii="Calibri" w:hAnsi="Calibri" w:cs="Calibri"/>
          <w:i/>
          <w:iCs/>
        </w:rPr>
        <w:t>65</w:t>
      </w:r>
      <w:r w:rsidRPr="00285E1D">
        <w:rPr>
          <w:rFonts w:ascii="Calibri" w:hAnsi="Calibri" w:cs="Calibri"/>
        </w:rPr>
        <w:t>(4), 687-714.</w:t>
      </w:r>
    </w:p>
    <w:p w14:paraId="42B63259" w14:textId="77777777" w:rsidR="00285E1D" w:rsidRPr="00285E1D" w:rsidRDefault="00285E1D" w:rsidP="00285E1D">
      <w:pPr>
        <w:jc w:val="both"/>
        <w:rPr>
          <w:rFonts w:ascii="Calibri" w:hAnsi="Calibri" w:cs="Calibri"/>
          <w:lang w:val="en-US"/>
        </w:rPr>
      </w:pPr>
      <w:r w:rsidRPr="00285E1D">
        <w:rPr>
          <w:rFonts w:ascii="Calibri" w:hAnsi="Calibri" w:cs="Calibri"/>
        </w:rPr>
        <w:t xml:space="preserve">Jappelli, T., Pagano, M., &amp; Bianco, M. (2005). </w:t>
      </w:r>
      <w:r w:rsidRPr="00285E1D">
        <w:rPr>
          <w:rFonts w:ascii="Calibri" w:hAnsi="Calibri" w:cs="Calibri"/>
          <w:lang w:val="en-US"/>
        </w:rPr>
        <w:t xml:space="preserve">Courts and banks: Effects of judicial enforcement on credit markets. </w:t>
      </w:r>
      <w:r w:rsidRPr="00285E1D">
        <w:rPr>
          <w:rFonts w:ascii="Calibri" w:hAnsi="Calibri" w:cs="Calibri"/>
          <w:i/>
          <w:iCs/>
          <w:lang w:val="en-US"/>
        </w:rPr>
        <w:t>Journal of Money, Credit and Banking</w:t>
      </w:r>
      <w:r w:rsidRPr="00285E1D">
        <w:rPr>
          <w:rFonts w:ascii="Calibri" w:hAnsi="Calibri" w:cs="Calibri"/>
          <w:lang w:val="en-US"/>
        </w:rPr>
        <w:t>, 223-244.</w:t>
      </w:r>
    </w:p>
    <w:p w14:paraId="0424FBAF" w14:textId="0F2E1864" w:rsidR="00285E1D" w:rsidRPr="00E317D0" w:rsidRDefault="003D43F2" w:rsidP="00E317D0">
      <w:pPr>
        <w:jc w:val="both"/>
        <w:rPr>
          <w:rFonts w:ascii="Calibri" w:hAnsi="Calibri" w:cs="Calibri"/>
          <w:lang w:val="en-US"/>
        </w:rPr>
      </w:pPr>
      <w:r w:rsidRPr="003D43F2">
        <w:rPr>
          <w:rFonts w:ascii="Calibri" w:hAnsi="Calibri" w:cs="Calibri"/>
          <w:lang w:val="en-US"/>
        </w:rPr>
        <w:t xml:space="preserve">De Vito, A., &amp; Jacob, M. (2023). The role of creditor protection in lending and tax avoidance. </w:t>
      </w:r>
      <w:r w:rsidRPr="003D43F2">
        <w:rPr>
          <w:rFonts w:ascii="Calibri" w:hAnsi="Calibri" w:cs="Calibri"/>
          <w:i/>
          <w:iCs/>
        </w:rPr>
        <w:t>Journal of Financial and Quantitative Analysis</w:t>
      </w:r>
      <w:r w:rsidRPr="003D43F2">
        <w:rPr>
          <w:rFonts w:ascii="Calibri" w:hAnsi="Calibri" w:cs="Calibri"/>
        </w:rPr>
        <w:t xml:space="preserve">, </w:t>
      </w:r>
      <w:r w:rsidRPr="003D43F2">
        <w:rPr>
          <w:rFonts w:ascii="Calibri" w:hAnsi="Calibri" w:cs="Calibri"/>
          <w:i/>
          <w:iCs/>
        </w:rPr>
        <w:t>58</w:t>
      </w:r>
      <w:r w:rsidRPr="003D43F2">
        <w:rPr>
          <w:rFonts w:ascii="Calibri" w:hAnsi="Calibri" w:cs="Calibri"/>
        </w:rPr>
        <w:t>(5), 2096-2130.</w:t>
      </w:r>
    </w:p>
    <w:sectPr w:rsidR="00285E1D" w:rsidRPr="00E317D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F2C0" w14:textId="77777777" w:rsidR="00E317D0" w:rsidRDefault="00E317D0" w:rsidP="00E317D0">
      <w:pPr>
        <w:spacing w:after="0" w:line="240" w:lineRule="auto"/>
      </w:pPr>
      <w:r>
        <w:separator/>
      </w:r>
    </w:p>
  </w:endnote>
  <w:endnote w:type="continuationSeparator" w:id="0">
    <w:p w14:paraId="79B1418E" w14:textId="77777777" w:rsidR="00E317D0" w:rsidRDefault="00E317D0" w:rsidP="00E3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211E" w14:textId="77777777" w:rsidR="00E317D0" w:rsidRDefault="00E317D0" w:rsidP="00E317D0">
      <w:pPr>
        <w:spacing w:after="0" w:line="240" w:lineRule="auto"/>
      </w:pPr>
      <w:r>
        <w:separator/>
      </w:r>
    </w:p>
  </w:footnote>
  <w:footnote w:type="continuationSeparator" w:id="0">
    <w:p w14:paraId="1E322BCC" w14:textId="77777777" w:rsidR="00E317D0" w:rsidRDefault="00E317D0" w:rsidP="00E317D0">
      <w:pPr>
        <w:spacing w:after="0" w:line="240" w:lineRule="auto"/>
      </w:pPr>
      <w:r>
        <w:continuationSeparator/>
      </w:r>
    </w:p>
  </w:footnote>
  <w:footnote w:id="1">
    <w:p w14:paraId="39501EB9" w14:textId="487E4A30" w:rsidR="00E317D0" w:rsidRPr="00603668" w:rsidRDefault="00E317D0">
      <w:pPr>
        <w:pStyle w:val="Testonotaapidipagina"/>
        <w:rPr>
          <w:rFonts w:ascii="Calibri" w:hAnsi="Calibri" w:cs="Calibri"/>
          <w:lang w:val="en-US"/>
        </w:rPr>
      </w:pPr>
      <w:r w:rsidRPr="00603668">
        <w:rPr>
          <w:rStyle w:val="Rimandonotaapidipagina"/>
          <w:rFonts w:ascii="Calibri" w:hAnsi="Calibri" w:cs="Calibri"/>
        </w:rPr>
        <w:footnoteRef/>
      </w:r>
      <w:r w:rsidRPr="00603668">
        <w:rPr>
          <w:rFonts w:ascii="Calibri" w:hAnsi="Calibri" w:cs="Calibri"/>
          <w:lang w:val="en-US"/>
        </w:rPr>
        <w:t xml:space="preserve"> </w:t>
      </w:r>
      <w:r w:rsidR="00603668" w:rsidRPr="00603668">
        <w:rPr>
          <w:rFonts w:ascii="Calibri" w:hAnsi="Calibri" w:cs="Calibri"/>
          <w:lang w:val="en-US"/>
        </w:rPr>
        <w:t>Research Institute on Sustainable Economic Growth (</w:t>
      </w:r>
      <w:proofErr w:type="spellStart"/>
      <w:r w:rsidR="00603668" w:rsidRPr="00603668">
        <w:rPr>
          <w:rFonts w:ascii="Calibri" w:hAnsi="Calibri" w:cs="Calibri"/>
          <w:lang w:val="en-US"/>
        </w:rPr>
        <w:t>IRCrES</w:t>
      </w:r>
      <w:proofErr w:type="spellEnd"/>
      <w:r w:rsidR="00603668" w:rsidRPr="00603668">
        <w:rPr>
          <w:rFonts w:ascii="Calibri" w:hAnsi="Calibri" w:cs="Calibri"/>
          <w:lang w:val="en-US"/>
        </w:rPr>
        <w:t>) National Research Council of Italy (CNR),</w:t>
      </w:r>
    </w:p>
  </w:footnote>
  <w:footnote w:id="2">
    <w:p w14:paraId="77FC66FD" w14:textId="02E5216F" w:rsidR="00E317D0" w:rsidRPr="00603668" w:rsidRDefault="00E317D0">
      <w:pPr>
        <w:pStyle w:val="Testonotaapidipagina"/>
        <w:rPr>
          <w:rFonts w:ascii="Calibri" w:hAnsi="Calibri" w:cs="Calibri"/>
          <w:lang w:val="en-US"/>
        </w:rPr>
      </w:pPr>
      <w:r w:rsidRPr="00603668">
        <w:rPr>
          <w:rStyle w:val="Rimandonotaapidipagina"/>
          <w:rFonts w:ascii="Calibri" w:hAnsi="Calibri" w:cs="Calibri"/>
        </w:rPr>
        <w:footnoteRef/>
      </w:r>
      <w:r w:rsidRPr="00603668">
        <w:rPr>
          <w:rFonts w:ascii="Calibri" w:hAnsi="Calibri" w:cs="Calibri"/>
          <w:lang w:val="en-US"/>
        </w:rPr>
        <w:t xml:space="preserve"> </w:t>
      </w:r>
      <w:r w:rsidR="00603668" w:rsidRPr="00603668">
        <w:rPr>
          <w:rFonts w:ascii="Calibri" w:hAnsi="Calibri" w:cs="Calibri"/>
          <w:lang w:val="en-US"/>
        </w:rPr>
        <w:t>Department of Law and Political, Economic and Social Sciences (DIGSPES), University of Eastern Piedmont (UPO)</w:t>
      </w:r>
    </w:p>
  </w:footnote>
  <w:footnote w:id="3">
    <w:p w14:paraId="3F3AC80C" w14:textId="77E542BD" w:rsidR="00E317D0" w:rsidRDefault="00E317D0">
      <w:pPr>
        <w:pStyle w:val="Testonotaapidipagina"/>
        <w:rPr>
          <w:rFonts w:ascii="Calibri" w:hAnsi="Calibri" w:cs="Calibri"/>
          <w:lang w:val="en-US"/>
        </w:rPr>
      </w:pPr>
      <w:r w:rsidRPr="00603668">
        <w:rPr>
          <w:rStyle w:val="Rimandonotaapidipagina"/>
          <w:rFonts w:ascii="Calibri" w:hAnsi="Calibri" w:cs="Calibri"/>
        </w:rPr>
        <w:footnoteRef/>
      </w:r>
      <w:r w:rsidRPr="00603668">
        <w:rPr>
          <w:rFonts w:ascii="Calibri" w:hAnsi="Calibri" w:cs="Calibri"/>
          <w:lang w:val="en-US"/>
        </w:rPr>
        <w:t xml:space="preserve"> </w:t>
      </w:r>
      <w:r w:rsidR="00603668" w:rsidRPr="00603668">
        <w:rPr>
          <w:rFonts w:ascii="Calibri" w:hAnsi="Calibri" w:cs="Calibri"/>
          <w:lang w:val="en-US"/>
        </w:rPr>
        <w:t>Department of Economics and Statistics “Cognetti De Martiis” University of Turin (UNITO</w:t>
      </w:r>
      <w:r w:rsidR="00603668" w:rsidRPr="00603668">
        <w:rPr>
          <w:rFonts w:ascii="Calibri" w:hAnsi="Calibri" w:cs="Calibri"/>
          <w:lang w:val="en-US"/>
        </w:rPr>
        <w:t>)</w:t>
      </w:r>
    </w:p>
    <w:p w14:paraId="023BD582" w14:textId="77777777" w:rsidR="001F560B" w:rsidRDefault="001F560B">
      <w:pPr>
        <w:pStyle w:val="Testonotaapidipagina"/>
        <w:rPr>
          <w:rFonts w:ascii="Calibri" w:hAnsi="Calibri" w:cs="Calibri"/>
          <w:lang w:val="en-US"/>
        </w:rPr>
      </w:pPr>
    </w:p>
    <w:p w14:paraId="15DEF2F2" w14:textId="0A98BD3F" w:rsidR="001F560B" w:rsidRPr="00603668" w:rsidRDefault="001F560B">
      <w:pPr>
        <w:pStyle w:val="Testonotaapidipagina"/>
        <w:rPr>
          <w:lang w:val="en-US"/>
        </w:rPr>
      </w:pPr>
      <w:r>
        <w:rPr>
          <w:rFonts w:ascii="Calibri" w:hAnsi="Calibri" w:cs="Calibri"/>
          <w:lang w:val="en-US"/>
        </w:rPr>
        <w:t xml:space="preserve">* Corresponding author. Mail: </w:t>
      </w:r>
      <w:hyperlink r:id="rId1" w:history="1">
        <w:r w:rsidRPr="007D005C">
          <w:rPr>
            <w:rStyle w:val="Collegamentoipertestuale"/>
            <w:rFonts w:ascii="Calibri" w:hAnsi="Calibri" w:cs="Calibri"/>
            <w:lang w:val="en-US"/>
          </w:rPr>
          <w:t>roberto.ippoliti@uniupo.it</w:t>
        </w:r>
      </w:hyperlink>
      <w:r>
        <w:rPr>
          <w:rFonts w:ascii="Calibri" w:hAnsi="Calibri" w:cs="Calibri"/>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F5"/>
    <w:rsid w:val="000F0577"/>
    <w:rsid w:val="001F560B"/>
    <w:rsid w:val="00285E1D"/>
    <w:rsid w:val="003D43F2"/>
    <w:rsid w:val="004331F5"/>
    <w:rsid w:val="004B4FBD"/>
    <w:rsid w:val="00603668"/>
    <w:rsid w:val="00C9456B"/>
    <w:rsid w:val="00E317D0"/>
    <w:rsid w:val="00FD0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5A63"/>
  <w15:chartTrackingRefBased/>
  <w15:docId w15:val="{61B45BAC-BC9D-456E-9704-6F1A1801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33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33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331F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331F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331F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331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31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31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31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31F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331F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331F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331F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331F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331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31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31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31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3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31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31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31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31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31F5"/>
    <w:rPr>
      <w:i/>
      <w:iCs/>
      <w:color w:val="404040" w:themeColor="text1" w:themeTint="BF"/>
    </w:rPr>
  </w:style>
  <w:style w:type="paragraph" w:styleId="Paragrafoelenco">
    <w:name w:val="List Paragraph"/>
    <w:basedOn w:val="Normale"/>
    <w:uiPriority w:val="34"/>
    <w:qFormat/>
    <w:rsid w:val="004331F5"/>
    <w:pPr>
      <w:ind w:left="720"/>
      <w:contextualSpacing/>
    </w:pPr>
  </w:style>
  <w:style w:type="character" w:styleId="Enfasiintensa">
    <w:name w:val="Intense Emphasis"/>
    <w:basedOn w:val="Carpredefinitoparagrafo"/>
    <w:uiPriority w:val="21"/>
    <w:qFormat/>
    <w:rsid w:val="004331F5"/>
    <w:rPr>
      <w:i/>
      <w:iCs/>
      <w:color w:val="0F4761" w:themeColor="accent1" w:themeShade="BF"/>
    </w:rPr>
  </w:style>
  <w:style w:type="paragraph" w:styleId="Citazioneintensa">
    <w:name w:val="Intense Quote"/>
    <w:basedOn w:val="Normale"/>
    <w:next w:val="Normale"/>
    <w:link w:val="CitazioneintensaCarattere"/>
    <w:uiPriority w:val="30"/>
    <w:qFormat/>
    <w:rsid w:val="00433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331F5"/>
    <w:rPr>
      <w:i/>
      <w:iCs/>
      <w:color w:val="0F4761" w:themeColor="accent1" w:themeShade="BF"/>
    </w:rPr>
  </w:style>
  <w:style w:type="character" w:styleId="Riferimentointenso">
    <w:name w:val="Intense Reference"/>
    <w:basedOn w:val="Carpredefinitoparagrafo"/>
    <w:uiPriority w:val="32"/>
    <w:qFormat/>
    <w:rsid w:val="004331F5"/>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E317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17D0"/>
    <w:rPr>
      <w:sz w:val="20"/>
      <w:szCs w:val="20"/>
    </w:rPr>
  </w:style>
  <w:style w:type="character" w:styleId="Rimandonotaapidipagina">
    <w:name w:val="footnote reference"/>
    <w:basedOn w:val="Carpredefinitoparagrafo"/>
    <w:uiPriority w:val="99"/>
    <w:semiHidden/>
    <w:unhideWhenUsed/>
    <w:rsid w:val="00E317D0"/>
    <w:rPr>
      <w:vertAlign w:val="superscript"/>
    </w:rPr>
  </w:style>
  <w:style w:type="table" w:styleId="Grigliatabella">
    <w:name w:val="Table Grid"/>
    <w:basedOn w:val="Tabellanormale"/>
    <w:uiPriority w:val="39"/>
    <w:rsid w:val="00E317D0"/>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F560B"/>
    <w:rPr>
      <w:color w:val="467886" w:themeColor="hyperlink"/>
      <w:u w:val="single"/>
    </w:rPr>
  </w:style>
  <w:style w:type="character" w:styleId="Menzionenonrisolta">
    <w:name w:val="Unresolved Mention"/>
    <w:basedOn w:val="Carpredefinitoparagrafo"/>
    <w:uiPriority w:val="99"/>
    <w:semiHidden/>
    <w:unhideWhenUsed/>
    <w:rsid w:val="001F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oberto.ippoliti@uniu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B5E5-CC42-4FB0-BA2E-C08B4E56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Ippoliti</dc:creator>
  <cp:keywords/>
  <dc:description/>
  <cp:lastModifiedBy>Roberto Ippoliti</cp:lastModifiedBy>
  <cp:revision>4</cp:revision>
  <dcterms:created xsi:type="dcterms:W3CDTF">2025-09-09T07:16:00Z</dcterms:created>
  <dcterms:modified xsi:type="dcterms:W3CDTF">2025-09-09T08:56:00Z</dcterms:modified>
</cp:coreProperties>
</file>