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9D8E" w14:textId="5EE0973F" w:rsidR="00117C8D" w:rsidRDefault="00117C8D" w:rsidP="00117C8D">
      <w:pPr>
        <w:spacing w:line="276" w:lineRule="auto"/>
        <w:ind w:firstLine="567"/>
        <w:jc w:val="center"/>
        <w:rPr>
          <w:rFonts w:ascii="Times" w:hAnsi="Times"/>
          <w:sz w:val="32"/>
          <w:szCs w:val="32"/>
          <w:lang w:val="en-US"/>
        </w:rPr>
      </w:pPr>
      <w:r w:rsidRPr="00117C8D">
        <w:rPr>
          <w:rFonts w:ascii="Times" w:hAnsi="Times"/>
          <w:sz w:val="32"/>
          <w:szCs w:val="32"/>
          <w:lang w:val="en-US"/>
        </w:rPr>
        <w:t>Tax Evasion, Quality of Public Expenditure and Deterrence: A Theoretical Model.</w:t>
      </w:r>
    </w:p>
    <w:p w14:paraId="69173ADA" w14:textId="3B39BDC6" w:rsidR="00117C8D" w:rsidRPr="00117C8D" w:rsidRDefault="00117C8D" w:rsidP="00117C8D">
      <w:pPr>
        <w:spacing w:line="276" w:lineRule="auto"/>
        <w:ind w:firstLine="567"/>
        <w:jc w:val="center"/>
        <w:rPr>
          <w:rFonts w:ascii="Times" w:hAnsi="Times"/>
          <w:sz w:val="20"/>
          <w:szCs w:val="20"/>
          <w:lang w:val="en-US"/>
        </w:rPr>
      </w:pPr>
    </w:p>
    <w:p w14:paraId="31322315" w14:textId="0AE0772A" w:rsidR="00117C8D" w:rsidRPr="00117C8D" w:rsidRDefault="00117C8D" w:rsidP="00117C8D">
      <w:pPr>
        <w:spacing w:line="276" w:lineRule="auto"/>
        <w:ind w:firstLine="567"/>
        <w:jc w:val="center"/>
        <w:rPr>
          <w:rFonts w:ascii="Times" w:hAnsi="Times"/>
          <w:sz w:val="20"/>
          <w:szCs w:val="20"/>
        </w:rPr>
      </w:pPr>
      <w:r w:rsidRPr="00117C8D">
        <w:rPr>
          <w:rFonts w:ascii="Times" w:hAnsi="Times"/>
          <w:sz w:val="20"/>
          <w:szCs w:val="20"/>
        </w:rPr>
        <w:t>Elena D’Agostino</w:t>
      </w:r>
      <w:r>
        <w:rPr>
          <w:rStyle w:val="Rimandonotaapidipagina"/>
          <w:rFonts w:ascii="Times" w:hAnsi="Times"/>
          <w:sz w:val="20"/>
          <w:szCs w:val="20"/>
        </w:rPr>
        <w:footnoteReference w:id="1"/>
      </w:r>
      <w:r w:rsidRPr="00117C8D">
        <w:rPr>
          <w:rFonts w:ascii="Times" w:hAnsi="Times"/>
          <w:sz w:val="20"/>
          <w:szCs w:val="20"/>
        </w:rPr>
        <w:t>, Marco Alberto De Benedetto</w:t>
      </w:r>
      <w:r>
        <w:rPr>
          <w:rStyle w:val="Rimandonotaapidipagina"/>
          <w:rFonts w:ascii="Times" w:hAnsi="Times"/>
          <w:sz w:val="20"/>
          <w:szCs w:val="20"/>
        </w:rPr>
        <w:footnoteReference w:id="2"/>
      </w:r>
      <w:r w:rsidRPr="00117C8D">
        <w:rPr>
          <w:rFonts w:ascii="Times" w:hAnsi="Times"/>
          <w:sz w:val="20"/>
          <w:szCs w:val="20"/>
        </w:rPr>
        <w:t xml:space="preserve"> and Giuseppe </w:t>
      </w:r>
      <w:proofErr w:type="spellStart"/>
      <w:r w:rsidRPr="00117C8D">
        <w:rPr>
          <w:rFonts w:ascii="Times" w:hAnsi="Times"/>
          <w:sz w:val="20"/>
          <w:szCs w:val="20"/>
        </w:rPr>
        <w:t>Sobbrio</w:t>
      </w:r>
      <w:proofErr w:type="spellEnd"/>
      <w:r>
        <w:rPr>
          <w:rStyle w:val="Rimandonotaapidipagina"/>
          <w:rFonts w:ascii="Times" w:hAnsi="Times"/>
          <w:sz w:val="20"/>
          <w:szCs w:val="20"/>
        </w:rPr>
        <w:footnoteReference w:id="3"/>
      </w:r>
    </w:p>
    <w:p w14:paraId="16812C2D" w14:textId="77777777" w:rsidR="00117C8D" w:rsidRPr="00117C8D" w:rsidRDefault="00117C8D" w:rsidP="00117C8D">
      <w:pPr>
        <w:spacing w:line="276" w:lineRule="auto"/>
        <w:ind w:firstLine="567"/>
        <w:jc w:val="center"/>
        <w:rPr>
          <w:rFonts w:ascii="Times" w:hAnsi="Times"/>
        </w:rPr>
      </w:pPr>
    </w:p>
    <w:p w14:paraId="2FDEB55A" w14:textId="77777777" w:rsidR="00117C8D" w:rsidRPr="00117C8D" w:rsidRDefault="00117C8D" w:rsidP="00117C8D">
      <w:pPr>
        <w:spacing w:line="276" w:lineRule="auto"/>
        <w:ind w:firstLine="567"/>
        <w:jc w:val="center"/>
        <w:rPr>
          <w:rFonts w:ascii="Times" w:hAnsi="Times"/>
        </w:rPr>
      </w:pPr>
    </w:p>
    <w:p w14:paraId="491CCA08" w14:textId="748866DA" w:rsidR="00117C8D" w:rsidRPr="00117C8D" w:rsidRDefault="00117C8D" w:rsidP="00117C8D">
      <w:pPr>
        <w:spacing w:line="276" w:lineRule="auto"/>
        <w:ind w:firstLine="567"/>
        <w:jc w:val="center"/>
        <w:rPr>
          <w:rFonts w:ascii="Times" w:hAnsi="Times"/>
        </w:rPr>
      </w:pPr>
      <w:r w:rsidRPr="00117C8D">
        <w:rPr>
          <w:rFonts w:ascii="Times" w:hAnsi="Times"/>
        </w:rPr>
        <w:t>Abstract</w:t>
      </w:r>
    </w:p>
    <w:p w14:paraId="619AC025" w14:textId="77777777" w:rsidR="00117C8D" w:rsidRPr="00117C8D" w:rsidRDefault="00117C8D" w:rsidP="00117C8D">
      <w:pPr>
        <w:spacing w:line="276" w:lineRule="auto"/>
        <w:ind w:firstLine="567"/>
        <w:jc w:val="both"/>
        <w:rPr>
          <w:rFonts w:ascii="Times" w:hAnsi="Times"/>
        </w:rPr>
      </w:pPr>
    </w:p>
    <w:p w14:paraId="46EA6E15" w14:textId="707F6035" w:rsidR="00117C8D" w:rsidRPr="00117C8D" w:rsidRDefault="00117C8D" w:rsidP="00117C8D">
      <w:pPr>
        <w:spacing w:line="276" w:lineRule="auto"/>
        <w:ind w:firstLine="567"/>
        <w:jc w:val="both"/>
        <w:rPr>
          <w:rFonts w:ascii="Times" w:hAnsi="Times"/>
          <w:lang w:val="en-US"/>
        </w:rPr>
      </w:pPr>
      <w:r w:rsidRPr="00117C8D">
        <w:rPr>
          <w:rFonts w:ascii="Times" w:hAnsi="Times"/>
          <w:lang w:val="en-US"/>
        </w:rPr>
        <w:t xml:space="preserve">Every government </w:t>
      </w:r>
      <w:proofErr w:type="gramStart"/>
      <w:r w:rsidRPr="00117C8D">
        <w:rPr>
          <w:rFonts w:ascii="Times" w:hAnsi="Times"/>
          <w:lang w:val="en-US"/>
        </w:rPr>
        <w:t>cares</w:t>
      </w:r>
      <w:proofErr w:type="gramEnd"/>
      <w:r w:rsidRPr="00117C8D">
        <w:rPr>
          <w:rFonts w:ascii="Times" w:hAnsi="Times"/>
          <w:lang w:val="en-US"/>
        </w:rPr>
        <w:t xml:space="preserve"> of citizens’ satisfaction and should aim to make them as happy as possible. What people like more is paying low taxes and consuming as many public goods as possible. Once a government is elected, however, it deals with serious constraints that usually make it impossible to realize these dreams. The main constraint is the public budget, often affected by debts and restrictions, among which tax evasion is the most hotly debated. Fighting tax evasion is an electoral slogan beyond political faiths because a </w:t>
      </w:r>
      <w:proofErr w:type="gramStart"/>
      <w:r w:rsidRPr="00117C8D">
        <w:rPr>
          <w:rFonts w:ascii="Times" w:hAnsi="Times"/>
          <w:lang w:val="en-US"/>
        </w:rPr>
        <w:t>Government</w:t>
      </w:r>
      <w:proofErr w:type="gramEnd"/>
      <w:r w:rsidRPr="00117C8D">
        <w:rPr>
          <w:rFonts w:ascii="Times" w:hAnsi="Times"/>
          <w:lang w:val="en-US"/>
        </w:rPr>
        <w:t xml:space="preserve"> able to reduce tax evasion has more chances to be re-elected.</w:t>
      </w:r>
    </w:p>
    <w:p w14:paraId="2A8DFDDD" w14:textId="77777777" w:rsidR="00117C8D" w:rsidRPr="00117C8D" w:rsidRDefault="00117C8D" w:rsidP="00117C8D">
      <w:pPr>
        <w:spacing w:line="276" w:lineRule="auto"/>
        <w:ind w:firstLine="567"/>
        <w:jc w:val="both"/>
        <w:rPr>
          <w:rFonts w:ascii="Times" w:hAnsi="Times"/>
          <w:lang w:val="en-US"/>
        </w:rPr>
      </w:pPr>
      <w:r w:rsidRPr="00117C8D">
        <w:rPr>
          <w:rFonts w:ascii="Times" w:hAnsi="Times"/>
          <w:lang w:val="en-US"/>
        </w:rPr>
        <w:t xml:space="preserve">In the seminal work by </w:t>
      </w:r>
      <w:proofErr w:type="spellStart"/>
      <w:r w:rsidRPr="00117C8D">
        <w:rPr>
          <w:rFonts w:ascii="Times" w:hAnsi="Times"/>
          <w:lang w:val="en-US"/>
        </w:rPr>
        <w:t>Alligham</w:t>
      </w:r>
      <w:proofErr w:type="spellEnd"/>
      <w:r w:rsidRPr="00117C8D">
        <w:rPr>
          <w:rFonts w:ascii="Times" w:hAnsi="Times"/>
          <w:lang w:val="en-US"/>
        </w:rPr>
        <w:t xml:space="preserve"> and </w:t>
      </w:r>
      <w:proofErr w:type="spellStart"/>
      <w:r w:rsidRPr="00117C8D">
        <w:rPr>
          <w:rFonts w:ascii="Times" w:hAnsi="Times"/>
          <w:lang w:val="en-US"/>
        </w:rPr>
        <w:t>Sandmo</w:t>
      </w:r>
      <w:proofErr w:type="spellEnd"/>
      <w:r w:rsidRPr="00117C8D">
        <w:rPr>
          <w:rFonts w:ascii="Times" w:hAnsi="Times"/>
          <w:lang w:val="en-US"/>
        </w:rPr>
        <w:t xml:space="preserve"> (1972) the individual decision to evade taxes is modeled as a gamble, and tax evasion is found to be negatively correlated to penalty and the probability of detection. However, the main frontier today is rather to consider tax evasion as the final decision of a much more complex </w:t>
      </w:r>
      <w:proofErr w:type="spellStart"/>
      <w:r w:rsidRPr="00117C8D">
        <w:rPr>
          <w:rFonts w:ascii="Times" w:hAnsi="Times"/>
          <w:lang w:val="en-US"/>
        </w:rPr>
        <w:t>iter</w:t>
      </w:r>
      <w:proofErr w:type="spellEnd"/>
      <w:r w:rsidRPr="00117C8D">
        <w:rPr>
          <w:rFonts w:ascii="Times" w:hAnsi="Times"/>
          <w:lang w:val="en-US"/>
        </w:rPr>
        <w:t xml:space="preserve"> involving both intrinsic individual motivations and purely economic incentives (see </w:t>
      </w:r>
      <w:proofErr w:type="spellStart"/>
      <w:r w:rsidRPr="00117C8D">
        <w:rPr>
          <w:rFonts w:ascii="Times" w:hAnsi="Times"/>
          <w:lang w:val="en-US"/>
        </w:rPr>
        <w:t>Slemrod</w:t>
      </w:r>
      <w:proofErr w:type="spellEnd"/>
      <w:r w:rsidRPr="00117C8D">
        <w:rPr>
          <w:rFonts w:ascii="Times" w:hAnsi="Times"/>
          <w:lang w:val="en-US"/>
        </w:rPr>
        <w:t>, 2007).</w:t>
      </w:r>
    </w:p>
    <w:p w14:paraId="2450BFC8" w14:textId="77777777" w:rsidR="00117C8D" w:rsidRPr="00117C8D" w:rsidRDefault="00117C8D" w:rsidP="00117C8D">
      <w:pPr>
        <w:spacing w:line="276" w:lineRule="auto"/>
        <w:ind w:firstLine="567"/>
        <w:jc w:val="both"/>
        <w:rPr>
          <w:rFonts w:ascii="Times" w:hAnsi="Times"/>
          <w:lang w:val="en-US"/>
        </w:rPr>
      </w:pPr>
      <w:r w:rsidRPr="00117C8D">
        <w:rPr>
          <w:rFonts w:ascii="Times" w:hAnsi="Times"/>
          <w:lang w:val="en-US"/>
        </w:rPr>
        <w:t xml:space="preserve">Among external incentives, the empirical literature on the effects of enforcement on taxpayers’ </w:t>
      </w:r>
      <w:proofErr w:type="spellStart"/>
      <w:r w:rsidRPr="00117C8D">
        <w:rPr>
          <w:rFonts w:ascii="Times" w:hAnsi="Times"/>
          <w:lang w:val="en-US"/>
        </w:rPr>
        <w:t>behaviour</w:t>
      </w:r>
      <w:proofErr w:type="spellEnd"/>
      <w:r w:rsidRPr="00117C8D">
        <w:rPr>
          <w:rFonts w:ascii="Times" w:hAnsi="Times"/>
          <w:lang w:val="en-US"/>
        </w:rPr>
        <w:t xml:space="preserve"> has come up with conflicting results. DeBacker et al. (2015) show that tax audits reduce tax compliance immediately after audit. Conversely, Beer et al. (2019) </w:t>
      </w:r>
      <w:proofErr w:type="gramStart"/>
      <w:r w:rsidRPr="00117C8D">
        <w:rPr>
          <w:rFonts w:ascii="Times" w:hAnsi="Times"/>
          <w:lang w:val="en-US"/>
        </w:rPr>
        <w:t>find</w:t>
      </w:r>
      <w:proofErr w:type="gramEnd"/>
      <w:r w:rsidRPr="00117C8D">
        <w:rPr>
          <w:rFonts w:ascii="Times" w:hAnsi="Times"/>
          <w:lang w:val="en-US"/>
        </w:rPr>
        <w:t xml:space="preserve"> that taxpayers receiving an additional tax assessment report higher taxable income in the first year after audit.</w:t>
      </w:r>
    </w:p>
    <w:p w14:paraId="48DA33D9" w14:textId="77777777" w:rsidR="00117C8D" w:rsidRPr="00117C8D" w:rsidRDefault="00117C8D" w:rsidP="00117C8D">
      <w:pPr>
        <w:spacing w:line="276" w:lineRule="auto"/>
        <w:ind w:firstLine="567"/>
        <w:jc w:val="both"/>
        <w:rPr>
          <w:rFonts w:ascii="Times" w:hAnsi="Times"/>
          <w:lang w:val="en-US"/>
        </w:rPr>
      </w:pPr>
      <w:r w:rsidRPr="00117C8D">
        <w:rPr>
          <w:rFonts w:ascii="Times" w:hAnsi="Times"/>
          <w:lang w:val="en-US"/>
        </w:rPr>
        <w:t>An alternative approach has focused on tax morale to be intended as an application of the so-called "exchange equity” theory: accordingly, tax- payers comply if they feel that the utility gained from the consumption of public goods matches the amount of taxes paid to finance them; if not, they try to restore equity through tax evasion. Exchange equity finds support on both theoretical (</w:t>
      </w:r>
      <w:proofErr w:type="spellStart"/>
      <w:r w:rsidRPr="00117C8D">
        <w:rPr>
          <w:rFonts w:ascii="Times" w:hAnsi="Times"/>
          <w:lang w:val="en-US"/>
        </w:rPr>
        <w:t>Bordignon</w:t>
      </w:r>
      <w:proofErr w:type="spellEnd"/>
      <w:r w:rsidRPr="00117C8D">
        <w:rPr>
          <w:rFonts w:ascii="Times" w:hAnsi="Times"/>
          <w:lang w:val="en-US"/>
        </w:rPr>
        <w:t>, 1993) and experimental grounds (</w:t>
      </w:r>
      <w:proofErr w:type="spellStart"/>
      <w:r w:rsidRPr="00117C8D">
        <w:rPr>
          <w:rFonts w:ascii="Times" w:hAnsi="Times"/>
          <w:lang w:val="en-US"/>
        </w:rPr>
        <w:t>Alm</w:t>
      </w:r>
      <w:proofErr w:type="spellEnd"/>
      <w:r w:rsidRPr="00117C8D">
        <w:rPr>
          <w:rFonts w:ascii="Times" w:hAnsi="Times"/>
          <w:lang w:val="en-US"/>
        </w:rPr>
        <w:t xml:space="preserve"> and Mal ́</w:t>
      </w:r>
      <w:proofErr w:type="spellStart"/>
      <w:r w:rsidRPr="00117C8D">
        <w:rPr>
          <w:rFonts w:ascii="Times" w:hAnsi="Times"/>
          <w:lang w:val="en-US"/>
        </w:rPr>
        <w:t>ezieux</w:t>
      </w:r>
      <w:proofErr w:type="spellEnd"/>
      <w:r w:rsidRPr="00117C8D">
        <w:rPr>
          <w:rFonts w:ascii="Times" w:hAnsi="Times"/>
          <w:lang w:val="en-US"/>
        </w:rPr>
        <w:t xml:space="preserve">, 2021; </w:t>
      </w:r>
      <w:proofErr w:type="spellStart"/>
      <w:r w:rsidRPr="00117C8D">
        <w:rPr>
          <w:rFonts w:ascii="Times" w:hAnsi="Times"/>
          <w:lang w:val="en-US"/>
        </w:rPr>
        <w:t>Torgler</w:t>
      </w:r>
      <w:proofErr w:type="spellEnd"/>
      <w:r w:rsidRPr="00117C8D">
        <w:rPr>
          <w:rFonts w:ascii="Times" w:hAnsi="Times"/>
          <w:lang w:val="en-US"/>
        </w:rPr>
        <w:t>, 2002).</w:t>
      </w:r>
    </w:p>
    <w:p w14:paraId="7603DDA7" w14:textId="77777777" w:rsidR="00117C8D" w:rsidRPr="00117C8D" w:rsidRDefault="00117C8D" w:rsidP="00117C8D">
      <w:pPr>
        <w:spacing w:line="276" w:lineRule="auto"/>
        <w:ind w:firstLine="567"/>
        <w:jc w:val="both"/>
        <w:rPr>
          <w:rFonts w:ascii="Times" w:hAnsi="Times"/>
          <w:lang w:val="en-US"/>
        </w:rPr>
      </w:pPr>
      <w:r w:rsidRPr="00117C8D">
        <w:rPr>
          <w:rFonts w:ascii="Times" w:hAnsi="Times"/>
          <w:lang w:val="en-US"/>
        </w:rPr>
        <w:t xml:space="preserve">We put these two lines together and investigate how the effectiveness of tax enforcement affects the relationship between tax compliance and the quality of public expenditure. Assuming that tax evasion is negatively </w:t>
      </w:r>
      <w:proofErr w:type="spellStart"/>
      <w:r w:rsidRPr="00117C8D">
        <w:rPr>
          <w:rFonts w:ascii="Times" w:hAnsi="Times"/>
          <w:lang w:val="en-US"/>
        </w:rPr>
        <w:t>corre</w:t>
      </w:r>
      <w:proofErr w:type="spellEnd"/>
      <w:r w:rsidRPr="00117C8D">
        <w:rPr>
          <w:rFonts w:ascii="Times" w:hAnsi="Times"/>
          <w:lang w:val="en-US"/>
        </w:rPr>
        <w:t xml:space="preserve">- </w:t>
      </w:r>
      <w:proofErr w:type="spellStart"/>
      <w:r w:rsidRPr="00117C8D">
        <w:rPr>
          <w:rFonts w:ascii="Times" w:hAnsi="Times"/>
          <w:lang w:val="en-US"/>
        </w:rPr>
        <w:t>lated</w:t>
      </w:r>
      <w:proofErr w:type="spellEnd"/>
      <w:r w:rsidRPr="00117C8D">
        <w:rPr>
          <w:rFonts w:ascii="Times" w:hAnsi="Times"/>
          <w:lang w:val="en-US"/>
        </w:rPr>
        <w:t xml:space="preserve"> to citizens’ satisfaction on Government’s action, we use a simple model in which a revenue-maximizing Government sets the tax rate and choose to finance a public project among two, where one project Pareto dominates the other. Accordingly, we say that the Pareto-dominating (resp. Pareto- dominated) project is of high (resp. low) quality. A single taxpayer always evades with positive probability and otherwise decides whether to pay/evade taxes after observing the tax rate, but not the quality of expenditure (unless he pays a monitoring cost). High-quality expenditure is more expensive than low-quality spending, but worth the cost from a taxpayer’s perspective.</w:t>
      </w:r>
    </w:p>
    <w:p w14:paraId="0D5B36FF" w14:textId="77777777" w:rsidR="00117C8D" w:rsidRPr="00117C8D" w:rsidRDefault="00117C8D" w:rsidP="00117C8D">
      <w:pPr>
        <w:spacing w:line="276" w:lineRule="auto"/>
        <w:ind w:firstLine="567"/>
        <w:jc w:val="both"/>
        <w:rPr>
          <w:rFonts w:ascii="Times" w:hAnsi="Times"/>
          <w:lang w:val="en-US"/>
        </w:rPr>
      </w:pPr>
      <w:r w:rsidRPr="00117C8D">
        <w:rPr>
          <w:rFonts w:ascii="Times" w:hAnsi="Times"/>
          <w:lang w:val="en-US"/>
        </w:rPr>
        <w:t xml:space="preserve">Assuming that the provision of high-quality expenditure is socially efficient, we find that the tax rate is set low enough to push the taxpayer to pay if the enforcement is very effective; otherwise, </w:t>
      </w:r>
      <w:r w:rsidRPr="00117C8D">
        <w:rPr>
          <w:rFonts w:ascii="Times" w:hAnsi="Times"/>
          <w:lang w:val="en-US"/>
        </w:rPr>
        <w:lastRenderedPageBreak/>
        <w:t xml:space="preserve">the taxpayer </w:t>
      </w:r>
      <w:proofErr w:type="gramStart"/>
      <w:r w:rsidRPr="00117C8D">
        <w:rPr>
          <w:rFonts w:ascii="Times" w:hAnsi="Times"/>
          <w:lang w:val="en-US"/>
        </w:rPr>
        <w:t>evades</w:t>
      </w:r>
      <w:proofErr w:type="gramEnd"/>
      <w:r w:rsidRPr="00117C8D">
        <w:rPr>
          <w:rFonts w:ascii="Times" w:hAnsi="Times"/>
          <w:lang w:val="en-US"/>
        </w:rPr>
        <w:t xml:space="preserve"> and the government has interest to set the highest possible tax rate. In both scenarios, the taxpayer never </w:t>
      </w:r>
      <w:proofErr w:type="gramStart"/>
      <w:r w:rsidRPr="00117C8D">
        <w:rPr>
          <w:rFonts w:ascii="Times" w:hAnsi="Times"/>
          <w:lang w:val="en-US"/>
        </w:rPr>
        <w:t>monitors</w:t>
      </w:r>
      <w:proofErr w:type="gramEnd"/>
      <w:r w:rsidRPr="00117C8D">
        <w:rPr>
          <w:rFonts w:ascii="Times" w:hAnsi="Times"/>
          <w:lang w:val="en-US"/>
        </w:rPr>
        <w:t xml:space="preserve"> and the quality of expenditure is set low. Surprisingly, the probability of detection does not affect the existence of equilibria where the government mixes between high- or low-quality expenditure, which only depends on the monitoring cost; nevertheless, the probability of detection shows an unexpected negative effect on the probability that quality is set high in these equilibria and, in turn, on social welfare.</w:t>
      </w:r>
    </w:p>
    <w:p w14:paraId="7F599AB1" w14:textId="77777777" w:rsidR="00117C8D" w:rsidRPr="00117C8D" w:rsidRDefault="00117C8D" w:rsidP="00117C8D">
      <w:pPr>
        <w:spacing w:line="276" w:lineRule="auto"/>
        <w:ind w:firstLine="567"/>
        <w:jc w:val="both"/>
        <w:rPr>
          <w:rFonts w:ascii="Times" w:hAnsi="Times"/>
          <w:lang w:val="en-US"/>
        </w:rPr>
      </w:pPr>
    </w:p>
    <w:p w14:paraId="2B907223" w14:textId="77777777" w:rsidR="00117C8D" w:rsidRPr="00117C8D" w:rsidRDefault="00117C8D" w:rsidP="00117C8D">
      <w:pPr>
        <w:spacing w:line="276" w:lineRule="auto"/>
        <w:ind w:firstLine="567"/>
        <w:jc w:val="both"/>
        <w:rPr>
          <w:rFonts w:ascii="Times" w:hAnsi="Times"/>
          <w:b/>
          <w:bCs/>
          <w:lang w:val="en-US"/>
        </w:rPr>
      </w:pPr>
      <w:r w:rsidRPr="00117C8D">
        <w:rPr>
          <w:rFonts w:ascii="Times" w:hAnsi="Times"/>
          <w:b/>
          <w:bCs/>
          <w:lang w:val="en-US"/>
        </w:rPr>
        <w:t>References</w:t>
      </w:r>
    </w:p>
    <w:p w14:paraId="62DC5618" w14:textId="77777777" w:rsidR="00117C8D" w:rsidRDefault="00117C8D" w:rsidP="00117C8D">
      <w:pPr>
        <w:spacing w:line="276" w:lineRule="auto"/>
        <w:ind w:firstLine="567"/>
        <w:jc w:val="both"/>
        <w:rPr>
          <w:rFonts w:ascii="Times" w:hAnsi="Times"/>
          <w:lang w:val="en-US"/>
        </w:rPr>
      </w:pPr>
    </w:p>
    <w:p w14:paraId="5F7769AD" w14:textId="0D6E7DCA" w:rsidR="00117C8D" w:rsidRPr="00117C8D" w:rsidRDefault="00117C8D" w:rsidP="00117C8D">
      <w:pPr>
        <w:spacing w:line="276" w:lineRule="auto"/>
        <w:jc w:val="both"/>
        <w:rPr>
          <w:rFonts w:ascii="Times" w:hAnsi="Times"/>
          <w:lang w:val="en-US"/>
        </w:rPr>
      </w:pPr>
      <w:proofErr w:type="spellStart"/>
      <w:r w:rsidRPr="00117C8D">
        <w:rPr>
          <w:rFonts w:ascii="Times" w:hAnsi="Times"/>
          <w:lang w:val="en-US"/>
        </w:rPr>
        <w:t>Alligham</w:t>
      </w:r>
      <w:proofErr w:type="spellEnd"/>
      <w:r w:rsidRPr="00117C8D">
        <w:rPr>
          <w:rFonts w:ascii="Times" w:hAnsi="Times"/>
          <w:lang w:val="en-US"/>
        </w:rPr>
        <w:t xml:space="preserve">, M.G, and </w:t>
      </w:r>
      <w:proofErr w:type="spellStart"/>
      <w:r w:rsidRPr="00117C8D">
        <w:rPr>
          <w:rFonts w:ascii="Times" w:hAnsi="Times"/>
          <w:lang w:val="en-US"/>
        </w:rPr>
        <w:t>Sandmo</w:t>
      </w:r>
      <w:proofErr w:type="spellEnd"/>
      <w:r w:rsidRPr="00117C8D">
        <w:rPr>
          <w:rFonts w:ascii="Times" w:hAnsi="Times"/>
          <w:lang w:val="en-US"/>
        </w:rPr>
        <w:t>, A. (1972) Income tax evasion: A theoretical analysis, Journal of Public Economics, 1, 323-338.</w:t>
      </w:r>
    </w:p>
    <w:p w14:paraId="031DFE33" w14:textId="77777777" w:rsidR="00117C8D" w:rsidRPr="00117C8D" w:rsidRDefault="00117C8D" w:rsidP="00117C8D">
      <w:pPr>
        <w:spacing w:line="276" w:lineRule="auto"/>
        <w:jc w:val="both"/>
        <w:rPr>
          <w:rFonts w:ascii="Times" w:hAnsi="Times"/>
          <w:lang w:val="en-US"/>
        </w:rPr>
      </w:pPr>
      <w:proofErr w:type="spellStart"/>
      <w:r w:rsidRPr="00117C8D">
        <w:rPr>
          <w:rFonts w:ascii="Times" w:hAnsi="Times"/>
          <w:lang w:val="en-US"/>
        </w:rPr>
        <w:t>Alm</w:t>
      </w:r>
      <w:proofErr w:type="spellEnd"/>
      <w:r w:rsidRPr="00117C8D">
        <w:rPr>
          <w:rFonts w:ascii="Times" w:hAnsi="Times"/>
          <w:lang w:val="en-US"/>
        </w:rPr>
        <w:t>, J. and Mal ́</w:t>
      </w:r>
      <w:proofErr w:type="spellStart"/>
      <w:r w:rsidRPr="00117C8D">
        <w:rPr>
          <w:rFonts w:ascii="Times" w:hAnsi="Times"/>
          <w:lang w:val="en-US"/>
        </w:rPr>
        <w:t>ezieux</w:t>
      </w:r>
      <w:proofErr w:type="spellEnd"/>
      <w:r w:rsidRPr="00117C8D">
        <w:rPr>
          <w:rFonts w:ascii="Times" w:hAnsi="Times"/>
          <w:lang w:val="en-US"/>
        </w:rPr>
        <w:t>, A. (2021) 40 years of tax evasion games: A meta- analysis. Experimental Economics, 24, 699-750.</w:t>
      </w:r>
    </w:p>
    <w:p w14:paraId="30AD90AB" w14:textId="77777777" w:rsidR="00117C8D" w:rsidRPr="00117C8D" w:rsidRDefault="00117C8D" w:rsidP="00117C8D">
      <w:pPr>
        <w:spacing w:line="276" w:lineRule="auto"/>
        <w:jc w:val="both"/>
        <w:rPr>
          <w:rFonts w:ascii="Times" w:hAnsi="Times"/>
          <w:lang w:val="en-US"/>
        </w:rPr>
      </w:pPr>
      <w:r w:rsidRPr="00117C8D">
        <w:rPr>
          <w:rFonts w:ascii="Times" w:hAnsi="Times"/>
          <w:lang w:val="en-US"/>
        </w:rPr>
        <w:t xml:space="preserve">Beer, S., Kasper, M., </w:t>
      </w:r>
      <w:proofErr w:type="spellStart"/>
      <w:r w:rsidRPr="00117C8D">
        <w:rPr>
          <w:rFonts w:ascii="Times" w:hAnsi="Times"/>
          <w:lang w:val="en-US"/>
        </w:rPr>
        <w:t>Kirchler</w:t>
      </w:r>
      <w:proofErr w:type="spellEnd"/>
      <w:r w:rsidRPr="00117C8D">
        <w:rPr>
          <w:rFonts w:ascii="Times" w:hAnsi="Times"/>
          <w:lang w:val="en-US"/>
        </w:rPr>
        <w:t xml:space="preserve">, E., and </w:t>
      </w:r>
      <w:proofErr w:type="spellStart"/>
      <w:r w:rsidRPr="00117C8D">
        <w:rPr>
          <w:rFonts w:ascii="Times" w:hAnsi="Times"/>
          <w:lang w:val="en-US"/>
        </w:rPr>
        <w:t>Erard</w:t>
      </w:r>
      <w:proofErr w:type="spellEnd"/>
      <w:r w:rsidRPr="00117C8D">
        <w:rPr>
          <w:rFonts w:ascii="Times" w:hAnsi="Times"/>
          <w:lang w:val="en-US"/>
        </w:rPr>
        <w:t>, B. (2016) Do audits deter future noncompliance? Evidence on self-employed taxpayers, IMF working papers 223.</w:t>
      </w:r>
    </w:p>
    <w:p w14:paraId="0D93B510" w14:textId="77777777" w:rsidR="00117C8D" w:rsidRPr="00117C8D" w:rsidRDefault="00117C8D" w:rsidP="00117C8D">
      <w:pPr>
        <w:spacing w:line="276" w:lineRule="auto"/>
        <w:jc w:val="both"/>
        <w:rPr>
          <w:rFonts w:ascii="Times" w:hAnsi="Times"/>
          <w:lang w:val="en-US"/>
        </w:rPr>
      </w:pPr>
      <w:proofErr w:type="spellStart"/>
      <w:r w:rsidRPr="00117C8D">
        <w:rPr>
          <w:rFonts w:ascii="Times" w:hAnsi="Times"/>
          <w:lang w:val="en-US"/>
        </w:rPr>
        <w:t>Bordignon</w:t>
      </w:r>
      <w:proofErr w:type="spellEnd"/>
      <w:r w:rsidRPr="00117C8D">
        <w:rPr>
          <w:rFonts w:ascii="Times" w:hAnsi="Times"/>
          <w:lang w:val="en-US"/>
        </w:rPr>
        <w:t>, M. (1993) A fairness approach to income tax evasion. Journal of Public Economics, 52(3), 345-362.</w:t>
      </w:r>
    </w:p>
    <w:p w14:paraId="7695CF1F" w14:textId="77777777" w:rsidR="00117C8D" w:rsidRPr="00117C8D" w:rsidRDefault="00117C8D" w:rsidP="00117C8D">
      <w:pPr>
        <w:spacing w:line="276" w:lineRule="auto"/>
        <w:jc w:val="both"/>
        <w:rPr>
          <w:rFonts w:ascii="Times" w:hAnsi="Times"/>
          <w:lang w:val="en-US"/>
        </w:rPr>
      </w:pPr>
      <w:r w:rsidRPr="00117C8D">
        <w:rPr>
          <w:rFonts w:ascii="Times" w:hAnsi="Times"/>
          <w:lang w:val="en-US"/>
        </w:rPr>
        <w:t xml:space="preserve">DeBacker J., Heim, B., Tran, A., and </w:t>
      </w:r>
      <w:proofErr w:type="spellStart"/>
      <w:r w:rsidRPr="00117C8D">
        <w:rPr>
          <w:rFonts w:ascii="Times" w:hAnsi="Times"/>
          <w:lang w:val="en-US"/>
        </w:rPr>
        <w:t>Yuskavage</w:t>
      </w:r>
      <w:proofErr w:type="spellEnd"/>
      <w:r w:rsidRPr="00117C8D">
        <w:rPr>
          <w:rFonts w:ascii="Times" w:hAnsi="Times"/>
          <w:lang w:val="en-US"/>
        </w:rPr>
        <w:t xml:space="preserve">, A. (2015) Legal </w:t>
      </w:r>
      <w:proofErr w:type="spellStart"/>
      <w:r w:rsidRPr="00117C8D">
        <w:rPr>
          <w:rFonts w:ascii="Times" w:hAnsi="Times"/>
          <w:lang w:val="en-US"/>
        </w:rPr>
        <w:t>en</w:t>
      </w:r>
      <w:proofErr w:type="spellEnd"/>
      <w:r w:rsidRPr="00117C8D">
        <w:rPr>
          <w:rFonts w:ascii="Times" w:hAnsi="Times"/>
          <w:lang w:val="en-US"/>
        </w:rPr>
        <w:t xml:space="preserve">- </w:t>
      </w:r>
      <w:proofErr w:type="spellStart"/>
      <w:r w:rsidRPr="00117C8D">
        <w:rPr>
          <w:rFonts w:ascii="Times" w:hAnsi="Times"/>
          <w:lang w:val="en-US"/>
        </w:rPr>
        <w:t>forcement</w:t>
      </w:r>
      <w:proofErr w:type="spellEnd"/>
      <w:r w:rsidRPr="00117C8D">
        <w:rPr>
          <w:rFonts w:ascii="Times" w:hAnsi="Times"/>
          <w:lang w:val="en-US"/>
        </w:rPr>
        <w:t xml:space="preserve"> and corporate behavior: An analysis of tax aggressiveness after an audit, The Journal of Law and Economics, 58(2), 291-324.</w:t>
      </w:r>
    </w:p>
    <w:p w14:paraId="6C37CDD2" w14:textId="77777777" w:rsidR="00117C8D" w:rsidRPr="00117C8D" w:rsidRDefault="00117C8D" w:rsidP="00117C8D">
      <w:pPr>
        <w:spacing w:line="276" w:lineRule="auto"/>
        <w:jc w:val="both"/>
        <w:rPr>
          <w:rFonts w:ascii="Times" w:hAnsi="Times"/>
          <w:lang w:val="en-US"/>
        </w:rPr>
      </w:pPr>
      <w:r w:rsidRPr="00117C8D">
        <w:rPr>
          <w:rFonts w:ascii="Times" w:hAnsi="Times"/>
          <w:lang w:val="en-US"/>
        </w:rPr>
        <w:t>Feld, L.P. and Frey, B.S. (2007) Tax compliance as the result of a psychological tax contract: The role of incentives and responsive regulation. Law &amp; Policy, 29(1), 102-120.</w:t>
      </w:r>
    </w:p>
    <w:p w14:paraId="33DFF158" w14:textId="77777777" w:rsidR="00117C8D" w:rsidRPr="00117C8D" w:rsidRDefault="00117C8D" w:rsidP="00117C8D">
      <w:pPr>
        <w:spacing w:line="276" w:lineRule="auto"/>
        <w:jc w:val="both"/>
        <w:rPr>
          <w:rFonts w:ascii="Times" w:hAnsi="Times"/>
          <w:lang w:val="en-US"/>
        </w:rPr>
      </w:pPr>
      <w:proofErr w:type="spellStart"/>
      <w:r w:rsidRPr="00117C8D">
        <w:rPr>
          <w:rFonts w:ascii="Times" w:hAnsi="Times"/>
          <w:lang w:val="en-US"/>
        </w:rPr>
        <w:t>Mittone</w:t>
      </w:r>
      <w:proofErr w:type="spellEnd"/>
      <w:r w:rsidRPr="00117C8D">
        <w:rPr>
          <w:rFonts w:ascii="Times" w:hAnsi="Times"/>
          <w:lang w:val="en-US"/>
        </w:rPr>
        <w:t xml:space="preserve">, L., </w:t>
      </w:r>
      <w:proofErr w:type="spellStart"/>
      <w:r w:rsidRPr="00117C8D">
        <w:rPr>
          <w:rFonts w:ascii="Times" w:hAnsi="Times"/>
          <w:lang w:val="en-US"/>
        </w:rPr>
        <w:t>Panebianco</w:t>
      </w:r>
      <w:proofErr w:type="spellEnd"/>
      <w:r w:rsidRPr="00117C8D">
        <w:rPr>
          <w:rFonts w:ascii="Times" w:hAnsi="Times"/>
          <w:lang w:val="en-US"/>
        </w:rPr>
        <w:t>, F., and Santoro, A. (2017) The Bomb-Crater effect of tax audits: Beyond the misperception of chance, Journal of Economic Psychology, 61, 225-243.</w:t>
      </w:r>
    </w:p>
    <w:p w14:paraId="313A80C8" w14:textId="77777777" w:rsidR="00117C8D" w:rsidRPr="00117C8D" w:rsidRDefault="00117C8D" w:rsidP="00117C8D">
      <w:pPr>
        <w:spacing w:line="276" w:lineRule="auto"/>
        <w:jc w:val="both"/>
        <w:rPr>
          <w:rFonts w:ascii="Times" w:hAnsi="Times"/>
          <w:lang w:val="en-US"/>
        </w:rPr>
      </w:pPr>
      <w:proofErr w:type="spellStart"/>
      <w:r w:rsidRPr="00117C8D">
        <w:rPr>
          <w:rFonts w:ascii="Times" w:hAnsi="Times"/>
          <w:lang w:val="en-US"/>
        </w:rPr>
        <w:t>Slemrod</w:t>
      </w:r>
      <w:proofErr w:type="spellEnd"/>
      <w:r w:rsidRPr="00117C8D">
        <w:rPr>
          <w:rFonts w:ascii="Times" w:hAnsi="Times"/>
          <w:lang w:val="en-US"/>
        </w:rPr>
        <w:t xml:space="preserve"> J. (2007) Cheating ourselves: The economics of tax evasion, Journal of Economic Perspectives, 21, 525-531.</w:t>
      </w:r>
    </w:p>
    <w:p w14:paraId="76C3D9BD" w14:textId="2C6B3AE5" w:rsidR="006D4944" w:rsidRPr="00117C8D" w:rsidRDefault="00117C8D" w:rsidP="00117C8D">
      <w:pPr>
        <w:spacing w:line="276" w:lineRule="auto"/>
        <w:jc w:val="both"/>
        <w:rPr>
          <w:rFonts w:ascii="Times" w:hAnsi="Times"/>
        </w:rPr>
      </w:pPr>
      <w:proofErr w:type="spellStart"/>
      <w:r w:rsidRPr="00117C8D">
        <w:rPr>
          <w:rFonts w:ascii="Times" w:hAnsi="Times"/>
          <w:lang w:val="en-US"/>
        </w:rPr>
        <w:t>Torgler</w:t>
      </w:r>
      <w:proofErr w:type="spellEnd"/>
      <w:r w:rsidRPr="00117C8D">
        <w:rPr>
          <w:rFonts w:ascii="Times" w:hAnsi="Times"/>
          <w:lang w:val="en-US"/>
        </w:rPr>
        <w:t xml:space="preserve">, B., (2002) Vertical and exchange equity in a tax morale experiment. </w:t>
      </w:r>
      <w:proofErr w:type="spellStart"/>
      <w:r w:rsidRPr="00117C8D">
        <w:rPr>
          <w:rFonts w:ascii="Times" w:hAnsi="Times"/>
        </w:rPr>
        <w:t>Wirtschaftswissenschaftliches</w:t>
      </w:r>
      <w:proofErr w:type="spellEnd"/>
      <w:r w:rsidRPr="00117C8D">
        <w:rPr>
          <w:rFonts w:ascii="Times" w:hAnsi="Times"/>
        </w:rPr>
        <w:t xml:space="preserve"> </w:t>
      </w:r>
      <w:proofErr w:type="spellStart"/>
      <w:r w:rsidRPr="00117C8D">
        <w:rPr>
          <w:rFonts w:ascii="Times" w:hAnsi="Times"/>
        </w:rPr>
        <w:t>Zentrum</w:t>
      </w:r>
      <w:proofErr w:type="spellEnd"/>
      <w:r w:rsidRPr="00117C8D">
        <w:rPr>
          <w:rFonts w:ascii="Times" w:hAnsi="Times"/>
        </w:rPr>
        <w:t xml:space="preserve"> (WWZ) </w:t>
      </w:r>
      <w:proofErr w:type="spellStart"/>
      <w:r w:rsidRPr="00117C8D">
        <w:rPr>
          <w:rFonts w:ascii="Times" w:hAnsi="Times"/>
        </w:rPr>
        <w:t>der</w:t>
      </w:r>
      <w:proofErr w:type="spellEnd"/>
      <w:r w:rsidRPr="00117C8D">
        <w:rPr>
          <w:rFonts w:ascii="Times" w:hAnsi="Times"/>
        </w:rPr>
        <w:t xml:space="preserve"> </w:t>
      </w:r>
      <w:proofErr w:type="spellStart"/>
      <w:r w:rsidRPr="00117C8D">
        <w:rPr>
          <w:rFonts w:ascii="Times" w:hAnsi="Times"/>
        </w:rPr>
        <w:t>Universitat</w:t>
      </w:r>
      <w:proofErr w:type="spellEnd"/>
      <w:r w:rsidRPr="00117C8D">
        <w:rPr>
          <w:rFonts w:ascii="Times" w:hAnsi="Times"/>
        </w:rPr>
        <w:t xml:space="preserve"> Basel.</w:t>
      </w:r>
    </w:p>
    <w:sectPr w:rsidR="006D4944" w:rsidRPr="00117C8D">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6D57" w14:textId="77777777" w:rsidR="00100E6D" w:rsidRDefault="00100E6D" w:rsidP="00117C8D">
      <w:r>
        <w:separator/>
      </w:r>
    </w:p>
  </w:endnote>
  <w:endnote w:type="continuationSeparator" w:id="0">
    <w:p w14:paraId="700E2D05" w14:textId="77777777" w:rsidR="00100E6D" w:rsidRDefault="00100E6D" w:rsidP="0011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0B87" w14:textId="77777777" w:rsidR="00100E6D" w:rsidRDefault="00100E6D" w:rsidP="00117C8D">
      <w:r>
        <w:separator/>
      </w:r>
    </w:p>
  </w:footnote>
  <w:footnote w:type="continuationSeparator" w:id="0">
    <w:p w14:paraId="657C5675" w14:textId="77777777" w:rsidR="00100E6D" w:rsidRDefault="00100E6D" w:rsidP="00117C8D">
      <w:r>
        <w:continuationSeparator/>
      </w:r>
    </w:p>
  </w:footnote>
  <w:footnote w:id="1">
    <w:p w14:paraId="1FE5CB8C" w14:textId="37CEA3CB" w:rsidR="00117C8D" w:rsidRPr="00117C8D" w:rsidRDefault="00117C8D">
      <w:pPr>
        <w:pStyle w:val="Testonotaapidipagina"/>
        <w:rPr>
          <w:rFonts w:ascii="Times" w:hAnsi="Times"/>
          <w:lang w:val="en-US"/>
        </w:rPr>
      </w:pPr>
      <w:r w:rsidRPr="00117C8D">
        <w:rPr>
          <w:rStyle w:val="Rimandonotaapidipagina"/>
          <w:rFonts w:ascii="Times" w:hAnsi="Times"/>
        </w:rPr>
        <w:footnoteRef/>
      </w:r>
      <w:r w:rsidRPr="00117C8D">
        <w:rPr>
          <w:rFonts w:ascii="Times" w:hAnsi="Times"/>
          <w:lang w:val="en-US"/>
        </w:rPr>
        <w:t xml:space="preserve"> (</w:t>
      </w:r>
      <w:proofErr w:type="gramStart"/>
      <w:r w:rsidRPr="00117C8D">
        <w:rPr>
          <w:rFonts w:ascii="Times" w:hAnsi="Times"/>
          <w:lang w:val="en-US"/>
        </w:rPr>
        <w:t>corresponding</w:t>
      </w:r>
      <w:proofErr w:type="gramEnd"/>
      <w:r w:rsidRPr="00117C8D">
        <w:rPr>
          <w:rFonts w:ascii="Times" w:hAnsi="Times"/>
          <w:lang w:val="en-US"/>
        </w:rPr>
        <w:t xml:space="preserve"> author) University of Messina. </w:t>
      </w:r>
      <w:r>
        <w:rPr>
          <w:rFonts w:ascii="Times" w:hAnsi="Times"/>
          <w:lang w:val="en-US"/>
        </w:rPr>
        <w:t>Email: edagostino@unime.it</w:t>
      </w:r>
    </w:p>
  </w:footnote>
  <w:footnote w:id="2">
    <w:p w14:paraId="2336E162" w14:textId="0B712A1F" w:rsidR="00117C8D" w:rsidRPr="00117C8D" w:rsidRDefault="00117C8D">
      <w:pPr>
        <w:pStyle w:val="Testonotaapidipagina"/>
        <w:rPr>
          <w:rFonts w:ascii="Times" w:hAnsi="Times"/>
          <w:lang w:val="en-US"/>
        </w:rPr>
      </w:pPr>
      <w:r w:rsidRPr="00117C8D">
        <w:rPr>
          <w:rStyle w:val="Rimandonotaapidipagina"/>
          <w:rFonts w:ascii="Times" w:hAnsi="Times"/>
        </w:rPr>
        <w:footnoteRef/>
      </w:r>
      <w:r w:rsidRPr="00117C8D">
        <w:rPr>
          <w:rFonts w:ascii="Times" w:hAnsi="Times"/>
          <w:lang w:val="en-US"/>
        </w:rPr>
        <w:t xml:space="preserve"> University of Calabria.</w:t>
      </w:r>
    </w:p>
  </w:footnote>
  <w:footnote w:id="3">
    <w:p w14:paraId="60484678" w14:textId="6E7307E7" w:rsidR="00117C8D" w:rsidRPr="00117C8D" w:rsidRDefault="00117C8D">
      <w:pPr>
        <w:pStyle w:val="Testonotaapidipagina"/>
        <w:rPr>
          <w:lang w:val="en-US"/>
        </w:rPr>
      </w:pPr>
      <w:r w:rsidRPr="00117C8D">
        <w:rPr>
          <w:rStyle w:val="Rimandonotaapidipagina"/>
          <w:rFonts w:ascii="Times" w:hAnsi="Times"/>
        </w:rPr>
        <w:footnoteRef/>
      </w:r>
      <w:r w:rsidRPr="00117C8D">
        <w:rPr>
          <w:rFonts w:ascii="Times" w:hAnsi="Times"/>
          <w:lang w:val="en-US"/>
        </w:rPr>
        <w:t xml:space="preserve"> University of Messina.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8D"/>
    <w:rsid w:val="00100E6D"/>
    <w:rsid w:val="00117C8D"/>
    <w:rsid w:val="006D4944"/>
    <w:rsid w:val="00962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3DBEBA"/>
  <w15:chartTrackingRefBased/>
  <w15:docId w15:val="{6AD18F54-F5FB-6349-B9D7-FB26E020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17C8D"/>
    <w:rPr>
      <w:sz w:val="20"/>
      <w:szCs w:val="20"/>
    </w:rPr>
  </w:style>
  <w:style w:type="character" w:customStyle="1" w:styleId="TestonotaapidipaginaCarattere">
    <w:name w:val="Testo nota a piè di pagina Carattere"/>
    <w:basedOn w:val="Carpredefinitoparagrafo"/>
    <w:link w:val="Testonotaapidipagina"/>
    <w:uiPriority w:val="99"/>
    <w:semiHidden/>
    <w:rsid w:val="00117C8D"/>
    <w:rPr>
      <w:sz w:val="20"/>
      <w:szCs w:val="20"/>
    </w:rPr>
  </w:style>
  <w:style w:type="character" w:styleId="Rimandonotaapidipagina">
    <w:name w:val="footnote reference"/>
    <w:basedOn w:val="Carpredefinitoparagrafo"/>
    <w:uiPriority w:val="99"/>
    <w:semiHidden/>
    <w:unhideWhenUsed/>
    <w:rsid w:val="00117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4264</Characters>
  <Application>Microsoft Office Word</Application>
  <DocSecurity>0</DocSecurity>
  <Lines>69</Lines>
  <Paragraphs>22</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D'Agostino</dc:creator>
  <cp:keywords/>
  <dc:description/>
  <cp:lastModifiedBy>Elena D'Agostino</cp:lastModifiedBy>
  <cp:revision>1</cp:revision>
  <dcterms:created xsi:type="dcterms:W3CDTF">2022-09-24T15:09:00Z</dcterms:created>
  <dcterms:modified xsi:type="dcterms:W3CDTF">2022-09-24T15:13:00Z</dcterms:modified>
</cp:coreProperties>
</file>