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89A36" w14:textId="77777777" w:rsidR="0082292D" w:rsidRPr="0082292D" w:rsidRDefault="0082292D" w:rsidP="0082292D">
      <w:pPr>
        <w:jc w:val="center"/>
        <w:rPr>
          <w:b/>
          <w:bCs/>
          <w:u w:val="single"/>
        </w:rPr>
      </w:pPr>
      <w:r w:rsidRPr="0082292D">
        <w:rPr>
          <w:b/>
          <w:bCs/>
          <w:u w:val="single"/>
        </w:rPr>
        <w:t>How best to ensure the effective application of EU competition law to the professional sports sector</w:t>
      </w:r>
    </w:p>
    <w:p w14:paraId="6FC484C5" w14:textId="2781AA33" w:rsidR="00642E33" w:rsidRPr="00642E33" w:rsidRDefault="00642E33" w:rsidP="00D5378A">
      <w:pPr>
        <w:jc w:val="center"/>
      </w:pPr>
      <w:r>
        <w:t xml:space="preserve">Dr Grant Stirling, </w:t>
      </w:r>
      <w:r w:rsidR="000544B9">
        <w:t xml:space="preserve">Lecturer in Law, </w:t>
      </w:r>
      <w:r>
        <w:t>Edinburgh Napier University</w:t>
      </w:r>
    </w:p>
    <w:p w14:paraId="563D69E8" w14:textId="77777777" w:rsidR="00DE29E9" w:rsidRDefault="00DE29E9"/>
    <w:p w14:paraId="5B4001CE" w14:textId="24B07DC4" w:rsidR="002D0967" w:rsidRDefault="0082292D" w:rsidP="0082292D">
      <w:pPr>
        <w:jc w:val="both"/>
      </w:pPr>
      <w:r>
        <w:t xml:space="preserve">While it has been evident for decades that sports clubs, organisations and governing bodies </w:t>
      </w:r>
      <w:r w:rsidR="002D0967">
        <w:t>are</w:t>
      </w:r>
      <w:r>
        <w:t xml:space="preserve"> subject to </w:t>
      </w:r>
      <w:r w:rsidR="002D0967">
        <w:t xml:space="preserve">provisions of the </w:t>
      </w:r>
      <w:r>
        <w:t xml:space="preserve">EU </w:t>
      </w:r>
      <w:r w:rsidR="002D0967">
        <w:t>treaties</w:t>
      </w:r>
      <w:r>
        <w:t xml:space="preserve"> – including EU competition law – insofar as they engage in economic activit</w:t>
      </w:r>
      <w:r w:rsidR="00CF0435">
        <w:t>y</w:t>
      </w:r>
      <w:r>
        <w:t>,</w:t>
      </w:r>
      <w:r w:rsidR="003109C6">
        <w:rPr>
          <w:rStyle w:val="FootnoteReference"/>
        </w:rPr>
        <w:footnoteReference w:id="1"/>
      </w:r>
      <w:r>
        <w:t xml:space="preserve"> recent years have seen a marked increase in instances of cases involving the application of EU competition law to the professional sports sector coming before the EU courts. High profile examples from recent years include the </w:t>
      </w:r>
      <w:r w:rsidR="00CA68F7" w:rsidRPr="00B35A69">
        <w:rPr>
          <w:i/>
          <w:iCs/>
        </w:rPr>
        <w:t xml:space="preserve">European </w:t>
      </w:r>
      <w:proofErr w:type="spellStart"/>
      <w:r w:rsidR="00CA68F7" w:rsidRPr="00B35A69">
        <w:rPr>
          <w:i/>
          <w:iCs/>
        </w:rPr>
        <w:t>Superleague</w:t>
      </w:r>
      <w:proofErr w:type="spellEnd"/>
      <w:r w:rsidR="00CA68F7" w:rsidRPr="00B35A69">
        <w:rPr>
          <w:i/>
          <w:iCs/>
        </w:rPr>
        <w:t xml:space="preserve"> </w:t>
      </w:r>
      <w:r>
        <w:t>case,</w:t>
      </w:r>
      <w:r w:rsidR="00544CEA">
        <w:rPr>
          <w:rStyle w:val="FootnoteReference"/>
        </w:rPr>
        <w:footnoteReference w:id="2"/>
      </w:r>
      <w:r>
        <w:t xml:space="preserve"> t</w:t>
      </w:r>
      <w:r w:rsidRPr="00B35A69">
        <w:t>he</w:t>
      </w:r>
      <w:r>
        <w:t xml:space="preserve"> case of </w:t>
      </w:r>
      <w:r w:rsidRPr="00A004E4">
        <w:rPr>
          <w:i/>
          <w:iCs/>
        </w:rPr>
        <w:t>International Skating Union v Commission</w:t>
      </w:r>
      <w:r w:rsidRPr="00B35A69">
        <w:t>,</w:t>
      </w:r>
      <w:r>
        <w:rPr>
          <w:rStyle w:val="FootnoteReference"/>
        </w:rPr>
        <w:footnoteReference w:id="3"/>
      </w:r>
      <w:r w:rsidRPr="00B35A69">
        <w:t xml:space="preserve"> </w:t>
      </w:r>
      <w:r>
        <w:t>and the case</w:t>
      </w:r>
      <w:r w:rsidR="002D0967">
        <w:t xml:space="preserve"> of </w:t>
      </w:r>
      <w:r w:rsidR="002D0967" w:rsidRPr="002D0967">
        <w:rPr>
          <w:i/>
          <w:iCs/>
        </w:rPr>
        <w:t>FIFA v BZ</w:t>
      </w:r>
      <w:r>
        <w:t>.</w:t>
      </w:r>
      <w:r w:rsidR="00CF0435">
        <w:rPr>
          <w:rStyle w:val="FootnoteReference"/>
        </w:rPr>
        <w:footnoteReference w:id="4"/>
      </w:r>
      <w:r>
        <w:t xml:space="preserve"> These cases have particularly concerned the </w:t>
      </w:r>
      <w:r w:rsidR="002D0967">
        <w:t>topic</w:t>
      </w:r>
      <w:r>
        <w:t xml:space="preserve"> of the </w:t>
      </w:r>
      <w:r w:rsidR="002D0967">
        <w:t>freedom</w:t>
      </w:r>
      <w:r>
        <w:t xml:space="preserve"> of sportsmen and women and sports teams</w:t>
      </w:r>
      <w:r w:rsidR="002D0967">
        <w:t xml:space="preserve"> to partake in the competitions they wish</w:t>
      </w:r>
      <w:r w:rsidR="00F65C6B">
        <w:t xml:space="preserve"> to compete in</w:t>
      </w:r>
      <w:r w:rsidR="002D0967">
        <w:t xml:space="preserve"> – and in the case of individuals, for the employers of their choice. The </w:t>
      </w:r>
      <w:proofErr w:type="spellStart"/>
      <w:r w:rsidR="002D0967" w:rsidRPr="00EC7970">
        <w:rPr>
          <w:i/>
          <w:iCs/>
        </w:rPr>
        <w:t>Superleague</w:t>
      </w:r>
      <w:proofErr w:type="spellEnd"/>
      <w:r w:rsidR="002D0967">
        <w:t xml:space="preserve"> case marked a particularly important intervention of the EU courts, because it saw the Court of Justice seriously question the rules of </w:t>
      </w:r>
      <w:r w:rsidR="00EC7970">
        <w:t xml:space="preserve">two of </w:t>
      </w:r>
      <w:r w:rsidR="002D0967">
        <w:t>the bes</w:t>
      </w:r>
      <w:r w:rsidR="00F65C6B">
        <w:t>t-</w:t>
      </w:r>
      <w:r w:rsidR="002D0967">
        <w:t xml:space="preserve"> known sports</w:t>
      </w:r>
      <w:r w:rsidR="00F65C6B">
        <w:t>’</w:t>
      </w:r>
      <w:r w:rsidR="002D0967">
        <w:t xml:space="preserve"> governing bodies – FIFA and UEFA – on</w:t>
      </w:r>
      <w:r w:rsidR="00EC7970">
        <w:t xml:space="preserve"> participation by </w:t>
      </w:r>
      <w:r w:rsidR="00F65C6B">
        <w:t xml:space="preserve">member </w:t>
      </w:r>
      <w:r w:rsidR="00EC7970">
        <w:t xml:space="preserve">clubs in competitions not authorised by those governing bodies and the purported sanctions for infringing those rules. </w:t>
      </w:r>
      <w:r w:rsidR="002D0967">
        <w:t xml:space="preserve">   </w:t>
      </w:r>
      <w:r>
        <w:t xml:space="preserve"> </w:t>
      </w:r>
    </w:p>
    <w:p w14:paraId="10DCF35E" w14:textId="77777777" w:rsidR="00EC7970" w:rsidRDefault="00EC7970" w:rsidP="0082292D">
      <w:pPr>
        <w:jc w:val="both"/>
      </w:pPr>
      <w:r>
        <w:t xml:space="preserve">From these </w:t>
      </w:r>
      <w:proofErr w:type="gramStart"/>
      <w:r>
        <w:t>aforementioned cases</w:t>
      </w:r>
      <w:proofErr w:type="gramEnd"/>
      <w:r>
        <w:t xml:space="preserve">, as well as other cases in both national and EU courts, important questions arise around the </w:t>
      </w:r>
      <w:r w:rsidR="00EF4422">
        <w:t xml:space="preserve">substantive application of EU competition law to </w:t>
      </w:r>
      <w:r>
        <w:t xml:space="preserve">professional </w:t>
      </w:r>
      <w:r w:rsidR="00EF4422">
        <w:t>sport</w:t>
      </w:r>
      <w:r>
        <w:t>. Beyond these substantive issues</w:t>
      </w:r>
      <w:r w:rsidR="00EF4422">
        <w:t xml:space="preserve">, </w:t>
      </w:r>
      <w:r>
        <w:t xml:space="preserve">however, </w:t>
      </w:r>
      <w:r w:rsidR="00EF4422">
        <w:t>it is also important to conside</w:t>
      </w:r>
      <w:r>
        <w:t xml:space="preserve">r </w:t>
      </w:r>
      <w:r w:rsidR="00EF4422">
        <w:t xml:space="preserve">how best to ensure compliance of the </w:t>
      </w:r>
      <w:r>
        <w:t xml:space="preserve">professional </w:t>
      </w:r>
      <w:r w:rsidR="00EF4422">
        <w:t xml:space="preserve">sports sector with </w:t>
      </w:r>
      <w:r>
        <w:t xml:space="preserve">EU </w:t>
      </w:r>
      <w:r w:rsidR="00EF4422">
        <w:t xml:space="preserve">competition law from a procedural perspective – both </w:t>
      </w:r>
      <w:r w:rsidR="00EF4422" w:rsidRPr="00EF4422">
        <w:rPr>
          <w:i/>
          <w:iCs/>
        </w:rPr>
        <w:t>ex ante</w:t>
      </w:r>
      <w:r w:rsidR="00EF4422">
        <w:t xml:space="preserve"> and </w:t>
      </w:r>
      <w:r w:rsidR="00EF4422" w:rsidRPr="00EF4422">
        <w:rPr>
          <w:i/>
          <w:iCs/>
        </w:rPr>
        <w:t>post facto</w:t>
      </w:r>
      <w:r w:rsidR="00EF4422">
        <w:t xml:space="preserve">. This paper will discuss some of the key challenges in this regard and how they might best be overcome. </w:t>
      </w:r>
    </w:p>
    <w:p w14:paraId="457B5D99" w14:textId="37CCED39" w:rsidR="00677444" w:rsidRDefault="00EF4422" w:rsidP="0082292D">
      <w:pPr>
        <w:jc w:val="both"/>
      </w:pPr>
      <w:r>
        <w:t>It will be noted that the obstacles to a seamless application of EU law – and in particular EU competition law – to the professional sports sector are manifold</w:t>
      </w:r>
      <w:r w:rsidR="00EC7970">
        <w:t xml:space="preserve"> and call for a careful consideration of the architecture of sports governance. Among the key challenges are (</w:t>
      </w:r>
      <w:proofErr w:type="spellStart"/>
      <w:r w:rsidR="00EC7970">
        <w:t>i</w:t>
      </w:r>
      <w:proofErr w:type="spellEnd"/>
      <w:r w:rsidR="00EC7970">
        <w:t xml:space="preserve">) </w:t>
      </w:r>
      <w:r>
        <w:t xml:space="preserve">the great variety to be seen in the </w:t>
      </w:r>
      <w:r w:rsidR="001F6668">
        <w:t xml:space="preserve">existing </w:t>
      </w:r>
      <w:r>
        <w:t>internal regulatory structure of individual sports</w:t>
      </w:r>
      <w:r w:rsidR="00EC7970">
        <w:t>; (ii)</w:t>
      </w:r>
      <w:r>
        <w:t xml:space="preserve"> the extent to which professional sports transcend national – and sometimes EU external – borders, creating jurisdictional </w:t>
      </w:r>
      <w:r w:rsidR="001F6668">
        <w:t>issues</w:t>
      </w:r>
      <w:r w:rsidR="00EC7970">
        <w:t>; and (iii)</w:t>
      </w:r>
      <w:r>
        <w:t xml:space="preserve"> </w:t>
      </w:r>
      <w:r w:rsidR="00EC7970">
        <w:t>the consideration that many</w:t>
      </w:r>
      <w:r>
        <w:t xml:space="preserve"> sports’ governing bodies typically require</w:t>
      </w:r>
      <w:r w:rsidR="00677444">
        <w:t xml:space="preserve"> participants</w:t>
      </w:r>
      <w:r>
        <w:t xml:space="preserve"> to</w:t>
      </w:r>
      <w:r w:rsidR="00677444">
        <w:t xml:space="preserve"> accept that disputes</w:t>
      </w:r>
      <w:r w:rsidR="00EC7970">
        <w:t xml:space="preserve"> on a range of matters fall to</w:t>
      </w:r>
      <w:r w:rsidR="00677444">
        <w:t xml:space="preserve"> be </w:t>
      </w:r>
      <w:r w:rsidR="00EC7970">
        <w:t>dealt with</w:t>
      </w:r>
      <w:r w:rsidR="00677444">
        <w:t xml:space="preserve"> by arbitration tribunals rather than national courts.</w:t>
      </w:r>
    </w:p>
    <w:p w14:paraId="4A381A23" w14:textId="77777777" w:rsidR="00EC7970" w:rsidRDefault="00677444" w:rsidP="0082292D">
      <w:pPr>
        <w:jc w:val="both"/>
      </w:pPr>
      <w:r>
        <w:t xml:space="preserve">As well as explaining these challenges in more detail, this paper will </w:t>
      </w:r>
      <w:r w:rsidR="00EC7970">
        <w:t>go on to</w:t>
      </w:r>
      <w:r>
        <w:t xml:space="preserve"> consider the possible ways in which the regulation of professional sports could be administered in such a way as to try to ensure </w:t>
      </w:r>
      <w:r w:rsidR="00EC7970">
        <w:t xml:space="preserve">greater </w:t>
      </w:r>
      <w:r w:rsidRPr="00677444">
        <w:rPr>
          <w:i/>
          <w:iCs/>
        </w:rPr>
        <w:t>ex ante</w:t>
      </w:r>
      <w:r>
        <w:t xml:space="preserve"> compliance with EU competition law and consequently avoid frequent and disruptive challenges to the actions of competition organisers and </w:t>
      </w:r>
      <w:r w:rsidR="00EC7970">
        <w:t xml:space="preserve">sports’ </w:t>
      </w:r>
      <w:r>
        <w:t>governing bodies in the courts. It will be noted that possible approaches range from the establishment of specialised regulators, such as has been seen in</w:t>
      </w:r>
      <w:r w:rsidR="00124478">
        <w:t xml:space="preserve"> the UK recently with the </w:t>
      </w:r>
      <w:r w:rsidR="00124478">
        <w:lastRenderedPageBreak/>
        <w:t xml:space="preserve">establishment of the specialised football regulator </w:t>
      </w:r>
      <w:r>
        <w:t>– to a much more light</w:t>
      </w:r>
      <w:r w:rsidR="00EC7970">
        <w:t>-</w:t>
      </w:r>
      <w:r>
        <w:t>touch model, with minimal state interference</w:t>
      </w:r>
      <w:r w:rsidR="00EC7970">
        <w:t xml:space="preserve"> in regulation</w:t>
      </w:r>
      <w:r>
        <w:t xml:space="preserve">. </w:t>
      </w:r>
    </w:p>
    <w:p w14:paraId="40A2554B" w14:textId="7D605BF5" w:rsidR="00AE222D" w:rsidRDefault="00677444" w:rsidP="0082292D">
      <w:pPr>
        <w:jc w:val="both"/>
      </w:pPr>
      <w:r>
        <w:t>In this paper it will ultimately be</w:t>
      </w:r>
      <w:r w:rsidR="00124478">
        <w:t xml:space="preserve"> argued that the preferable way forward would be to avoid specialised state regulators, but instead to have a licensing system in place</w:t>
      </w:r>
      <w:r w:rsidR="00E97CBA">
        <w:rPr>
          <w:rStyle w:val="FootnoteReference"/>
        </w:rPr>
        <w:footnoteReference w:id="5"/>
      </w:r>
      <w:r w:rsidR="00124478">
        <w:t xml:space="preserve"> whereby a specific body for each sport is given a large degree of autonomy to regulate </w:t>
      </w:r>
      <w:r w:rsidR="00E97CBA">
        <w:t>that</w:t>
      </w:r>
      <w:r w:rsidR="00124478">
        <w:t xml:space="preserve"> </w:t>
      </w:r>
      <w:proofErr w:type="gramStart"/>
      <w:r w:rsidR="00124478">
        <w:t>particular sport</w:t>
      </w:r>
      <w:proofErr w:type="gramEnd"/>
      <w:r w:rsidR="001F6668">
        <w:t xml:space="preserve"> (for a specified term)</w:t>
      </w:r>
      <w:r w:rsidR="00124478">
        <w:t xml:space="preserve"> – but </w:t>
      </w:r>
      <w:r w:rsidR="00E97CBA">
        <w:t xml:space="preserve">crucially, </w:t>
      </w:r>
      <w:r w:rsidR="00124478">
        <w:t xml:space="preserve">with responsibility to accompany that autonomy. In such a scenario, the licensed governing body would not merely be charged with </w:t>
      </w:r>
      <w:r w:rsidR="00E97CBA">
        <w:t xml:space="preserve">ensuring its own </w:t>
      </w:r>
      <w:r w:rsidR="00124478">
        <w:t>compl</w:t>
      </w:r>
      <w:r w:rsidR="00E97CBA">
        <w:t>iance</w:t>
      </w:r>
      <w:r w:rsidR="00124478">
        <w:t xml:space="preserve"> with EU competition law – but would rather have </w:t>
      </w:r>
      <w:r w:rsidR="00E97CBA">
        <w:t>as one of its stated aims, the task of promoting</w:t>
      </w:r>
      <w:r w:rsidR="00124478">
        <w:t xml:space="preserve"> compliance with competition law</w:t>
      </w:r>
      <w:r w:rsidR="00E97CBA">
        <w:t xml:space="preserve"> by its various members</w:t>
      </w:r>
      <w:r w:rsidR="00124478">
        <w:t>. As such, the sports</w:t>
      </w:r>
      <w:r w:rsidR="00E97CBA">
        <w:t>’</w:t>
      </w:r>
      <w:r w:rsidR="00124478">
        <w:t xml:space="preserve"> governing body, instead of having a potentially hostile and antagonistic relationship with </w:t>
      </w:r>
      <w:r w:rsidR="00E97CBA">
        <w:t xml:space="preserve">the Commission and national </w:t>
      </w:r>
      <w:r w:rsidR="00124478">
        <w:t>competition regulators, could enjoy a far more mature and h</w:t>
      </w:r>
      <w:r w:rsidR="00E97CBA">
        <w:t>armonious</w:t>
      </w:r>
      <w:r w:rsidR="00124478">
        <w:t xml:space="preserve"> relationship that</w:t>
      </w:r>
      <w:r w:rsidR="00E97CBA">
        <w:t>,</w:t>
      </w:r>
      <w:r w:rsidR="00124478">
        <w:t xml:space="preserve"> </w:t>
      </w:r>
      <w:r w:rsidR="00AE222D">
        <w:t xml:space="preserve">as well as saving considerable time and money, would also be likely to ensure much greater </w:t>
      </w:r>
      <w:r w:rsidR="00AE222D" w:rsidRPr="00E97CBA">
        <w:rPr>
          <w:i/>
          <w:iCs/>
        </w:rPr>
        <w:t>ex ante</w:t>
      </w:r>
      <w:r w:rsidR="00AE222D">
        <w:t xml:space="preserve"> compliance with EU competition law</w:t>
      </w:r>
      <w:r w:rsidR="00E97CBA">
        <w:t xml:space="preserve"> by the various </w:t>
      </w:r>
      <w:r w:rsidR="001F6668">
        <w:t>key participants in each sport</w:t>
      </w:r>
      <w:r w:rsidR="00AE222D">
        <w:t xml:space="preserve">. </w:t>
      </w:r>
    </w:p>
    <w:p w14:paraId="4D145014" w14:textId="655D9E48" w:rsidR="00AE222D" w:rsidRDefault="00AE222D" w:rsidP="0082292D">
      <w:pPr>
        <w:jc w:val="both"/>
      </w:pPr>
      <w:r>
        <w:t>I</w:t>
      </w:r>
      <w:r w:rsidR="00E97CBA">
        <w:t xml:space="preserve">n the </w:t>
      </w:r>
      <w:proofErr w:type="spellStart"/>
      <w:r w:rsidR="00E97CBA" w:rsidRPr="001F1E6A">
        <w:rPr>
          <w:i/>
          <w:iCs/>
        </w:rPr>
        <w:t>Superleague</w:t>
      </w:r>
      <w:proofErr w:type="spellEnd"/>
      <w:r w:rsidR="00E97CBA">
        <w:t xml:space="preserve"> case it was acknowledged that it is ‘…legitimate to subject the organisation and conduct</w:t>
      </w:r>
      <w:r>
        <w:t xml:space="preserve"> </w:t>
      </w:r>
      <w:r w:rsidR="001F1E6A">
        <w:t>of international professional football competitions to common rules intended to guarantee homogeneity and coordination of those competitions within an overall match calendar...’.</w:t>
      </w:r>
      <w:r w:rsidR="00F65C6B">
        <w:rPr>
          <w:rStyle w:val="FootnoteReference"/>
        </w:rPr>
        <w:footnoteReference w:id="6"/>
      </w:r>
      <w:r w:rsidR="001F1E6A">
        <w:t xml:space="preserve"> But a system in which </w:t>
      </w:r>
      <w:r>
        <w:t xml:space="preserve">sports’ governing bodies are frequently challenged </w:t>
      </w:r>
      <w:r w:rsidR="001F1E6A">
        <w:t xml:space="preserve">in the courts in </w:t>
      </w:r>
      <w:r>
        <w:t xml:space="preserve">relation to alleged </w:t>
      </w:r>
      <w:r w:rsidR="00F65C6B" w:rsidRPr="001F6668">
        <w:rPr>
          <w:i/>
          <w:iCs/>
        </w:rPr>
        <w:t>post</w:t>
      </w:r>
      <w:r w:rsidR="001F6668" w:rsidRPr="001F6668">
        <w:rPr>
          <w:i/>
          <w:iCs/>
        </w:rPr>
        <w:t xml:space="preserve"> facto</w:t>
      </w:r>
      <w:r w:rsidR="00F65C6B">
        <w:t xml:space="preserve"> </w:t>
      </w:r>
      <w:r>
        <w:t xml:space="preserve">breaches of EU competition law is not conducive to </w:t>
      </w:r>
      <w:r w:rsidR="001F1E6A">
        <w:t xml:space="preserve">maintaining predictability and stability in the organisation of professional sport. </w:t>
      </w:r>
      <w:r>
        <w:t xml:space="preserve">Furthermore, having a sports governing body with </w:t>
      </w:r>
      <w:r w:rsidR="001F1E6A">
        <w:t>the legitimacy of</w:t>
      </w:r>
      <w:r>
        <w:t xml:space="preserve"> official recognition makes other </w:t>
      </w:r>
      <w:r w:rsidR="001F1E6A">
        <w:t xml:space="preserve">types of </w:t>
      </w:r>
      <w:r>
        <w:t xml:space="preserve">disruptive actions – </w:t>
      </w:r>
      <w:r w:rsidR="001F1E6A">
        <w:t xml:space="preserve">such </w:t>
      </w:r>
      <w:r>
        <w:t xml:space="preserve">as </w:t>
      </w:r>
      <w:r w:rsidR="001F6668">
        <w:t>occurred</w:t>
      </w:r>
      <w:r>
        <w:t xml:space="preserve"> in </w:t>
      </w:r>
      <w:r w:rsidR="001F6668">
        <w:t xml:space="preserve">the </w:t>
      </w:r>
      <w:r w:rsidR="001F1E6A">
        <w:t xml:space="preserve">events that resulted in the </w:t>
      </w:r>
      <w:proofErr w:type="spellStart"/>
      <w:r w:rsidRPr="001F1E6A">
        <w:rPr>
          <w:i/>
          <w:iCs/>
        </w:rPr>
        <w:t>Superleague</w:t>
      </w:r>
      <w:proofErr w:type="spellEnd"/>
      <w:r>
        <w:t xml:space="preserve"> </w:t>
      </w:r>
      <w:r w:rsidR="001F1E6A">
        <w:t xml:space="preserve">judgment </w:t>
      </w:r>
      <w:r>
        <w:t>– much less likely, because the governing body is not seen as just ‘another economic operator</w:t>
      </w:r>
      <w:r w:rsidR="001F6668">
        <w:t>.</w:t>
      </w:r>
      <w:r>
        <w:t xml:space="preserve">’ Of course, for a system as outlined here to function optimally, it is clearly preferable for the recognised governing body to </w:t>
      </w:r>
      <w:r w:rsidR="006E0D34">
        <w:t>not be economically active in the economic sector it is regulating</w:t>
      </w:r>
      <w:r>
        <w:t>.</w:t>
      </w:r>
      <w:r w:rsidR="006E0D34">
        <w:t xml:space="preserve"> If this is not the case, there should at the very least be a robust system of </w:t>
      </w:r>
      <w:r w:rsidR="00F65C6B">
        <w:t>appeal</w:t>
      </w:r>
      <w:r w:rsidR="006E0D34">
        <w:t xml:space="preserve"> in place </w:t>
      </w:r>
      <w:r w:rsidR="00544CEA">
        <w:t xml:space="preserve">for instances of the governing body unreasonably giving any preference to itself or connected parties in competition organisation and commercial exploitation. </w:t>
      </w:r>
      <w:r w:rsidR="00F65C6B">
        <w:t xml:space="preserve">With the correct checks and balances in place, it will be submitted that the system outlined in this paper would allow for an effective application of EU competition law to the professional sports sector in Europe. </w:t>
      </w:r>
    </w:p>
    <w:p w14:paraId="4B34EE4B" w14:textId="516CAD54" w:rsidR="00124478" w:rsidRDefault="00124478" w:rsidP="0082292D">
      <w:pPr>
        <w:jc w:val="both"/>
      </w:pPr>
    </w:p>
    <w:p w14:paraId="207D2AB0" w14:textId="77777777" w:rsidR="00AE222D" w:rsidRDefault="00AE222D" w:rsidP="0082292D">
      <w:pPr>
        <w:jc w:val="both"/>
      </w:pPr>
    </w:p>
    <w:p w14:paraId="4D6495F6" w14:textId="77777777" w:rsidR="00EF4422" w:rsidRPr="00EF4422" w:rsidRDefault="00EF4422" w:rsidP="0082292D">
      <w:pPr>
        <w:jc w:val="both"/>
      </w:pPr>
    </w:p>
    <w:p w14:paraId="516E35FD" w14:textId="18FBC502" w:rsidR="006A15A5" w:rsidRDefault="00CA68F7">
      <w:r>
        <w:t xml:space="preserve"> </w:t>
      </w:r>
    </w:p>
    <w:sectPr w:rsidR="006A15A5" w:rsidSect="007374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A1D88" w14:textId="77777777" w:rsidR="00925A5B" w:rsidRDefault="00925A5B" w:rsidP="00F52E32">
      <w:pPr>
        <w:spacing w:after="0" w:line="240" w:lineRule="auto"/>
      </w:pPr>
      <w:r>
        <w:separator/>
      </w:r>
    </w:p>
  </w:endnote>
  <w:endnote w:type="continuationSeparator" w:id="0">
    <w:p w14:paraId="22533316" w14:textId="77777777" w:rsidR="00925A5B" w:rsidRDefault="00925A5B" w:rsidP="00F52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DA665" w14:textId="77777777" w:rsidR="00925A5B" w:rsidRDefault="00925A5B" w:rsidP="00F52E32">
      <w:pPr>
        <w:spacing w:after="0" w:line="240" w:lineRule="auto"/>
      </w:pPr>
      <w:r>
        <w:separator/>
      </w:r>
    </w:p>
  </w:footnote>
  <w:footnote w:type="continuationSeparator" w:id="0">
    <w:p w14:paraId="4B5449D8" w14:textId="77777777" w:rsidR="00925A5B" w:rsidRDefault="00925A5B" w:rsidP="00F52E32">
      <w:pPr>
        <w:spacing w:after="0" w:line="240" w:lineRule="auto"/>
      </w:pPr>
      <w:r>
        <w:continuationSeparator/>
      </w:r>
    </w:p>
  </w:footnote>
  <w:footnote w:id="1">
    <w:p w14:paraId="7DCA8A8C" w14:textId="2FDAFE9E" w:rsidR="003109C6" w:rsidRPr="00CF0435" w:rsidRDefault="003109C6" w:rsidP="006B3799">
      <w:pPr>
        <w:pStyle w:val="FootnoteText"/>
        <w:jc w:val="both"/>
        <w:rPr>
          <w:sz w:val="18"/>
          <w:szCs w:val="18"/>
        </w:rPr>
      </w:pPr>
      <w:r w:rsidRPr="00CF0435">
        <w:rPr>
          <w:rStyle w:val="FootnoteReference"/>
          <w:sz w:val="18"/>
          <w:szCs w:val="18"/>
        </w:rPr>
        <w:footnoteRef/>
      </w:r>
      <w:r w:rsidRPr="00CF0435">
        <w:rPr>
          <w:sz w:val="18"/>
          <w:szCs w:val="18"/>
        </w:rPr>
        <w:t xml:space="preserve"> Case 36/74 </w:t>
      </w:r>
      <w:proofErr w:type="spellStart"/>
      <w:r w:rsidRPr="00CF0435">
        <w:rPr>
          <w:i/>
          <w:iCs/>
          <w:sz w:val="18"/>
          <w:szCs w:val="18"/>
        </w:rPr>
        <w:t>Walrave</w:t>
      </w:r>
      <w:proofErr w:type="spellEnd"/>
      <w:r w:rsidRPr="00CF0435">
        <w:rPr>
          <w:i/>
          <w:iCs/>
          <w:sz w:val="18"/>
          <w:szCs w:val="18"/>
        </w:rPr>
        <w:t xml:space="preserve"> v Association Union </w:t>
      </w:r>
      <w:proofErr w:type="spellStart"/>
      <w:r w:rsidRPr="00CF0435">
        <w:rPr>
          <w:i/>
          <w:iCs/>
          <w:sz w:val="18"/>
          <w:szCs w:val="18"/>
        </w:rPr>
        <w:t>Cycliste</w:t>
      </w:r>
      <w:proofErr w:type="spellEnd"/>
      <w:r w:rsidRPr="00CF0435">
        <w:rPr>
          <w:i/>
          <w:iCs/>
          <w:sz w:val="18"/>
          <w:szCs w:val="18"/>
        </w:rPr>
        <w:t xml:space="preserve"> Internationale</w:t>
      </w:r>
      <w:r w:rsidRPr="00CF0435">
        <w:rPr>
          <w:sz w:val="18"/>
          <w:szCs w:val="18"/>
        </w:rPr>
        <w:t xml:space="preserve">, EU:C:1974:140; Case 13/76 </w:t>
      </w:r>
      <w:r w:rsidRPr="00CF0435">
        <w:rPr>
          <w:i/>
          <w:iCs/>
          <w:sz w:val="18"/>
          <w:szCs w:val="18"/>
        </w:rPr>
        <w:t>Don</w:t>
      </w:r>
      <w:r w:rsidRPr="00CF0435">
        <w:rPr>
          <w:rFonts w:cstheme="minorHAnsi"/>
          <w:i/>
          <w:iCs/>
          <w:sz w:val="18"/>
          <w:szCs w:val="18"/>
        </w:rPr>
        <w:t>à</w:t>
      </w:r>
      <w:r w:rsidRPr="00CF0435">
        <w:rPr>
          <w:i/>
          <w:iCs/>
          <w:sz w:val="18"/>
          <w:szCs w:val="18"/>
        </w:rPr>
        <w:t xml:space="preserve"> v </w:t>
      </w:r>
      <w:proofErr w:type="spellStart"/>
      <w:r w:rsidRPr="00CF0435">
        <w:rPr>
          <w:i/>
          <w:iCs/>
          <w:sz w:val="18"/>
          <w:szCs w:val="18"/>
        </w:rPr>
        <w:t>Mantero</w:t>
      </w:r>
      <w:proofErr w:type="spellEnd"/>
      <w:r w:rsidRPr="00CF0435">
        <w:rPr>
          <w:sz w:val="18"/>
          <w:szCs w:val="18"/>
        </w:rPr>
        <w:t xml:space="preserve">, EU:C:1976:115; Case 415/93 </w:t>
      </w:r>
      <w:r w:rsidRPr="00CF0435">
        <w:rPr>
          <w:i/>
          <w:iCs/>
          <w:sz w:val="18"/>
          <w:szCs w:val="18"/>
        </w:rPr>
        <w:t xml:space="preserve">Union royal </w:t>
      </w:r>
      <w:proofErr w:type="spellStart"/>
      <w:r w:rsidRPr="00CF0435">
        <w:rPr>
          <w:i/>
          <w:iCs/>
          <w:sz w:val="18"/>
          <w:szCs w:val="18"/>
        </w:rPr>
        <w:t>belge</w:t>
      </w:r>
      <w:proofErr w:type="spellEnd"/>
      <w:r w:rsidRPr="00CF0435">
        <w:rPr>
          <w:i/>
          <w:iCs/>
          <w:sz w:val="18"/>
          <w:szCs w:val="18"/>
        </w:rPr>
        <w:t xml:space="preserve"> des soci</w:t>
      </w:r>
      <w:r w:rsidRPr="00CF0435">
        <w:rPr>
          <w:rFonts w:cs="Calibri"/>
          <w:i/>
          <w:iCs/>
          <w:sz w:val="18"/>
          <w:szCs w:val="18"/>
        </w:rPr>
        <w:t>é</w:t>
      </w:r>
      <w:r w:rsidRPr="00CF0435">
        <w:rPr>
          <w:i/>
          <w:iCs/>
          <w:sz w:val="18"/>
          <w:szCs w:val="18"/>
        </w:rPr>
        <w:t>t</w:t>
      </w:r>
      <w:r w:rsidRPr="00CF0435">
        <w:rPr>
          <w:rFonts w:cs="Calibri"/>
          <w:i/>
          <w:iCs/>
          <w:sz w:val="18"/>
          <w:szCs w:val="18"/>
        </w:rPr>
        <w:t>é</w:t>
      </w:r>
      <w:r w:rsidRPr="00CF0435">
        <w:rPr>
          <w:i/>
          <w:iCs/>
          <w:sz w:val="18"/>
          <w:szCs w:val="18"/>
        </w:rPr>
        <w:t>s de football association ASBL v Jean-Marc Bosman &amp; others</w:t>
      </w:r>
      <w:r w:rsidRPr="00CF0435">
        <w:rPr>
          <w:sz w:val="18"/>
          <w:szCs w:val="18"/>
        </w:rPr>
        <w:t xml:space="preserve">, EU:C:1995:463; Joined Cases C-51/96 and C-191/97 </w:t>
      </w:r>
      <w:proofErr w:type="spellStart"/>
      <w:r w:rsidRPr="00CF0435">
        <w:rPr>
          <w:i/>
          <w:sz w:val="18"/>
          <w:szCs w:val="18"/>
        </w:rPr>
        <w:t>Deli</w:t>
      </w:r>
      <w:r w:rsidRPr="00CF0435">
        <w:rPr>
          <w:rFonts w:cstheme="minorHAnsi"/>
          <w:i/>
          <w:sz w:val="18"/>
          <w:szCs w:val="18"/>
        </w:rPr>
        <w:t>è</w:t>
      </w:r>
      <w:r w:rsidRPr="00CF0435">
        <w:rPr>
          <w:i/>
          <w:sz w:val="18"/>
          <w:szCs w:val="18"/>
        </w:rPr>
        <w:t>ge</w:t>
      </w:r>
      <w:proofErr w:type="spellEnd"/>
      <w:r w:rsidRPr="00CF0435">
        <w:rPr>
          <w:i/>
          <w:sz w:val="18"/>
          <w:szCs w:val="18"/>
        </w:rPr>
        <w:t xml:space="preserve"> v Ligue francophone de judo et disciplines </w:t>
      </w:r>
      <w:proofErr w:type="spellStart"/>
      <w:r w:rsidRPr="00CF0435">
        <w:rPr>
          <w:i/>
          <w:sz w:val="18"/>
          <w:szCs w:val="18"/>
        </w:rPr>
        <w:t>associ</w:t>
      </w:r>
      <w:r w:rsidRPr="00CF0435">
        <w:rPr>
          <w:rFonts w:cs="Calibri"/>
          <w:i/>
          <w:sz w:val="18"/>
          <w:szCs w:val="18"/>
        </w:rPr>
        <w:t>é</w:t>
      </w:r>
      <w:r w:rsidRPr="00CF0435">
        <w:rPr>
          <w:i/>
          <w:sz w:val="18"/>
          <w:szCs w:val="18"/>
        </w:rPr>
        <w:t>es</w:t>
      </w:r>
      <w:proofErr w:type="spellEnd"/>
      <w:r w:rsidRPr="00CF0435">
        <w:rPr>
          <w:i/>
          <w:sz w:val="18"/>
          <w:szCs w:val="18"/>
        </w:rPr>
        <w:t xml:space="preserve"> ASBL and Fran</w:t>
      </w:r>
      <w:r w:rsidRPr="00CF0435">
        <w:rPr>
          <w:rFonts w:cs="Calibri"/>
          <w:i/>
          <w:sz w:val="18"/>
          <w:szCs w:val="18"/>
        </w:rPr>
        <w:t>ç</w:t>
      </w:r>
      <w:r w:rsidRPr="00CF0435">
        <w:rPr>
          <w:i/>
          <w:sz w:val="18"/>
          <w:szCs w:val="18"/>
        </w:rPr>
        <w:t xml:space="preserve">ois </w:t>
      </w:r>
      <w:proofErr w:type="spellStart"/>
      <w:r w:rsidRPr="00CF0435">
        <w:rPr>
          <w:i/>
          <w:sz w:val="18"/>
          <w:szCs w:val="18"/>
        </w:rPr>
        <w:t>Pacqu</w:t>
      </w:r>
      <w:r w:rsidRPr="00CF0435">
        <w:rPr>
          <w:rFonts w:cs="Calibri"/>
          <w:i/>
          <w:sz w:val="18"/>
          <w:szCs w:val="18"/>
        </w:rPr>
        <w:t>é</w:t>
      </w:r>
      <w:r w:rsidRPr="00CF0435">
        <w:rPr>
          <w:i/>
          <w:sz w:val="18"/>
          <w:szCs w:val="18"/>
        </w:rPr>
        <w:t>e</w:t>
      </w:r>
      <w:proofErr w:type="spellEnd"/>
      <w:r w:rsidRPr="00CF0435">
        <w:rPr>
          <w:iCs/>
          <w:sz w:val="18"/>
          <w:szCs w:val="18"/>
        </w:rPr>
        <w:t>,</w:t>
      </w:r>
      <w:r w:rsidRPr="00CF0435">
        <w:rPr>
          <w:i/>
          <w:sz w:val="18"/>
          <w:szCs w:val="18"/>
        </w:rPr>
        <w:t xml:space="preserve"> </w:t>
      </w:r>
      <w:r w:rsidRPr="00CF0435">
        <w:rPr>
          <w:iCs/>
          <w:sz w:val="18"/>
          <w:szCs w:val="18"/>
        </w:rPr>
        <w:t xml:space="preserve">EU:C:2000:199; Case C-519/04 P </w:t>
      </w:r>
      <w:r w:rsidRPr="00CF0435">
        <w:rPr>
          <w:i/>
          <w:iCs/>
          <w:sz w:val="18"/>
          <w:szCs w:val="18"/>
        </w:rPr>
        <w:t>Meca-Medina &amp; Majcen v Commission</w:t>
      </w:r>
      <w:r w:rsidRPr="00CF0435">
        <w:rPr>
          <w:sz w:val="18"/>
          <w:szCs w:val="18"/>
        </w:rPr>
        <w:t>,</w:t>
      </w:r>
      <w:r w:rsidRPr="00CF0435">
        <w:rPr>
          <w:i/>
          <w:iCs/>
          <w:sz w:val="18"/>
          <w:szCs w:val="18"/>
        </w:rPr>
        <w:t xml:space="preserve"> </w:t>
      </w:r>
      <w:r w:rsidRPr="00CF0435">
        <w:rPr>
          <w:sz w:val="18"/>
          <w:szCs w:val="18"/>
        </w:rPr>
        <w:t>EU:C:2006:492.</w:t>
      </w:r>
    </w:p>
  </w:footnote>
  <w:footnote w:id="2">
    <w:p w14:paraId="3D7B709A" w14:textId="43954EEB" w:rsidR="00544CEA" w:rsidRPr="00CF0435" w:rsidRDefault="00544CEA">
      <w:pPr>
        <w:pStyle w:val="FootnoteText"/>
        <w:rPr>
          <w:sz w:val="18"/>
          <w:szCs w:val="18"/>
        </w:rPr>
      </w:pPr>
      <w:r w:rsidRPr="00CF0435">
        <w:rPr>
          <w:rStyle w:val="FootnoteReference"/>
          <w:sz w:val="18"/>
          <w:szCs w:val="18"/>
        </w:rPr>
        <w:footnoteRef/>
      </w:r>
      <w:r w:rsidRPr="00CF0435">
        <w:rPr>
          <w:sz w:val="18"/>
          <w:szCs w:val="18"/>
        </w:rPr>
        <w:t xml:space="preserve"> </w:t>
      </w:r>
      <w:r w:rsidRPr="00CF0435">
        <w:rPr>
          <w:sz w:val="18"/>
          <w:szCs w:val="18"/>
        </w:rPr>
        <w:t xml:space="preserve">C-333/21, </w:t>
      </w:r>
      <w:r w:rsidRPr="00CF0435">
        <w:rPr>
          <w:i/>
          <w:iCs/>
          <w:sz w:val="18"/>
          <w:szCs w:val="18"/>
        </w:rPr>
        <w:t xml:space="preserve">European </w:t>
      </w:r>
      <w:proofErr w:type="spellStart"/>
      <w:r w:rsidRPr="00CF0435">
        <w:rPr>
          <w:i/>
          <w:iCs/>
          <w:sz w:val="18"/>
          <w:szCs w:val="18"/>
        </w:rPr>
        <w:t>Superleague</w:t>
      </w:r>
      <w:proofErr w:type="spellEnd"/>
      <w:r w:rsidRPr="00CF0435">
        <w:rPr>
          <w:i/>
          <w:iCs/>
          <w:sz w:val="18"/>
          <w:szCs w:val="18"/>
        </w:rPr>
        <w:t xml:space="preserve"> Company SL v Fédération </w:t>
      </w:r>
      <w:proofErr w:type="spellStart"/>
      <w:r w:rsidRPr="00CF0435">
        <w:rPr>
          <w:i/>
          <w:iCs/>
          <w:sz w:val="18"/>
          <w:szCs w:val="18"/>
        </w:rPr>
        <w:t>internationale</w:t>
      </w:r>
      <w:proofErr w:type="spellEnd"/>
      <w:r w:rsidRPr="00CF0435">
        <w:rPr>
          <w:i/>
          <w:iCs/>
          <w:sz w:val="18"/>
          <w:szCs w:val="18"/>
        </w:rPr>
        <w:t xml:space="preserve"> de football association (FIFA) and Union of European Football Associations (UEFA)</w:t>
      </w:r>
      <w:r w:rsidRPr="00CF0435">
        <w:rPr>
          <w:sz w:val="18"/>
          <w:szCs w:val="18"/>
        </w:rPr>
        <w:t xml:space="preserve"> EC:C:2023: 1011.</w:t>
      </w:r>
    </w:p>
  </w:footnote>
  <w:footnote w:id="3">
    <w:p w14:paraId="5FFCE9AA" w14:textId="77777777" w:rsidR="0082292D" w:rsidRPr="00CF0435" w:rsidRDefault="0082292D" w:rsidP="0082292D">
      <w:pPr>
        <w:spacing w:after="0"/>
        <w:jc w:val="both"/>
        <w:rPr>
          <w:sz w:val="18"/>
          <w:szCs w:val="18"/>
          <w:u w:val="single"/>
        </w:rPr>
      </w:pPr>
      <w:r w:rsidRPr="00CF0435">
        <w:rPr>
          <w:rStyle w:val="FootnoteReference"/>
          <w:sz w:val="18"/>
          <w:szCs w:val="18"/>
        </w:rPr>
        <w:footnoteRef/>
      </w:r>
      <w:r w:rsidRPr="00CF0435">
        <w:rPr>
          <w:sz w:val="18"/>
          <w:szCs w:val="18"/>
        </w:rPr>
        <w:t xml:space="preserve"> C-124/21 P, </w:t>
      </w:r>
      <w:r w:rsidRPr="00CF0435">
        <w:rPr>
          <w:i/>
          <w:iCs/>
          <w:sz w:val="18"/>
          <w:szCs w:val="18"/>
        </w:rPr>
        <w:t xml:space="preserve">International Skating Union v Commission </w:t>
      </w:r>
      <w:r w:rsidRPr="00CF0435">
        <w:rPr>
          <w:sz w:val="18"/>
          <w:szCs w:val="18"/>
        </w:rPr>
        <w:t>EU:C:2023:1012.</w:t>
      </w:r>
    </w:p>
  </w:footnote>
  <w:footnote w:id="4">
    <w:p w14:paraId="404EE4AC" w14:textId="7288B785" w:rsidR="00CF0435" w:rsidRPr="00CF0435" w:rsidRDefault="00CF0435">
      <w:pPr>
        <w:pStyle w:val="FootnoteText"/>
        <w:rPr>
          <w:sz w:val="18"/>
          <w:szCs w:val="18"/>
        </w:rPr>
      </w:pPr>
      <w:r w:rsidRPr="00CF0435">
        <w:rPr>
          <w:rStyle w:val="FootnoteReference"/>
          <w:sz w:val="18"/>
          <w:szCs w:val="18"/>
        </w:rPr>
        <w:footnoteRef/>
      </w:r>
      <w:r w:rsidRPr="00CF0435">
        <w:rPr>
          <w:sz w:val="18"/>
          <w:szCs w:val="18"/>
        </w:rPr>
        <w:t xml:space="preserve"> C-650/22, </w:t>
      </w:r>
      <w:r w:rsidRPr="00CF0435">
        <w:rPr>
          <w:i/>
          <w:iCs/>
          <w:sz w:val="18"/>
          <w:szCs w:val="18"/>
        </w:rPr>
        <w:t xml:space="preserve">Fédération </w:t>
      </w:r>
      <w:proofErr w:type="spellStart"/>
      <w:r w:rsidRPr="00CF0435">
        <w:rPr>
          <w:i/>
          <w:iCs/>
          <w:sz w:val="18"/>
          <w:szCs w:val="18"/>
        </w:rPr>
        <w:t>internationale</w:t>
      </w:r>
      <w:proofErr w:type="spellEnd"/>
      <w:r w:rsidRPr="00CF0435">
        <w:rPr>
          <w:i/>
          <w:iCs/>
          <w:sz w:val="18"/>
          <w:szCs w:val="18"/>
        </w:rPr>
        <w:t xml:space="preserve"> de football association (FIFA) v BZ</w:t>
      </w:r>
      <w:r w:rsidRPr="00CF0435">
        <w:rPr>
          <w:sz w:val="18"/>
          <w:szCs w:val="18"/>
        </w:rPr>
        <w:t xml:space="preserve"> EU:C:2024:824.</w:t>
      </w:r>
    </w:p>
  </w:footnote>
  <w:footnote w:id="5">
    <w:p w14:paraId="2C47B9D2" w14:textId="26A947D9" w:rsidR="00E97CBA" w:rsidRPr="00F65C6B" w:rsidRDefault="00E97CBA" w:rsidP="00F65C6B">
      <w:pPr>
        <w:pStyle w:val="FootnoteText"/>
        <w:jc w:val="both"/>
        <w:rPr>
          <w:sz w:val="18"/>
          <w:szCs w:val="18"/>
        </w:rPr>
      </w:pPr>
      <w:r w:rsidRPr="00F65C6B">
        <w:rPr>
          <w:rStyle w:val="FootnoteReference"/>
          <w:sz w:val="18"/>
          <w:szCs w:val="18"/>
        </w:rPr>
        <w:footnoteRef/>
      </w:r>
      <w:r w:rsidRPr="00F65C6B">
        <w:rPr>
          <w:sz w:val="18"/>
          <w:szCs w:val="18"/>
        </w:rPr>
        <w:t xml:space="preserve"> Similar in many respects to the current system in France.</w:t>
      </w:r>
    </w:p>
  </w:footnote>
  <w:footnote w:id="6">
    <w:p w14:paraId="207F26EC" w14:textId="0D07FD5B" w:rsidR="00F65C6B" w:rsidRPr="00F65C6B" w:rsidRDefault="00F65C6B" w:rsidP="00F65C6B">
      <w:pPr>
        <w:pStyle w:val="FootnoteText"/>
        <w:jc w:val="both"/>
        <w:rPr>
          <w:sz w:val="18"/>
          <w:szCs w:val="18"/>
        </w:rPr>
      </w:pPr>
      <w:r w:rsidRPr="00F65C6B">
        <w:rPr>
          <w:rStyle w:val="FootnoteReference"/>
          <w:sz w:val="18"/>
          <w:szCs w:val="18"/>
        </w:rPr>
        <w:footnoteRef/>
      </w:r>
      <w:r w:rsidRPr="00F65C6B">
        <w:rPr>
          <w:sz w:val="18"/>
          <w:szCs w:val="18"/>
        </w:rPr>
        <w:t xml:space="preserve"> </w:t>
      </w:r>
      <w:r w:rsidRPr="00F65C6B">
        <w:rPr>
          <w:sz w:val="18"/>
          <w:szCs w:val="18"/>
        </w:rPr>
        <w:t xml:space="preserve">C-333/21, </w:t>
      </w:r>
      <w:r w:rsidRPr="00F65C6B">
        <w:rPr>
          <w:i/>
          <w:iCs/>
          <w:sz w:val="18"/>
          <w:szCs w:val="18"/>
        </w:rPr>
        <w:t xml:space="preserve">European </w:t>
      </w:r>
      <w:proofErr w:type="spellStart"/>
      <w:r w:rsidRPr="00F65C6B">
        <w:rPr>
          <w:i/>
          <w:iCs/>
          <w:sz w:val="18"/>
          <w:szCs w:val="18"/>
        </w:rPr>
        <w:t>Superleague</w:t>
      </w:r>
      <w:proofErr w:type="spellEnd"/>
      <w:r w:rsidRPr="00F65C6B">
        <w:rPr>
          <w:i/>
          <w:iCs/>
          <w:sz w:val="18"/>
          <w:szCs w:val="18"/>
        </w:rPr>
        <w:t xml:space="preserve"> Company SL v Fédération </w:t>
      </w:r>
      <w:proofErr w:type="spellStart"/>
      <w:r w:rsidRPr="00F65C6B">
        <w:rPr>
          <w:i/>
          <w:iCs/>
          <w:sz w:val="18"/>
          <w:szCs w:val="18"/>
        </w:rPr>
        <w:t>internationale</w:t>
      </w:r>
      <w:proofErr w:type="spellEnd"/>
      <w:r w:rsidRPr="00F65C6B">
        <w:rPr>
          <w:i/>
          <w:iCs/>
          <w:sz w:val="18"/>
          <w:szCs w:val="18"/>
        </w:rPr>
        <w:t xml:space="preserve"> de football association (FIFA) and Union of European Football Associations (UEFA)</w:t>
      </w:r>
      <w:r w:rsidRPr="00F65C6B">
        <w:rPr>
          <w:sz w:val="18"/>
          <w:szCs w:val="18"/>
        </w:rPr>
        <w:t xml:space="preserve"> EC:C:2023: 1011</w:t>
      </w:r>
      <w:r w:rsidRPr="00F65C6B">
        <w:rPr>
          <w:sz w:val="18"/>
          <w:szCs w:val="18"/>
        </w:rPr>
        <w:t>, paragraph 144.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5A5"/>
    <w:rsid w:val="00001C97"/>
    <w:rsid w:val="00011711"/>
    <w:rsid w:val="00012037"/>
    <w:rsid w:val="000167FD"/>
    <w:rsid w:val="00021440"/>
    <w:rsid w:val="00021694"/>
    <w:rsid w:val="000502B2"/>
    <w:rsid w:val="00051D0B"/>
    <w:rsid w:val="000544B9"/>
    <w:rsid w:val="000E616B"/>
    <w:rsid w:val="00124478"/>
    <w:rsid w:val="00124B19"/>
    <w:rsid w:val="00126825"/>
    <w:rsid w:val="0013530B"/>
    <w:rsid w:val="00174F76"/>
    <w:rsid w:val="001A7EC7"/>
    <w:rsid w:val="001D7EC0"/>
    <w:rsid w:val="001E2953"/>
    <w:rsid w:val="001F1E6A"/>
    <w:rsid w:val="001F6668"/>
    <w:rsid w:val="0020176A"/>
    <w:rsid w:val="00204568"/>
    <w:rsid w:val="00223EAB"/>
    <w:rsid w:val="00240F9D"/>
    <w:rsid w:val="002474DC"/>
    <w:rsid w:val="002A0B04"/>
    <w:rsid w:val="002A44A2"/>
    <w:rsid w:val="002B2989"/>
    <w:rsid w:val="002D0967"/>
    <w:rsid w:val="002D09CC"/>
    <w:rsid w:val="003079B9"/>
    <w:rsid w:val="003109C6"/>
    <w:rsid w:val="00335127"/>
    <w:rsid w:val="00374457"/>
    <w:rsid w:val="00381753"/>
    <w:rsid w:val="00381ADD"/>
    <w:rsid w:val="00390BCD"/>
    <w:rsid w:val="003A44B1"/>
    <w:rsid w:val="003C1E4D"/>
    <w:rsid w:val="003D6B82"/>
    <w:rsid w:val="003E28C3"/>
    <w:rsid w:val="00401A14"/>
    <w:rsid w:val="00411151"/>
    <w:rsid w:val="00413B94"/>
    <w:rsid w:val="004231A6"/>
    <w:rsid w:val="004238A0"/>
    <w:rsid w:val="004874A4"/>
    <w:rsid w:val="004B1CC0"/>
    <w:rsid w:val="004D1D59"/>
    <w:rsid w:val="004D2A87"/>
    <w:rsid w:val="00514586"/>
    <w:rsid w:val="00531488"/>
    <w:rsid w:val="005409DD"/>
    <w:rsid w:val="0054352D"/>
    <w:rsid w:val="00544CEA"/>
    <w:rsid w:val="005546AF"/>
    <w:rsid w:val="00554785"/>
    <w:rsid w:val="00556AAB"/>
    <w:rsid w:val="00557CCB"/>
    <w:rsid w:val="005878C7"/>
    <w:rsid w:val="00591333"/>
    <w:rsid w:val="005B188E"/>
    <w:rsid w:val="005B3AD8"/>
    <w:rsid w:val="005F4629"/>
    <w:rsid w:val="0060132B"/>
    <w:rsid w:val="00602428"/>
    <w:rsid w:val="00602941"/>
    <w:rsid w:val="0061311D"/>
    <w:rsid w:val="0062147B"/>
    <w:rsid w:val="00633804"/>
    <w:rsid w:val="00642E33"/>
    <w:rsid w:val="00644823"/>
    <w:rsid w:val="00677444"/>
    <w:rsid w:val="00687AFF"/>
    <w:rsid w:val="00691761"/>
    <w:rsid w:val="00696DAF"/>
    <w:rsid w:val="006A15A5"/>
    <w:rsid w:val="006B0FF3"/>
    <w:rsid w:val="006B3799"/>
    <w:rsid w:val="006B482A"/>
    <w:rsid w:val="006D2FDF"/>
    <w:rsid w:val="006E0D34"/>
    <w:rsid w:val="006E1C80"/>
    <w:rsid w:val="006E6521"/>
    <w:rsid w:val="006E7C63"/>
    <w:rsid w:val="006F46B4"/>
    <w:rsid w:val="00712002"/>
    <w:rsid w:val="00715AB1"/>
    <w:rsid w:val="0072010F"/>
    <w:rsid w:val="007211BA"/>
    <w:rsid w:val="007363D2"/>
    <w:rsid w:val="00737460"/>
    <w:rsid w:val="007671DB"/>
    <w:rsid w:val="007A5110"/>
    <w:rsid w:val="007F02A3"/>
    <w:rsid w:val="00804046"/>
    <w:rsid w:val="0081144D"/>
    <w:rsid w:val="00821615"/>
    <w:rsid w:val="0082292D"/>
    <w:rsid w:val="008337A2"/>
    <w:rsid w:val="00864BC1"/>
    <w:rsid w:val="008803FC"/>
    <w:rsid w:val="00883DE7"/>
    <w:rsid w:val="008C39E1"/>
    <w:rsid w:val="008C5B4E"/>
    <w:rsid w:val="008D65D8"/>
    <w:rsid w:val="008E2CA8"/>
    <w:rsid w:val="008E3739"/>
    <w:rsid w:val="00925A5B"/>
    <w:rsid w:val="00942EE0"/>
    <w:rsid w:val="0099145F"/>
    <w:rsid w:val="00991480"/>
    <w:rsid w:val="009927CA"/>
    <w:rsid w:val="009B0953"/>
    <w:rsid w:val="009C5285"/>
    <w:rsid w:val="00A004E4"/>
    <w:rsid w:val="00A13739"/>
    <w:rsid w:val="00AE222D"/>
    <w:rsid w:val="00AF6EE0"/>
    <w:rsid w:val="00AF6FD2"/>
    <w:rsid w:val="00B25CE0"/>
    <w:rsid w:val="00B34A56"/>
    <w:rsid w:val="00B35A69"/>
    <w:rsid w:val="00B4591E"/>
    <w:rsid w:val="00B90D6E"/>
    <w:rsid w:val="00B94EBE"/>
    <w:rsid w:val="00BA4FFC"/>
    <w:rsid w:val="00BA6D2F"/>
    <w:rsid w:val="00BB2B61"/>
    <w:rsid w:val="00BD05C9"/>
    <w:rsid w:val="00BD4A23"/>
    <w:rsid w:val="00C11C16"/>
    <w:rsid w:val="00C13A5F"/>
    <w:rsid w:val="00C17DFB"/>
    <w:rsid w:val="00C61695"/>
    <w:rsid w:val="00C76349"/>
    <w:rsid w:val="00C87E20"/>
    <w:rsid w:val="00C90A98"/>
    <w:rsid w:val="00CA68F7"/>
    <w:rsid w:val="00CB449A"/>
    <w:rsid w:val="00CB56A6"/>
    <w:rsid w:val="00CB5714"/>
    <w:rsid w:val="00CD7E03"/>
    <w:rsid w:val="00CF0435"/>
    <w:rsid w:val="00CF7068"/>
    <w:rsid w:val="00D5378A"/>
    <w:rsid w:val="00D57C7B"/>
    <w:rsid w:val="00D7086C"/>
    <w:rsid w:val="00DA4FF2"/>
    <w:rsid w:val="00DB12ED"/>
    <w:rsid w:val="00DC58EE"/>
    <w:rsid w:val="00DD53BA"/>
    <w:rsid w:val="00DE29E9"/>
    <w:rsid w:val="00DF066B"/>
    <w:rsid w:val="00E25B79"/>
    <w:rsid w:val="00E3304C"/>
    <w:rsid w:val="00E40921"/>
    <w:rsid w:val="00E53914"/>
    <w:rsid w:val="00E549E2"/>
    <w:rsid w:val="00E97CBA"/>
    <w:rsid w:val="00EC1F83"/>
    <w:rsid w:val="00EC6AA7"/>
    <w:rsid w:val="00EC6F55"/>
    <w:rsid w:val="00EC7970"/>
    <w:rsid w:val="00EE67FD"/>
    <w:rsid w:val="00EF4422"/>
    <w:rsid w:val="00F060E1"/>
    <w:rsid w:val="00F50139"/>
    <w:rsid w:val="00F52E32"/>
    <w:rsid w:val="00F54EA3"/>
    <w:rsid w:val="00F60190"/>
    <w:rsid w:val="00F65C6B"/>
    <w:rsid w:val="00F66362"/>
    <w:rsid w:val="00F7645C"/>
    <w:rsid w:val="00F81781"/>
    <w:rsid w:val="00F9151B"/>
    <w:rsid w:val="00FA1169"/>
    <w:rsid w:val="00FA456D"/>
    <w:rsid w:val="00FB1514"/>
    <w:rsid w:val="00FB3E1F"/>
    <w:rsid w:val="00FC5DE1"/>
    <w:rsid w:val="00FF0C0B"/>
    <w:rsid w:val="00FF79B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82598"/>
  <w15:chartTrackingRefBased/>
  <w15:docId w15:val="{86AE685D-F4BA-4135-A15B-14DC9E48A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5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15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5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5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5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5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5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5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5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5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15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5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5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15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15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5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5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5A5"/>
    <w:rPr>
      <w:rFonts w:eastAsiaTheme="majorEastAsia" w:cstheme="majorBidi"/>
      <w:color w:val="272727" w:themeColor="text1" w:themeTint="D8"/>
    </w:rPr>
  </w:style>
  <w:style w:type="paragraph" w:styleId="Title">
    <w:name w:val="Title"/>
    <w:basedOn w:val="Normal"/>
    <w:next w:val="Normal"/>
    <w:link w:val="TitleChar"/>
    <w:uiPriority w:val="10"/>
    <w:qFormat/>
    <w:rsid w:val="006A15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5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5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5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5A5"/>
    <w:pPr>
      <w:spacing w:before="160"/>
      <w:jc w:val="center"/>
    </w:pPr>
    <w:rPr>
      <w:i/>
      <w:iCs/>
      <w:color w:val="404040" w:themeColor="text1" w:themeTint="BF"/>
    </w:rPr>
  </w:style>
  <w:style w:type="character" w:customStyle="1" w:styleId="QuoteChar">
    <w:name w:val="Quote Char"/>
    <w:basedOn w:val="DefaultParagraphFont"/>
    <w:link w:val="Quote"/>
    <w:uiPriority w:val="29"/>
    <w:rsid w:val="006A15A5"/>
    <w:rPr>
      <w:i/>
      <w:iCs/>
      <w:color w:val="404040" w:themeColor="text1" w:themeTint="BF"/>
    </w:rPr>
  </w:style>
  <w:style w:type="paragraph" w:styleId="ListParagraph">
    <w:name w:val="List Paragraph"/>
    <w:basedOn w:val="Normal"/>
    <w:uiPriority w:val="34"/>
    <w:qFormat/>
    <w:rsid w:val="006A15A5"/>
    <w:pPr>
      <w:ind w:left="720"/>
      <w:contextualSpacing/>
    </w:pPr>
  </w:style>
  <w:style w:type="character" w:styleId="IntenseEmphasis">
    <w:name w:val="Intense Emphasis"/>
    <w:basedOn w:val="DefaultParagraphFont"/>
    <w:uiPriority w:val="21"/>
    <w:qFormat/>
    <w:rsid w:val="006A15A5"/>
    <w:rPr>
      <w:i/>
      <w:iCs/>
      <w:color w:val="0F4761" w:themeColor="accent1" w:themeShade="BF"/>
    </w:rPr>
  </w:style>
  <w:style w:type="paragraph" w:styleId="IntenseQuote">
    <w:name w:val="Intense Quote"/>
    <w:basedOn w:val="Normal"/>
    <w:next w:val="Normal"/>
    <w:link w:val="IntenseQuoteChar"/>
    <w:uiPriority w:val="30"/>
    <w:qFormat/>
    <w:rsid w:val="006A1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5A5"/>
    <w:rPr>
      <w:i/>
      <w:iCs/>
      <w:color w:val="0F4761" w:themeColor="accent1" w:themeShade="BF"/>
    </w:rPr>
  </w:style>
  <w:style w:type="character" w:styleId="IntenseReference">
    <w:name w:val="Intense Reference"/>
    <w:basedOn w:val="DefaultParagraphFont"/>
    <w:uiPriority w:val="32"/>
    <w:qFormat/>
    <w:rsid w:val="006A15A5"/>
    <w:rPr>
      <w:b/>
      <w:bCs/>
      <w:smallCaps/>
      <w:color w:val="0F4761" w:themeColor="accent1" w:themeShade="BF"/>
      <w:spacing w:val="5"/>
    </w:rPr>
  </w:style>
  <w:style w:type="paragraph" w:styleId="FootnoteText">
    <w:name w:val="footnote text"/>
    <w:basedOn w:val="Normal"/>
    <w:link w:val="FootnoteTextChar"/>
    <w:uiPriority w:val="99"/>
    <w:unhideWhenUsed/>
    <w:rsid w:val="00F52E32"/>
    <w:pPr>
      <w:spacing w:after="0" w:line="240" w:lineRule="auto"/>
    </w:pPr>
    <w:rPr>
      <w:sz w:val="20"/>
      <w:szCs w:val="20"/>
    </w:rPr>
  </w:style>
  <w:style w:type="character" w:customStyle="1" w:styleId="FootnoteTextChar">
    <w:name w:val="Footnote Text Char"/>
    <w:basedOn w:val="DefaultParagraphFont"/>
    <w:link w:val="FootnoteText"/>
    <w:uiPriority w:val="99"/>
    <w:rsid w:val="00F52E32"/>
    <w:rPr>
      <w:sz w:val="20"/>
      <w:szCs w:val="20"/>
    </w:rPr>
  </w:style>
  <w:style w:type="character" w:styleId="FootnoteReference">
    <w:name w:val="footnote reference"/>
    <w:basedOn w:val="DefaultParagraphFont"/>
    <w:uiPriority w:val="99"/>
    <w:semiHidden/>
    <w:unhideWhenUsed/>
    <w:rsid w:val="00F52E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EE69A-C1E9-4422-A387-6207C4C8E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Stirling</dc:creator>
  <cp:keywords/>
  <dc:description/>
  <cp:lastModifiedBy>Stirling, Grant</cp:lastModifiedBy>
  <cp:revision>4</cp:revision>
  <dcterms:created xsi:type="dcterms:W3CDTF">2025-09-15T09:23:00Z</dcterms:created>
  <dcterms:modified xsi:type="dcterms:W3CDTF">2025-09-15T14:19:00Z</dcterms:modified>
</cp:coreProperties>
</file>