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5" w14:textId="251EC60A" w:rsidR="00D0624F" w:rsidRDefault="007C5A1E" w:rsidP="009B649B">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Coase Theorem in the Brazilian Justice: Law, Economics and Rhetoric</w:t>
      </w:r>
    </w:p>
    <w:p w14:paraId="25FB4A92" w14:textId="77777777" w:rsidR="009B649B" w:rsidRDefault="009B649B" w:rsidP="009B649B">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0000006" w14:textId="77777777" w:rsidR="00D0624F" w:rsidRDefault="007C5A1E">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00000007" w14:textId="19828383" w:rsidR="00D0624F" w:rsidRDefault="007C5A1E">
      <w:pPr>
        <w:spacing w:after="0" w:line="360" w:lineRule="auto"/>
        <w:ind w:firstLine="708"/>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Law and Economics (L&amp;E) is </w:t>
      </w:r>
      <w:r w:rsidR="00F530E7">
        <w:rPr>
          <w:rFonts w:ascii="Times New Roman" w:eastAsia="Times New Roman" w:hAnsi="Times New Roman" w:cs="Times New Roman"/>
          <w:sz w:val="24"/>
          <w:szCs w:val="24"/>
        </w:rPr>
        <w:t>often regarded as</w:t>
      </w:r>
      <w:r>
        <w:rPr>
          <w:rFonts w:ascii="Times New Roman" w:eastAsia="Times New Roman" w:hAnsi="Times New Roman" w:cs="Times New Roman"/>
          <w:sz w:val="24"/>
          <w:szCs w:val="24"/>
        </w:rPr>
        <w:t xml:space="preserve"> the “most influential” development in legal scholarship and practice worldwide.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The movement has transcended the confines of common law jurisdictions, gaining ground in countries such as Italy, Germany, and Spain.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More recently, L&amp;E has reached Brazil.</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Now, articles and books related to the movement are becoming commonplace, as illustrated by the notable 16,400% increase in academic publications for the year 2022 when compared to 2000.</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Even more prominently, local courts have been playing a key role in propagating L&amp;E concepts through their judicial decisions.</w:t>
      </w:r>
      <w:r>
        <w:rPr>
          <w:rFonts w:ascii="Times New Roman" w:eastAsia="Times New Roman" w:hAnsi="Times New Roman" w:cs="Times New Roman"/>
          <w:sz w:val="24"/>
          <w:szCs w:val="24"/>
          <w:vertAlign w:val="superscript"/>
        </w:rPr>
        <w:footnoteReference w:id="5"/>
      </w:r>
    </w:p>
    <w:p w14:paraId="00000008" w14:textId="77777777" w:rsidR="00D0624F" w:rsidRDefault="007C5A1E">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some authors had considered Brazilian judges as suffering from an “economic myopia”</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this is no longer the case. The recent inclusion of an economist within the team of the Chief Justice of the Brazilian Supreme Court and the integration of L&amp;E topics in the new version of the mandatory test for prospective judges exemplify an evolving institutional shift towards incorporating economic considerations into legal decision-making.</w:t>
      </w:r>
      <w:r>
        <w:rPr>
          <w:rFonts w:ascii="Times New Roman" w:eastAsia="Times New Roman" w:hAnsi="Times New Roman" w:cs="Times New Roman"/>
          <w:sz w:val="24"/>
          <w:szCs w:val="24"/>
          <w:vertAlign w:val="superscript"/>
        </w:rPr>
        <w:footnoteReference w:id="7"/>
      </w:r>
    </w:p>
    <w:p w14:paraId="00000009" w14:textId="46E92C28" w:rsidR="00D0624F" w:rsidRDefault="007C5A1E">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this scenario, this work investigates the impact of the L&amp;E movement on the judicial decision-making process of Brazilian courts. Specifically, it tests the hypothesis that the use of L&amp;E concepts by judges can serve as rhetorical support for their decisions. Rather than enhancing the analysis of legal matters, the use of economic arguments in decisions can oversimplify the complexities inherent in legal cases. This discussion aligns with recent literature </w:t>
      </w:r>
      <w:r>
        <w:rPr>
          <w:rFonts w:ascii="Times New Roman" w:eastAsia="Times New Roman" w:hAnsi="Times New Roman" w:cs="Times New Roman"/>
          <w:sz w:val="24"/>
          <w:szCs w:val="24"/>
        </w:rPr>
        <w:lastRenderedPageBreak/>
        <w:t>suggesting that the use of Economics is not immune to ideology and, therefore, can reflect biassed and rhetorical discourses favouring specific values and goals.</w:t>
      </w:r>
      <w:r>
        <w:rPr>
          <w:rFonts w:ascii="Times New Roman" w:eastAsia="Times New Roman" w:hAnsi="Times New Roman" w:cs="Times New Roman"/>
          <w:sz w:val="24"/>
          <w:szCs w:val="24"/>
          <w:vertAlign w:val="superscript"/>
        </w:rPr>
        <w:footnoteReference w:id="8"/>
      </w:r>
    </w:p>
    <w:p w14:paraId="0000000A" w14:textId="30AD0838" w:rsidR="00D0624F" w:rsidRDefault="007C5A1E">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test our hypothesis, this </w:t>
      </w:r>
      <w:r w:rsidR="009B649B">
        <w:rPr>
          <w:rFonts w:ascii="Times New Roman" w:eastAsia="Times New Roman" w:hAnsi="Times New Roman" w:cs="Times New Roman"/>
          <w:sz w:val="24"/>
          <w:szCs w:val="24"/>
        </w:rPr>
        <w:t>work</w:t>
      </w:r>
      <w:r>
        <w:rPr>
          <w:rFonts w:ascii="Times New Roman" w:eastAsia="Times New Roman" w:hAnsi="Times New Roman" w:cs="Times New Roman"/>
          <w:sz w:val="24"/>
          <w:szCs w:val="24"/>
        </w:rPr>
        <w:t xml:space="preserve"> examines how Brazilian judges used a famous (and controversial) postulate of the L&amp;E movement – the “Coase Theorem” – in their decisions during the COVID-19 pandemic. Given the rise of L&amp;E in the Brazilian public debate in general, understanding the role of economic reasoning in courts can contribute to the discussion on the reception of economic analysis by legal practitioners. </w:t>
      </w:r>
    </w:p>
    <w:p w14:paraId="0000000B" w14:textId="77777777" w:rsidR="00D0624F" w:rsidRDefault="00D0624F">
      <w:pPr>
        <w:spacing w:after="0" w:line="360" w:lineRule="auto"/>
        <w:ind w:firstLine="993"/>
        <w:jc w:val="both"/>
        <w:rPr>
          <w:rFonts w:ascii="Times New Roman" w:eastAsia="Times New Roman" w:hAnsi="Times New Roman" w:cs="Times New Roman"/>
          <w:sz w:val="24"/>
          <w:szCs w:val="24"/>
        </w:rPr>
      </w:pPr>
    </w:p>
    <w:p w14:paraId="0000000C" w14:textId="346770B6" w:rsidR="00D0624F" w:rsidRDefault="007C5A1E">
      <w:pPr>
        <w:numPr>
          <w:ilvl w:val="0"/>
          <w:numId w:val="1"/>
        </w:numPr>
        <w:pBdr>
          <w:top w:val="nil"/>
          <w:left w:val="nil"/>
          <w:bottom w:val="nil"/>
          <w:right w:val="nil"/>
          <w:between w:val="nil"/>
        </w:pBdr>
        <w:spacing w:line="360" w:lineRule="auto"/>
        <w:ind w:left="0" w:firstLine="0"/>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t xml:space="preserve">  The Coase Theorem as a Rhetorical Concept of the Law and Economics Movement</w:t>
      </w:r>
    </w:p>
    <w:p w14:paraId="0000000D" w14:textId="77777777" w:rsidR="00D0624F" w:rsidRDefault="007C5A1E">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essay </w:t>
      </w:r>
      <w:r>
        <w:rPr>
          <w:rFonts w:ascii="Times New Roman" w:eastAsia="Times New Roman" w:hAnsi="Times New Roman" w:cs="Times New Roman"/>
          <w:sz w:val="24"/>
          <w:szCs w:val="24"/>
        </w:rPr>
        <w:t>analyses</w:t>
      </w:r>
      <w:r>
        <w:rPr>
          <w:rFonts w:ascii="Times New Roman" w:eastAsia="Times New Roman" w:hAnsi="Times New Roman" w:cs="Times New Roman"/>
          <w:color w:val="000000"/>
          <w:sz w:val="24"/>
          <w:szCs w:val="24"/>
        </w:rPr>
        <w:t xml:space="preserve"> the Coase Theorem because it aptly illustrates the use of rhetoric within the L&amp;E movement. In its original formulation, Coase examines how private bargaining could address negative externalities.</w:t>
      </w:r>
      <w:bookmarkStart w:id="2" w:name="_Ref156144323"/>
      <w:r>
        <w:rPr>
          <w:rFonts w:ascii="Times New Roman" w:eastAsia="Times New Roman" w:hAnsi="Times New Roman" w:cs="Times New Roman"/>
          <w:color w:val="000000"/>
          <w:sz w:val="24"/>
          <w:szCs w:val="24"/>
          <w:vertAlign w:val="superscript"/>
        </w:rPr>
        <w:footnoteReference w:id="9"/>
      </w:r>
      <w:bookmarkEnd w:id="2"/>
      <w:r>
        <w:rPr>
          <w:rFonts w:ascii="Times New Roman" w:eastAsia="Times New Roman" w:hAnsi="Times New Roman" w:cs="Times New Roman"/>
          <w:color w:val="000000"/>
          <w:sz w:val="24"/>
          <w:szCs w:val="24"/>
        </w:rPr>
        <w:t xml:space="preserve"> Before Coase, authors, such as Arthur Pigou, believed that state intervention had to address these problems by measures such as taxing production or relocating productive units from one locality to another.</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vertAlign w:val="superscript"/>
        </w:rPr>
        <w:footnoteReference w:id="11"/>
      </w:r>
    </w:p>
    <w:p w14:paraId="0000000E" w14:textId="442969B8" w:rsidR="00D0624F" w:rsidRDefault="007C5A1E">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Contradicting this view, Coase argued that the Pigouvian solution would result in detrimental effects on the economy.</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xml:space="preserve"> Restricting productive private activities could lead to business closures and the cessation of productive operations, undesirable outcomes for society.</w:t>
      </w:r>
      <w:r>
        <w:rPr>
          <w:rFonts w:ascii="Times New Roman" w:eastAsia="Times New Roman" w:hAnsi="Times New Roman" w:cs="Times New Roman"/>
          <w:color w:val="000000"/>
          <w:sz w:val="24"/>
          <w:szCs w:val="24"/>
          <w:vertAlign w:val="superscript"/>
        </w:rPr>
        <w:footnoteReference w:id="13"/>
      </w:r>
      <w:r>
        <w:rPr>
          <w:rFonts w:ascii="Times New Roman" w:eastAsia="Times New Roman" w:hAnsi="Times New Roman" w:cs="Times New Roman"/>
          <w:color w:val="000000"/>
          <w:sz w:val="24"/>
          <w:szCs w:val="24"/>
        </w:rPr>
        <w:t xml:space="preserve"> Contrary to the conventional understanding, Coase noted that the problem of negative externalities was </w:t>
      </w:r>
      <w:r>
        <w:rPr>
          <w:rFonts w:ascii="Times New Roman" w:eastAsia="Times New Roman" w:hAnsi="Times New Roman" w:cs="Times New Roman"/>
          <w:i/>
          <w:color w:val="000000"/>
          <w:sz w:val="24"/>
          <w:szCs w:val="24"/>
        </w:rPr>
        <w:t>reciprocal</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xml:space="preserve"> Based on this perspective, the author stated that when the price system is efficient and the transaction costs are negligible, the parties could freely negotiate the effects arising from externalities. In such a scenario, regardless of the initial allocation of rights — and provided that private property rights were well defined — private bargaining would lead to a mutually satisfactory and efficient outcome.</w:t>
      </w:r>
      <w:r>
        <w:rPr>
          <w:rFonts w:ascii="Times New Roman" w:eastAsia="Times New Roman" w:hAnsi="Times New Roman" w:cs="Times New Roman"/>
          <w:color w:val="000000"/>
          <w:sz w:val="24"/>
          <w:szCs w:val="24"/>
          <w:vertAlign w:val="superscript"/>
        </w:rPr>
        <w:footnoteReference w:id="15"/>
      </w:r>
    </w:p>
    <w:p w14:paraId="0000000F" w14:textId="77777777" w:rsidR="00D0624F" w:rsidRDefault="007C5A1E">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Even Coase acknowledged that the assumptions of this “theorem”</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were not always present in reality, identifying his contribution as “a stepping stone on the way to an analysis of an economy with positive transaction costs.”</w:t>
      </w:r>
      <w:r>
        <w:rPr>
          <w:rFonts w:ascii="Times New Roman" w:eastAsia="Times New Roman" w:hAnsi="Times New Roman" w:cs="Times New Roman"/>
          <w:color w:val="000000"/>
          <w:sz w:val="24"/>
          <w:szCs w:val="24"/>
          <w:vertAlign w:val="superscript"/>
        </w:rPr>
        <w:footnoteReference w:id="17"/>
      </w:r>
      <w:r>
        <w:rPr>
          <w:rFonts w:ascii="Times New Roman" w:eastAsia="Times New Roman" w:hAnsi="Times New Roman" w:cs="Times New Roman"/>
          <w:color w:val="000000"/>
          <w:sz w:val="24"/>
          <w:szCs w:val="24"/>
        </w:rPr>
        <w:t xml:space="preserve"> However, the second stage of the Institutional Economics movement received the formulation as an axiom, advocating it widely along with other values such as free-market, private property, economic efficiency, and non-state intervention.</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Previously conceived in the context of discussing negative externalities, the theorem became one of the primary economic foundations for the freedom of contract and served as an argument against state intervention.</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 xml:space="preserve"> </w:t>
      </w:r>
    </w:p>
    <w:p w14:paraId="00000010" w14:textId="7E065C89" w:rsidR="00D0624F" w:rsidRDefault="007C5A1E">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Joseph </w:t>
      </w:r>
      <w:proofErr w:type="spellStart"/>
      <w:r>
        <w:rPr>
          <w:rFonts w:ascii="Times New Roman" w:eastAsia="Times New Roman" w:hAnsi="Times New Roman" w:cs="Times New Roman"/>
          <w:color w:val="000000"/>
          <w:sz w:val="24"/>
          <w:szCs w:val="24"/>
        </w:rPr>
        <w:t>Farrel</w:t>
      </w:r>
      <w:proofErr w:type="spellEnd"/>
      <w:r>
        <w:rPr>
          <w:rFonts w:ascii="Times New Roman" w:eastAsia="Times New Roman" w:hAnsi="Times New Roman" w:cs="Times New Roman"/>
          <w:color w:val="000000"/>
          <w:sz w:val="24"/>
          <w:szCs w:val="24"/>
        </w:rPr>
        <w:t xml:space="preserve">, a widely adopted interpretation of Coase’s proposition reflects the implicit belief that an appropriate approach to public policies is to stimulate private bargaining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address most real-world problems.</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I call this view of the concept as the “impure” version of the </w:t>
      </w:r>
      <w:r w:rsidR="00D874D0">
        <w:rPr>
          <w:rFonts w:ascii="Times New Roman" w:eastAsia="Times New Roman" w:hAnsi="Times New Roman" w:cs="Times New Roman"/>
          <w:color w:val="000000"/>
          <w:sz w:val="24"/>
          <w:szCs w:val="24"/>
        </w:rPr>
        <w:t>theorem</w:t>
      </w:r>
      <w:r>
        <w:rPr>
          <w:rFonts w:ascii="Times New Roman" w:eastAsia="Times New Roman" w:hAnsi="Times New Roman" w:cs="Times New Roman"/>
          <w:color w:val="000000"/>
          <w:sz w:val="24"/>
          <w:szCs w:val="24"/>
        </w:rPr>
        <w:t xml:space="preserve">, as it represents a reductionist interpretation of a complex and widely discussed subject in L&amp;E </w:t>
      </w:r>
      <w:r>
        <w:rPr>
          <w:rFonts w:ascii="Times New Roman" w:eastAsia="Times New Roman" w:hAnsi="Times New Roman" w:cs="Times New Roman"/>
          <w:sz w:val="24"/>
          <w:szCs w:val="24"/>
        </w:rPr>
        <w:t>research</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1"/>
      </w:r>
    </w:p>
    <w:p w14:paraId="00000011" w14:textId="77777777" w:rsidR="00D0624F" w:rsidRDefault="007C5A1E">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bookmarkStart w:id="3" w:name="_1fob9te" w:colFirst="0" w:colLast="0"/>
      <w:bookmarkEnd w:id="3"/>
      <w:r>
        <w:rPr>
          <w:rFonts w:ascii="Times New Roman" w:eastAsia="Times New Roman" w:hAnsi="Times New Roman" w:cs="Times New Roman"/>
          <w:color w:val="000000"/>
          <w:sz w:val="24"/>
          <w:szCs w:val="24"/>
        </w:rPr>
        <w:t>More specifically, the “impure” Coase Theorem reflects a rhetorical use of an L&amp;E concept, attributing scientific status to a debatable concept.</w:t>
      </w:r>
      <w:r>
        <w:rPr>
          <w:rFonts w:ascii="Times New Roman" w:eastAsia="Times New Roman" w:hAnsi="Times New Roman" w:cs="Times New Roman"/>
          <w:color w:val="000000"/>
          <w:sz w:val="24"/>
          <w:szCs w:val="24"/>
          <w:vertAlign w:val="superscript"/>
        </w:rPr>
        <w:footnoteReference w:id="22"/>
      </w:r>
      <w:r>
        <w:rPr>
          <w:rFonts w:ascii="Times New Roman" w:eastAsia="Times New Roman" w:hAnsi="Times New Roman" w:cs="Times New Roman"/>
          <w:color w:val="000000"/>
          <w:sz w:val="24"/>
          <w:szCs w:val="24"/>
        </w:rPr>
        <w:t xml:space="preserve"> </w:t>
      </w:r>
    </w:p>
    <w:p w14:paraId="00000012" w14:textId="77777777" w:rsidR="00D0624F" w:rsidRDefault="00D0624F">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013" w14:textId="77777777" w:rsidR="00D0624F" w:rsidRDefault="007C5A1E">
      <w:pPr>
        <w:numPr>
          <w:ilvl w:val="0"/>
          <w:numId w:val="1"/>
        </w:num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Even Axioms Can Be Contested: Some Critics to the “Impure” Coase Theorem </w:t>
      </w:r>
    </w:p>
    <w:p w14:paraId="00000014" w14:textId="33D33EEF" w:rsidR="00D0624F" w:rsidRDefault="007C5A1E">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“impure</w:t>
      </w:r>
      <w:r w:rsidR="00AC5A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version of the Coase theorem neglects the extensive criticism of its core and the inherent challenges in its practical application. Firstly, the notion of transaction costs is itself unclear and challenging to verify in practice. As noted by Eric Posner, only in rare cases </w:t>
      </w:r>
      <w:r>
        <w:rPr>
          <w:rFonts w:ascii="Times New Roman" w:eastAsia="Times New Roman" w:hAnsi="Times New Roman" w:cs="Times New Roman"/>
          <w:sz w:val="24"/>
          <w:szCs w:val="24"/>
        </w:rPr>
        <w:t xml:space="preserve">are </w:t>
      </w:r>
      <w:r>
        <w:rPr>
          <w:rFonts w:ascii="Times New Roman" w:eastAsia="Times New Roman" w:hAnsi="Times New Roman" w:cs="Times New Roman"/>
          <w:color w:val="000000"/>
          <w:sz w:val="24"/>
          <w:szCs w:val="24"/>
        </w:rPr>
        <w:t>transaction costs so low that government intervention becomes unnecessary.</w:t>
      </w:r>
      <w:r>
        <w:rPr>
          <w:rFonts w:ascii="Times New Roman" w:eastAsia="Times New Roman" w:hAnsi="Times New Roman" w:cs="Times New Roman"/>
          <w:color w:val="000000"/>
          <w:sz w:val="24"/>
          <w:szCs w:val="24"/>
          <w:vertAlign w:val="superscript"/>
        </w:rPr>
        <w:footnoteReference w:id="23"/>
      </w:r>
      <w:r>
        <w:rPr>
          <w:rFonts w:ascii="Times New Roman" w:eastAsia="Times New Roman" w:hAnsi="Times New Roman" w:cs="Times New Roman"/>
          <w:color w:val="000000"/>
          <w:sz w:val="24"/>
          <w:szCs w:val="24"/>
        </w:rPr>
        <w:t xml:space="preserve"> Even in simple </w:t>
      </w:r>
      <w:r>
        <w:rPr>
          <w:rFonts w:ascii="Times New Roman" w:eastAsia="Times New Roman" w:hAnsi="Times New Roman" w:cs="Times New Roman"/>
          <w:color w:val="000000"/>
          <w:sz w:val="24"/>
          <w:szCs w:val="24"/>
        </w:rPr>
        <w:lastRenderedPageBreak/>
        <w:t>transactions where only two individuals interact, information asymmetries can hinder efficient resource allocation.</w:t>
      </w:r>
      <w:r>
        <w:rPr>
          <w:rFonts w:ascii="Times New Roman" w:eastAsia="Times New Roman" w:hAnsi="Times New Roman" w:cs="Times New Roman"/>
          <w:color w:val="000000"/>
          <w:sz w:val="24"/>
          <w:szCs w:val="24"/>
          <w:vertAlign w:val="superscript"/>
        </w:rPr>
        <w:footnoteReference w:id="24"/>
      </w:r>
      <w:r>
        <w:rPr>
          <w:rFonts w:ascii="Times New Roman" w:eastAsia="Times New Roman" w:hAnsi="Times New Roman" w:cs="Times New Roman"/>
          <w:color w:val="000000"/>
          <w:sz w:val="24"/>
          <w:szCs w:val="24"/>
        </w:rPr>
        <w:t xml:space="preserve"> Pierre </w:t>
      </w:r>
      <w:proofErr w:type="spellStart"/>
      <w:r>
        <w:rPr>
          <w:rFonts w:ascii="Times New Roman" w:eastAsia="Times New Roman" w:hAnsi="Times New Roman" w:cs="Times New Roman"/>
          <w:color w:val="000000"/>
          <w:sz w:val="24"/>
          <w:szCs w:val="24"/>
        </w:rPr>
        <w:t>Schlag</w:t>
      </w:r>
      <w:proofErr w:type="spellEnd"/>
      <w:r>
        <w:rPr>
          <w:rFonts w:ascii="Times New Roman" w:eastAsia="Times New Roman" w:hAnsi="Times New Roman" w:cs="Times New Roman"/>
          <w:color w:val="000000"/>
          <w:sz w:val="24"/>
          <w:szCs w:val="24"/>
        </w:rPr>
        <w:t xml:space="preserve"> additionally asserts that considering transaction costs as determinants to decide whether to create or replace markets is erroneous, considering that such a concept is “too volatile to serve such an important role in the analysis”.</w:t>
      </w:r>
      <w:r>
        <w:rPr>
          <w:rFonts w:ascii="Times New Roman" w:eastAsia="Times New Roman" w:hAnsi="Times New Roman" w:cs="Times New Roman"/>
          <w:color w:val="000000"/>
          <w:sz w:val="24"/>
          <w:szCs w:val="24"/>
          <w:vertAlign w:val="superscript"/>
        </w:rPr>
        <w:footnoteReference w:id="25"/>
      </w:r>
    </w:p>
    <w:p w14:paraId="00000015" w14:textId="77777777" w:rsidR="00D0624F" w:rsidRDefault="007C5A1E">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Secondly, the initial distribution of rights </w:t>
      </w:r>
      <w:proofErr w:type="gramStart"/>
      <w:r>
        <w:rPr>
          <w:rFonts w:ascii="Times New Roman" w:eastAsia="Times New Roman" w:hAnsi="Times New Roman" w:cs="Times New Roman"/>
          <w:i/>
          <w:color w:val="000000"/>
          <w:sz w:val="24"/>
          <w:szCs w:val="24"/>
        </w:rPr>
        <w:t>matters</w:t>
      </w:r>
      <w:proofErr w:type="gramEnd"/>
      <w:r>
        <w:rPr>
          <w:rFonts w:ascii="Times New Roman" w:eastAsia="Times New Roman" w:hAnsi="Times New Roman" w:cs="Times New Roman"/>
          <w:color w:val="000000"/>
          <w:sz w:val="24"/>
          <w:szCs w:val="24"/>
        </w:rPr>
        <w:t xml:space="preserve"> and the economic agents involved in bargaining will not always seek to </w:t>
      </w:r>
      <w:r>
        <w:rPr>
          <w:rFonts w:ascii="Times New Roman" w:eastAsia="Times New Roman" w:hAnsi="Times New Roman" w:cs="Times New Roman"/>
          <w:sz w:val="24"/>
          <w:szCs w:val="24"/>
        </w:rPr>
        <w:t>maximise</w:t>
      </w:r>
      <w:r>
        <w:rPr>
          <w:rFonts w:ascii="Times New Roman" w:eastAsia="Times New Roman" w:hAnsi="Times New Roman" w:cs="Times New Roman"/>
          <w:color w:val="000000"/>
          <w:sz w:val="24"/>
          <w:szCs w:val="24"/>
        </w:rPr>
        <w:t xml:space="preserve"> wealth. Findings from behavioural economics demonstrate how the Coase Theorem failed, even considering the absence of transaction costs and acknowledging the existence of well-defined property rights. Due to biases such as the “endowment effect”, people sometimes are less inclined to exchange goods they possess.</w:t>
      </w:r>
      <w:r>
        <w:rPr>
          <w:rFonts w:ascii="Times New Roman" w:eastAsia="Times New Roman" w:hAnsi="Times New Roman" w:cs="Times New Roman"/>
          <w:color w:val="000000"/>
          <w:sz w:val="24"/>
          <w:szCs w:val="24"/>
          <w:vertAlign w:val="superscript"/>
        </w:rPr>
        <w:footnoteReference w:id="26"/>
      </w:r>
      <w:r>
        <w:rPr>
          <w:rFonts w:ascii="Times New Roman" w:eastAsia="Times New Roman" w:hAnsi="Times New Roman" w:cs="Times New Roman"/>
          <w:color w:val="000000"/>
          <w:sz w:val="24"/>
          <w:szCs w:val="24"/>
        </w:rPr>
        <w:t xml:space="preserve"> On certain occasions, individuals will not act to </w:t>
      </w:r>
      <w:r>
        <w:rPr>
          <w:rFonts w:ascii="Times New Roman" w:eastAsia="Times New Roman" w:hAnsi="Times New Roman" w:cs="Times New Roman"/>
          <w:sz w:val="24"/>
          <w:szCs w:val="24"/>
        </w:rPr>
        <w:t>maximise</w:t>
      </w:r>
      <w:r>
        <w:rPr>
          <w:rFonts w:ascii="Times New Roman" w:eastAsia="Times New Roman" w:hAnsi="Times New Roman" w:cs="Times New Roman"/>
          <w:color w:val="000000"/>
          <w:sz w:val="24"/>
          <w:szCs w:val="24"/>
        </w:rPr>
        <w:t xml:space="preserve"> their gains.</w:t>
      </w:r>
      <w:r>
        <w:rPr>
          <w:rFonts w:ascii="Times New Roman" w:eastAsia="Times New Roman" w:hAnsi="Times New Roman" w:cs="Times New Roman"/>
          <w:color w:val="000000"/>
          <w:sz w:val="24"/>
          <w:szCs w:val="24"/>
          <w:vertAlign w:val="superscript"/>
        </w:rPr>
        <w:footnoteReference w:id="27"/>
      </w:r>
      <w:r>
        <w:rPr>
          <w:rFonts w:ascii="Times New Roman" w:eastAsia="Times New Roman" w:hAnsi="Times New Roman" w:cs="Times New Roman"/>
          <w:color w:val="000000"/>
          <w:sz w:val="24"/>
          <w:szCs w:val="24"/>
        </w:rPr>
        <w:t xml:space="preserve"> </w:t>
      </w:r>
    </w:p>
    <w:p w14:paraId="00000016" w14:textId="2C5AE560" w:rsidR="00D0624F" w:rsidRDefault="007C5A1E">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Thirdly, the process of private bargaining is violent and unequal. Robert Hale highlighted that coercion also takes place in private bargaining</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rPr>
        <w:t>, showing that governmental regulation merely redistributes the coercion inevitably present in the private sphere.</w:t>
      </w:r>
      <w:r>
        <w:rPr>
          <w:rFonts w:ascii="Times New Roman" w:eastAsia="Times New Roman" w:hAnsi="Times New Roman" w:cs="Times New Roman"/>
          <w:color w:val="000000"/>
          <w:sz w:val="24"/>
          <w:szCs w:val="24"/>
          <w:vertAlign w:val="superscript"/>
        </w:rPr>
        <w:footnoteReference w:id="29"/>
      </w:r>
      <w:r w:rsidR="001669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Therefore, Law can evaluate the legitimacy of private negotiations rather than merely assuming their validity.</w:t>
      </w:r>
    </w:p>
    <w:p w14:paraId="00000017" w14:textId="77777777" w:rsidR="00D0624F" w:rsidRDefault="00D0624F">
      <w:pPr>
        <w:pBdr>
          <w:top w:val="nil"/>
          <w:left w:val="nil"/>
          <w:bottom w:val="nil"/>
          <w:right w:val="nil"/>
          <w:between w:val="nil"/>
        </w:pBdr>
        <w:tabs>
          <w:tab w:val="center" w:pos="5400"/>
        </w:tabs>
        <w:spacing w:after="0" w:line="360" w:lineRule="auto"/>
        <w:jc w:val="both"/>
        <w:rPr>
          <w:rFonts w:ascii="Times New Roman" w:eastAsia="Times New Roman" w:hAnsi="Times New Roman" w:cs="Times New Roman"/>
          <w:color w:val="000000"/>
          <w:sz w:val="24"/>
          <w:szCs w:val="24"/>
        </w:rPr>
      </w:pPr>
    </w:p>
    <w:p w14:paraId="00000018" w14:textId="77777777" w:rsidR="00D0624F" w:rsidRDefault="007C5A1E">
      <w:pPr>
        <w:numPr>
          <w:ilvl w:val="0"/>
          <w:numId w:val="1"/>
        </w:numPr>
        <w:pBdr>
          <w:top w:val="nil"/>
          <w:left w:val="nil"/>
          <w:bottom w:val="nil"/>
          <w:right w:val="nil"/>
          <w:between w:val="nil"/>
        </w:pBdr>
        <w:spacing w:line="36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Coase Theorem in the COVID-19 Pandemic: Decisions from the Brazilian Justice</w:t>
      </w:r>
    </w:p>
    <w:p w14:paraId="00000019" w14:textId="77777777" w:rsidR="00D0624F" w:rsidRDefault="007C5A1E">
      <w:pPr>
        <w:numPr>
          <w:ilvl w:val="1"/>
          <w:numId w:val="2"/>
        </w:numPr>
        <w:pBdr>
          <w:top w:val="nil"/>
          <w:left w:val="nil"/>
          <w:bottom w:val="nil"/>
          <w:right w:val="nil"/>
          <w:between w:val="nil"/>
        </w:pBdr>
        <w:spacing w:line="360" w:lineRule="auto"/>
        <w:ind w:left="851" w:hanging="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Collection and Cases Overview</w:t>
      </w:r>
    </w:p>
    <w:p w14:paraId="708B4502" w14:textId="4E427D0C" w:rsidR="00D874D0" w:rsidRDefault="007C5A1E" w:rsidP="00D874D0">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analyse the use of the theorem in legal disputes, we collected decisions from the courts in the State of São Paulo that referenced the concept (28 decisions).</w:t>
      </w:r>
      <w:r>
        <w:rPr>
          <w:rFonts w:ascii="Times New Roman" w:eastAsia="Times New Roman" w:hAnsi="Times New Roman" w:cs="Times New Roman"/>
          <w:color w:val="000000"/>
          <w:sz w:val="24"/>
          <w:szCs w:val="24"/>
          <w:vertAlign w:val="superscript"/>
        </w:rPr>
        <w:footnoteReference w:id="30"/>
      </w:r>
      <w:r>
        <w:rPr>
          <w:rFonts w:ascii="Times New Roman" w:eastAsia="Times New Roman" w:hAnsi="Times New Roman" w:cs="Times New Roman"/>
          <w:color w:val="000000"/>
          <w:sz w:val="24"/>
          <w:szCs w:val="24"/>
        </w:rPr>
        <w:t xml:space="preserve"> After categorising each ruling, we noticed that </w:t>
      </w:r>
      <w:proofErr w:type="gramStart"/>
      <w:r>
        <w:rPr>
          <w:rFonts w:ascii="Times New Roman" w:eastAsia="Times New Roman" w:hAnsi="Times New Roman" w:cs="Times New Roman"/>
          <w:color w:val="000000"/>
          <w:sz w:val="24"/>
          <w:szCs w:val="24"/>
        </w:rPr>
        <w:t>the majority of</w:t>
      </w:r>
      <w:proofErr w:type="gramEnd"/>
      <w:r>
        <w:rPr>
          <w:rFonts w:ascii="Times New Roman" w:eastAsia="Times New Roman" w:hAnsi="Times New Roman" w:cs="Times New Roman"/>
          <w:color w:val="000000"/>
          <w:sz w:val="24"/>
          <w:szCs w:val="24"/>
        </w:rPr>
        <w:t xml:space="preserve"> cases revolved around the discussion of evictions during the COVID-19 pandemic. To streamline our analysis, we focused solely on these cases, which accounted for 53% of the sample obtained (15 out of 28 decisions). </w:t>
      </w:r>
    </w:p>
    <w:p w14:paraId="08E7BEC7" w14:textId="77777777" w:rsidR="00D874D0" w:rsidRDefault="007C5A1E" w:rsidP="009F1D5F">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Of the 15 mapped decisions, 10 involved residential rental contracts, and five pertained to commercial rental agreements. All cases discussed one party’s difficulties in fulfilling its contractual obligations to pay the agreed-upon rental amounts in the context of the COVID-19 pandemic. Tenants claimed the necessity of reviewing or suspending the amounts owed. </w:t>
      </w:r>
    </w:p>
    <w:p w14:paraId="0000001C" w14:textId="6AD5032D" w:rsidR="00D0624F" w:rsidRDefault="007C5A1E" w:rsidP="009F1D5F">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Judges did not grant the requests submitted by tenants. They understood that if tenants were unable to pay the rent, this risk could not be transferred to the landlords. Besides using legal arguments to support this view, judges also used economic reasoning to refute tenants’ claims. </w:t>
      </w:r>
    </w:p>
    <w:p w14:paraId="0000001D" w14:textId="77777777" w:rsidR="00D0624F" w:rsidRDefault="007C5A1E" w:rsidP="009F1D5F">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Firstly, they highlighted that it would be inappropriate to satisfy all the debtors’ requests in an economic crisis context. If contractual clauses were set aside, this would create an incentive for litigation and contractual revisions, which could hinder legal certainty and generate systemic effects.</w:t>
      </w:r>
    </w:p>
    <w:p w14:paraId="0000001E" w14:textId="77777777" w:rsidR="00D0624F" w:rsidRDefault="007C5A1E">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this argument, in all decisions we identified a direct or indirect citation of the Coase theorem, such as the following: “Accommodating debtors’ rights during an economic crisis, disregarding deadlines and procedural rules, not only thwarts the legislator’s intended outcomes but also escalates process and public and private financing costs, causing legal insecurity. According to the Coase Theorem, studied since the 1960s, 'if transaction costs are nil, any initial definition of property rights leads to an efficient outcome, showing that 'the free market's functioning can produce efficient results even when externalities exist.'”</w:t>
      </w:r>
    </w:p>
    <w:p w14:paraId="0000001F" w14:textId="1280D356" w:rsidR="00D0624F" w:rsidRDefault="007C5A1E">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sense, judges used </w:t>
      </w:r>
      <w:r w:rsidR="00287372">
        <w:rPr>
          <w:rFonts w:ascii="Times New Roman" w:eastAsia="Times New Roman" w:hAnsi="Times New Roman" w:cs="Times New Roman"/>
          <w:color w:val="000000"/>
          <w:sz w:val="24"/>
          <w:szCs w:val="24"/>
        </w:rPr>
        <w:t>Coase’s</w:t>
      </w:r>
      <w:r>
        <w:rPr>
          <w:rFonts w:ascii="Times New Roman" w:eastAsia="Times New Roman" w:hAnsi="Times New Roman" w:cs="Times New Roman"/>
          <w:color w:val="000000"/>
          <w:sz w:val="24"/>
          <w:szCs w:val="24"/>
        </w:rPr>
        <w:t xml:space="preserve"> formulation as an argumentative reinforcement justifying the unnecessary intervention of </w:t>
      </w:r>
      <w:r w:rsidR="00F50FDA">
        <w:rPr>
          <w:rFonts w:ascii="Times New Roman" w:eastAsia="Times New Roman" w:hAnsi="Times New Roman" w:cs="Times New Roman"/>
          <w:color w:val="000000"/>
          <w:sz w:val="24"/>
          <w:szCs w:val="24"/>
        </w:rPr>
        <w:t>courts</w:t>
      </w:r>
      <w:r>
        <w:rPr>
          <w:rFonts w:ascii="Times New Roman" w:eastAsia="Times New Roman" w:hAnsi="Times New Roman" w:cs="Times New Roman"/>
          <w:color w:val="000000"/>
          <w:sz w:val="24"/>
          <w:szCs w:val="24"/>
        </w:rPr>
        <w:t xml:space="preserve"> in the contracts under discussion. Considering the operation of the “free market” and private bargaining, judicial review would be unnecessary. The </w:t>
      </w:r>
      <w:r w:rsidR="00D874D0">
        <w:rPr>
          <w:rFonts w:ascii="Times New Roman" w:eastAsia="Times New Roman" w:hAnsi="Times New Roman" w:cs="Times New Roman"/>
          <w:color w:val="000000"/>
          <w:sz w:val="24"/>
          <w:szCs w:val="24"/>
        </w:rPr>
        <w:t>theorem</w:t>
      </w:r>
      <w:r>
        <w:rPr>
          <w:rFonts w:ascii="Times New Roman" w:eastAsia="Times New Roman" w:hAnsi="Times New Roman" w:cs="Times New Roman"/>
          <w:color w:val="000000"/>
          <w:sz w:val="24"/>
          <w:szCs w:val="24"/>
        </w:rPr>
        <w:t xml:space="preserve"> was used in the “impure” approach discussed in this work, reflecting the idea that parties can satisfactorily resolve their issues through private bargaining. </w:t>
      </w:r>
    </w:p>
    <w:p w14:paraId="00000020" w14:textId="77777777" w:rsidR="00D0624F" w:rsidRDefault="00D0624F">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p>
    <w:p w14:paraId="00000021" w14:textId="77777777" w:rsidR="00D0624F" w:rsidRDefault="007C5A1E">
      <w:pPr>
        <w:numPr>
          <w:ilvl w:val="1"/>
          <w:numId w:val="2"/>
        </w:numPr>
        <w:pBdr>
          <w:top w:val="nil"/>
          <w:left w:val="nil"/>
          <w:bottom w:val="nil"/>
          <w:right w:val="nil"/>
          <w:between w:val="nil"/>
        </w:pBdr>
        <w:spacing w:line="360" w:lineRule="auto"/>
        <w:ind w:left="851" w:hanging="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Critical Analysis of the Use of the Coase Theorem by the Brazilian Justice </w:t>
      </w:r>
    </w:p>
    <w:p w14:paraId="00000022" w14:textId="4007E2CB" w:rsidR="00D0624F" w:rsidRDefault="007C5A1E">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initial criticism we pose is that judges – if confident that the </w:t>
      </w:r>
      <w:r w:rsidR="00D874D0">
        <w:rPr>
          <w:rFonts w:ascii="Times New Roman" w:eastAsia="Times New Roman" w:hAnsi="Times New Roman" w:cs="Times New Roman"/>
          <w:color w:val="000000"/>
          <w:sz w:val="24"/>
          <w:szCs w:val="24"/>
        </w:rPr>
        <w:t>Coase Theorem</w:t>
      </w:r>
      <w:r>
        <w:rPr>
          <w:rFonts w:ascii="Times New Roman" w:eastAsia="Times New Roman" w:hAnsi="Times New Roman" w:cs="Times New Roman"/>
          <w:color w:val="000000"/>
          <w:sz w:val="24"/>
          <w:szCs w:val="24"/>
        </w:rPr>
        <w:t xml:space="preserve"> should apply to the cases – did not apply the concept in the correct context. In his seminal article, Coase discusses how private bargaining could handle issues arriving from externalities. However, this is not the scenario presented in the legal disputes analysed in this work, where parties discuss the breach of obligations created by </w:t>
      </w:r>
      <w:r>
        <w:rPr>
          <w:rFonts w:ascii="Times New Roman" w:eastAsia="Times New Roman" w:hAnsi="Times New Roman" w:cs="Times New Roman"/>
          <w:i/>
          <w:color w:val="000000"/>
          <w:sz w:val="24"/>
          <w:szCs w:val="24"/>
        </w:rPr>
        <w:t>previously agreed</w:t>
      </w:r>
      <w:r>
        <w:rPr>
          <w:rFonts w:ascii="Times New Roman" w:eastAsia="Times New Roman" w:hAnsi="Times New Roman" w:cs="Times New Roman"/>
          <w:color w:val="000000"/>
          <w:sz w:val="24"/>
          <w:szCs w:val="24"/>
        </w:rPr>
        <w:t xml:space="preserve"> contracts. </w:t>
      </w:r>
    </w:p>
    <w:p w14:paraId="00000023" w14:textId="037F4EF1" w:rsidR="00D0624F" w:rsidRDefault="007C5A1E">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Another important aspect is that the excerpts mentioned in the judgments advocate the idea that the “free market”</w:t>
      </w:r>
      <w:r w:rsidR="00F50FDA">
        <w:rPr>
          <w:rFonts w:ascii="Times New Roman" w:eastAsia="Times New Roman" w:hAnsi="Times New Roman" w:cs="Times New Roman"/>
          <w:color w:val="000000"/>
          <w:sz w:val="24"/>
          <w:szCs w:val="24"/>
        </w:rPr>
        <w:t xml:space="preserve"> system</w:t>
      </w:r>
      <w:r>
        <w:rPr>
          <w:rFonts w:ascii="Times New Roman" w:eastAsia="Times New Roman" w:hAnsi="Times New Roman" w:cs="Times New Roman"/>
          <w:color w:val="000000"/>
          <w:sz w:val="24"/>
          <w:szCs w:val="24"/>
        </w:rPr>
        <w:t xml:space="preserve"> can resolve externalities. In other words, judges believed that private agreements could solve the problem without the need for judicial intervention. However, this contradicts the fact that in all the cases, private parties themselves resorted to the Judiciary seeking a solution. They were unable to reach an agreement through private negotiation, demanding a third party to resolve their dispute. Since the theorem primarily deals with agreements and the possibility of negotiation between two parties, “</w:t>
      </w:r>
      <w:proofErr w:type="spellStart"/>
      <w:r>
        <w:rPr>
          <w:rFonts w:ascii="Times New Roman" w:eastAsia="Times New Roman" w:hAnsi="Times New Roman" w:cs="Times New Roman"/>
          <w:color w:val="000000"/>
          <w:sz w:val="24"/>
          <w:szCs w:val="24"/>
        </w:rPr>
        <w:t>Coasean</w:t>
      </w:r>
      <w:proofErr w:type="spellEnd"/>
      <w:r>
        <w:rPr>
          <w:rFonts w:ascii="Times New Roman" w:eastAsia="Times New Roman" w:hAnsi="Times New Roman" w:cs="Times New Roman"/>
          <w:color w:val="000000"/>
          <w:sz w:val="24"/>
          <w:szCs w:val="24"/>
        </w:rPr>
        <w:t>” judges would have to stimulate parties’ private bargaining. However, the theorem was mentioned in the final decisions of each case, when such a possibility was already non-existent.</w:t>
      </w:r>
    </w:p>
    <w:p w14:paraId="00000024" w14:textId="77777777" w:rsidR="00D0624F" w:rsidRDefault="007C5A1E">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Besides applying the concept in the wrong context, judges overlooked the redistributive aspects involved in the cases. Just as one can argue that the real estate market would suffer from the judicial review of the discussed contracts, it can also be asserted that people’s lives could have been severely impacted by the lack of protective measures during a period of crisis.</w:t>
      </w:r>
    </w:p>
    <w:p w14:paraId="00000025" w14:textId="77777777" w:rsidR="00D0624F" w:rsidRDefault="007C5A1E">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COVID-19 pandemic had a severe impact on the poorest segment of the population, exacerbating the already precarious socio-economic conditions of these families.</w:t>
      </w:r>
      <w:r>
        <w:rPr>
          <w:rFonts w:ascii="Times New Roman" w:eastAsia="Times New Roman" w:hAnsi="Times New Roman" w:cs="Times New Roman"/>
          <w:color w:val="000000"/>
          <w:sz w:val="24"/>
          <w:szCs w:val="24"/>
          <w:vertAlign w:val="superscript"/>
        </w:rPr>
        <w:footnoteReference w:id="31"/>
      </w:r>
      <w:r>
        <w:rPr>
          <w:rFonts w:ascii="Times New Roman" w:eastAsia="Times New Roman" w:hAnsi="Times New Roman" w:cs="Times New Roman"/>
          <w:color w:val="000000"/>
          <w:sz w:val="24"/>
          <w:szCs w:val="24"/>
        </w:rPr>
        <w:t xml:space="preserve"> A World Bank study highlights that the pandemic affected poor urban households and may have increased inequality in urban areas.</w:t>
      </w:r>
      <w:r>
        <w:rPr>
          <w:rFonts w:ascii="Times New Roman" w:eastAsia="Times New Roman" w:hAnsi="Times New Roman" w:cs="Times New Roman"/>
          <w:color w:val="000000"/>
          <w:sz w:val="24"/>
          <w:szCs w:val="24"/>
          <w:vertAlign w:val="superscript"/>
        </w:rPr>
        <w:footnoteReference w:id="32"/>
      </w:r>
      <w:r>
        <w:rPr>
          <w:rFonts w:ascii="Times New Roman" w:eastAsia="Times New Roman" w:hAnsi="Times New Roman" w:cs="Times New Roman"/>
          <w:color w:val="000000"/>
          <w:sz w:val="24"/>
          <w:szCs w:val="24"/>
        </w:rPr>
        <w:t xml:space="preserve"> This is even more concerning in Brazil, where tenancy disputes are characterized by a redistributive conflict: there is an overrepresentation of the poorest segment of the population living in rented accommodations.</w:t>
      </w:r>
      <w:r>
        <w:rPr>
          <w:rFonts w:ascii="Times New Roman" w:eastAsia="Times New Roman" w:hAnsi="Times New Roman" w:cs="Times New Roman"/>
          <w:color w:val="000000"/>
          <w:sz w:val="24"/>
          <w:szCs w:val="24"/>
          <w:vertAlign w:val="superscript"/>
        </w:rPr>
        <w:footnoteReference w:id="33"/>
      </w:r>
      <w:r>
        <w:rPr>
          <w:rFonts w:ascii="Times New Roman" w:eastAsia="Times New Roman" w:hAnsi="Times New Roman" w:cs="Times New Roman"/>
          <w:color w:val="000000"/>
          <w:sz w:val="24"/>
          <w:szCs w:val="24"/>
        </w:rPr>
        <w:t xml:space="preserve"> Moreover, the financial burden of rental payments tends to weigh heavier on the poorest households, often consuming a larger portion of their budgets.</w:t>
      </w:r>
      <w:r>
        <w:rPr>
          <w:rFonts w:ascii="Times New Roman" w:eastAsia="Times New Roman" w:hAnsi="Times New Roman" w:cs="Times New Roman"/>
          <w:color w:val="000000"/>
          <w:sz w:val="24"/>
          <w:szCs w:val="24"/>
          <w:vertAlign w:val="superscript"/>
        </w:rPr>
        <w:footnoteReference w:id="34"/>
      </w:r>
    </w:p>
    <w:p w14:paraId="00000026" w14:textId="77777777" w:rsidR="00D0624F" w:rsidRDefault="007C5A1E">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pandemic-induced crisis period, many countries adopted tenant protection policies such as eviction suspensions and the possibility to defer rent payments.</w:t>
      </w:r>
      <w:r>
        <w:rPr>
          <w:rFonts w:ascii="Times New Roman" w:eastAsia="Times New Roman" w:hAnsi="Times New Roman" w:cs="Times New Roman"/>
          <w:color w:val="000000"/>
          <w:sz w:val="24"/>
          <w:szCs w:val="24"/>
          <w:vertAlign w:val="superscript"/>
        </w:rPr>
        <w:footnoteReference w:id="35"/>
      </w:r>
      <w:r>
        <w:rPr>
          <w:rFonts w:ascii="Times New Roman" w:eastAsia="Times New Roman" w:hAnsi="Times New Roman" w:cs="Times New Roman"/>
          <w:color w:val="000000"/>
          <w:sz w:val="24"/>
          <w:szCs w:val="24"/>
        </w:rPr>
        <w:t xml:space="preserve"> These measures were implemented to ensure housing security for the most vulnerable families and alleviate the pandemic’s negative effects on their living conditions.</w:t>
      </w:r>
    </w:p>
    <w:p w14:paraId="00000027" w14:textId="6D5D3CFE" w:rsidR="00D0624F" w:rsidRDefault="007C5A1E">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However, the decisions examined in this work despite addressing potential consequences within the rental market, failed to adequately evaluate the likely impacts on inequality and individuals’ well-being. This is even more important in times of crisis, where already existing disparities become more pronounced. </w:t>
      </w:r>
    </w:p>
    <w:p w14:paraId="00000028" w14:textId="77777777" w:rsidR="00D0624F" w:rsidRDefault="00D0624F">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p>
    <w:p w14:paraId="00000029" w14:textId="77777777" w:rsidR="00D0624F" w:rsidRDefault="007C5A1E">
      <w:pPr>
        <w:pBdr>
          <w:top w:val="nil"/>
          <w:left w:val="nil"/>
          <w:bottom w:val="nil"/>
          <w:right w:val="nil"/>
          <w:between w:val="nil"/>
        </w:pBdr>
        <w:tabs>
          <w:tab w:val="center" w:pos="5400"/>
        </w:tabs>
        <w:spacing w:line="360" w:lineRule="auto"/>
        <w:ind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0000002A" w14:textId="77777777" w:rsidR="00D0624F" w:rsidRDefault="007C5A1E">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Economics, often regarded as the “king of social sciences”</w:t>
      </w:r>
      <w:r>
        <w:rPr>
          <w:rFonts w:ascii="Times New Roman" w:eastAsia="Times New Roman" w:hAnsi="Times New Roman" w:cs="Times New Roman"/>
          <w:color w:val="000000"/>
          <w:sz w:val="24"/>
          <w:szCs w:val="24"/>
          <w:vertAlign w:val="superscript"/>
        </w:rPr>
        <w:footnoteReference w:id="36"/>
      </w:r>
      <w:r>
        <w:rPr>
          <w:rFonts w:ascii="Times New Roman" w:eastAsia="Times New Roman" w:hAnsi="Times New Roman" w:cs="Times New Roman"/>
          <w:color w:val="000000"/>
          <w:sz w:val="24"/>
          <w:szCs w:val="24"/>
        </w:rPr>
        <w:t>, frequently extends its influence into other disciplines, such as Law. This phenomenon can yield positive outcomes, given the increasing complexity and interdisciplinary nature of modern problems. Nevertheless, this receptivity to new knowledge demands further reflection. This implies that economic concepts and theories, rather than being accepted as indisputable points, should be subject to questioning.</w:t>
      </w:r>
    </w:p>
    <w:p w14:paraId="0000002C" w14:textId="3E6C062E" w:rsidR="00D0624F" w:rsidRDefault="007C5A1E" w:rsidP="00287372">
      <w:pPr>
        <w:pBdr>
          <w:top w:val="nil"/>
          <w:left w:val="nil"/>
          <w:bottom w:val="nil"/>
          <w:right w:val="nil"/>
          <w:between w:val="nil"/>
        </w:pBdr>
        <w:tabs>
          <w:tab w:val="center" w:pos="5400"/>
        </w:tab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cases </w:t>
      </w:r>
      <w:r>
        <w:rPr>
          <w:rFonts w:ascii="Times New Roman" w:eastAsia="Times New Roman" w:hAnsi="Times New Roman" w:cs="Times New Roman"/>
          <w:sz w:val="24"/>
          <w:szCs w:val="24"/>
        </w:rPr>
        <w:t>analysed</w:t>
      </w:r>
      <w:r>
        <w:rPr>
          <w:rFonts w:ascii="Times New Roman" w:eastAsia="Times New Roman" w:hAnsi="Times New Roman" w:cs="Times New Roman"/>
          <w:color w:val="000000"/>
          <w:sz w:val="24"/>
          <w:szCs w:val="24"/>
        </w:rPr>
        <w:t xml:space="preserve">, judges used a concept from L&amp;E rhetorically as an argument of authority to substantiate their decisions. Apart from disregarding the limitations of the “impure” Coase theorem, the use was made without deeper consideration of the redistributive aspects involved in these legal disputes. This does not imply that the interchange between Law and Economics is inherently negative. Rather, it </w:t>
      </w:r>
      <w:r>
        <w:rPr>
          <w:rFonts w:ascii="Times New Roman" w:eastAsia="Times New Roman" w:hAnsi="Times New Roman" w:cs="Times New Roman"/>
          <w:sz w:val="24"/>
          <w:szCs w:val="24"/>
        </w:rPr>
        <w:t>emphasises</w:t>
      </w:r>
      <w:r>
        <w:rPr>
          <w:rFonts w:ascii="Times New Roman" w:eastAsia="Times New Roman" w:hAnsi="Times New Roman" w:cs="Times New Roman"/>
          <w:color w:val="000000"/>
          <w:sz w:val="24"/>
          <w:szCs w:val="24"/>
        </w:rPr>
        <w:t xml:space="preserve"> the necessity for more extensive discussions regarding the integration of lessons derived from Economics into the domain of Law. L&amp;E can indeed be a “good” and “successful” idea when it genuinely contributes to advancing legal science.</w:t>
      </w:r>
      <w:r>
        <w:rPr>
          <w:rFonts w:ascii="Times New Roman" w:eastAsia="Times New Roman" w:hAnsi="Times New Roman" w:cs="Times New Roman"/>
          <w:color w:val="000000"/>
          <w:sz w:val="24"/>
          <w:szCs w:val="24"/>
          <w:vertAlign w:val="superscript"/>
        </w:rPr>
        <w:footnoteReference w:id="37"/>
      </w:r>
    </w:p>
    <w:sectPr w:rsidR="00D0624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3776D" w14:textId="77777777" w:rsidR="00B964A9" w:rsidRDefault="00B964A9">
      <w:pPr>
        <w:spacing w:after="0" w:line="240" w:lineRule="auto"/>
      </w:pPr>
      <w:r>
        <w:separator/>
      </w:r>
    </w:p>
  </w:endnote>
  <w:endnote w:type="continuationSeparator" w:id="0">
    <w:p w14:paraId="2537DB20" w14:textId="77777777" w:rsidR="00B964A9" w:rsidRDefault="00B9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5" w14:textId="32C32D0E" w:rsidR="00D0624F" w:rsidRDefault="007C5A1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874D0">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0000056" w14:textId="77777777" w:rsidR="00D0624F" w:rsidRDefault="00D0624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BE369" w14:textId="77777777" w:rsidR="00B964A9" w:rsidRDefault="00B964A9">
      <w:pPr>
        <w:spacing w:after="0" w:line="240" w:lineRule="auto"/>
      </w:pPr>
      <w:r>
        <w:separator/>
      </w:r>
    </w:p>
  </w:footnote>
  <w:footnote w:type="continuationSeparator" w:id="0">
    <w:p w14:paraId="6BD691FF" w14:textId="77777777" w:rsidR="00B964A9" w:rsidRDefault="00B964A9">
      <w:pPr>
        <w:spacing w:after="0" w:line="240" w:lineRule="auto"/>
      </w:pPr>
      <w:r>
        <w:continuationSeparator/>
      </w:r>
    </w:p>
  </w:footnote>
  <w:footnote w:id="1">
    <w:p w14:paraId="0000002E"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Richard A. Posner &amp; William M. </w:t>
      </w:r>
      <w:proofErr w:type="spellStart"/>
      <w:r w:rsidRPr="00D874D0">
        <w:rPr>
          <w:rFonts w:asciiTheme="majorBidi" w:hAnsiTheme="majorBidi" w:cstheme="majorBidi"/>
          <w:color w:val="000000"/>
          <w:sz w:val="20"/>
          <w:szCs w:val="20"/>
        </w:rPr>
        <w:t>Landes</w:t>
      </w:r>
      <w:proofErr w:type="spellEnd"/>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The Influence of Economics on Law: A Quantitative Study</w:t>
      </w:r>
      <w:r w:rsidRPr="00D874D0">
        <w:rPr>
          <w:rFonts w:asciiTheme="majorBidi" w:hAnsiTheme="majorBidi" w:cstheme="majorBidi"/>
          <w:color w:val="000000"/>
          <w:sz w:val="20"/>
          <w:szCs w:val="20"/>
        </w:rPr>
        <w:t xml:space="preserve">, 36 </w:t>
      </w:r>
      <w:r w:rsidRPr="00D874D0">
        <w:rPr>
          <w:rFonts w:asciiTheme="majorBidi" w:hAnsiTheme="majorBidi" w:cstheme="majorBidi"/>
          <w:smallCaps/>
          <w:color w:val="000000"/>
          <w:sz w:val="20"/>
          <w:szCs w:val="20"/>
        </w:rPr>
        <w:t>Journal of Law and Economics</w:t>
      </w:r>
      <w:r w:rsidRPr="00D874D0">
        <w:rPr>
          <w:rFonts w:asciiTheme="majorBidi" w:hAnsiTheme="majorBidi" w:cstheme="majorBidi"/>
          <w:color w:val="000000"/>
          <w:sz w:val="20"/>
          <w:szCs w:val="20"/>
        </w:rPr>
        <w:t xml:space="preserve"> 153 (1993).</w:t>
      </w:r>
    </w:p>
  </w:footnote>
  <w:footnote w:id="2">
    <w:p w14:paraId="0000002F"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sz w:val="20"/>
          <w:szCs w:val="20"/>
        </w:rPr>
        <w:t xml:space="preserve"> Carole M. </w:t>
      </w:r>
      <w:proofErr w:type="spellStart"/>
      <w:r w:rsidRPr="00D874D0">
        <w:rPr>
          <w:rFonts w:asciiTheme="majorBidi" w:hAnsiTheme="majorBidi" w:cstheme="majorBidi"/>
          <w:sz w:val="20"/>
          <w:szCs w:val="20"/>
        </w:rPr>
        <w:t>Billiet</w:t>
      </w:r>
      <w:proofErr w:type="spellEnd"/>
      <w:r w:rsidRPr="00D874D0">
        <w:rPr>
          <w:rFonts w:asciiTheme="majorBidi" w:hAnsiTheme="majorBidi" w:cstheme="majorBidi"/>
          <w:sz w:val="20"/>
          <w:szCs w:val="20"/>
        </w:rPr>
        <w:t xml:space="preserve">, </w:t>
      </w:r>
      <w:r w:rsidRPr="00D874D0">
        <w:rPr>
          <w:rFonts w:asciiTheme="majorBidi" w:hAnsiTheme="majorBidi" w:cstheme="majorBidi"/>
          <w:i/>
          <w:sz w:val="20"/>
          <w:szCs w:val="20"/>
        </w:rPr>
        <w:t>Formats for Law and Economics in Legal Scholarship: Views and Wishes from Europe</w:t>
      </w:r>
      <w:r w:rsidRPr="00D874D0">
        <w:rPr>
          <w:rFonts w:asciiTheme="majorBidi" w:hAnsiTheme="majorBidi" w:cstheme="majorBidi"/>
          <w:sz w:val="20"/>
          <w:szCs w:val="20"/>
        </w:rPr>
        <w:t xml:space="preserve">, </w:t>
      </w:r>
      <w:r w:rsidRPr="00D874D0">
        <w:rPr>
          <w:rFonts w:asciiTheme="majorBidi" w:hAnsiTheme="majorBidi" w:cstheme="majorBidi"/>
          <w:smallCaps/>
          <w:sz w:val="20"/>
          <w:szCs w:val="20"/>
        </w:rPr>
        <w:t xml:space="preserve">University of Illinois Law Review </w:t>
      </w:r>
      <w:r w:rsidRPr="00D874D0">
        <w:rPr>
          <w:rFonts w:asciiTheme="majorBidi" w:hAnsiTheme="majorBidi" w:cstheme="majorBidi"/>
          <w:sz w:val="20"/>
          <w:szCs w:val="20"/>
        </w:rPr>
        <w:t>1485 (2011).</w:t>
      </w:r>
    </w:p>
  </w:footnote>
  <w:footnote w:id="3">
    <w:p w14:paraId="00000030"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sz w:val="20"/>
          <w:szCs w:val="20"/>
        </w:rPr>
        <w:t xml:space="preserve"> Mariana </w:t>
      </w:r>
      <w:proofErr w:type="spellStart"/>
      <w:r w:rsidRPr="00D874D0">
        <w:rPr>
          <w:rFonts w:asciiTheme="majorBidi" w:hAnsiTheme="majorBidi" w:cstheme="majorBidi"/>
          <w:sz w:val="20"/>
          <w:szCs w:val="20"/>
        </w:rPr>
        <w:t>Pargendler</w:t>
      </w:r>
      <w:proofErr w:type="spellEnd"/>
      <w:r w:rsidRPr="00D874D0">
        <w:rPr>
          <w:rFonts w:asciiTheme="majorBidi" w:hAnsiTheme="majorBidi" w:cstheme="majorBidi"/>
          <w:sz w:val="20"/>
          <w:szCs w:val="20"/>
        </w:rPr>
        <w:t xml:space="preserve"> &amp; Bruno Salama, </w:t>
      </w:r>
      <w:r w:rsidRPr="00D874D0">
        <w:rPr>
          <w:rFonts w:asciiTheme="majorBidi" w:hAnsiTheme="majorBidi" w:cstheme="majorBidi"/>
          <w:i/>
          <w:sz w:val="20"/>
          <w:szCs w:val="20"/>
        </w:rPr>
        <w:t>Law and Economics in the Civil Law World: The Case of Brazilian Courts</w:t>
      </w:r>
      <w:r w:rsidRPr="00D874D0">
        <w:rPr>
          <w:rFonts w:asciiTheme="majorBidi" w:hAnsiTheme="majorBidi" w:cstheme="majorBidi"/>
          <w:sz w:val="20"/>
          <w:szCs w:val="20"/>
        </w:rPr>
        <w:t xml:space="preserve">, 90 </w:t>
      </w:r>
      <w:r w:rsidRPr="00D874D0">
        <w:rPr>
          <w:rFonts w:asciiTheme="majorBidi" w:hAnsiTheme="majorBidi" w:cstheme="majorBidi"/>
          <w:smallCaps/>
          <w:sz w:val="20"/>
          <w:szCs w:val="20"/>
        </w:rPr>
        <w:t>Tulane Law Review</w:t>
      </w:r>
      <w:r w:rsidRPr="00D874D0">
        <w:rPr>
          <w:rFonts w:asciiTheme="majorBidi" w:hAnsiTheme="majorBidi" w:cstheme="majorBidi"/>
          <w:sz w:val="20"/>
          <w:szCs w:val="20"/>
        </w:rPr>
        <w:t xml:space="preserve"> 439 (2015).</w:t>
      </w:r>
    </w:p>
  </w:footnote>
  <w:footnote w:id="4">
    <w:p w14:paraId="00000031"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sz w:val="20"/>
          <w:szCs w:val="20"/>
        </w:rPr>
        <w:t xml:space="preserve"> Data obtained by the applicant through research using the term in Portuguese “</w:t>
      </w:r>
      <w:proofErr w:type="spellStart"/>
      <w:r w:rsidRPr="00D874D0">
        <w:rPr>
          <w:rFonts w:asciiTheme="majorBidi" w:hAnsiTheme="majorBidi" w:cstheme="majorBidi"/>
          <w:sz w:val="20"/>
          <w:szCs w:val="20"/>
        </w:rPr>
        <w:t>Análise</w:t>
      </w:r>
      <w:proofErr w:type="spellEnd"/>
      <w:r w:rsidRPr="00D874D0">
        <w:rPr>
          <w:rFonts w:asciiTheme="majorBidi" w:hAnsiTheme="majorBidi" w:cstheme="majorBidi"/>
          <w:sz w:val="20"/>
          <w:szCs w:val="20"/>
        </w:rPr>
        <w:t xml:space="preserve"> </w:t>
      </w:r>
      <w:proofErr w:type="spellStart"/>
      <w:r w:rsidRPr="00D874D0">
        <w:rPr>
          <w:rFonts w:asciiTheme="majorBidi" w:hAnsiTheme="majorBidi" w:cstheme="majorBidi"/>
          <w:sz w:val="20"/>
          <w:szCs w:val="20"/>
        </w:rPr>
        <w:t>Econômica</w:t>
      </w:r>
      <w:proofErr w:type="spellEnd"/>
      <w:r w:rsidRPr="00D874D0">
        <w:rPr>
          <w:rFonts w:asciiTheme="majorBidi" w:hAnsiTheme="majorBidi" w:cstheme="majorBidi"/>
          <w:sz w:val="20"/>
          <w:szCs w:val="20"/>
        </w:rPr>
        <w:t xml:space="preserve"> do </w:t>
      </w:r>
      <w:proofErr w:type="spellStart"/>
      <w:r w:rsidRPr="00D874D0">
        <w:rPr>
          <w:rFonts w:asciiTheme="majorBidi" w:hAnsiTheme="majorBidi" w:cstheme="majorBidi"/>
          <w:sz w:val="20"/>
          <w:szCs w:val="20"/>
        </w:rPr>
        <w:t>Direito</w:t>
      </w:r>
      <w:proofErr w:type="spellEnd"/>
      <w:r w:rsidRPr="00D874D0">
        <w:rPr>
          <w:rFonts w:asciiTheme="majorBidi" w:hAnsiTheme="majorBidi" w:cstheme="majorBidi"/>
          <w:sz w:val="20"/>
          <w:szCs w:val="20"/>
        </w:rPr>
        <w:t>” (in English, “Law and Economics”) in the Google Scholar tool. If in 2000 there were 10 works published referencing such a term, in 2022 the number rose to 1650.</w:t>
      </w:r>
    </w:p>
  </w:footnote>
  <w:footnote w:id="5">
    <w:p w14:paraId="00000032"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sz w:val="20"/>
          <w:szCs w:val="20"/>
          <w:lang w:val="pt-BR"/>
        </w:rPr>
      </w:pPr>
      <w:r w:rsidRPr="00D874D0">
        <w:rPr>
          <w:rFonts w:asciiTheme="majorBidi" w:hAnsiTheme="majorBidi" w:cstheme="majorBidi"/>
          <w:sz w:val="20"/>
          <w:szCs w:val="20"/>
          <w:vertAlign w:val="superscript"/>
        </w:rPr>
        <w:footnoteRef/>
      </w:r>
      <w:r w:rsidRPr="00D874D0">
        <w:rPr>
          <w:rFonts w:asciiTheme="majorBidi" w:hAnsiTheme="majorBidi" w:cstheme="majorBidi"/>
          <w:sz w:val="20"/>
          <w:szCs w:val="20"/>
          <w:lang w:val="pt-BR"/>
        </w:rPr>
        <w:t xml:space="preserve"> Pargendler &amp; </w:t>
      </w:r>
      <w:proofErr w:type="spellStart"/>
      <w:r w:rsidRPr="00D874D0">
        <w:rPr>
          <w:rFonts w:asciiTheme="majorBidi" w:hAnsiTheme="majorBidi" w:cstheme="majorBidi"/>
          <w:sz w:val="20"/>
          <w:szCs w:val="20"/>
          <w:lang w:val="pt-BR"/>
        </w:rPr>
        <w:t>Salama</w:t>
      </w:r>
      <w:proofErr w:type="spellEnd"/>
      <w:r w:rsidRPr="00D874D0">
        <w:rPr>
          <w:rFonts w:asciiTheme="majorBidi" w:hAnsiTheme="majorBidi" w:cstheme="majorBidi"/>
          <w:sz w:val="20"/>
          <w:szCs w:val="20"/>
          <w:lang w:val="pt-BR"/>
        </w:rPr>
        <w:t xml:space="preserve">, </w:t>
      </w:r>
      <w:r w:rsidRPr="00D874D0">
        <w:rPr>
          <w:rFonts w:asciiTheme="majorBidi" w:hAnsiTheme="majorBidi" w:cstheme="majorBidi"/>
          <w:i/>
          <w:sz w:val="20"/>
          <w:szCs w:val="20"/>
          <w:lang w:val="pt-BR"/>
        </w:rPr>
        <w:t xml:space="preserve">supra </w:t>
      </w:r>
      <w:r w:rsidRPr="00D874D0">
        <w:rPr>
          <w:rFonts w:asciiTheme="majorBidi" w:hAnsiTheme="majorBidi" w:cstheme="majorBidi"/>
          <w:sz w:val="20"/>
          <w:szCs w:val="20"/>
          <w:lang w:val="pt-BR"/>
        </w:rPr>
        <w:t xml:space="preserve">note 4. </w:t>
      </w:r>
    </w:p>
  </w:footnote>
  <w:footnote w:id="6">
    <w:p w14:paraId="00000033"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lang w:val="pt-BR"/>
        </w:rPr>
      </w:pPr>
      <w:r w:rsidRPr="00D874D0">
        <w:rPr>
          <w:rFonts w:asciiTheme="majorBidi" w:hAnsiTheme="majorBidi" w:cstheme="majorBidi"/>
          <w:sz w:val="20"/>
          <w:szCs w:val="20"/>
          <w:vertAlign w:val="superscript"/>
        </w:rPr>
        <w:footnoteRef/>
      </w:r>
      <w:r w:rsidRPr="00D874D0">
        <w:rPr>
          <w:rFonts w:asciiTheme="majorBidi" w:hAnsiTheme="majorBidi" w:cstheme="majorBidi"/>
          <w:sz w:val="20"/>
          <w:szCs w:val="20"/>
          <w:lang w:val="pt-BR"/>
        </w:rPr>
        <w:t xml:space="preserve"> </w:t>
      </w:r>
      <w:r w:rsidRPr="00D874D0">
        <w:rPr>
          <w:rFonts w:asciiTheme="majorBidi" w:hAnsiTheme="majorBidi" w:cstheme="majorBidi"/>
          <w:smallCaps/>
          <w:sz w:val="20"/>
          <w:szCs w:val="20"/>
          <w:lang w:val="pt-BR"/>
        </w:rPr>
        <w:t xml:space="preserve">Christiane </w:t>
      </w:r>
      <w:proofErr w:type="spellStart"/>
      <w:r w:rsidRPr="00D874D0">
        <w:rPr>
          <w:rFonts w:asciiTheme="majorBidi" w:hAnsiTheme="majorBidi" w:cstheme="majorBidi"/>
          <w:smallCaps/>
          <w:sz w:val="20"/>
          <w:szCs w:val="20"/>
          <w:lang w:val="pt-BR"/>
        </w:rPr>
        <w:t>Leles</w:t>
      </w:r>
      <w:proofErr w:type="spellEnd"/>
      <w:r w:rsidRPr="00D874D0">
        <w:rPr>
          <w:rFonts w:asciiTheme="majorBidi" w:hAnsiTheme="majorBidi" w:cstheme="majorBidi"/>
          <w:smallCaps/>
          <w:sz w:val="20"/>
          <w:szCs w:val="20"/>
          <w:lang w:val="pt-BR"/>
        </w:rPr>
        <w:t xml:space="preserve"> Rezende, Pacta Sunt servanda? Quebra dos Contratos de Soja Verde</w:t>
      </w:r>
      <w:r w:rsidRPr="00D874D0">
        <w:rPr>
          <w:rFonts w:asciiTheme="majorBidi" w:hAnsiTheme="majorBidi" w:cstheme="majorBidi"/>
          <w:sz w:val="20"/>
          <w:szCs w:val="20"/>
          <w:lang w:val="pt-BR"/>
        </w:rPr>
        <w:t xml:space="preserve"> (</w:t>
      </w:r>
      <w:proofErr w:type="spellStart"/>
      <w:r w:rsidRPr="00D874D0">
        <w:rPr>
          <w:rFonts w:asciiTheme="majorBidi" w:hAnsiTheme="majorBidi" w:cstheme="majorBidi"/>
          <w:sz w:val="20"/>
          <w:szCs w:val="20"/>
          <w:lang w:val="pt-BR"/>
        </w:rPr>
        <w:t>Doctoral</w:t>
      </w:r>
      <w:proofErr w:type="spellEnd"/>
      <w:r w:rsidRPr="00D874D0">
        <w:rPr>
          <w:rFonts w:asciiTheme="majorBidi" w:hAnsiTheme="majorBidi" w:cstheme="majorBidi"/>
          <w:sz w:val="20"/>
          <w:szCs w:val="20"/>
          <w:lang w:val="pt-BR"/>
        </w:rPr>
        <w:t xml:space="preserve"> </w:t>
      </w:r>
      <w:proofErr w:type="spellStart"/>
      <w:r w:rsidRPr="00D874D0">
        <w:rPr>
          <w:rFonts w:asciiTheme="majorBidi" w:hAnsiTheme="majorBidi" w:cstheme="majorBidi"/>
          <w:sz w:val="20"/>
          <w:szCs w:val="20"/>
          <w:lang w:val="pt-BR"/>
        </w:rPr>
        <w:t>Thesis</w:t>
      </w:r>
      <w:proofErr w:type="spellEnd"/>
      <w:r w:rsidRPr="00D874D0">
        <w:rPr>
          <w:rFonts w:asciiTheme="majorBidi" w:hAnsiTheme="majorBidi" w:cstheme="majorBidi"/>
          <w:sz w:val="20"/>
          <w:szCs w:val="20"/>
          <w:lang w:val="pt-BR"/>
        </w:rPr>
        <w:t>, USP, 2008).</w:t>
      </w:r>
    </w:p>
  </w:footnote>
  <w:footnote w:id="7">
    <w:p w14:paraId="00000034"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lang w:val="pt-BR"/>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lang w:val="pt-BR"/>
        </w:rPr>
        <w:t xml:space="preserve"> Luísa Martins &amp; Isadora Peron, </w:t>
      </w:r>
      <w:r w:rsidRPr="00D874D0">
        <w:rPr>
          <w:rFonts w:asciiTheme="majorBidi" w:hAnsiTheme="majorBidi" w:cstheme="majorBidi"/>
          <w:i/>
          <w:color w:val="000000"/>
          <w:sz w:val="20"/>
          <w:szCs w:val="20"/>
          <w:lang w:val="pt-BR"/>
        </w:rPr>
        <w:t>Barroso Inova e Contrata Economista para Equipe no STF</w:t>
      </w:r>
      <w:r w:rsidRPr="00D874D0">
        <w:rPr>
          <w:rFonts w:asciiTheme="majorBidi" w:hAnsiTheme="majorBidi" w:cstheme="majorBidi"/>
          <w:color w:val="000000"/>
          <w:sz w:val="20"/>
          <w:szCs w:val="20"/>
          <w:lang w:val="pt-BR"/>
        </w:rPr>
        <w:t xml:space="preserve">, </w:t>
      </w:r>
      <w:r w:rsidRPr="00D874D0">
        <w:rPr>
          <w:rFonts w:asciiTheme="majorBidi" w:hAnsiTheme="majorBidi" w:cstheme="majorBidi"/>
          <w:smallCaps/>
          <w:color w:val="000000"/>
          <w:sz w:val="20"/>
          <w:szCs w:val="20"/>
          <w:lang w:val="pt-BR"/>
        </w:rPr>
        <w:t>Valor Econômico</w:t>
      </w:r>
      <w:r w:rsidRPr="00D874D0">
        <w:rPr>
          <w:rFonts w:asciiTheme="majorBidi" w:hAnsiTheme="majorBidi" w:cstheme="majorBidi"/>
          <w:color w:val="000000"/>
          <w:sz w:val="20"/>
          <w:szCs w:val="20"/>
          <w:lang w:val="pt-BR"/>
        </w:rPr>
        <w:t xml:space="preserve">, </w:t>
      </w:r>
      <w:hyperlink r:id="rId1">
        <w:r w:rsidRPr="00D874D0">
          <w:rPr>
            <w:rFonts w:asciiTheme="majorBidi" w:hAnsiTheme="majorBidi" w:cstheme="majorBidi"/>
            <w:color w:val="0563C1"/>
            <w:sz w:val="20"/>
            <w:szCs w:val="20"/>
            <w:u w:val="single"/>
            <w:lang w:val="pt-BR"/>
          </w:rPr>
          <w:t>https://valor.globo.com/politica/noticia/2023/08/28/barroso-inova-e-contrata-economista-para-equipe-no-stf.ghtml</w:t>
        </w:r>
      </w:hyperlink>
      <w:r w:rsidRPr="00D874D0">
        <w:rPr>
          <w:rFonts w:asciiTheme="majorBidi" w:hAnsiTheme="majorBidi" w:cstheme="majorBidi"/>
          <w:color w:val="000000"/>
          <w:sz w:val="20"/>
          <w:szCs w:val="20"/>
          <w:lang w:val="pt-BR"/>
        </w:rPr>
        <w:t xml:space="preserve">; </w:t>
      </w:r>
      <w:proofErr w:type="spellStart"/>
      <w:r w:rsidRPr="00D874D0">
        <w:rPr>
          <w:rFonts w:asciiTheme="majorBidi" w:hAnsiTheme="majorBidi" w:cstheme="majorBidi"/>
          <w:color w:val="000000"/>
          <w:sz w:val="20"/>
          <w:szCs w:val="20"/>
          <w:lang w:val="pt-BR"/>
        </w:rPr>
        <w:t>National</w:t>
      </w:r>
      <w:proofErr w:type="spellEnd"/>
      <w:r w:rsidRPr="00D874D0">
        <w:rPr>
          <w:rFonts w:asciiTheme="majorBidi" w:hAnsiTheme="majorBidi" w:cstheme="majorBidi"/>
          <w:color w:val="000000"/>
          <w:sz w:val="20"/>
          <w:szCs w:val="20"/>
          <w:lang w:val="pt-BR"/>
        </w:rPr>
        <w:t xml:space="preserve"> </w:t>
      </w:r>
      <w:proofErr w:type="spellStart"/>
      <w:r w:rsidRPr="00D874D0">
        <w:rPr>
          <w:rFonts w:asciiTheme="majorBidi" w:hAnsiTheme="majorBidi" w:cstheme="majorBidi"/>
          <w:color w:val="000000"/>
          <w:sz w:val="20"/>
          <w:szCs w:val="20"/>
          <w:lang w:val="pt-BR"/>
        </w:rPr>
        <w:t>Council</w:t>
      </w:r>
      <w:proofErr w:type="spellEnd"/>
      <w:r w:rsidRPr="00D874D0">
        <w:rPr>
          <w:rFonts w:asciiTheme="majorBidi" w:hAnsiTheme="majorBidi" w:cstheme="majorBidi"/>
          <w:color w:val="000000"/>
          <w:sz w:val="20"/>
          <w:szCs w:val="20"/>
          <w:lang w:val="pt-BR"/>
        </w:rPr>
        <w:t xml:space="preserve"> </w:t>
      </w:r>
      <w:proofErr w:type="spellStart"/>
      <w:r w:rsidRPr="00D874D0">
        <w:rPr>
          <w:rFonts w:asciiTheme="majorBidi" w:hAnsiTheme="majorBidi" w:cstheme="majorBidi"/>
          <w:color w:val="000000"/>
          <w:sz w:val="20"/>
          <w:szCs w:val="20"/>
          <w:lang w:val="pt-BR"/>
        </w:rPr>
        <w:t>of</w:t>
      </w:r>
      <w:proofErr w:type="spellEnd"/>
      <w:r w:rsidRPr="00D874D0">
        <w:rPr>
          <w:rFonts w:asciiTheme="majorBidi" w:hAnsiTheme="majorBidi" w:cstheme="majorBidi"/>
          <w:color w:val="000000"/>
          <w:sz w:val="20"/>
          <w:szCs w:val="20"/>
          <w:lang w:val="pt-BR"/>
        </w:rPr>
        <w:t xml:space="preserve"> Justice, Resolução Nº 423 </w:t>
      </w:r>
      <w:proofErr w:type="spellStart"/>
      <w:r w:rsidRPr="00D874D0">
        <w:rPr>
          <w:rFonts w:asciiTheme="majorBidi" w:hAnsiTheme="majorBidi" w:cstheme="majorBidi"/>
          <w:color w:val="000000"/>
          <w:sz w:val="20"/>
          <w:szCs w:val="20"/>
          <w:lang w:val="pt-BR"/>
        </w:rPr>
        <w:t>of</w:t>
      </w:r>
      <w:proofErr w:type="spellEnd"/>
      <w:r w:rsidRPr="00D874D0">
        <w:rPr>
          <w:rFonts w:asciiTheme="majorBidi" w:hAnsiTheme="majorBidi" w:cstheme="majorBidi"/>
          <w:color w:val="000000"/>
          <w:sz w:val="20"/>
          <w:szCs w:val="20"/>
          <w:lang w:val="pt-BR"/>
        </w:rPr>
        <w:t xml:space="preserve"> 2021 (</w:t>
      </w:r>
      <w:proofErr w:type="spellStart"/>
      <w:r w:rsidRPr="00D874D0">
        <w:rPr>
          <w:rFonts w:asciiTheme="majorBidi" w:hAnsiTheme="majorBidi" w:cstheme="majorBidi"/>
          <w:color w:val="000000"/>
          <w:sz w:val="20"/>
          <w:szCs w:val="20"/>
          <w:lang w:val="pt-BR"/>
        </w:rPr>
        <w:t>Brazil</w:t>
      </w:r>
      <w:proofErr w:type="spellEnd"/>
      <w:r w:rsidRPr="00D874D0">
        <w:rPr>
          <w:rFonts w:asciiTheme="majorBidi" w:hAnsiTheme="majorBidi" w:cstheme="majorBidi"/>
          <w:color w:val="000000"/>
          <w:sz w:val="20"/>
          <w:szCs w:val="20"/>
          <w:lang w:val="pt-BR"/>
        </w:rPr>
        <w:t>).</w:t>
      </w:r>
    </w:p>
  </w:footnote>
  <w:footnote w:id="8">
    <w:p w14:paraId="00000035" w14:textId="38489376"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00E17857">
        <w:rPr>
          <w:rFonts w:asciiTheme="majorBidi" w:hAnsiTheme="majorBidi" w:cstheme="majorBidi"/>
          <w:i/>
          <w:iCs/>
          <w:color w:val="000000"/>
          <w:sz w:val="20"/>
          <w:szCs w:val="20"/>
        </w:rPr>
        <w:t xml:space="preserve">See, e.g., </w:t>
      </w:r>
      <w:r w:rsidRPr="00D874D0">
        <w:rPr>
          <w:rFonts w:asciiTheme="majorBidi" w:hAnsiTheme="majorBidi" w:cstheme="majorBidi"/>
          <w:color w:val="000000"/>
          <w:sz w:val="20"/>
          <w:szCs w:val="20"/>
        </w:rPr>
        <w:t xml:space="preserve">Mohsen </w:t>
      </w:r>
      <w:proofErr w:type="spellStart"/>
      <w:r w:rsidRPr="00D874D0">
        <w:rPr>
          <w:rFonts w:asciiTheme="majorBidi" w:hAnsiTheme="majorBidi" w:cstheme="majorBidi"/>
          <w:color w:val="000000"/>
          <w:sz w:val="20"/>
          <w:szCs w:val="20"/>
        </w:rPr>
        <w:t>Javdani</w:t>
      </w:r>
      <w:proofErr w:type="spellEnd"/>
      <w:r w:rsidRPr="00D874D0">
        <w:rPr>
          <w:rFonts w:asciiTheme="majorBidi" w:hAnsiTheme="majorBidi" w:cstheme="majorBidi"/>
          <w:color w:val="000000"/>
          <w:sz w:val="20"/>
          <w:szCs w:val="20"/>
        </w:rPr>
        <w:t xml:space="preserve"> &amp; Ha-Joon Chang, </w:t>
      </w:r>
      <w:r w:rsidRPr="00D874D0">
        <w:rPr>
          <w:rFonts w:asciiTheme="majorBidi" w:hAnsiTheme="majorBidi" w:cstheme="majorBidi"/>
          <w:i/>
          <w:color w:val="000000"/>
          <w:sz w:val="20"/>
          <w:szCs w:val="20"/>
        </w:rPr>
        <w:t>Who Said or What Said? Estimating Ideological Bias in Views Among Economists</w:t>
      </w:r>
      <w:r w:rsidRPr="00D874D0">
        <w:rPr>
          <w:rFonts w:asciiTheme="majorBidi" w:hAnsiTheme="majorBidi" w:cstheme="majorBidi"/>
          <w:color w:val="000000"/>
          <w:sz w:val="20"/>
          <w:szCs w:val="20"/>
        </w:rPr>
        <w:t xml:space="preserve">, 47 </w:t>
      </w:r>
      <w:r w:rsidRPr="00D874D0">
        <w:rPr>
          <w:rFonts w:asciiTheme="majorBidi" w:hAnsiTheme="majorBidi" w:cstheme="majorBidi"/>
          <w:smallCaps/>
          <w:color w:val="000000"/>
          <w:sz w:val="20"/>
          <w:szCs w:val="20"/>
        </w:rPr>
        <w:t>Cambridge Journal of Economics</w:t>
      </w:r>
      <w:r w:rsidRPr="00D874D0">
        <w:rPr>
          <w:rFonts w:asciiTheme="majorBidi" w:hAnsiTheme="majorBidi" w:cstheme="majorBidi"/>
          <w:color w:val="000000"/>
          <w:sz w:val="20"/>
          <w:szCs w:val="20"/>
        </w:rPr>
        <w:t xml:space="preserve"> 309 (2023).</w:t>
      </w:r>
      <w:r w:rsidR="00E17857">
        <w:rPr>
          <w:rFonts w:asciiTheme="majorBidi" w:hAnsiTheme="majorBidi" w:cstheme="majorBidi"/>
          <w:color w:val="000000"/>
          <w:sz w:val="20"/>
          <w:szCs w:val="20"/>
        </w:rPr>
        <w:t xml:space="preserve"> For a discussion on the impacts of L&amp;E in the decision-making process of courts, </w:t>
      </w:r>
      <w:r w:rsidR="00E17857">
        <w:rPr>
          <w:rFonts w:asciiTheme="majorBidi" w:hAnsiTheme="majorBidi" w:cstheme="majorBidi"/>
          <w:i/>
          <w:iCs/>
          <w:color w:val="000000"/>
          <w:sz w:val="20"/>
          <w:szCs w:val="20"/>
        </w:rPr>
        <w:t>s</w:t>
      </w:r>
      <w:r w:rsidR="00E17857" w:rsidRPr="00E17857">
        <w:rPr>
          <w:rFonts w:asciiTheme="majorBidi" w:hAnsiTheme="majorBidi" w:cstheme="majorBidi"/>
          <w:i/>
          <w:iCs/>
          <w:color w:val="000000"/>
          <w:sz w:val="20"/>
          <w:szCs w:val="20"/>
        </w:rPr>
        <w:t xml:space="preserve">ee </w:t>
      </w:r>
      <w:r w:rsidR="00E17857" w:rsidRPr="000F53B8">
        <w:rPr>
          <w:rFonts w:asciiTheme="majorBidi" w:eastAsia="Times New Roman" w:hAnsiTheme="majorBidi" w:cstheme="majorBidi"/>
          <w:color w:val="000000"/>
          <w:sz w:val="20"/>
          <w:szCs w:val="20"/>
        </w:rPr>
        <w:t xml:space="preserve">Elliot Ash, Daniel L. Chen &amp; Suresh Naidu, </w:t>
      </w:r>
      <w:r w:rsidR="00E17857" w:rsidRPr="000F53B8">
        <w:rPr>
          <w:rFonts w:asciiTheme="majorBidi" w:eastAsia="Times New Roman" w:hAnsiTheme="majorBidi" w:cstheme="majorBidi"/>
          <w:i/>
          <w:color w:val="000000"/>
          <w:sz w:val="20"/>
          <w:szCs w:val="20"/>
        </w:rPr>
        <w:t xml:space="preserve">Ideas Have Consequences: The Impact of Law and Economics on American Justice </w:t>
      </w:r>
      <w:r w:rsidR="00E17857" w:rsidRPr="000F53B8">
        <w:rPr>
          <w:rFonts w:asciiTheme="majorBidi" w:eastAsia="Times New Roman" w:hAnsiTheme="majorBidi" w:cstheme="majorBidi"/>
          <w:color w:val="000000"/>
          <w:sz w:val="20"/>
          <w:szCs w:val="20"/>
        </w:rPr>
        <w:t xml:space="preserve">(National Bureau of Economic Research, Working Paper No.29788, 2012); </w:t>
      </w:r>
      <w:proofErr w:type="spellStart"/>
      <w:r w:rsidR="00E17857" w:rsidRPr="000F53B8">
        <w:rPr>
          <w:rFonts w:asciiTheme="majorBidi" w:eastAsia="Times New Roman" w:hAnsiTheme="majorBidi" w:cstheme="majorBidi"/>
          <w:smallCaps/>
          <w:color w:val="000000"/>
          <w:sz w:val="20"/>
          <w:szCs w:val="20"/>
        </w:rPr>
        <w:t>Siying</w:t>
      </w:r>
      <w:proofErr w:type="spellEnd"/>
      <w:r w:rsidR="00E17857" w:rsidRPr="000F53B8">
        <w:rPr>
          <w:rFonts w:asciiTheme="majorBidi" w:eastAsia="Times New Roman" w:hAnsiTheme="majorBidi" w:cstheme="majorBidi"/>
          <w:smallCaps/>
          <w:color w:val="000000"/>
          <w:sz w:val="20"/>
          <w:szCs w:val="20"/>
        </w:rPr>
        <w:t xml:space="preserve"> Cao, Quantifying Economic Reasoning in Court: Judge Economics Sophistication and pro-Business Orientation</w:t>
      </w:r>
      <w:r w:rsidR="00E17857" w:rsidRPr="000F53B8">
        <w:rPr>
          <w:rFonts w:asciiTheme="majorBidi" w:eastAsia="Times New Roman" w:hAnsiTheme="majorBidi" w:cstheme="majorBidi"/>
          <w:color w:val="000000"/>
          <w:sz w:val="20"/>
          <w:szCs w:val="20"/>
        </w:rPr>
        <w:t xml:space="preserve"> (Doctoral Thesis, University of Chicago, 2021).</w:t>
      </w:r>
    </w:p>
  </w:footnote>
  <w:footnote w:id="9">
    <w:p w14:paraId="00000036"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Ronald H. Coase, </w:t>
      </w:r>
      <w:r w:rsidRPr="00D874D0">
        <w:rPr>
          <w:rFonts w:asciiTheme="majorBidi" w:hAnsiTheme="majorBidi" w:cstheme="majorBidi"/>
          <w:i/>
          <w:color w:val="000000"/>
          <w:sz w:val="20"/>
          <w:szCs w:val="20"/>
        </w:rPr>
        <w:t>The Problem of Social Cost</w:t>
      </w:r>
      <w:r w:rsidRPr="00D874D0">
        <w:rPr>
          <w:rFonts w:asciiTheme="majorBidi" w:hAnsiTheme="majorBidi" w:cstheme="majorBidi"/>
          <w:color w:val="000000"/>
          <w:sz w:val="20"/>
          <w:szCs w:val="20"/>
        </w:rPr>
        <w:t xml:space="preserve">, 3 </w:t>
      </w:r>
      <w:r w:rsidRPr="00D874D0">
        <w:rPr>
          <w:rFonts w:asciiTheme="majorBidi" w:hAnsiTheme="majorBidi" w:cstheme="majorBidi"/>
          <w:smallCaps/>
          <w:color w:val="000000"/>
          <w:sz w:val="20"/>
          <w:szCs w:val="20"/>
        </w:rPr>
        <w:t>The Journal of Law and Economics</w:t>
      </w:r>
      <w:r w:rsidRPr="00D874D0">
        <w:rPr>
          <w:rFonts w:asciiTheme="majorBidi" w:hAnsiTheme="majorBidi" w:cstheme="majorBidi"/>
          <w:color w:val="000000"/>
          <w:sz w:val="20"/>
          <w:szCs w:val="20"/>
        </w:rPr>
        <w:t xml:space="preserve"> 1 (1960).</w:t>
      </w:r>
    </w:p>
  </w:footnote>
  <w:footnote w:id="10">
    <w:p w14:paraId="00000037"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 xml:space="preserve">Id., </w:t>
      </w:r>
      <w:r w:rsidRPr="00D874D0">
        <w:rPr>
          <w:rFonts w:asciiTheme="majorBidi" w:hAnsiTheme="majorBidi" w:cstheme="majorBidi"/>
          <w:color w:val="000000"/>
          <w:sz w:val="20"/>
          <w:szCs w:val="20"/>
        </w:rPr>
        <w:t>at 1, 2.</w:t>
      </w:r>
    </w:p>
  </w:footnote>
  <w:footnote w:id="11">
    <w:p w14:paraId="00000038"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See</w:t>
      </w:r>
      <w:r w:rsidRPr="00D874D0">
        <w:rPr>
          <w:rFonts w:asciiTheme="majorBidi" w:hAnsiTheme="majorBidi" w:cstheme="majorBidi"/>
          <w:color w:val="000000"/>
          <w:sz w:val="20"/>
          <w:szCs w:val="20"/>
        </w:rPr>
        <w:t xml:space="preserve"> </w:t>
      </w:r>
      <w:r w:rsidRPr="00D874D0">
        <w:rPr>
          <w:rFonts w:asciiTheme="majorBidi" w:hAnsiTheme="majorBidi" w:cstheme="majorBidi"/>
          <w:smallCaps/>
          <w:color w:val="000000"/>
          <w:sz w:val="20"/>
          <w:szCs w:val="20"/>
        </w:rPr>
        <w:t>Arthur Cecil Pigou, The Economics of Welfare 111</w:t>
      </w:r>
      <w:r w:rsidRPr="00D874D0">
        <w:rPr>
          <w:rFonts w:asciiTheme="majorBidi" w:hAnsiTheme="majorBidi" w:cstheme="majorBidi"/>
          <w:color w:val="000000"/>
          <w:sz w:val="20"/>
          <w:szCs w:val="20"/>
        </w:rPr>
        <w:t xml:space="preserve"> (4th ed. 1932).</w:t>
      </w:r>
    </w:p>
  </w:footnote>
  <w:footnote w:id="12">
    <w:p w14:paraId="00000039" w14:textId="27573C3E"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Coase, </w:t>
      </w:r>
      <w:r w:rsidRPr="00D874D0">
        <w:rPr>
          <w:rFonts w:asciiTheme="majorBidi" w:hAnsiTheme="majorBidi" w:cstheme="majorBidi"/>
          <w:i/>
          <w:color w:val="000000"/>
          <w:sz w:val="20"/>
          <w:szCs w:val="20"/>
        </w:rPr>
        <w:t xml:space="preserve">supra </w:t>
      </w:r>
      <w:r w:rsidRPr="00D874D0">
        <w:rPr>
          <w:rFonts w:asciiTheme="majorBidi" w:hAnsiTheme="majorBidi" w:cstheme="majorBidi"/>
          <w:color w:val="000000"/>
          <w:sz w:val="20"/>
          <w:szCs w:val="20"/>
        </w:rPr>
        <w:t xml:space="preserve">note </w:t>
      </w:r>
      <w:r w:rsidR="008313E3">
        <w:rPr>
          <w:rFonts w:asciiTheme="majorBidi" w:hAnsiTheme="majorBidi" w:cstheme="majorBidi"/>
          <w:color w:val="000000"/>
          <w:sz w:val="20"/>
          <w:szCs w:val="20"/>
        </w:rPr>
        <w:fldChar w:fldCharType="begin"/>
      </w:r>
      <w:r w:rsidR="008313E3">
        <w:rPr>
          <w:rFonts w:asciiTheme="majorBidi" w:hAnsiTheme="majorBidi" w:cstheme="majorBidi"/>
          <w:color w:val="000000"/>
          <w:sz w:val="20"/>
          <w:szCs w:val="20"/>
        </w:rPr>
        <w:instrText xml:space="preserve"> NOTEREF _Ref156144323 \h </w:instrText>
      </w:r>
      <w:r w:rsidR="008313E3">
        <w:rPr>
          <w:rFonts w:asciiTheme="majorBidi" w:hAnsiTheme="majorBidi" w:cstheme="majorBidi"/>
          <w:color w:val="000000"/>
          <w:sz w:val="20"/>
          <w:szCs w:val="20"/>
        </w:rPr>
      </w:r>
      <w:r w:rsidR="008313E3">
        <w:rPr>
          <w:rFonts w:asciiTheme="majorBidi" w:hAnsiTheme="majorBidi" w:cstheme="majorBidi"/>
          <w:color w:val="000000"/>
          <w:sz w:val="20"/>
          <w:szCs w:val="20"/>
        </w:rPr>
        <w:fldChar w:fldCharType="separate"/>
      </w:r>
      <w:r w:rsidR="003C5A17">
        <w:rPr>
          <w:rFonts w:asciiTheme="majorBidi" w:hAnsiTheme="majorBidi" w:cstheme="majorBidi"/>
          <w:color w:val="000000"/>
          <w:sz w:val="20"/>
          <w:szCs w:val="20"/>
        </w:rPr>
        <w:t>10</w:t>
      </w:r>
      <w:r w:rsidR="008313E3">
        <w:rPr>
          <w:rFonts w:asciiTheme="majorBidi" w:hAnsiTheme="majorBidi" w:cstheme="majorBidi"/>
          <w:color w:val="000000"/>
          <w:sz w:val="20"/>
          <w:szCs w:val="20"/>
        </w:rPr>
        <w:fldChar w:fldCharType="end"/>
      </w:r>
      <w:r w:rsidRPr="00D874D0">
        <w:rPr>
          <w:rFonts w:asciiTheme="majorBidi" w:hAnsiTheme="majorBidi" w:cstheme="majorBidi"/>
          <w:color w:val="000000"/>
          <w:sz w:val="20"/>
          <w:szCs w:val="20"/>
        </w:rPr>
        <w:t>, at 18.</w:t>
      </w:r>
    </w:p>
  </w:footnote>
  <w:footnote w:id="13">
    <w:p w14:paraId="0000003A"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Id</w:t>
      </w:r>
      <w:r w:rsidRPr="00D874D0">
        <w:rPr>
          <w:rFonts w:asciiTheme="majorBidi" w:hAnsiTheme="majorBidi" w:cstheme="majorBidi"/>
          <w:color w:val="000000"/>
          <w:sz w:val="20"/>
          <w:szCs w:val="20"/>
        </w:rPr>
        <w:t>.</w:t>
      </w:r>
    </w:p>
  </w:footnote>
  <w:footnote w:id="14">
    <w:p w14:paraId="0000003B"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Id</w:t>
      </w:r>
      <w:r w:rsidRPr="00D874D0">
        <w:rPr>
          <w:rFonts w:asciiTheme="majorBidi" w:hAnsiTheme="majorBidi" w:cstheme="majorBidi"/>
          <w:color w:val="000000"/>
          <w:sz w:val="20"/>
          <w:szCs w:val="20"/>
        </w:rPr>
        <w:t>.</w:t>
      </w:r>
    </w:p>
  </w:footnote>
  <w:footnote w:id="15">
    <w:p w14:paraId="0000003C"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Id</w:t>
      </w:r>
      <w:r w:rsidRPr="00D874D0">
        <w:rPr>
          <w:rFonts w:asciiTheme="majorBidi" w:hAnsiTheme="majorBidi" w:cstheme="majorBidi"/>
          <w:color w:val="000000"/>
          <w:sz w:val="20"/>
          <w:szCs w:val="20"/>
        </w:rPr>
        <w:t>.</w:t>
      </w:r>
    </w:p>
  </w:footnote>
  <w:footnote w:id="16">
    <w:p w14:paraId="0000003D"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The term “theorem” comes from George J. Stigler, </w:t>
      </w:r>
      <w:r w:rsidRPr="00D874D0">
        <w:rPr>
          <w:rFonts w:asciiTheme="majorBidi" w:hAnsiTheme="majorBidi" w:cstheme="majorBidi"/>
          <w:i/>
          <w:color w:val="000000"/>
          <w:sz w:val="20"/>
          <w:szCs w:val="20"/>
        </w:rPr>
        <w:t>Two Notes on the Coase Theorem</w:t>
      </w:r>
      <w:r w:rsidRPr="00D874D0">
        <w:rPr>
          <w:rFonts w:asciiTheme="majorBidi" w:hAnsiTheme="majorBidi" w:cstheme="majorBidi"/>
          <w:color w:val="000000"/>
          <w:sz w:val="20"/>
          <w:szCs w:val="20"/>
        </w:rPr>
        <w:t xml:space="preserve">, 99 </w:t>
      </w:r>
      <w:r w:rsidRPr="00D874D0">
        <w:rPr>
          <w:rFonts w:asciiTheme="majorBidi" w:hAnsiTheme="majorBidi" w:cstheme="majorBidi"/>
          <w:smallCaps/>
          <w:color w:val="000000"/>
          <w:sz w:val="20"/>
          <w:szCs w:val="20"/>
        </w:rPr>
        <w:t>The Yale Law Journal</w:t>
      </w:r>
      <w:r w:rsidRPr="00D874D0">
        <w:rPr>
          <w:rFonts w:asciiTheme="majorBidi" w:hAnsiTheme="majorBidi" w:cstheme="majorBidi"/>
          <w:color w:val="000000"/>
          <w:sz w:val="20"/>
          <w:szCs w:val="20"/>
        </w:rPr>
        <w:t>, 631 (1989).</w:t>
      </w:r>
    </w:p>
  </w:footnote>
  <w:footnote w:id="17">
    <w:p w14:paraId="0000003E"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Ronald H. Coase, </w:t>
      </w:r>
      <w:r w:rsidRPr="00D874D0">
        <w:rPr>
          <w:rFonts w:asciiTheme="majorBidi" w:hAnsiTheme="majorBidi" w:cstheme="majorBidi"/>
          <w:i/>
          <w:color w:val="000000"/>
          <w:sz w:val="20"/>
          <w:szCs w:val="20"/>
        </w:rPr>
        <w:t>The Institutional Structure of Production</w:t>
      </w:r>
      <w:r w:rsidRPr="00D874D0">
        <w:rPr>
          <w:rFonts w:asciiTheme="majorBidi" w:hAnsiTheme="majorBidi" w:cstheme="majorBidi"/>
          <w:color w:val="000000"/>
          <w:sz w:val="20"/>
          <w:szCs w:val="20"/>
        </w:rPr>
        <w:t xml:space="preserve">, 82 </w:t>
      </w:r>
      <w:r w:rsidRPr="00D874D0">
        <w:rPr>
          <w:rFonts w:asciiTheme="majorBidi" w:hAnsiTheme="majorBidi" w:cstheme="majorBidi"/>
          <w:smallCaps/>
          <w:color w:val="000000"/>
          <w:sz w:val="20"/>
          <w:szCs w:val="20"/>
        </w:rPr>
        <w:t>The American Economic Review</w:t>
      </w:r>
      <w:r w:rsidRPr="00D874D0">
        <w:rPr>
          <w:rFonts w:asciiTheme="majorBidi" w:hAnsiTheme="majorBidi" w:cstheme="majorBidi"/>
          <w:color w:val="000000"/>
          <w:sz w:val="20"/>
          <w:szCs w:val="20"/>
        </w:rPr>
        <w:t>, 713, 717 (1992).</w:t>
      </w:r>
    </w:p>
  </w:footnote>
  <w:footnote w:id="18">
    <w:p w14:paraId="0000003F"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lang w:val="pt-BR"/>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lang w:val="pt-BR"/>
        </w:rPr>
        <w:t xml:space="preserve"> </w:t>
      </w:r>
      <w:r w:rsidRPr="00D874D0">
        <w:rPr>
          <w:rFonts w:asciiTheme="majorBidi" w:hAnsiTheme="majorBidi" w:cstheme="majorBidi"/>
          <w:smallCaps/>
          <w:color w:val="000000"/>
          <w:sz w:val="20"/>
          <w:szCs w:val="20"/>
          <w:lang w:val="pt-BR"/>
        </w:rPr>
        <w:t>Carlos Portugal Gouvêa, Análise dos Custos da Desigualdade</w:t>
      </w:r>
      <w:r w:rsidRPr="00D874D0">
        <w:rPr>
          <w:rFonts w:asciiTheme="majorBidi" w:hAnsiTheme="majorBidi" w:cstheme="majorBidi"/>
          <w:color w:val="000000"/>
          <w:sz w:val="20"/>
          <w:szCs w:val="20"/>
          <w:lang w:val="pt-BR"/>
        </w:rPr>
        <w:t xml:space="preserve"> 127 (2019).</w:t>
      </w:r>
    </w:p>
  </w:footnote>
  <w:footnote w:id="19">
    <w:p w14:paraId="00000040"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 xml:space="preserve">See, e.g., </w:t>
      </w:r>
      <w:r w:rsidRPr="00D874D0">
        <w:rPr>
          <w:rFonts w:asciiTheme="majorBidi" w:hAnsiTheme="majorBidi" w:cstheme="majorBidi"/>
          <w:color w:val="000000"/>
          <w:sz w:val="20"/>
          <w:szCs w:val="20"/>
        </w:rPr>
        <w:t xml:space="preserve">Yahya M. </w:t>
      </w:r>
      <w:proofErr w:type="spellStart"/>
      <w:r w:rsidRPr="00D874D0">
        <w:rPr>
          <w:rFonts w:asciiTheme="majorBidi" w:hAnsiTheme="majorBidi" w:cstheme="majorBidi"/>
          <w:color w:val="000000"/>
          <w:sz w:val="20"/>
          <w:szCs w:val="20"/>
        </w:rPr>
        <w:t>Madra</w:t>
      </w:r>
      <w:proofErr w:type="spellEnd"/>
      <w:r w:rsidRPr="00D874D0">
        <w:rPr>
          <w:rFonts w:asciiTheme="majorBidi" w:hAnsiTheme="majorBidi" w:cstheme="majorBidi"/>
          <w:color w:val="000000"/>
          <w:sz w:val="20"/>
          <w:szCs w:val="20"/>
        </w:rPr>
        <w:t xml:space="preserve"> &amp; </w:t>
      </w:r>
      <w:proofErr w:type="spellStart"/>
      <w:r w:rsidRPr="00D874D0">
        <w:rPr>
          <w:rFonts w:asciiTheme="majorBidi" w:hAnsiTheme="majorBidi" w:cstheme="majorBidi"/>
          <w:color w:val="000000"/>
          <w:sz w:val="20"/>
          <w:szCs w:val="20"/>
        </w:rPr>
        <w:t>Fikret</w:t>
      </w:r>
      <w:proofErr w:type="spellEnd"/>
      <w:r w:rsidRPr="00D874D0">
        <w:rPr>
          <w:rFonts w:asciiTheme="majorBidi" w:hAnsiTheme="majorBidi" w:cstheme="majorBidi"/>
          <w:color w:val="000000"/>
          <w:sz w:val="20"/>
          <w:szCs w:val="20"/>
        </w:rPr>
        <w:t xml:space="preserve"> </w:t>
      </w:r>
      <w:proofErr w:type="spellStart"/>
      <w:r w:rsidRPr="00D874D0">
        <w:rPr>
          <w:rFonts w:asciiTheme="majorBidi" w:hAnsiTheme="majorBidi" w:cstheme="majorBidi"/>
          <w:color w:val="000000"/>
          <w:sz w:val="20"/>
          <w:szCs w:val="20"/>
        </w:rPr>
        <w:t>Adaman</w:t>
      </w:r>
      <w:proofErr w:type="spellEnd"/>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Neoliberal Reason and Its Forms: De-Politicisation Through Economisation</w:t>
      </w:r>
      <w:r w:rsidRPr="00D874D0">
        <w:rPr>
          <w:rFonts w:asciiTheme="majorBidi" w:hAnsiTheme="majorBidi" w:cstheme="majorBidi"/>
          <w:color w:val="000000"/>
          <w:sz w:val="20"/>
          <w:szCs w:val="20"/>
        </w:rPr>
        <w:t xml:space="preserve">, 46 </w:t>
      </w:r>
      <w:r w:rsidRPr="00D874D0">
        <w:rPr>
          <w:rFonts w:asciiTheme="majorBidi" w:hAnsiTheme="majorBidi" w:cstheme="majorBidi"/>
          <w:smallCaps/>
          <w:color w:val="000000"/>
          <w:sz w:val="20"/>
          <w:szCs w:val="20"/>
        </w:rPr>
        <w:t>Antipode</w:t>
      </w:r>
      <w:r w:rsidRPr="00D874D0">
        <w:rPr>
          <w:rFonts w:asciiTheme="majorBidi" w:hAnsiTheme="majorBidi" w:cstheme="majorBidi"/>
          <w:color w:val="000000"/>
          <w:sz w:val="20"/>
          <w:szCs w:val="20"/>
        </w:rPr>
        <w:t xml:space="preserve"> 691, 707 (2014); Hans C. </w:t>
      </w:r>
      <w:proofErr w:type="spellStart"/>
      <w:r w:rsidRPr="00D874D0">
        <w:rPr>
          <w:rFonts w:asciiTheme="majorBidi" w:hAnsiTheme="majorBidi" w:cstheme="majorBidi"/>
          <w:color w:val="000000"/>
          <w:sz w:val="20"/>
          <w:szCs w:val="20"/>
        </w:rPr>
        <w:t>Grigoleit</w:t>
      </w:r>
      <w:proofErr w:type="spellEnd"/>
      <w:r w:rsidRPr="00D874D0">
        <w:rPr>
          <w:rFonts w:asciiTheme="majorBidi" w:hAnsiTheme="majorBidi" w:cstheme="majorBidi"/>
          <w:smallCaps/>
          <w:color w:val="000000"/>
          <w:sz w:val="20"/>
          <w:szCs w:val="20"/>
        </w:rPr>
        <w:t xml:space="preserve"> &amp; </w:t>
      </w:r>
      <w:r w:rsidRPr="00D874D0">
        <w:rPr>
          <w:rFonts w:asciiTheme="majorBidi" w:hAnsiTheme="majorBidi" w:cstheme="majorBidi"/>
          <w:color w:val="000000"/>
          <w:sz w:val="20"/>
          <w:szCs w:val="20"/>
        </w:rPr>
        <w:t xml:space="preserve">Claus-Wilhelm, </w:t>
      </w:r>
      <w:r w:rsidRPr="00D874D0">
        <w:rPr>
          <w:rFonts w:asciiTheme="majorBidi" w:hAnsiTheme="majorBidi" w:cstheme="majorBidi"/>
          <w:i/>
          <w:color w:val="000000"/>
          <w:sz w:val="20"/>
          <w:szCs w:val="20"/>
        </w:rPr>
        <w:t>Interpretation of Contracts</w:t>
      </w:r>
      <w:r w:rsidRPr="00D874D0">
        <w:rPr>
          <w:rFonts w:asciiTheme="majorBidi" w:hAnsiTheme="majorBidi" w:cstheme="majorBidi"/>
          <w:color w:val="000000"/>
          <w:sz w:val="20"/>
          <w:szCs w:val="20"/>
        </w:rPr>
        <w:t>, SSRN Paper 2 (2010).</w:t>
      </w:r>
    </w:p>
  </w:footnote>
  <w:footnote w:id="20">
    <w:p w14:paraId="00000041" w14:textId="45AAFA53" w:rsidR="00D0624F" w:rsidRPr="00D874D0" w:rsidRDefault="007C5A1E">
      <w:pPr>
        <w:pBdr>
          <w:top w:val="nil"/>
          <w:left w:val="nil"/>
          <w:bottom w:val="nil"/>
          <w:right w:val="nil"/>
          <w:between w:val="nil"/>
        </w:pBdr>
        <w:spacing w:after="0" w:line="240" w:lineRule="auto"/>
        <w:jc w:val="both"/>
        <w:rPr>
          <w:rFonts w:asciiTheme="majorBidi" w:hAnsiTheme="majorBidi" w:cstheme="majorBidi"/>
          <w:smallCaps/>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Joseph </w:t>
      </w:r>
      <w:proofErr w:type="spellStart"/>
      <w:r w:rsidRPr="00D874D0">
        <w:rPr>
          <w:rFonts w:asciiTheme="majorBidi" w:hAnsiTheme="majorBidi" w:cstheme="majorBidi"/>
          <w:color w:val="000000"/>
          <w:sz w:val="20"/>
          <w:szCs w:val="20"/>
        </w:rPr>
        <w:t>Farrel</w:t>
      </w:r>
      <w:proofErr w:type="spellEnd"/>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Some Failures of the Popular Coase Theorem</w:t>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in</w:t>
      </w:r>
      <w:r w:rsidRPr="00D874D0">
        <w:rPr>
          <w:rFonts w:asciiTheme="majorBidi" w:hAnsiTheme="majorBidi" w:cstheme="majorBidi"/>
          <w:color w:val="000000"/>
          <w:sz w:val="20"/>
          <w:szCs w:val="20"/>
        </w:rPr>
        <w:t xml:space="preserve"> </w:t>
      </w:r>
      <w:r w:rsidRPr="00D874D0">
        <w:rPr>
          <w:rFonts w:asciiTheme="majorBidi" w:hAnsiTheme="majorBidi" w:cstheme="majorBidi"/>
          <w:smallCaps/>
          <w:color w:val="000000"/>
          <w:sz w:val="20"/>
          <w:szCs w:val="20"/>
        </w:rPr>
        <w:t xml:space="preserve">The Elgar Companion to Ronald H. Coase 333 </w:t>
      </w:r>
      <w:r w:rsidR="00E17857">
        <w:rPr>
          <w:rFonts w:asciiTheme="majorBidi" w:hAnsiTheme="majorBidi" w:cstheme="majorBidi"/>
          <w:smallCaps/>
          <w:color w:val="000000"/>
          <w:sz w:val="20"/>
          <w:szCs w:val="20"/>
        </w:rPr>
        <w:t>(</w:t>
      </w:r>
      <w:r w:rsidRPr="00D874D0">
        <w:rPr>
          <w:rFonts w:asciiTheme="majorBidi" w:hAnsiTheme="majorBidi" w:cstheme="majorBidi"/>
          <w:color w:val="000000"/>
          <w:sz w:val="20"/>
          <w:szCs w:val="20"/>
        </w:rPr>
        <w:t>Claude Ménard &amp; Elodie Bertrand eds., 2016).</w:t>
      </w:r>
    </w:p>
  </w:footnote>
  <w:footnote w:id="21">
    <w:p w14:paraId="00000042" w14:textId="0E5A3BEF" w:rsidR="00D0624F" w:rsidRPr="00D874D0" w:rsidRDefault="007C5A1E">
      <w:pPr>
        <w:pBdr>
          <w:top w:val="nil"/>
          <w:left w:val="nil"/>
          <w:bottom w:val="nil"/>
          <w:right w:val="nil"/>
          <w:between w:val="nil"/>
        </w:pBdr>
        <w:tabs>
          <w:tab w:val="left" w:pos="1415"/>
        </w:tabs>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The term “impure” comes from </w:t>
      </w:r>
      <w:r w:rsidRPr="00D874D0">
        <w:rPr>
          <w:rFonts w:asciiTheme="majorBidi" w:hAnsiTheme="majorBidi" w:cstheme="majorBidi"/>
          <w:smallCaps/>
          <w:color w:val="000000"/>
          <w:sz w:val="20"/>
          <w:szCs w:val="20"/>
        </w:rPr>
        <w:t xml:space="preserve">Diego López Medina, </w:t>
      </w:r>
      <w:proofErr w:type="spellStart"/>
      <w:r w:rsidRPr="00D874D0">
        <w:rPr>
          <w:rFonts w:asciiTheme="majorBidi" w:hAnsiTheme="majorBidi" w:cstheme="majorBidi"/>
          <w:smallCaps/>
          <w:color w:val="000000"/>
          <w:sz w:val="20"/>
          <w:szCs w:val="20"/>
        </w:rPr>
        <w:t>Teoría</w:t>
      </w:r>
      <w:proofErr w:type="spellEnd"/>
      <w:r w:rsidRPr="00D874D0">
        <w:rPr>
          <w:rFonts w:asciiTheme="majorBidi" w:hAnsiTheme="majorBidi" w:cstheme="majorBidi"/>
          <w:smallCaps/>
          <w:color w:val="000000"/>
          <w:sz w:val="20"/>
          <w:szCs w:val="20"/>
        </w:rPr>
        <w:t xml:space="preserve"> </w:t>
      </w:r>
      <w:proofErr w:type="spellStart"/>
      <w:r w:rsidR="00E17857">
        <w:rPr>
          <w:rFonts w:asciiTheme="majorBidi" w:hAnsiTheme="majorBidi" w:cstheme="majorBidi"/>
          <w:smallCaps/>
          <w:color w:val="000000"/>
          <w:sz w:val="20"/>
          <w:szCs w:val="20"/>
        </w:rPr>
        <w:t>I</w:t>
      </w:r>
      <w:r w:rsidRPr="00D874D0">
        <w:rPr>
          <w:rFonts w:asciiTheme="majorBidi" w:hAnsiTheme="majorBidi" w:cstheme="majorBidi"/>
          <w:smallCaps/>
          <w:color w:val="000000"/>
          <w:sz w:val="20"/>
          <w:szCs w:val="20"/>
        </w:rPr>
        <w:t>mpura</w:t>
      </w:r>
      <w:proofErr w:type="spellEnd"/>
      <w:r w:rsidRPr="00D874D0">
        <w:rPr>
          <w:rFonts w:asciiTheme="majorBidi" w:hAnsiTheme="majorBidi" w:cstheme="majorBidi"/>
          <w:smallCaps/>
          <w:color w:val="000000"/>
          <w:sz w:val="20"/>
          <w:szCs w:val="20"/>
        </w:rPr>
        <w:t xml:space="preserve"> </w:t>
      </w:r>
      <w:r w:rsidR="00E17857">
        <w:rPr>
          <w:rFonts w:asciiTheme="majorBidi" w:hAnsiTheme="majorBidi" w:cstheme="majorBidi"/>
          <w:smallCaps/>
          <w:color w:val="000000"/>
          <w:sz w:val="20"/>
          <w:szCs w:val="20"/>
        </w:rPr>
        <w:t>D</w:t>
      </w:r>
      <w:r w:rsidRPr="00D874D0">
        <w:rPr>
          <w:rFonts w:asciiTheme="majorBidi" w:hAnsiTheme="majorBidi" w:cstheme="majorBidi"/>
          <w:smallCaps/>
          <w:color w:val="000000"/>
          <w:sz w:val="20"/>
          <w:szCs w:val="20"/>
        </w:rPr>
        <w:t xml:space="preserve">el </w:t>
      </w:r>
      <w:proofErr w:type="spellStart"/>
      <w:r w:rsidR="00E17857">
        <w:rPr>
          <w:rFonts w:asciiTheme="majorBidi" w:hAnsiTheme="majorBidi" w:cstheme="majorBidi"/>
          <w:smallCaps/>
          <w:color w:val="000000"/>
          <w:sz w:val="20"/>
          <w:szCs w:val="20"/>
        </w:rPr>
        <w:t>D</w:t>
      </w:r>
      <w:r w:rsidRPr="00D874D0">
        <w:rPr>
          <w:rFonts w:asciiTheme="majorBidi" w:hAnsiTheme="majorBidi" w:cstheme="majorBidi"/>
          <w:smallCaps/>
          <w:color w:val="000000"/>
          <w:sz w:val="20"/>
          <w:szCs w:val="20"/>
        </w:rPr>
        <w:t>erecho</w:t>
      </w:r>
      <w:proofErr w:type="spellEnd"/>
      <w:r w:rsidRPr="00D874D0">
        <w:rPr>
          <w:rFonts w:asciiTheme="majorBidi" w:hAnsiTheme="majorBidi" w:cstheme="majorBidi"/>
          <w:smallCaps/>
          <w:color w:val="000000"/>
          <w:sz w:val="20"/>
          <w:szCs w:val="20"/>
        </w:rPr>
        <w:t xml:space="preserve">: </w:t>
      </w:r>
      <w:r w:rsidR="00E17857">
        <w:rPr>
          <w:rFonts w:asciiTheme="majorBidi" w:hAnsiTheme="majorBidi" w:cstheme="majorBidi"/>
          <w:smallCaps/>
          <w:color w:val="000000"/>
          <w:sz w:val="20"/>
          <w:szCs w:val="20"/>
        </w:rPr>
        <w:t>L</w:t>
      </w:r>
      <w:r w:rsidRPr="00D874D0">
        <w:rPr>
          <w:rFonts w:asciiTheme="majorBidi" w:hAnsiTheme="majorBidi" w:cstheme="majorBidi"/>
          <w:smallCaps/>
          <w:color w:val="000000"/>
          <w:sz w:val="20"/>
          <w:szCs w:val="20"/>
        </w:rPr>
        <w:t xml:space="preserve">a </w:t>
      </w:r>
      <w:proofErr w:type="spellStart"/>
      <w:r w:rsidR="00E17857">
        <w:rPr>
          <w:rFonts w:asciiTheme="majorBidi" w:hAnsiTheme="majorBidi" w:cstheme="majorBidi"/>
          <w:smallCaps/>
          <w:color w:val="000000"/>
          <w:sz w:val="20"/>
          <w:szCs w:val="20"/>
        </w:rPr>
        <w:t>T</w:t>
      </w:r>
      <w:r w:rsidRPr="00D874D0">
        <w:rPr>
          <w:rFonts w:asciiTheme="majorBidi" w:hAnsiTheme="majorBidi" w:cstheme="majorBidi"/>
          <w:smallCaps/>
          <w:color w:val="000000"/>
          <w:sz w:val="20"/>
          <w:szCs w:val="20"/>
        </w:rPr>
        <w:t>ransformación</w:t>
      </w:r>
      <w:proofErr w:type="spellEnd"/>
      <w:r w:rsidRPr="00D874D0">
        <w:rPr>
          <w:rFonts w:asciiTheme="majorBidi" w:hAnsiTheme="majorBidi" w:cstheme="majorBidi"/>
          <w:smallCaps/>
          <w:color w:val="000000"/>
          <w:sz w:val="20"/>
          <w:szCs w:val="20"/>
        </w:rPr>
        <w:t xml:space="preserve"> de </w:t>
      </w:r>
      <w:r w:rsidR="00E17857">
        <w:rPr>
          <w:rFonts w:asciiTheme="majorBidi" w:hAnsiTheme="majorBidi" w:cstheme="majorBidi"/>
          <w:smallCaps/>
          <w:color w:val="000000"/>
          <w:sz w:val="20"/>
          <w:szCs w:val="20"/>
        </w:rPr>
        <w:t>L</w:t>
      </w:r>
      <w:r w:rsidRPr="00D874D0">
        <w:rPr>
          <w:rFonts w:asciiTheme="majorBidi" w:hAnsiTheme="majorBidi" w:cstheme="majorBidi"/>
          <w:smallCaps/>
          <w:color w:val="000000"/>
          <w:sz w:val="20"/>
          <w:szCs w:val="20"/>
        </w:rPr>
        <w:t xml:space="preserve">a </w:t>
      </w:r>
      <w:r w:rsidR="00E17857">
        <w:rPr>
          <w:rFonts w:asciiTheme="majorBidi" w:hAnsiTheme="majorBidi" w:cstheme="majorBidi"/>
          <w:smallCaps/>
          <w:color w:val="000000"/>
          <w:sz w:val="20"/>
          <w:szCs w:val="20"/>
        </w:rPr>
        <w:t>C</w:t>
      </w:r>
      <w:r w:rsidRPr="00D874D0">
        <w:rPr>
          <w:rFonts w:asciiTheme="majorBidi" w:hAnsiTheme="majorBidi" w:cstheme="majorBidi"/>
          <w:smallCaps/>
          <w:color w:val="000000"/>
          <w:sz w:val="20"/>
          <w:szCs w:val="20"/>
        </w:rPr>
        <w:t xml:space="preserve">ultura </w:t>
      </w:r>
      <w:proofErr w:type="spellStart"/>
      <w:r w:rsidR="00E17857">
        <w:rPr>
          <w:rFonts w:asciiTheme="majorBidi" w:hAnsiTheme="majorBidi" w:cstheme="majorBidi"/>
          <w:smallCaps/>
          <w:color w:val="000000"/>
          <w:sz w:val="20"/>
          <w:szCs w:val="20"/>
        </w:rPr>
        <w:t>J</w:t>
      </w:r>
      <w:r w:rsidRPr="00D874D0">
        <w:rPr>
          <w:rFonts w:asciiTheme="majorBidi" w:hAnsiTheme="majorBidi" w:cstheme="majorBidi"/>
          <w:smallCaps/>
          <w:color w:val="000000"/>
          <w:sz w:val="20"/>
          <w:szCs w:val="20"/>
        </w:rPr>
        <w:t>urídica</w:t>
      </w:r>
      <w:proofErr w:type="spellEnd"/>
      <w:r w:rsidRPr="00D874D0">
        <w:rPr>
          <w:rFonts w:asciiTheme="majorBidi" w:hAnsiTheme="majorBidi" w:cstheme="majorBidi"/>
          <w:smallCaps/>
          <w:color w:val="000000"/>
          <w:sz w:val="20"/>
          <w:szCs w:val="20"/>
        </w:rPr>
        <w:t xml:space="preserve"> </w:t>
      </w:r>
      <w:proofErr w:type="spellStart"/>
      <w:r w:rsidR="00E17857">
        <w:rPr>
          <w:rFonts w:asciiTheme="majorBidi" w:hAnsiTheme="majorBidi" w:cstheme="majorBidi"/>
          <w:smallCaps/>
          <w:color w:val="000000"/>
          <w:sz w:val="20"/>
          <w:szCs w:val="20"/>
        </w:rPr>
        <w:t>L</w:t>
      </w:r>
      <w:r w:rsidRPr="00D874D0">
        <w:rPr>
          <w:rFonts w:asciiTheme="majorBidi" w:hAnsiTheme="majorBidi" w:cstheme="majorBidi"/>
          <w:smallCaps/>
          <w:color w:val="000000"/>
          <w:sz w:val="20"/>
          <w:szCs w:val="20"/>
        </w:rPr>
        <w:t>atinoamericana</w:t>
      </w:r>
      <w:proofErr w:type="spellEnd"/>
      <w:r w:rsidRPr="00D874D0">
        <w:rPr>
          <w:rFonts w:asciiTheme="majorBidi" w:hAnsiTheme="majorBidi" w:cstheme="majorBidi"/>
          <w:color w:val="000000"/>
          <w:sz w:val="20"/>
          <w:szCs w:val="20"/>
        </w:rPr>
        <w:t xml:space="preserve"> (2004) (highlighting that concepts are often read selectively by authors who use such interpretations for their own creative purposes).</w:t>
      </w:r>
      <w:r w:rsidRPr="00D874D0">
        <w:rPr>
          <w:rFonts w:asciiTheme="majorBidi" w:hAnsiTheme="majorBidi" w:cstheme="majorBidi"/>
          <w:color w:val="000000"/>
          <w:sz w:val="20"/>
          <w:szCs w:val="20"/>
        </w:rPr>
        <w:tab/>
      </w:r>
    </w:p>
  </w:footnote>
  <w:footnote w:id="22">
    <w:p w14:paraId="00000043"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Deirdre N. McCloskey, </w:t>
      </w:r>
      <w:r w:rsidRPr="00D874D0">
        <w:rPr>
          <w:rFonts w:asciiTheme="majorBidi" w:hAnsiTheme="majorBidi" w:cstheme="majorBidi"/>
          <w:i/>
          <w:color w:val="000000"/>
          <w:sz w:val="20"/>
          <w:szCs w:val="20"/>
        </w:rPr>
        <w:t>The Rhetoric of Law and Economics</w:t>
      </w:r>
      <w:r w:rsidRPr="00D874D0">
        <w:rPr>
          <w:rFonts w:asciiTheme="majorBidi" w:hAnsiTheme="majorBidi" w:cstheme="majorBidi"/>
          <w:color w:val="000000"/>
          <w:sz w:val="20"/>
          <w:szCs w:val="20"/>
        </w:rPr>
        <w:t xml:space="preserve">, 86 </w:t>
      </w:r>
      <w:r w:rsidRPr="00D874D0">
        <w:rPr>
          <w:rFonts w:asciiTheme="majorBidi" w:hAnsiTheme="majorBidi" w:cstheme="majorBidi"/>
          <w:smallCaps/>
          <w:color w:val="000000"/>
          <w:sz w:val="20"/>
          <w:szCs w:val="20"/>
        </w:rPr>
        <w:t>Michigan Law Review</w:t>
      </w:r>
      <w:r w:rsidRPr="00D874D0">
        <w:rPr>
          <w:rFonts w:asciiTheme="majorBidi" w:hAnsiTheme="majorBidi" w:cstheme="majorBidi"/>
          <w:color w:val="000000"/>
          <w:sz w:val="20"/>
          <w:szCs w:val="20"/>
        </w:rPr>
        <w:t xml:space="preserve"> 725 (1988).</w:t>
      </w:r>
    </w:p>
  </w:footnote>
  <w:footnote w:id="23">
    <w:p w14:paraId="00000044"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Eric Posner,</w:t>
      </w:r>
      <w:r w:rsidRPr="00D874D0">
        <w:rPr>
          <w:rFonts w:asciiTheme="majorBidi" w:hAnsiTheme="majorBidi" w:cstheme="majorBidi"/>
          <w:i/>
          <w:color w:val="000000"/>
          <w:sz w:val="20"/>
          <w:szCs w:val="20"/>
        </w:rPr>
        <w:t xml:space="preserve"> Coase Theorem</w:t>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in</w:t>
      </w:r>
      <w:r w:rsidRPr="00D874D0">
        <w:rPr>
          <w:rFonts w:asciiTheme="majorBidi" w:hAnsiTheme="majorBidi" w:cstheme="majorBidi"/>
          <w:color w:val="000000"/>
          <w:sz w:val="20"/>
          <w:szCs w:val="20"/>
        </w:rPr>
        <w:t xml:space="preserve"> </w:t>
      </w:r>
      <w:r w:rsidRPr="00D874D0">
        <w:rPr>
          <w:rFonts w:asciiTheme="majorBidi" w:hAnsiTheme="majorBidi" w:cstheme="majorBidi"/>
          <w:smallCaps/>
          <w:color w:val="000000"/>
          <w:sz w:val="20"/>
          <w:szCs w:val="20"/>
        </w:rPr>
        <w:t>Economic Ideas You Should Forget 101(</w:t>
      </w:r>
      <w:r w:rsidRPr="00D874D0">
        <w:rPr>
          <w:rFonts w:asciiTheme="majorBidi" w:hAnsiTheme="majorBidi" w:cstheme="majorBidi"/>
          <w:color w:val="000000"/>
          <w:sz w:val="20"/>
          <w:szCs w:val="20"/>
        </w:rPr>
        <w:t>Bruno S. Frey &amp; David Iselin eds., 2017).</w:t>
      </w:r>
    </w:p>
  </w:footnote>
  <w:footnote w:id="24">
    <w:p w14:paraId="00000045"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Id.</w:t>
      </w:r>
    </w:p>
  </w:footnote>
  <w:footnote w:id="25">
    <w:p w14:paraId="00000046"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Pr="00D874D0">
        <w:rPr>
          <w:rFonts w:asciiTheme="majorBidi" w:hAnsiTheme="majorBidi" w:cstheme="majorBidi"/>
          <w:smallCaps/>
          <w:color w:val="000000"/>
          <w:sz w:val="20"/>
          <w:szCs w:val="20"/>
        </w:rPr>
        <w:t>P</w:t>
      </w:r>
      <w:r w:rsidRPr="00D874D0">
        <w:rPr>
          <w:rFonts w:asciiTheme="majorBidi" w:hAnsiTheme="majorBidi" w:cstheme="majorBidi"/>
          <w:color w:val="000000"/>
          <w:sz w:val="20"/>
          <w:szCs w:val="20"/>
        </w:rPr>
        <w:t xml:space="preserve">ierre </w:t>
      </w:r>
      <w:proofErr w:type="spellStart"/>
      <w:r w:rsidRPr="00D874D0">
        <w:rPr>
          <w:rFonts w:asciiTheme="majorBidi" w:hAnsiTheme="majorBidi" w:cstheme="majorBidi"/>
          <w:color w:val="000000"/>
          <w:sz w:val="20"/>
          <w:szCs w:val="20"/>
        </w:rPr>
        <w:t>Schlag</w:t>
      </w:r>
      <w:proofErr w:type="spellEnd"/>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The Problem of Transaction Costs</w:t>
      </w:r>
      <w:r w:rsidRPr="00D874D0">
        <w:rPr>
          <w:rFonts w:asciiTheme="majorBidi" w:hAnsiTheme="majorBidi" w:cstheme="majorBidi"/>
          <w:color w:val="000000"/>
          <w:sz w:val="20"/>
          <w:szCs w:val="20"/>
        </w:rPr>
        <w:t xml:space="preserve">, 62 </w:t>
      </w:r>
      <w:r w:rsidRPr="00D874D0">
        <w:rPr>
          <w:rFonts w:asciiTheme="majorBidi" w:hAnsiTheme="majorBidi" w:cstheme="majorBidi"/>
          <w:smallCaps/>
          <w:color w:val="000000"/>
          <w:sz w:val="20"/>
          <w:szCs w:val="20"/>
        </w:rPr>
        <w:t>Southern California Law Review</w:t>
      </w:r>
      <w:r w:rsidRPr="00D874D0">
        <w:rPr>
          <w:rFonts w:asciiTheme="majorBidi" w:hAnsiTheme="majorBidi" w:cstheme="majorBidi"/>
          <w:color w:val="000000"/>
          <w:sz w:val="20"/>
          <w:szCs w:val="20"/>
        </w:rPr>
        <w:t xml:space="preserve"> 1661, 1699 (1989).</w:t>
      </w:r>
    </w:p>
  </w:footnote>
  <w:footnote w:id="26">
    <w:p w14:paraId="00000047"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lang w:val="pt-BR"/>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lang w:val="pt-BR"/>
        </w:rPr>
        <w:t xml:space="preserve"> </w:t>
      </w:r>
      <w:r w:rsidRPr="00D874D0">
        <w:rPr>
          <w:rFonts w:asciiTheme="majorBidi" w:hAnsiTheme="majorBidi" w:cstheme="majorBidi"/>
          <w:smallCaps/>
          <w:color w:val="000000"/>
          <w:sz w:val="20"/>
          <w:szCs w:val="20"/>
          <w:lang w:val="pt-BR"/>
        </w:rPr>
        <w:t xml:space="preserve">Richard H. </w:t>
      </w:r>
      <w:proofErr w:type="spellStart"/>
      <w:r w:rsidRPr="00D874D0">
        <w:rPr>
          <w:rFonts w:asciiTheme="majorBidi" w:hAnsiTheme="majorBidi" w:cstheme="majorBidi"/>
          <w:smallCaps/>
          <w:color w:val="000000"/>
          <w:sz w:val="20"/>
          <w:szCs w:val="20"/>
          <w:lang w:val="pt-BR"/>
        </w:rPr>
        <w:t>Thaler</w:t>
      </w:r>
      <w:proofErr w:type="spellEnd"/>
      <w:r w:rsidRPr="00D874D0">
        <w:rPr>
          <w:rFonts w:asciiTheme="majorBidi" w:hAnsiTheme="majorBidi" w:cstheme="majorBidi"/>
          <w:smallCaps/>
          <w:color w:val="000000"/>
          <w:sz w:val="20"/>
          <w:szCs w:val="20"/>
          <w:lang w:val="pt-BR"/>
        </w:rPr>
        <w:t xml:space="preserve">, </w:t>
      </w:r>
      <w:proofErr w:type="spellStart"/>
      <w:r w:rsidRPr="00D874D0">
        <w:rPr>
          <w:rFonts w:asciiTheme="majorBidi" w:hAnsiTheme="majorBidi" w:cstheme="majorBidi"/>
          <w:smallCaps/>
          <w:color w:val="000000"/>
          <w:sz w:val="20"/>
          <w:szCs w:val="20"/>
          <w:lang w:val="pt-BR"/>
        </w:rPr>
        <w:t>Misbehaving</w:t>
      </w:r>
      <w:proofErr w:type="spellEnd"/>
      <w:r w:rsidRPr="00D874D0">
        <w:rPr>
          <w:rFonts w:asciiTheme="majorBidi" w:hAnsiTheme="majorBidi" w:cstheme="majorBidi"/>
          <w:smallCaps/>
          <w:color w:val="000000"/>
          <w:sz w:val="20"/>
          <w:szCs w:val="20"/>
          <w:lang w:val="pt-BR"/>
        </w:rPr>
        <w:t>: A Construção da Economia Comportamental</w:t>
      </w:r>
      <w:r w:rsidRPr="00D874D0">
        <w:rPr>
          <w:rFonts w:asciiTheme="majorBidi" w:hAnsiTheme="majorBidi" w:cstheme="majorBidi"/>
          <w:color w:val="000000"/>
          <w:sz w:val="20"/>
          <w:szCs w:val="20"/>
          <w:lang w:val="pt-BR"/>
        </w:rPr>
        <w:t xml:space="preserve"> 272-276 (2019).</w:t>
      </w:r>
    </w:p>
  </w:footnote>
  <w:footnote w:id="27">
    <w:p w14:paraId="00000048"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Id.</w:t>
      </w:r>
    </w:p>
  </w:footnote>
  <w:footnote w:id="28">
    <w:p w14:paraId="00000049"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Robert L. Hale, </w:t>
      </w:r>
      <w:r w:rsidRPr="00D874D0">
        <w:rPr>
          <w:rFonts w:asciiTheme="majorBidi" w:hAnsiTheme="majorBidi" w:cstheme="majorBidi"/>
          <w:i/>
          <w:color w:val="000000"/>
          <w:sz w:val="20"/>
          <w:szCs w:val="20"/>
        </w:rPr>
        <w:t>Bargaining, Duress, and Economic Liberty</w:t>
      </w:r>
      <w:r w:rsidRPr="00D874D0">
        <w:rPr>
          <w:rFonts w:asciiTheme="majorBidi" w:hAnsiTheme="majorBidi" w:cstheme="majorBidi"/>
          <w:color w:val="000000"/>
          <w:sz w:val="20"/>
          <w:szCs w:val="20"/>
        </w:rPr>
        <w:t xml:space="preserve">, 43 </w:t>
      </w:r>
      <w:r w:rsidRPr="00D874D0">
        <w:rPr>
          <w:rFonts w:asciiTheme="majorBidi" w:hAnsiTheme="majorBidi" w:cstheme="majorBidi"/>
          <w:smallCaps/>
          <w:color w:val="000000"/>
          <w:sz w:val="20"/>
          <w:szCs w:val="20"/>
        </w:rPr>
        <w:t>Columbia Law Review</w:t>
      </w:r>
      <w:r w:rsidRPr="00D874D0">
        <w:rPr>
          <w:rFonts w:asciiTheme="majorBidi" w:hAnsiTheme="majorBidi" w:cstheme="majorBidi"/>
          <w:color w:val="000000"/>
          <w:sz w:val="20"/>
          <w:szCs w:val="20"/>
        </w:rPr>
        <w:t xml:space="preserve"> 603 (1943).</w:t>
      </w:r>
    </w:p>
  </w:footnote>
  <w:footnote w:id="29">
    <w:p w14:paraId="0000004A"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Ian Ayres, </w:t>
      </w:r>
      <w:r w:rsidRPr="00D874D0">
        <w:rPr>
          <w:rFonts w:asciiTheme="majorBidi" w:hAnsiTheme="majorBidi" w:cstheme="majorBidi"/>
          <w:i/>
          <w:color w:val="000000"/>
          <w:sz w:val="20"/>
          <w:szCs w:val="20"/>
        </w:rPr>
        <w:t>Review of Discrediting the Free Market, by Barbara Fried</w:t>
      </w:r>
      <w:r w:rsidRPr="00D874D0">
        <w:rPr>
          <w:rFonts w:asciiTheme="majorBidi" w:hAnsiTheme="majorBidi" w:cstheme="majorBidi"/>
          <w:color w:val="000000"/>
          <w:sz w:val="20"/>
          <w:szCs w:val="20"/>
        </w:rPr>
        <w:t xml:space="preserve">, 66 </w:t>
      </w:r>
      <w:r w:rsidRPr="00D874D0">
        <w:rPr>
          <w:rFonts w:asciiTheme="majorBidi" w:hAnsiTheme="majorBidi" w:cstheme="majorBidi"/>
          <w:smallCaps/>
          <w:color w:val="000000"/>
          <w:sz w:val="20"/>
          <w:szCs w:val="20"/>
        </w:rPr>
        <w:t>The University of Chicago Law Review</w:t>
      </w:r>
      <w:r w:rsidRPr="00D874D0">
        <w:rPr>
          <w:rFonts w:asciiTheme="majorBidi" w:hAnsiTheme="majorBidi" w:cstheme="majorBidi"/>
          <w:color w:val="000000"/>
          <w:sz w:val="20"/>
          <w:szCs w:val="20"/>
        </w:rPr>
        <w:t xml:space="preserve"> 273 (1999). </w:t>
      </w:r>
    </w:p>
  </w:footnote>
  <w:footnote w:id="30">
    <w:p w14:paraId="0000004B"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We selected the courts from the State of São Paulo’s Justice system considering its national significance and the availability of a considerable number of judgements in electronic format.</w:t>
      </w:r>
    </w:p>
  </w:footnote>
  <w:footnote w:id="31">
    <w:p w14:paraId="0000004C"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lang w:val="pt-BR"/>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lang w:val="pt-BR"/>
        </w:rPr>
        <w:t xml:space="preserve"> </w:t>
      </w:r>
      <w:r w:rsidRPr="00D874D0">
        <w:rPr>
          <w:rFonts w:asciiTheme="majorBidi" w:hAnsiTheme="majorBidi" w:cstheme="majorBidi"/>
          <w:smallCaps/>
          <w:color w:val="000000"/>
          <w:sz w:val="20"/>
          <w:szCs w:val="20"/>
          <w:lang w:val="pt-BR"/>
        </w:rPr>
        <w:t>World Bank, Relatório de Pobreza e Equidade no Brasil – Mirando o Futuro Após Duas Crises</w:t>
      </w:r>
      <w:r w:rsidRPr="00D874D0">
        <w:rPr>
          <w:rFonts w:asciiTheme="majorBidi" w:hAnsiTheme="majorBidi" w:cstheme="majorBidi"/>
          <w:color w:val="000000"/>
          <w:sz w:val="20"/>
          <w:szCs w:val="20"/>
          <w:lang w:val="pt-BR"/>
        </w:rPr>
        <w:t xml:space="preserve"> (2022). </w:t>
      </w:r>
    </w:p>
  </w:footnote>
  <w:footnote w:id="32">
    <w:p w14:paraId="0000004D"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Nishant </w:t>
      </w:r>
      <w:proofErr w:type="spellStart"/>
      <w:r w:rsidRPr="00D874D0">
        <w:rPr>
          <w:rFonts w:asciiTheme="majorBidi" w:hAnsiTheme="majorBidi" w:cstheme="majorBidi"/>
          <w:color w:val="000000"/>
          <w:sz w:val="20"/>
          <w:szCs w:val="20"/>
        </w:rPr>
        <w:t>Yonzan</w:t>
      </w:r>
      <w:proofErr w:type="spellEnd"/>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et al</w:t>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The Impact of Covid-19 on Poverty and Inequality: Evidence from Phone Surveys</w:t>
      </w:r>
      <w:r w:rsidRPr="00D874D0">
        <w:rPr>
          <w:rFonts w:asciiTheme="majorBidi" w:hAnsiTheme="majorBidi" w:cstheme="majorBidi"/>
          <w:color w:val="000000"/>
          <w:sz w:val="20"/>
          <w:szCs w:val="20"/>
        </w:rPr>
        <w:t xml:space="preserve">, </w:t>
      </w:r>
      <w:r w:rsidRPr="00D874D0">
        <w:rPr>
          <w:rFonts w:asciiTheme="majorBidi" w:hAnsiTheme="majorBidi" w:cstheme="majorBidi"/>
          <w:smallCaps/>
          <w:color w:val="000000"/>
          <w:sz w:val="20"/>
          <w:szCs w:val="20"/>
        </w:rPr>
        <w:t>World Bank Blogs (</w:t>
      </w:r>
      <w:r w:rsidRPr="00D874D0">
        <w:rPr>
          <w:rFonts w:asciiTheme="majorBidi" w:hAnsiTheme="majorBidi" w:cstheme="majorBidi"/>
          <w:color w:val="000000"/>
          <w:sz w:val="20"/>
          <w:szCs w:val="20"/>
        </w:rPr>
        <w:t xml:space="preserve">January 18, 2022), </w:t>
      </w:r>
      <w:hyperlink r:id="rId2">
        <w:r w:rsidRPr="00D874D0">
          <w:rPr>
            <w:rFonts w:asciiTheme="majorBidi" w:hAnsiTheme="majorBidi" w:cstheme="majorBidi"/>
            <w:color w:val="0000FF"/>
            <w:sz w:val="20"/>
            <w:szCs w:val="20"/>
            <w:u w:val="single"/>
          </w:rPr>
          <w:t>https://blogs.worldbank.org/opendata/impact-covid-19-poverty-and-inequality-evidence-phone-surveys</w:t>
        </w:r>
      </w:hyperlink>
      <w:r w:rsidRPr="00D874D0">
        <w:rPr>
          <w:rFonts w:asciiTheme="majorBidi" w:hAnsiTheme="majorBidi" w:cstheme="majorBidi"/>
          <w:color w:val="000000"/>
          <w:sz w:val="20"/>
          <w:szCs w:val="20"/>
        </w:rPr>
        <w:t>.</w:t>
      </w:r>
      <w:r w:rsidRPr="00D874D0">
        <w:rPr>
          <w:rFonts w:asciiTheme="majorBidi" w:hAnsiTheme="majorBidi" w:cstheme="majorBidi"/>
          <w:color w:val="000000"/>
          <w:sz w:val="20"/>
          <w:szCs w:val="20"/>
          <w:vertAlign w:val="superscript"/>
        </w:rPr>
        <w:t> </w:t>
      </w:r>
    </w:p>
  </w:footnote>
  <w:footnote w:id="33">
    <w:p w14:paraId="0000004E"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lang w:val="pt-BR"/>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lang w:val="pt-BR"/>
        </w:rPr>
        <w:t xml:space="preserve"> </w:t>
      </w:r>
      <w:r w:rsidRPr="00D874D0">
        <w:rPr>
          <w:rFonts w:asciiTheme="majorBidi" w:hAnsiTheme="majorBidi" w:cstheme="majorBidi"/>
          <w:smallCaps/>
          <w:color w:val="000000"/>
          <w:sz w:val="20"/>
          <w:szCs w:val="20"/>
          <w:lang w:val="pt-BR"/>
        </w:rPr>
        <w:t>Sergio Firpo</w:t>
      </w:r>
      <w:r w:rsidRPr="00D874D0">
        <w:rPr>
          <w:rFonts w:asciiTheme="majorBidi" w:hAnsiTheme="majorBidi" w:cstheme="majorBidi"/>
          <w:color w:val="000000"/>
          <w:sz w:val="20"/>
          <w:szCs w:val="20"/>
          <w:lang w:val="pt-BR"/>
        </w:rPr>
        <w:t xml:space="preserve">, </w:t>
      </w:r>
      <w:r w:rsidRPr="00D874D0">
        <w:rPr>
          <w:rFonts w:asciiTheme="majorBidi" w:hAnsiTheme="majorBidi" w:cstheme="majorBidi"/>
          <w:smallCaps/>
          <w:color w:val="000000"/>
          <w:sz w:val="20"/>
          <w:szCs w:val="20"/>
          <w:lang w:val="pt-BR"/>
        </w:rPr>
        <w:t>Quem Paga (E Quanto Paga) E Quem Recebe (E Quanto Recebe) Aluguel No Brasil: Estatísticas Descritivas Para Informar O Debate Público Sobre A Questão Da Moradia No Brasil Durante A Pandemia Da Covid-19</w:t>
      </w:r>
      <w:r w:rsidRPr="00D874D0">
        <w:rPr>
          <w:rFonts w:asciiTheme="majorBidi" w:hAnsiTheme="majorBidi" w:cstheme="majorBidi"/>
          <w:color w:val="000000"/>
          <w:sz w:val="20"/>
          <w:szCs w:val="20"/>
          <w:lang w:val="pt-BR"/>
        </w:rPr>
        <w:t xml:space="preserve"> (2020).</w:t>
      </w:r>
    </w:p>
  </w:footnote>
  <w:footnote w:id="34">
    <w:p w14:paraId="0000004F"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Pr="00D874D0">
        <w:rPr>
          <w:rFonts w:asciiTheme="majorBidi" w:hAnsiTheme="majorBidi" w:cstheme="majorBidi"/>
          <w:i/>
          <w:color w:val="000000"/>
          <w:sz w:val="20"/>
          <w:szCs w:val="20"/>
        </w:rPr>
        <w:t>Id.</w:t>
      </w:r>
    </w:p>
  </w:footnote>
  <w:footnote w:id="35">
    <w:p w14:paraId="00000050"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Pr="00D874D0">
        <w:rPr>
          <w:rFonts w:asciiTheme="majorBidi" w:hAnsiTheme="majorBidi" w:cstheme="majorBidi"/>
          <w:smallCaps/>
          <w:color w:val="000000"/>
          <w:sz w:val="20"/>
          <w:szCs w:val="20"/>
        </w:rPr>
        <w:t>OECD, Housing Amid Covid-19: Policy Responses and Challenges (2020)</w:t>
      </w:r>
      <w:r w:rsidRPr="00D874D0">
        <w:rPr>
          <w:rFonts w:asciiTheme="majorBidi" w:hAnsiTheme="majorBidi" w:cstheme="majorBidi"/>
          <w:color w:val="000000"/>
          <w:sz w:val="20"/>
          <w:szCs w:val="20"/>
        </w:rPr>
        <w:t>.</w:t>
      </w:r>
    </w:p>
  </w:footnote>
  <w:footnote w:id="36">
    <w:p w14:paraId="00000051" w14:textId="77777777"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Lawrence M. Friedman, </w:t>
      </w:r>
      <w:r w:rsidRPr="00D874D0">
        <w:rPr>
          <w:rFonts w:asciiTheme="majorBidi" w:hAnsiTheme="majorBidi" w:cstheme="majorBidi"/>
          <w:i/>
          <w:color w:val="000000"/>
          <w:sz w:val="20"/>
          <w:szCs w:val="20"/>
        </w:rPr>
        <w:t>Law, Economics, and Society</w:t>
      </w:r>
      <w:r w:rsidRPr="00D874D0">
        <w:rPr>
          <w:rFonts w:asciiTheme="majorBidi" w:hAnsiTheme="majorBidi" w:cstheme="majorBidi"/>
          <w:color w:val="000000"/>
          <w:sz w:val="20"/>
          <w:szCs w:val="20"/>
        </w:rPr>
        <w:t xml:space="preserve">, 39 </w:t>
      </w:r>
      <w:r w:rsidRPr="00D874D0">
        <w:rPr>
          <w:rFonts w:asciiTheme="majorBidi" w:hAnsiTheme="majorBidi" w:cstheme="majorBidi"/>
          <w:smallCaps/>
          <w:color w:val="000000"/>
          <w:sz w:val="20"/>
          <w:szCs w:val="20"/>
        </w:rPr>
        <w:t>Hofstra Law Review</w:t>
      </w:r>
      <w:r w:rsidRPr="00D874D0">
        <w:rPr>
          <w:rFonts w:asciiTheme="majorBidi" w:hAnsiTheme="majorBidi" w:cstheme="majorBidi"/>
          <w:color w:val="000000"/>
          <w:sz w:val="20"/>
          <w:szCs w:val="20"/>
        </w:rPr>
        <w:t xml:space="preserve"> 487 (2010).</w:t>
      </w:r>
    </w:p>
  </w:footnote>
  <w:footnote w:id="37">
    <w:p w14:paraId="00000052" w14:textId="4F2DC722" w:rsidR="00D0624F" w:rsidRPr="00D874D0" w:rsidRDefault="007C5A1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D874D0">
        <w:rPr>
          <w:rFonts w:asciiTheme="majorBidi" w:hAnsiTheme="majorBidi" w:cstheme="majorBidi"/>
          <w:sz w:val="20"/>
          <w:szCs w:val="20"/>
          <w:vertAlign w:val="superscript"/>
        </w:rPr>
        <w:footnoteRef/>
      </w:r>
      <w:r w:rsidRPr="00D874D0">
        <w:rPr>
          <w:rFonts w:asciiTheme="majorBidi" w:hAnsiTheme="majorBidi" w:cstheme="majorBidi"/>
          <w:color w:val="000000"/>
          <w:sz w:val="20"/>
          <w:szCs w:val="20"/>
        </w:rPr>
        <w:t xml:space="preserve"> </w:t>
      </w:r>
      <w:r w:rsidR="00E17857">
        <w:rPr>
          <w:rFonts w:asciiTheme="majorBidi" w:hAnsiTheme="majorBidi" w:cstheme="majorBidi"/>
          <w:color w:val="000000"/>
          <w:sz w:val="20"/>
          <w:szCs w:val="20"/>
        </w:rPr>
        <w:t xml:space="preserve">The terms “good” and “successful” come from </w:t>
      </w:r>
      <w:r w:rsidRPr="00D874D0">
        <w:rPr>
          <w:rFonts w:asciiTheme="majorBidi" w:eastAsia="Times New Roman" w:hAnsiTheme="majorBidi" w:cstheme="majorBidi"/>
          <w:color w:val="000000"/>
          <w:sz w:val="20"/>
          <w:szCs w:val="20"/>
        </w:rPr>
        <w:t xml:space="preserve">McCloskey, </w:t>
      </w:r>
      <w:r w:rsidRPr="00D874D0">
        <w:rPr>
          <w:rFonts w:asciiTheme="majorBidi" w:eastAsia="Times New Roman" w:hAnsiTheme="majorBidi" w:cstheme="majorBidi"/>
          <w:i/>
          <w:color w:val="000000"/>
          <w:sz w:val="20"/>
          <w:szCs w:val="20"/>
        </w:rPr>
        <w:t>supra</w:t>
      </w:r>
      <w:r w:rsidRPr="00D874D0">
        <w:rPr>
          <w:rFonts w:asciiTheme="majorBidi" w:eastAsia="Times New Roman" w:hAnsiTheme="majorBidi" w:cstheme="majorBidi"/>
          <w:color w:val="000000"/>
          <w:sz w:val="20"/>
          <w:szCs w:val="20"/>
        </w:rPr>
        <w:t xml:space="preserve"> note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71EE7E0B" w:rsidR="00D0624F" w:rsidRPr="009B649B" w:rsidRDefault="009B649B" w:rsidP="009B649B">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Working Paper</w:t>
    </w:r>
    <w:r w:rsidR="007C5A1E">
      <w:rPr>
        <w:rFonts w:ascii="Times New Roman" w:eastAsia="Times New Roman" w:hAnsi="Times New Roman" w:cs="Times New Roman"/>
        <w:b/>
      </w:rPr>
      <w:t xml:space="preserve"> – Lucas Víspico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874B3"/>
    <w:multiLevelType w:val="multilevel"/>
    <w:tmpl w:val="B4141A4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89A2EE8"/>
    <w:multiLevelType w:val="multilevel"/>
    <w:tmpl w:val="475CE140"/>
    <w:lvl w:ilvl="0">
      <w:start w:val="1"/>
      <w:numFmt w:val="decimal"/>
      <w:lvlText w:val="%1."/>
      <w:lvlJc w:val="left"/>
      <w:pPr>
        <w:ind w:left="720" w:hanging="360"/>
      </w:pPr>
      <w:rPr>
        <w:b/>
      </w:rPr>
    </w:lvl>
    <w:lvl w:ilvl="1">
      <w:start w:val="1"/>
      <w:numFmt w:val="lowerLetter"/>
      <w:lvlText w:val="%2."/>
      <w:lvlJc w:val="left"/>
      <w:pPr>
        <w:ind w:left="1440" w:hanging="360"/>
      </w:pPr>
      <w:rPr>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5112814">
    <w:abstractNumId w:val="1"/>
  </w:num>
  <w:num w:numId="2" w16cid:durableId="27552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4F"/>
    <w:rsid w:val="001669B4"/>
    <w:rsid w:val="00287372"/>
    <w:rsid w:val="00302863"/>
    <w:rsid w:val="003C5A17"/>
    <w:rsid w:val="0042026B"/>
    <w:rsid w:val="004E4AA9"/>
    <w:rsid w:val="007C5A1E"/>
    <w:rsid w:val="008313E3"/>
    <w:rsid w:val="009B649B"/>
    <w:rsid w:val="009F1D5F"/>
    <w:rsid w:val="009F1E4E"/>
    <w:rsid w:val="00A97362"/>
    <w:rsid w:val="00AC5A05"/>
    <w:rsid w:val="00B72DF5"/>
    <w:rsid w:val="00B964A9"/>
    <w:rsid w:val="00C56732"/>
    <w:rsid w:val="00C82F70"/>
    <w:rsid w:val="00D0624F"/>
    <w:rsid w:val="00D874D0"/>
    <w:rsid w:val="00E17857"/>
    <w:rsid w:val="00ED00C9"/>
    <w:rsid w:val="00F50FDA"/>
    <w:rsid w:val="00F530E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D5B22"/>
  <w15:docId w15:val="{0FB69E9E-5FE4-4152-96C3-FC321D37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pt-BR"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9B64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649B"/>
  </w:style>
  <w:style w:type="paragraph" w:styleId="Rodap">
    <w:name w:val="footer"/>
    <w:basedOn w:val="Normal"/>
    <w:link w:val="RodapChar"/>
    <w:uiPriority w:val="99"/>
    <w:unhideWhenUsed/>
    <w:rsid w:val="009B649B"/>
    <w:pPr>
      <w:tabs>
        <w:tab w:val="center" w:pos="4252"/>
        <w:tab w:val="right" w:pos="8504"/>
      </w:tabs>
      <w:spacing w:after="0" w:line="240" w:lineRule="auto"/>
    </w:pPr>
  </w:style>
  <w:style w:type="character" w:customStyle="1" w:styleId="RodapChar">
    <w:name w:val="Rodapé Char"/>
    <w:basedOn w:val="Fontepargpadro"/>
    <w:link w:val="Rodap"/>
    <w:uiPriority w:val="99"/>
    <w:rsid w:val="009B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blogs.worldbank.org/opendata/impact-covid-19-poverty-and-inequality-evidence-phone-surveys" TargetMode="External"/><Relationship Id="rId1" Type="http://schemas.openxmlformats.org/officeDocument/2006/relationships/hyperlink" Target="https://valor.globo.com/politica/noticia/2023/08/28/barroso-inova-e-contrata-economista-para-equipe-no-stf.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D9CC4-C283-4E72-860D-4FF1882D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1953</Words>
  <Characters>11299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 Víspico</cp:lastModifiedBy>
  <cp:revision>2</cp:revision>
  <cp:lastPrinted>2024-01-14T21:15:00Z</cp:lastPrinted>
  <dcterms:created xsi:type="dcterms:W3CDTF">2024-08-30T12:34:00Z</dcterms:created>
  <dcterms:modified xsi:type="dcterms:W3CDTF">2024-08-30T12:34:00Z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GrammarlyDocumentId">
    <vt:lpwstr>4973728e38a915542d6b7bc29f2ac5b758e7221d39d8f3e038e3a6de9a171bc4</vt:lpwstr>
  </property>
  <property fmtid="{D5CDD505-2E9C-101B-9397-08002B2CF9AE}" pid="4" name="ContentTypeId">
    <vt:lpwstr>0x010100F44D22385EA5EC4291A1354EEE76BD2D</vt:lpwstr>
  </property>
</Properties>
</file>