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E6CA" w14:textId="6A327AEE" w:rsidR="00530F8A" w:rsidRPr="00530F8A" w:rsidRDefault="00635E9E" w:rsidP="00530F8A">
      <w:pPr>
        <w:pStyle w:val="Titolo1"/>
      </w:pPr>
      <w:r w:rsidRPr="00530F8A">
        <w:t xml:space="preserve">Regulatory Information and Consumer Acceptance of Novel Foods: Evidence from a Survey Experiment </w:t>
      </w:r>
      <w:r w:rsidR="00EC443B">
        <w:t>(</w:t>
      </w:r>
      <w:r w:rsidRPr="00530F8A">
        <w:t>in Italy</w:t>
      </w:r>
      <w:r w:rsidR="00EC443B">
        <w:t>)</w:t>
      </w:r>
      <w:r w:rsidR="00913366">
        <w:t>.</w:t>
      </w:r>
    </w:p>
    <w:p w14:paraId="0F6E24A7" w14:textId="0F80D5B7" w:rsidR="00C025A7" w:rsidRDefault="00C025A7" w:rsidP="00655BFB">
      <w:pPr>
        <w:jc w:val="center"/>
        <w:rPr>
          <w:b/>
          <w:bCs/>
        </w:rPr>
      </w:pPr>
    </w:p>
    <w:p w14:paraId="5C93860D" w14:textId="57965A2A" w:rsidR="00C025A7" w:rsidRDefault="00C025A7" w:rsidP="00655BFB">
      <w:pPr>
        <w:jc w:val="center"/>
        <w:rPr>
          <w:bCs/>
          <w:lang w:val="it-IT"/>
        </w:rPr>
      </w:pPr>
      <w:r w:rsidRPr="00C025A7">
        <w:rPr>
          <w:bCs/>
          <w:lang w:val="it-IT"/>
        </w:rPr>
        <w:t>Cattani, Luca</w:t>
      </w:r>
      <w:r>
        <w:rPr>
          <w:bCs/>
          <w:vertAlign w:val="superscript"/>
          <w:lang w:val="it-IT"/>
        </w:rPr>
        <w:t>1</w:t>
      </w:r>
      <w:r w:rsidRPr="00C025A7">
        <w:rPr>
          <w:bCs/>
          <w:lang w:val="it-IT"/>
        </w:rPr>
        <w:t>, Degli Antoni</w:t>
      </w:r>
      <w:r>
        <w:rPr>
          <w:bCs/>
          <w:vertAlign w:val="superscript"/>
          <w:lang w:val="it-IT"/>
        </w:rPr>
        <w:t>1</w:t>
      </w:r>
      <w:r w:rsidRPr="00C025A7">
        <w:rPr>
          <w:bCs/>
          <w:lang w:val="it-IT"/>
        </w:rPr>
        <w:t>, Giacomo, Marco Faillo</w:t>
      </w:r>
      <w:r w:rsidR="00913366">
        <w:rPr>
          <w:bCs/>
          <w:lang w:val="it-IT"/>
        </w:rPr>
        <w:t>.</w:t>
      </w:r>
      <w:r>
        <w:rPr>
          <w:bCs/>
          <w:vertAlign w:val="superscript"/>
          <w:lang w:val="it-IT"/>
        </w:rPr>
        <w:t>2</w:t>
      </w:r>
      <w:r w:rsidRPr="00C025A7">
        <w:rPr>
          <w:bCs/>
          <w:lang w:val="it-IT"/>
        </w:rPr>
        <w:t xml:space="preserve"> </w:t>
      </w:r>
    </w:p>
    <w:p w14:paraId="1709372C" w14:textId="77777777" w:rsidR="00913366" w:rsidRPr="00C025A7" w:rsidRDefault="00913366" w:rsidP="00655BFB">
      <w:pPr>
        <w:jc w:val="center"/>
        <w:rPr>
          <w:bCs/>
          <w:lang w:val="it-IT"/>
        </w:rPr>
      </w:pPr>
    </w:p>
    <w:p w14:paraId="1D0DB0DE" w14:textId="6C840312" w:rsidR="00C025A7" w:rsidRDefault="00913366" w:rsidP="00913366">
      <w:pPr>
        <w:spacing w:line="240" w:lineRule="auto"/>
        <w:rPr>
          <w:bCs/>
          <w:i/>
          <w:sz w:val="20"/>
        </w:rPr>
      </w:pPr>
      <w:r w:rsidRPr="00913366">
        <w:rPr>
          <w:b/>
          <w:bCs/>
          <w:vertAlign w:val="superscript"/>
        </w:rPr>
        <w:t>1</w:t>
      </w:r>
      <w:r>
        <w:rPr>
          <w:b/>
          <w:bCs/>
          <w:vertAlign w:val="superscript"/>
        </w:rPr>
        <w:t xml:space="preserve"> </w:t>
      </w:r>
      <w:r w:rsidRPr="00913366">
        <w:rPr>
          <w:bCs/>
          <w:i/>
          <w:sz w:val="20"/>
        </w:rPr>
        <w:t>Department of Law, Politics and International Studies</w:t>
      </w:r>
      <w:r>
        <w:rPr>
          <w:bCs/>
          <w:i/>
          <w:sz w:val="20"/>
        </w:rPr>
        <w:t>, University of Parma, Italy</w:t>
      </w:r>
    </w:p>
    <w:p w14:paraId="35F83092" w14:textId="7F4DB75C" w:rsidR="00913366" w:rsidRDefault="00913366" w:rsidP="00913366">
      <w:pPr>
        <w:spacing w:line="240" w:lineRule="auto"/>
        <w:rPr>
          <w:bCs/>
          <w:i/>
          <w:sz w:val="20"/>
        </w:rPr>
      </w:pPr>
      <w:r>
        <w:rPr>
          <w:b/>
          <w:bCs/>
          <w:vertAlign w:val="superscript"/>
        </w:rPr>
        <w:t xml:space="preserve">2 </w:t>
      </w:r>
      <w:r w:rsidRPr="00913366">
        <w:rPr>
          <w:bCs/>
          <w:i/>
          <w:sz w:val="20"/>
        </w:rPr>
        <w:t xml:space="preserve">Department </w:t>
      </w:r>
      <w:r>
        <w:rPr>
          <w:bCs/>
          <w:i/>
          <w:sz w:val="20"/>
        </w:rPr>
        <w:t>Economics and Management, University of Trento, Italy</w:t>
      </w:r>
    </w:p>
    <w:p w14:paraId="1F76CB51" w14:textId="77777777" w:rsidR="00913366" w:rsidRPr="00913366" w:rsidRDefault="00913366" w:rsidP="00913366">
      <w:pPr>
        <w:rPr>
          <w:b/>
          <w:bCs/>
        </w:rPr>
      </w:pPr>
    </w:p>
    <w:p w14:paraId="4E58AFDB" w14:textId="0B2A8450" w:rsidR="00635E9E" w:rsidRDefault="00EA6B4D" w:rsidP="00655BFB">
      <w:pPr>
        <w:jc w:val="center"/>
        <w:rPr>
          <w:b/>
          <w:bCs/>
          <w:i/>
        </w:rPr>
      </w:pPr>
      <w:r>
        <w:rPr>
          <w:b/>
          <w:bCs/>
          <w:i/>
        </w:rPr>
        <w:t xml:space="preserve">Long </w:t>
      </w:r>
      <w:r w:rsidR="001E3220" w:rsidRPr="005B37C1">
        <w:rPr>
          <w:b/>
          <w:bCs/>
          <w:i/>
        </w:rPr>
        <w:t>Abstract</w:t>
      </w:r>
      <w:r w:rsidR="00F6072F">
        <w:rPr>
          <w:b/>
          <w:bCs/>
          <w:i/>
        </w:rPr>
        <w:t xml:space="preserve"> </w:t>
      </w:r>
    </w:p>
    <w:p w14:paraId="28833677" w14:textId="0C024C5A" w:rsidR="00F6072F" w:rsidRPr="00F6072F" w:rsidRDefault="00F6072F" w:rsidP="00655BFB">
      <w:pPr>
        <w:jc w:val="center"/>
        <w:rPr>
          <w:b/>
          <w:bCs/>
          <w:iCs/>
        </w:rPr>
      </w:pPr>
      <w:r w:rsidRPr="00F6072F">
        <w:rPr>
          <w:b/>
          <w:bCs/>
          <w:iCs/>
        </w:rPr>
        <w:t>Preliminary draft</w:t>
      </w:r>
    </w:p>
    <w:p w14:paraId="29E8A598" w14:textId="30D38665" w:rsidR="004D16E5" w:rsidRPr="004D16E5" w:rsidRDefault="004D16E5" w:rsidP="00363C4B">
      <w:pPr>
        <w:spacing w:line="360" w:lineRule="auto"/>
        <w:jc w:val="both"/>
        <w:rPr>
          <w:b/>
          <w:bCs/>
          <w:i/>
          <w:iCs/>
        </w:rPr>
      </w:pPr>
      <w:r w:rsidRPr="004D16E5">
        <w:rPr>
          <w:b/>
          <w:bCs/>
          <w:i/>
          <w:iCs/>
        </w:rPr>
        <w:t>Scenario</w:t>
      </w:r>
    </w:p>
    <w:p w14:paraId="5F856268" w14:textId="4080D7EE" w:rsidR="0094121C" w:rsidRPr="00570D14" w:rsidRDefault="004E201B" w:rsidP="00363C4B">
      <w:pPr>
        <w:spacing w:line="360" w:lineRule="auto"/>
        <w:jc w:val="both"/>
      </w:pPr>
      <w:r w:rsidRPr="00570D14">
        <w:t xml:space="preserve">Ensuring universal access to adequate and nutritious food has emerged as a </w:t>
      </w:r>
      <w:r w:rsidR="00CB2EEC" w:rsidRPr="00570D14">
        <w:t>critical issue</w:t>
      </w:r>
      <w:r w:rsidRPr="00570D14">
        <w:t xml:space="preserve"> in the global policy agenda (FAO, 2024)</w:t>
      </w:r>
      <w:r w:rsidR="002236F2" w:rsidRPr="00570D14">
        <w:t xml:space="preserve">. </w:t>
      </w:r>
      <w:r w:rsidR="00B82F3C" w:rsidRPr="00570D14">
        <w:t>This challenge is intensified</w:t>
      </w:r>
      <w:r w:rsidR="0094121C" w:rsidRPr="00570D14">
        <w:t xml:space="preserve"> by a global context </w:t>
      </w:r>
      <w:r w:rsidR="00CB2EEC" w:rsidRPr="00570D14">
        <w:t>characterized</w:t>
      </w:r>
      <w:r w:rsidR="0094121C" w:rsidRPr="00570D14">
        <w:t xml:space="preserve"> not only by a continuously increasing demand for food—driven by population and economic growth—but also by climate change and the depletion of natural resources (OECD and FAO, 2024)</w:t>
      </w:r>
      <w:r w:rsidR="00DE6370" w:rsidRPr="00570D14">
        <w:t>.</w:t>
      </w:r>
      <w:r w:rsidR="00363C4B" w:rsidRPr="00570D14">
        <w:t xml:space="preserve"> </w:t>
      </w:r>
      <w:r w:rsidR="00A347C9" w:rsidRPr="00570D14">
        <w:t>Further complicating the picture is the fact that</w:t>
      </w:r>
      <w:r w:rsidR="007D38EE" w:rsidRPr="00570D14">
        <w:t xml:space="preserve"> f</w:t>
      </w:r>
      <w:r w:rsidR="00DE6370" w:rsidRPr="00570D14">
        <w:t xml:space="preserve">ood systems are recognized as “major drivers of the climate emergency, biodiversity crisis, pervasive pollution, soil degradation, water depletion and the rising risk of infectious diseases that spill over into humans from wildlife and livestock” (UN, 2021, p. 4). </w:t>
      </w:r>
      <w:r w:rsidR="0094121C" w:rsidRPr="00570D14">
        <w:t xml:space="preserve">In this scenario, </w:t>
      </w:r>
      <w:r w:rsidR="00CB2EEC" w:rsidRPr="00570D14">
        <w:t>addressing</w:t>
      </w:r>
      <w:r w:rsidR="0094121C" w:rsidRPr="00570D14">
        <w:t xml:space="preserve"> food security requires both strengthening the capacity of food systems and fundamentally promoting sustainable production methods. </w:t>
      </w:r>
    </w:p>
    <w:p w14:paraId="4E2DDA72" w14:textId="542D0698" w:rsidR="00054F2B" w:rsidRPr="00570D14" w:rsidRDefault="00F24F0E" w:rsidP="00D04780">
      <w:pPr>
        <w:spacing w:line="360" w:lineRule="auto"/>
        <w:jc w:val="both"/>
      </w:pPr>
      <w:r w:rsidRPr="00570D14">
        <w:t>Advances in food production technologies</w:t>
      </w:r>
      <w:r w:rsidR="00CA398F" w:rsidRPr="00570D14">
        <w:t xml:space="preserve">, </w:t>
      </w:r>
      <w:r w:rsidR="00FB2121" w:rsidRPr="00570D14">
        <w:t>along with</w:t>
      </w:r>
      <w:r w:rsidR="00205AF8" w:rsidRPr="00570D14">
        <w:t xml:space="preserve"> </w:t>
      </w:r>
      <w:r w:rsidR="00FB2121" w:rsidRPr="00570D14">
        <w:t>the diversification of diets through the inclusion of environmentally sustainable food sources</w:t>
      </w:r>
      <w:r w:rsidR="00CA398F" w:rsidRPr="00570D14">
        <w:t xml:space="preserve"> </w:t>
      </w:r>
      <w:r w:rsidR="00FB2121" w:rsidRPr="00570D14">
        <w:t>—</w:t>
      </w:r>
      <w:r w:rsidR="00CA398F" w:rsidRPr="00570D14">
        <w:t xml:space="preserve"> </w:t>
      </w:r>
      <w:r w:rsidR="00FB2121" w:rsidRPr="00570D14">
        <w:t>such as insect-based ingredients-—</w:t>
      </w:r>
      <w:r w:rsidR="00205AF8" w:rsidRPr="00570D14">
        <w:t xml:space="preserve"> </w:t>
      </w:r>
      <w:r w:rsidRPr="00570D14">
        <w:t>may offer viable solutions for enhancing the sustainability of food systems</w:t>
      </w:r>
      <w:r w:rsidR="00982F9B" w:rsidRPr="00570D14">
        <w:t xml:space="preserve"> (Mazac et al., 2022)</w:t>
      </w:r>
      <w:r w:rsidRPr="00570D14">
        <w:t xml:space="preserve">. </w:t>
      </w:r>
      <w:r w:rsidR="00C74D73" w:rsidRPr="00570D14">
        <w:t>But new</w:t>
      </w:r>
      <w:r w:rsidR="00982F9B" w:rsidRPr="00570D14">
        <w:t xml:space="preserve"> technologies also carry potential risks, raising questions and concerns about possible negative impacts on human health, the environment, and animal welfare (Ververis et al. 2020)</w:t>
      </w:r>
      <w:r w:rsidR="00CA398F" w:rsidRPr="00570D14">
        <w:t xml:space="preserve"> </w:t>
      </w:r>
      <w:r w:rsidR="00BB6E41" w:rsidRPr="00570D14">
        <w:t>and the acceptance of foods that have not traditionally been part of certain diets poses additional social and cultural challenges</w:t>
      </w:r>
      <w:r w:rsidR="00982F9B" w:rsidRPr="00570D14">
        <w:t xml:space="preserve">. </w:t>
      </w:r>
      <w:r w:rsidR="00BB6E41" w:rsidRPr="00570D14">
        <w:t>Indeed, e</w:t>
      </w:r>
      <w:r w:rsidR="00982F9B" w:rsidRPr="00570D14">
        <w:t>nsur</w:t>
      </w:r>
      <w:r w:rsidR="00BB6E41" w:rsidRPr="00570D14">
        <w:t>ing</w:t>
      </w:r>
      <w:r w:rsidR="00982F9B" w:rsidRPr="00570D14">
        <w:t xml:space="preserve"> an appropriate balance between food safety, food security, and food sustainability</w:t>
      </w:r>
      <w:r w:rsidR="00C65009" w:rsidRPr="00570D14">
        <w:t xml:space="preserve"> may prove insufficient if consumers are unwilling to </w:t>
      </w:r>
      <w:r w:rsidR="00BB6E41" w:rsidRPr="00570D14">
        <w:t>consume</w:t>
      </w:r>
      <w:r w:rsidR="00C65009" w:rsidRPr="00570D14">
        <w:t xml:space="preserve"> new products.</w:t>
      </w:r>
      <w:r w:rsidR="00205AF8" w:rsidRPr="00570D14">
        <w:t xml:space="preserve"> In this context, regulatory frameworks </w:t>
      </w:r>
      <w:r w:rsidR="00792862" w:rsidRPr="00570D14">
        <w:t xml:space="preserve">may </w:t>
      </w:r>
      <w:r w:rsidR="00205AF8" w:rsidRPr="00570D14">
        <w:t xml:space="preserve">play a key role in governing technological advancements in the agri-food sector, </w:t>
      </w:r>
      <w:r w:rsidR="00792862" w:rsidRPr="00570D14">
        <w:t>as</w:t>
      </w:r>
      <w:r w:rsidR="00205AF8" w:rsidRPr="00570D14">
        <w:t xml:space="preserve"> legal tools can significantly influence consumer acceptance of novel foods (Van </w:t>
      </w:r>
      <w:r w:rsidR="00205AF8" w:rsidRPr="00570D14">
        <w:lastRenderedPageBreak/>
        <w:t>Der Meulen, 2009)</w:t>
      </w:r>
      <w:r w:rsidR="00C703CE" w:rsidRPr="00570D14">
        <w:t>. However,</w:t>
      </w:r>
      <w:r w:rsidR="00792862" w:rsidRPr="00570D14">
        <w:t xml:space="preserve"> there is still </w:t>
      </w:r>
      <w:r w:rsidR="00C703CE" w:rsidRPr="00570D14">
        <w:t>little</w:t>
      </w:r>
      <w:r w:rsidR="00792862" w:rsidRPr="00570D14">
        <w:t xml:space="preserve"> evidence </w:t>
      </w:r>
      <w:r w:rsidR="00C703CE" w:rsidRPr="00570D14">
        <w:t>on the extent to which consumer awareness of the regulatory processes behind food commercialization affects their acceptance of such products</w:t>
      </w:r>
      <w:r w:rsidR="00205AF8" w:rsidRPr="00570D14">
        <w:t>.</w:t>
      </w:r>
    </w:p>
    <w:p w14:paraId="132F85AC" w14:textId="11CA9C3F" w:rsidR="004D16E5" w:rsidRPr="004D16E5" w:rsidRDefault="004D16E5" w:rsidP="00D04780">
      <w:pPr>
        <w:spacing w:line="360" w:lineRule="auto"/>
        <w:jc w:val="both"/>
        <w:rPr>
          <w:b/>
          <w:bCs/>
          <w:i/>
          <w:iCs/>
        </w:rPr>
      </w:pPr>
      <w:r w:rsidRPr="004D16E5">
        <w:rPr>
          <w:b/>
          <w:bCs/>
          <w:i/>
          <w:iCs/>
        </w:rPr>
        <w:t>Research question</w:t>
      </w:r>
    </w:p>
    <w:p w14:paraId="058E8C4F" w14:textId="77777777" w:rsidR="004D16E5" w:rsidRDefault="00036E83" w:rsidP="00D04780">
      <w:pPr>
        <w:spacing w:line="360" w:lineRule="auto"/>
        <w:jc w:val="both"/>
      </w:pPr>
      <w:r w:rsidRPr="00570D14">
        <w:t>Focusing on the EU context, we adopt</w:t>
      </w:r>
      <w:r w:rsidR="00384BD7">
        <w:t>ed</w:t>
      </w:r>
      <w:r w:rsidRPr="00570D14">
        <w:t xml:space="preserve"> the definition of novel foods provided by EU Regulation 2015/2283</w:t>
      </w:r>
      <w:r w:rsidR="00873C9A" w:rsidRPr="00570D14">
        <w:rPr>
          <w:rStyle w:val="Rimandonotaapidipagina"/>
        </w:rPr>
        <w:footnoteReference w:id="1"/>
      </w:r>
      <w:r w:rsidR="00873C9A" w:rsidRPr="00570D14">
        <w:t xml:space="preserve"> </w:t>
      </w:r>
      <w:r w:rsidRPr="00570D14">
        <w:t>and conducted a survey experiment</w:t>
      </w:r>
      <w:r w:rsidR="00205AF8" w:rsidRPr="00570D14">
        <w:t xml:space="preserve"> </w:t>
      </w:r>
      <w:r w:rsidR="00311762" w:rsidRPr="00570D14">
        <w:t>to test the hypothesis that awareness of the regulatory approval process for novel foods positively affects consumers' willingness to consume them - specifically cell-based meat and insect-based flour products.</w:t>
      </w:r>
      <w:r w:rsidRPr="00570D14">
        <w:t xml:space="preserve"> </w:t>
      </w:r>
    </w:p>
    <w:p w14:paraId="73F2D28F" w14:textId="4FBB609C" w:rsidR="004D16E5" w:rsidRPr="004D16E5" w:rsidRDefault="004D16E5" w:rsidP="00D04780">
      <w:pPr>
        <w:spacing w:line="360" w:lineRule="auto"/>
        <w:jc w:val="both"/>
        <w:rPr>
          <w:b/>
          <w:bCs/>
          <w:i/>
          <w:iCs/>
        </w:rPr>
      </w:pPr>
      <w:r w:rsidRPr="004D16E5">
        <w:rPr>
          <w:b/>
          <w:bCs/>
          <w:i/>
          <w:iCs/>
        </w:rPr>
        <w:t>Methodology</w:t>
      </w:r>
    </w:p>
    <w:p w14:paraId="3DFCA93C" w14:textId="12F0234E" w:rsidR="004D16E5" w:rsidRPr="004D16E5" w:rsidRDefault="004D16E5" w:rsidP="004D16E5">
      <w:pPr>
        <w:spacing w:line="360" w:lineRule="auto"/>
        <w:jc w:val="both"/>
        <w:rPr>
          <w:i/>
          <w:iCs/>
        </w:rPr>
      </w:pPr>
      <w:r w:rsidRPr="004D16E5">
        <w:rPr>
          <w:i/>
          <w:iCs/>
        </w:rPr>
        <w:t>Surveys</w:t>
      </w:r>
    </w:p>
    <w:p w14:paraId="3ABEC086" w14:textId="57E3172B" w:rsidR="004D16E5" w:rsidRDefault="004D16E5" w:rsidP="004D16E5">
      <w:pPr>
        <w:spacing w:line="360" w:lineRule="auto"/>
        <w:jc w:val="both"/>
      </w:pPr>
      <w:r>
        <w:t>We provide an empirical analysis on original d</w:t>
      </w:r>
      <w:r w:rsidRPr="00570D14">
        <w:t xml:space="preserve">ata collected through two online surveys administered by a specialized agency. </w:t>
      </w:r>
    </w:p>
    <w:p w14:paraId="06359014" w14:textId="77777777" w:rsidR="004D16E5" w:rsidRDefault="004D16E5" w:rsidP="004D16E5">
      <w:pPr>
        <w:spacing w:line="360" w:lineRule="auto"/>
        <w:jc w:val="both"/>
      </w:pPr>
      <w:r w:rsidRPr="00570D14">
        <w:t>The first survey required 20 days - between October 22 and November 11, 2024 - to collect a sample of 2,102 individuals</w:t>
      </w:r>
      <w:r>
        <w:t xml:space="preserve">, </w:t>
      </w:r>
      <w:r w:rsidRPr="00570D14">
        <w:t xml:space="preserve">representative of the adult Italian population in terms of age group, gender, and macro-geographical area of residence (North-West, North-East, Center, and South). Between sections three and four of the </w:t>
      </w:r>
      <w:r w:rsidRPr="0033653F">
        <w:t>questionnaire</w:t>
      </w:r>
      <w:r>
        <w:t xml:space="preserve"> </w:t>
      </w:r>
      <w:r w:rsidRPr="0033653F">
        <w:t>used in the first survey</w:t>
      </w:r>
      <w:r w:rsidRPr="00570D14">
        <w:t xml:space="preserve">, half of the sample (Informed Group) received additional information about the marketing authorization process of Novel foods in the European Union. The treatment and the control group are balanced in terms of the same variables mentioned above: namely age, gender, and macro-geographical area of residence. </w:t>
      </w:r>
    </w:p>
    <w:p w14:paraId="6D5BD782" w14:textId="357C4B6B" w:rsidR="004D16E5" w:rsidRPr="00570D14" w:rsidRDefault="004D16E5" w:rsidP="004D16E5">
      <w:pPr>
        <w:spacing w:line="360" w:lineRule="auto"/>
        <w:jc w:val="both"/>
      </w:pPr>
      <w:r>
        <w:t>In the</w:t>
      </w:r>
      <w:r w:rsidRPr="00080077">
        <w:t xml:space="preserve"> </w:t>
      </w:r>
      <w:r w:rsidRPr="00570D14">
        <w:t>second survey</w:t>
      </w:r>
      <w:r>
        <w:t>, a questionnaire</w:t>
      </w:r>
      <w:r w:rsidRPr="00570D14">
        <w:t xml:space="preserve"> was administered to the same sample, with data collection taking place between November 15 and 25, 2024. In this case, we stopped collecting data once we realized that reminder messages were no longer effective in increasing the number of complete questionnaires. The time interval between the two surveys was chosen to avoid the risk of excessive attrition, while still allowing for sufficient obfuscation. Overall, most respondents completed the second survey between November 15 and 25, 2024, with a minimum time gap of 4 days and a maximum of 30 days between the two waves. Consequently, our final sample consists of 1,788 observations after excluding individuals with no valid record associated with our main variables of interest in at least one of the two waves.</w:t>
      </w:r>
    </w:p>
    <w:p w14:paraId="7767935B" w14:textId="4BAA6234" w:rsidR="004D16E5" w:rsidRDefault="004D16E5" w:rsidP="004D16E5">
      <w:pPr>
        <w:spacing w:line="360" w:lineRule="auto"/>
        <w:jc w:val="both"/>
      </w:pPr>
      <w:r w:rsidRPr="00570D14">
        <w:lastRenderedPageBreak/>
        <w:t xml:space="preserve">By comparing responses provided in the two surveys, we aimed to analyze the persistence of a potential informational effect on consumers’ attitudes toward novel foods, and to rule out demand effects as a possible explanation (Haaland et al., 2023). The variable time lag between the completion of the first and the second survey served the first objective, while the obfuscation of the second survey served the second. </w:t>
      </w:r>
      <w:r>
        <w:t>T</w:t>
      </w:r>
      <w:r w:rsidRPr="00570D14">
        <w:t xml:space="preserve">o keep the second survey obfuscated with respect to the first one we followed the approach by Haaland and Roth (2021). The obfuscated follow-up survey may also serve as a control for potential priming effects influencing the results of the main survey. In fact, it allows for the verification of effects that go beyond those attributable to short-lived priming (Haaland et al., 2023). </w:t>
      </w:r>
    </w:p>
    <w:p w14:paraId="1A3C69CF" w14:textId="7E85ED8F" w:rsidR="004D16E5" w:rsidRPr="004D16E5" w:rsidRDefault="004D16E5" w:rsidP="004D16E5">
      <w:pPr>
        <w:spacing w:line="360" w:lineRule="auto"/>
        <w:jc w:val="both"/>
        <w:rPr>
          <w:i/>
          <w:iCs/>
        </w:rPr>
      </w:pPr>
      <w:r w:rsidRPr="004D16E5">
        <w:rPr>
          <w:i/>
          <w:iCs/>
        </w:rPr>
        <w:t>Empirical strategy</w:t>
      </w:r>
    </w:p>
    <w:p w14:paraId="01B3D3AD" w14:textId="59973E43" w:rsidR="004D16E5" w:rsidRPr="00570D14" w:rsidRDefault="004D16E5" w:rsidP="004D16E5">
      <w:pPr>
        <w:spacing w:line="360" w:lineRule="auto"/>
        <w:jc w:val="both"/>
      </w:pPr>
      <w:r w:rsidRPr="00570D14">
        <w:t>To test whether the information treatment increased the individual propensity to consume novel foods we fitted the following model resorting to an OLS estimator:</w:t>
      </w:r>
    </w:p>
    <w:p w14:paraId="6ACC45D3" w14:textId="77777777" w:rsidR="004D16E5" w:rsidRPr="00B35543" w:rsidRDefault="00000000" w:rsidP="004D16E5">
      <w:pPr>
        <w:spacing w:line="360" w:lineRule="auto"/>
        <w:jc w:val="both"/>
        <w:rPr>
          <w:rFonts w:eastAsiaTheme="minorEastAsia"/>
        </w:rPr>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Y</m:t>
                  </m:r>
                </m:e>
                <m:sub>
                  <m:r>
                    <w:rPr>
                      <w:rFonts w:ascii="Cambria Math" w:hAnsi="Cambria Math"/>
                    </w:rPr>
                    <m:t>k,i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k</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k</m:t>
                  </m:r>
                </m:sub>
              </m:sSub>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k,i</m:t>
                  </m:r>
                </m:sub>
              </m:sSub>
              <m:ctrlPr>
                <w:rPr>
                  <w:rFonts w:ascii="Cambria Math" w:eastAsia="Cambria Math" w:hAnsi="Cambria Math" w:cs="Cambria Math"/>
                  <w:i/>
                </w:rPr>
              </m:ctrlPr>
            </m:e>
            <m:e>
              <m:r>
                <w:rPr>
                  <w:rFonts w:ascii="Cambria Math" w:hAnsi="Cambria Math"/>
                </w:rPr>
                <m:t xml:space="preserve">  #</m:t>
              </m:r>
              <m:d>
                <m:dPr>
                  <m:ctrlPr>
                    <w:rPr>
                      <w:rFonts w:ascii="Cambria Math" w:hAnsi="Cambria Math"/>
                      <w:i/>
                    </w:rPr>
                  </m:ctrlPr>
                </m:dPr>
                <m:e>
                  <m:r>
                    <w:rPr>
                      <w:rFonts w:ascii="Cambria Math" w:hAnsi="Cambria Math"/>
                      <w:i/>
                    </w:rPr>
                    <w:fldChar w:fldCharType="begin"/>
                  </m:r>
                  <m:r>
                    <m:rPr>
                      <m:sty m:val="p"/>
                    </m:rPr>
                    <w:rPr>
                      <w:rFonts w:ascii="Cambria Math" w:hAnsi="Cambria Math"/>
                    </w:rPr>
                    <m:t xml:space="preserve"> seq equation </m:t>
                  </m:r>
                  <m:r>
                    <w:rPr>
                      <w:rFonts w:ascii="Cambria Math" w:hAnsi="Cambria Math"/>
                      <w:i/>
                    </w:rPr>
                    <w:fldChar w:fldCharType="separate"/>
                  </m:r>
                  <m:r>
                    <m:rPr>
                      <m:sty m:val="p"/>
                    </m:rPr>
                    <w:rPr>
                      <w:rFonts w:ascii="Cambria Math" w:hAnsi="Cambria Math"/>
                      <w:noProof/>
                    </w:rPr>
                    <m:t>1</m:t>
                  </m:r>
                  <m:r>
                    <w:rPr>
                      <w:rFonts w:ascii="Cambria Math" w:hAnsi="Cambria Math"/>
                      <w:i/>
                    </w:rPr>
                    <w:fldChar w:fldCharType="end"/>
                  </m:r>
                </m:e>
              </m:d>
            </m:e>
          </m:eqArr>
        </m:oMath>
      </m:oMathPara>
    </w:p>
    <w:p w14:paraId="399F8F6A" w14:textId="77777777" w:rsidR="004D16E5" w:rsidRPr="00570D14" w:rsidRDefault="004D16E5" w:rsidP="004D16E5">
      <w:pPr>
        <w:spacing w:line="360" w:lineRule="auto"/>
        <w:jc w:val="both"/>
        <w:rPr>
          <w:rFonts w:eastAsiaTheme="minorEastAsia"/>
        </w:rPr>
      </w:pPr>
      <w:r w:rsidRPr="00570D14">
        <w:rPr>
          <w:rFonts w:eastAsiaTheme="minorEastAsia"/>
        </w:rPr>
        <w:t xml:space="preserve">Where </w:t>
      </w:r>
      <m:oMath>
        <m:sSub>
          <m:sSubPr>
            <m:ctrlPr>
              <w:rPr>
                <w:rFonts w:ascii="Cambria Math" w:hAnsi="Cambria Math"/>
                <w:i/>
              </w:rPr>
            </m:ctrlPr>
          </m:sSubPr>
          <m:e>
            <m:r>
              <w:rPr>
                <w:rFonts w:ascii="Cambria Math" w:hAnsi="Cambria Math"/>
              </w:rPr>
              <m:t>Y</m:t>
            </m:r>
          </m:e>
          <m:sub>
            <m:r>
              <w:rPr>
                <w:rFonts w:ascii="Cambria Math" w:hAnsi="Cambria Math"/>
              </w:rPr>
              <m:t>k,i</m:t>
            </m:r>
          </m:sub>
        </m:sSub>
      </m:oMath>
      <w:r w:rsidRPr="00570D14">
        <w:rPr>
          <w:rFonts w:eastAsiaTheme="minorEastAsia"/>
        </w:rPr>
        <w:t xml:space="preserve"> is the post-treatment propensity towards novel foods as measured by the 6-point Likert scale in the questionnaire, with </w:t>
      </w:r>
      <w:r w:rsidRPr="00B35543">
        <w:rPr>
          <w:rFonts w:eastAsiaTheme="minorEastAsia"/>
          <w:i/>
          <w:iCs/>
        </w:rPr>
        <w:t>k</w:t>
      </w:r>
      <w:r w:rsidRPr="00570D14">
        <w:rPr>
          <w:rFonts w:eastAsiaTheme="minorEastAsia"/>
        </w:rPr>
        <w:t xml:space="preserve"> </w:t>
      </w:r>
      <m:oMath>
        <m:r>
          <w:rPr>
            <w:rFonts w:ascii="Cambria Math" w:hAnsi="Cambria Math"/>
          </w:rPr>
          <m:t>∈</m:t>
        </m:r>
      </m:oMath>
      <w:r w:rsidRPr="00570D14">
        <w:rPr>
          <w:rFonts w:eastAsiaTheme="minorEastAsia"/>
        </w:rPr>
        <w:t xml:space="preserve"> </w:t>
      </w:r>
      <w:r w:rsidRPr="00B35543">
        <w:rPr>
          <w:rFonts w:eastAsiaTheme="minorEastAsia"/>
          <w:i/>
          <w:iCs/>
        </w:rPr>
        <w:t>[1= cell-based meat; 2= insect flour]</w:t>
      </w:r>
      <w:r w:rsidRPr="00570D14">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Pr="00570D14">
        <w:rPr>
          <w:rFonts w:eastAsiaTheme="minorEastAsia"/>
        </w:rPr>
        <w:t xml:space="preserve"> is a dichotomic variable that equals 1 in case the individual has been exposed to the information treatment and 0 otherwise, </w:t>
      </w: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oMath>
      <w:r w:rsidRPr="00570D14">
        <w:rPr>
          <w:rFonts w:eastAsiaTheme="minorEastAsia"/>
        </w:rPr>
        <w:t xml:space="preserve"> is a horizontal vector of controls, and finally </w:t>
      </w:r>
      <m:oMath>
        <m:sSub>
          <m:sSubPr>
            <m:ctrlPr>
              <w:rPr>
                <w:rFonts w:ascii="Cambria Math" w:hAnsi="Cambria Math"/>
                <w:i/>
              </w:rPr>
            </m:ctrlPr>
          </m:sSubPr>
          <m:e>
            <m:r>
              <w:rPr>
                <w:rFonts w:ascii="Cambria Math" w:hAnsi="Cambria Math"/>
              </w:rPr>
              <m:t>u</m:t>
            </m:r>
          </m:e>
          <m:sub>
            <m:r>
              <w:rPr>
                <w:rFonts w:ascii="Cambria Math" w:hAnsi="Cambria Math"/>
              </w:rPr>
              <m:t>k,i</m:t>
            </m:r>
          </m:sub>
        </m:sSub>
      </m:oMath>
      <w:r w:rsidRPr="00570D14">
        <w:rPr>
          <w:rFonts w:eastAsiaTheme="minorEastAsia"/>
        </w:rPr>
        <w:t xml:space="preserve"> is the idiosyncratic error. Since we want to regress two alternative independent variables on the same main treatment regressor, we should take into account the possibility that these two propensity variables may not be mutually independent due to possible complementarities or common unobserved factors. We thus resort</w:t>
      </w:r>
      <w:r>
        <w:rPr>
          <w:rFonts w:eastAsiaTheme="minorEastAsia"/>
        </w:rPr>
        <w:t>ed</w:t>
      </w:r>
      <w:r w:rsidRPr="00570D14">
        <w:rPr>
          <w:rFonts w:eastAsiaTheme="minorEastAsia"/>
        </w:rPr>
        <w:t xml:space="preserve"> to a seemingly unrelated regressions approach that can be formalized as follows:</w:t>
      </w:r>
    </w:p>
    <w:p w14:paraId="394DA54F" w14:textId="77777777" w:rsidR="004D16E5" w:rsidRPr="00B35543" w:rsidRDefault="00000000" w:rsidP="004D16E5">
      <w:pPr>
        <w:spacing w:line="360" w:lineRule="auto"/>
        <w:jc w:val="both"/>
        <w:rPr>
          <w:rFonts w:eastAsiaTheme="minorEastAsia"/>
          <w:color w:val="000000"/>
          <w:kern w:val="0"/>
          <w:sz w:val="22"/>
          <w:szCs w:val="22"/>
          <w:lang w:eastAsia="it-IT"/>
          <w14:ligatures w14:val="none"/>
        </w:rPr>
      </w:pPr>
      <m:oMathPara>
        <m:oMath>
          <m:eqArr>
            <m:eqArrPr>
              <m:maxDist m:val="1"/>
              <m:ctrlPr>
                <w:rPr>
                  <w:rFonts w:ascii="Cambria Math" w:eastAsiaTheme="minorEastAsia" w:hAnsi="Cambria Math"/>
                  <w:i/>
                </w:rPr>
              </m:ctrlPr>
            </m:eqArrPr>
            <m:e>
              <m:sSub>
                <m:sSubPr>
                  <m:ctrlPr>
                    <w:rPr>
                      <w:rFonts w:ascii="Cambria Math" w:eastAsia="Times New Roman" w:hAnsi="Cambria Math" w:cs="Times New Roman"/>
                      <w:color w:val="000000"/>
                      <w:kern w:val="0"/>
                      <w:sz w:val="22"/>
                      <w:szCs w:val="22"/>
                      <w:lang w:eastAsia="it-IT"/>
                      <w14:ligatures w14:val="none"/>
                    </w:rPr>
                  </m:ctrlPr>
                </m:sSubPr>
                <m:e>
                  <m:r>
                    <m:rPr>
                      <m:sty m:val="p"/>
                    </m:rPr>
                    <w:rPr>
                      <w:rFonts w:ascii="Cambria Math" w:eastAsia="Times New Roman" w:hAnsi="Cambria Math" w:cs="Times New Roman"/>
                      <w:color w:val="000000"/>
                      <w:kern w:val="0"/>
                      <w:sz w:val="22"/>
                      <w:szCs w:val="22"/>
                      <w:lang w:eastAsia="it-IT"/>
                      <w14:ligatures w14:val="none"/>
                    </w:rPr>
                    <m:t>Prob_Cons_Meat</m:t>
                  </m:r>
                </m:e>
                <m:sub>
                  <m:r>
                    <w:rPr>
                      <w:rFonts w:ascii="Cambria Math" w:eastAsia="Times New Roman" w:hAnsi="Cambria Math" w:cs="Times New Roman"/>
                      <w:color w:val="000000"/>
                      <w:kern w:val="0"/>
                      <w:sz w:val="22"/>
                      <w:szCs w:val="22"/>
                      <w:lang w:eastAsia="it-IT"/>
                      <w14:ligatures w14:val="none"/>
                    </w:rPr>
                    <m:t>i</m:t>
                  </m:r>
                </m:sub>
              </m:sSub>
              <m:r>
                <w:rPr>
                  <w:rFonts w:ascii="Cambria Math" w:eastAsiaTheme="minorEastAsia"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1i</m:t>
                  </m:r>
                </m:sub>
              </m:sSub>
              <m:r>
                <w:rPr>
                  <w:rFonts w:ascii="Cambria Math" w:eastAsiaTheme="minorEastAsia" w:hAnsi="Cambria Math"/>
                </w:rPr>
                <m:t xml:space="preserve"> </m:t>
              </m:r>
              <m:r>
                <w:rPr>
                  <w:rFonts w:ascii="Cambria Math" w:eastAsia="Times New Roman" w:hAnsi="Cambria Math" w:cs="Times New Roman"/>
                  <w:color w:val="000000"/>
                  <w:kern w:val="0"/>
                  <w:sz w:val="22"/>
                  <w:szCs w:val="22"/>
                  <w:lang w:eastAsia="it-IT"/>
                  <w14:ligatures w14:val="none"/>
                </w:rPr>
                <m:t>#</m:t>
              </m:r>
              <m:d>
                <m:dPr>
                  <m:ctrlPr>
                    <w:rPr>
                      <w:rFonts w:ascii="Cambria Math" w:eastAsiaTheme="minorEastAsia" w:hAnsi="Cambria Math"/>
                      <w:i/>
                    </w:rPr>
                  </m:ctrlPr>
                </m:dPr>
                <m:e>
                  <m:r>
                    <w:rPr>
                      <w:rFonts w:ascii="Cambria Math" w:eastAsiaTheme="minorEastAsia" w:hAnsi="Cambria Math"/>
                      <w:i/>
                    </w:rPr>
                    <w:fldChar w:fldCharType="begin"/>
                  </m:r>
                  <m:r>
                    <m:rPr>
                      <m:sty m:val="p"/>
                    </m:rPr>
                    <w:rPr>
                      <w:rFonts w:ascii="Cambria Math" w:eastAsiaTheme="minorEastAsia" w:hAnsi="Cambria Math"/>
                    </w:rPr>
                    <m:t xml:space="preserve"> seq equation </m:t>
                  </m:r>
                  <m:r>
                    <w:rPr>
                      <w:rFonts w:ascii="Cambria Math" w:eastAsiaTheme="minorEastAsia" w:hAnsi="Cambria Math"/>
                      <w:i/>
                    </w:rPr>
                    <w:fldChar w:fldCharType="separate"/>
                  </m:r>
                  <m:r>
                    <m:rPr>
                      <m:sty m:val="p"/>
                    </m:rPr>
                    <w:rPr>
                      <w:rFonts w:ascii="Cambria Math" w:eastAsiaTheme="minorEastAsia" w:hAnsi="Cambria Math"/>
                      <w:noProof/>
                    </w:rPr>
                    <m:t>2</m:t>
                  </m:r>
                  <m:r>
                    <w:rPr>
                      <w:rFonts w:ascii="Cambria Math" w:eastAsiaTheme="minorEastAsia" w:hAnsi="Cambria Math"/>
                      <w:i/>
                    </w:rPr>
                    <w:fldChar w:fldCharType="end"/>
                  </m:r>
                </m:e>
              </m:d>
              <m:ctrlPr>
                <w:rPr>
                  <w:rFonts w:ascii="Cambria Math" w:eastAsia="Times New Roman" w:hAnsi="Cambria Math" w:cs="Times New Roman"/>
                  <w:i/>
                  <w:color w:val="000000"/>
                  <w:kern w:val="0"/>
                  <w:sz w:val="22"/>
                  <w:szCs w:val="22"/>
                  <w:lang w:eastAsia="it-IT"/>
                  <w14:ligatures w14:val="none"/>
                </w:rPr>
              </m:ctrlPr>
            </m:e>
          </m:eqArr>
        </m:oMath>
      </m:oMathPara>
    </w:p>
    <w:p w14:paraId="72CB8C55" w14:textId="77777777" w:rsidR="004D16E5" w:rsidRPr="00B35543" w:rsidRDefault="00000000" w:rsidP="004D16E5">
      <w:pPr>
        <w:spacing w:line="360" w:lineRule="auto"/>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imes New Roman" w:hAnsi="Cambria Math" w:cs="Times New Roman"/>
                      <w:color w:val="000000"/>
                      <w:kern w:val="0"/>
                      <w:sz w:val="22"/>
                      <w:szCs w:val="22"/>
                      <w:lang w:eastAsia="it-IT"/>
                      <w14:ligatures w14:val="none"/>
                    </w:rPr>
                  </m:ctrlPr>
                </m:sSubPr>
                <m:e>
                  <m:r>
                    <m:rPr>
                      <m:sty m:val="p"/>
                    </m:rPr>
                    <w:rPr>
                      <w:rFonts w:ascii="Cambria Math" w:eastAsia="Times New Roman" w:hAnsi="Cambria Math" w:cs="Times New Roman"/>
                      <w:color w:val="000000"/>
                      <w:kern w:val="0"/>
                      <w:sz w:val="22"/>
                      <w:szCs w:val="22"/>
                      <w:lang w:eastAsia="it-IT"/>
                      <w14:ligatures w14:val="none"/>
                    </w:rPr>
                    <m:t>Prob_Incr_Flour</m:t>
                  </m:r>
                </m:e>
                <m:sub>
                  <m:r>
                    <w:rPr>
                      <w:rFonts w:ascii="Cambria Math" w:eastAsia="Times New Roman" w:hAnsi="Cambria Math" w:cs="Times New Roman"/>
                      <w:color w:val="000000"/>
                      <w:kern w:val="0"/>
                      <w:sz w:val="22"/>
                      <w:szCs w:val="22"/>
                      <w:lang w:eastAsia="it-IT"/>
                      <w14:ligatures w14:val="none"/>
                    </w:rPr>
                    <m:t>i</m:t>
                  </m:r>
                </m:sub>
              </m:sSub>
              <m:r>
                <w:rPr>
                  <w:rFonts w:ascii="Cambria Math" w:eastAsiaTheme="minorEastAsia"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2</m:t>
                  </m:r>
                </m:sub>
              </m:sSub>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2i</m:t>
                  </m:r>
                </m:sub>
              </m:sSub>
              <m:r>
                <w:rPr>
                  <w:rFonts w:ascii="Cambria Math" w:eastAsiaTheme="minorEastAsia" w:hAnsi="Cambria Math"/>
                </w:rPr>
                <m:t xml:space="preserve"> </m:t>
              </m:r>
              <m:r>
                <w:rPr>
                  <w:rFonts w:ascii="Cambria Math" w:eastAsia="Times New Roman" w:hAnsi="Cambria Math" w:cs="Times New Roman"/>
                  <w:color w:val="000000"/>
                  <w:kern w:val="0"/>
                  <w:sz w:val="22"/>
                  <w:szCs w:val="22"/>
                  <w:lang w:eastAsia="it-IT"/>
                  <w14:ligatures w14:val="none"/>
                </w:rPr>
                <m:t>#</m:t>
              </m:r>
              <m:d>
                <m:dPr>
                  <m:ctrlPr>
                    <w:rPr>
                      <w:rFonts w:ascii="Cambria Math" w:eastAsiaTheme="minorEastAsia" w:hAnsi="Cambria Math"/>
                      <w:i/>
                    </w:rPr>
                  </m:ctrlPr>
                </m:dPr>
                <m:e>
                  <m:r>
                    <w:rPr>
                      <w:rFonts w:ascii="Cambria Math" w:eastAsiaTheme="minorEastAsia" w:hAnsi="Cambria Math"/>
                      <w:i/>
                    </w:rPr>
                    <w:fldChar w:fldCharType="begin"/>
                  </m:r>
                  <m:r>
                    <m:rPr>
                      <m:sty m:val="p"/>
                    </m:rPr>
                    <w:rPr>
                      <w:rFonts w:ascii="Cambria Math" w:eastAsiaTheme="minorEastAsia" w:hAnsi="Cambria Math"/>
                    </w:rPr>
                    <m:t xml:space="preserve"> seq equation </m:t>
                  </m:r>
                  <m:r>
                    <w:rPr>
                      <w:rFonts w:ascii="Cambria Math" w:eastAsiaTheme="minorEastAsia" w:hAnsi="Cambria Math"/>
                      <w:i/>
                    </w:rPr>
                    <w:fldChar w:fldCharType="separate"/>
                  </m:r>
                  <m:r>
                    <m:rPr>
                      <m:sty m:val="p"/>
                    </m:rPr>
                    <w:rPr>
                      <w:rFonts w:ascii="Cambria Math" w:eastAsiaTheme="minorEastAsia" w:hAnsi="Cambria Math"/>
                      <w:noProof/>
                    </w:rPr>
                    <m:t>3</m:t>
                  </m:r>
                  <m:r>
                    <w:rPr>
                      <w:rFonts w:ascii="Cambria Math" w:eastAsiaTheme="minorEastAsia" w:hAnsi="Cambria Math"/>
                      <w:i/>
                    </w:rPr>
                    <w:fldChar w:fldCharType="end"/>
                  </m:r>
                </m:e>
              </m:d>
              <m:ctrlPr>
                <w:rPr>
                  <w:rFonts w:ascii="Cambria Math" w:eastAsia="Times New Roman" w:hAnsi="Cambria Math" w:cs="Times New Roman"/>
                  <w:i/>
                  <w:color w:val="000000"/>
                  <w:kern w:val="0"/>
                  <w:sz w:val="22"/>
                  <w:szCs w:val="22"/>
                  <w:lang w:eastAsia="it-IT"/>
                  <w14:ligatures w14:val="none"/>
                </w:rPr>
              </m:ctrlPr>
            </m:e>
          </m:eqArr>
        </m:oMath>
      </m:oMathPara>
    </w:p>
    <w:p w14:paraId="05D38168" w14:textId="77777777" w:rsidR="004D16E5" w:rsidRPr="00570D14" w:rsidRDefault="004D16E5" w:rsidP="004D16E5">
      <w:pPr>
        <w:spacing w:line="360" w:lineRule="auto"/>
        <w:jc w:val="both"/>
        <w:rPr>
          <w:rFonts w:eastAsiaTheme="minorEastAsia"/>
        </w:rPr>
      </w:pPr>
      <w:r w:rsidRPr="00570D14">
        <w:rPr>
          <w:rFonts w:eastAsiaTheme="minorEastAsia"/>
        </w:rPr>
        <w:t xml:space="preserve">Where </w:t>
      </w:r>
      <m:oMath>
        <m:sSub>
          <m:sSubPr>
            <m:ctrlPr>
              <w:rPr>
                <w:rFonts w:ascii="Cambria Math" w:eastAsia="Times New Roman" w:hAnsi="Cambria Math" w:cs="Times New Roman"/>
                <w:color w:val="000000"/>
                <w:kern w:val="0"/>
                <w:lang w:eastAsia="it-IT"/>
                <w14:ligatures w14:val="none"/>
              </w:rPr>
            </m:ctrlPr>
          </m:sSubPr>
          <m:e>
            <m:r>
              <m:rPr>
                <m:sty m:val="p"/>
              </m:rPr>
              <w:rPr>
                <w:rFonts w:ascii="Cambria Math" w:eastAsia="Times New Roman" w:hAnsi="Cambria Math" w:cs="Times New Roman"/>
                <w:color w:val="000000"/>
                <w:kern w:val="0"/>
                <w:lang w:eastAsia="it-IT"/>
                <w14:ligatures w14:val="none"/>
              </w:rPr>
              <m:t>Prob_Cons_Meat</m:t>
            </m:r>
          </m:e>
          <m:sub>
            <m:r>
              <w:rPr>
                <w:rFonts w:ascii="Cambria Math" w:eastAsia="Times New Roman" w:hAnsi="Cambria Math" w:cs="Times New Roman"/>
                <w:color w:val="000000"/>
                <w:kern w:val="0"/>
                <w:lang w:eastAsia="it-IT"/>
                <w14:ligatures w14:val="none"/>
              </w:rPr>
              <m:t>i</m:t>
            </m:r>
          </m:sub>
        </m:sSub>
      </m:oMath>
      <w:r w:rsidRPr="00BA228C">
        <w:rPr>
          <w:rFonts w:eastAsiaTheme="minorEastAsia"/>
          <w:color w:val="000000"/>
          <w:kern w:val="0"/>
          <w:lang w:eastAsia="it-IT"/>
          <w14:ligatures w14:val="none"/>
        </w:rPr>
        <w:t xml:space="preserve"> and </w:t>
      </w:r>
      <m:oMath>
        <m:sSub>
          <m:sSubPr>
            <m:ctrlPr>
              <w:rPr>
                <w:rFonts w:ascii="Cambria Math" w:eastAsia="Times New Roman" w:hAnsi="Cambria Math" w:cs="Times New Roman"/>
                <w:color w:val="000000"/>
                <w:kern w:val="0"/>
                <w:lang w:eastAsia="it-IT"/>
                <w14:ligatures w14:val="none"/>
              </w:rPr>
            </m:ctrlPr>
          </m:sSubPr>
          <m:e>
            <m:r>
              <m:rPr>
                <m:sty m:val="p"/>
              </m:rPr>
              <w:rPr>
                <w:rFonts w:ascii="Cambria Math" w:eastAsia="Times New Roman" w:hAnsi="Cambria Math" w:cs="Times New Roman"/>
                <w:color w:val="000000"/>
                <w:kern w:val="0"/>
                <w:lang w:eastAsia="it-IT"/>
                <w14:ligatures w14:val="none"/>
              </w:rPr>
              <m:t>Prob_Incr_Flour</m:t>
            </m:r>
          </m:e>
          <m:sub>
            <m:r>
              <w:rPr>
                <w:rFonts w:ascii="Cambria Math" w:eastAsia="Times New Roman" w:hAnsi="Cambria Math" w:cs="Times New Roman"/>
                <w:color w:val="000000"/>
                <w:kern w:val="0"/>
                <w:lang w:eastAsia="it-IT"/>
                <w14:ligatures w14:val="none"/>
              </w:rPr>
              <m:t>i</m:t>
            </m:r>
          </m:sub>
        </m:sSub>
      </m:oMath>
      <w:r w:rsidRPr="00BA228C">
        <w:rPr>
          <w:rFonts w:eastAsiaTheme="minorEastAsia"/>
          <w:color w:val="000000"/>
          <w:kern w:val="0"/>
          <w:lang w:eastAsia="it-IT"/>
          <w14:ligatures w14:val="none"/>
        </w:rPr>
        <w:t xml:space="preserve"> represent the two alternative dependent variables, and </w:t>
      </w:r>
      <w:r w:rsidRPr="00570D14">
        <w:rPr>
          <w:rFonts w:eastAsiaTheme="minorEastAsia"/>
          <w:color w:val="000000"/>
          <w:kern w:val="0"/>
          <w:lang w:eastAsia="it-IT"/>
          <w14:ligatures w14:val="none"/>
        </w:rPr>
        <w:t xml:space="preserve">we need to estimate a parameter </w:t>
      </w:r>
      <m:oMath>
        <m:r>
          <w:rPr>
            <w:rFonts w:ascii="Cambria Math" w:eastAsiaTheme="minorEastAsia" w:hAnsi="Cambria Math"/>
          </w:rPr>
          <m:t>ρ</m:t>
        </m:r>
      </m:oMath>
      <w:r w:rsidRPr="00570D14">
        <w:rPr>
          <w:rFonts w:eastAsiaTheme="minorEastAsia"/>
        </w:rPr>
        <w:t xml:space="preserve"> ithat captures the correlation between the idiosyncratic errors </w:t>
      </w:r>
      <m:oMath>
        <m:sSub>
          <m:sSubPr>
            <m:ctrlPr>
              <w:rPr>
                <w:rFonts w:ascii="Cambria Math" w:hAnsi="Cambria Math"/>
                <w:i/>
              </w:rPr>
            </m:ctrlPr>
          </m:sSubPr>
          <m:e>
            <m:r>
              <w:rPr>
                <w:rFonts w:ascii="Cambria Math" w:hAnsi="Cambria Math"/>
              </w:rPr>
              <m:t>u</m:t>
            </m:r>
          </m:e>
          <m:sub>
            <m:r>
              <w:rPr>
                <w:rFonts w:ascii="Cambria Math" w:hAnsi="Cambria Math"/>
              </w:rPr>
              <m:t>1i</m:t>
            </m:r>
          </m:sub>
        </m:sSub>
      </m:oMath>
      <w:r w:rsidRPr="00570D14">
        <w:rPr>
          <w:rFonts w:eastAsiaTheme="minorEastAsia"/>
        </w:rPr>
        <w:t xml:space="preserve"> and </w:t>
      </w:r>
      <m:oMath>
        <m:sSub>
          <m:sSubPr>
            <m:ctrlPr>
              <w:rPr>
                <w:rFonts w:ascii="Cambria Math" w:hAnsi="Cambria Math"/>
                <w:i/>
              </w:rPr>
            </m:ctrlPr>
          </m:sSubPr>
          <m:e>
            <m:r>
              <w:rPr>
                <w:rFonts w:ascii="Cambria Math" w:hAnsi="Cambria Math"/>
              </w:rPr>
              <m:t>u</m:t>
            </m:r>
          </m:e>
          <m:sub>
            <m:r>
              <w:rPr>
                <w:rFonts w:ascii="Cambria Math" w:hAnsi="Cambria Math"/>
              </w:rPr>
              <m:t>2i</m:t>
            </m:r>
          </m:sub>
        </m:sSub>
      </m:oMath>
      <w:r w:rsidRPr="00570D14">
        <w:rPr>
          <w:rFonts w:eastAsiaTheme="minorEastAsia"/>
        </w:rPr>
        <w:t>. By testing with a Breusch-Pagan Test the significance level of this correlation we will be able to tell if these two equations must be jointly (</w:t>
      </w:r>
      <m:oMath>
        <m:r>
          <w:rPr>
            <w:rFonts w:ascii="Cambria Math" w:eastAsiaTheme="minorEastAsia" w:hAnsi="Cambria Math"/>
          </w:rPr>
          <m:t>ρ≠0</m:t>
        </m:r>
      </m:oMath>
      <w:r w:rsidRPr="00570D14">
        <w:rPr>
          <w:rFonts w:eastAsiaTheme="minorEastAsia"/>
        </w:rPr>
        <w:t>) or separately (</w:t>
      </w:r>
      <m:oMath>
        <m:r>
          <w:rPr>
            <w:rFonts w:ascii="Cambria Math" w:eastAsiaTheme="minorEastAsia" w:hAnsi="Cambria Math"/>
          </w:rPr>
          <m:t>ρ=0</m:t>
        </m:r>
      </m:oMath>
      <w:r w:rsidRPr="00570D14">
        <w:rPr>
          <w:rFonts w:eastAsiaTheme="minorEastAsia"/>
        </w:rPr>
        <w:t>) estimated (Greene, 2018).</w:t>
      </w:r>
    </w:p>
    <w:p w14:paraId="1E18353F" w14:textId="3345A333" w:rsidR="004D16E5" w:rsidRPr="00570D14" w:rsidRDefault="004D16E5" w:rsidP="004D16E5">
      <w:pPr>
        <w:spacing w:line="360" w:lineRule="auto"/>
        <w:jc w:val="both"/>
        <w:rPr>
          <w:rFonts w:eastAsiaTheme="minorEastAsia"/>
        </w:rPr>
      </w:pPr>
      <w:r w:rsidRPr="00570D14">
        <w:rPr>
          <w:rFonts w:eastAsiaTheme="minorEastAsia"/>
        </w:rPr>
        <w:t>As far as the controls are concerned, we include</w:t>
      </w:r>
      <w:r>
        <w:rPr>
          <w:rFonts w:eastAsiaTheme="minorEastAsia"/>
        </w:rPr>
        <w:t>d</w:t>
      </w:r>
      <w:r w:rsidRPr="00570D14">
        <w:rPr>
          <w:rFonts w:eastAsiaTheme="minorEastAsia"/>
        </w:rPr>
        <w:t xml:space="preserve"> information related to individual characteristics and prior beliefs that are capable of influencing the outcome. In particular, we include</w:t>
      </w:r>
      <w:r>
        <w:rPr>
          <w:rFonts w:eastAsiaTheme="minorEastAsia"/>
        </w:rPr>
        <w:t>d</w:t>
      </w:r>
      <w:r w:rsidRPr="00570D14">
        <w:rPr>
          <w:rFonts w:eastAsiaTheme="minorEastAsia"/>
        </w:rPr>
        <w:t xml:space="preserve"> information concerning Gender, Educational Level (EQF), Region of residence (NUTS2 level), Province of birth </w:t>
      </w:r>
      <w:r w:rsidRPr="00570D14">
        <w:rPr>
          <w:rFonts w:eastAsiaTheme="minorEastAsia"/>
        </w:rPr>
        <w:lastRenderedPageBreak/>
        <w:t xml:space="preserve">(NUTS1 level), Age Group, City size, Employment Status, and Economic Situation. </w:t>
      </w:r>
      <w:r>
        <w:rPr>
          <w:rFonts w:eastAsiaTheme="minorEastAsia"/>
        </w:rPr>
        <w:t>According to the empirical literature,</w:t>
      </w:r>
      <w:r w:rsidRPr="00570D14">
        <w:rPr>
          <w:rFonts w:eastAsiaTheme="minorEastAsia"/>
        </w:rPr>
        <w:t xml:space="preserve"> personal views </w:t>
      </w:r>
      <w:r>
        <w:rPr>
          <w:rFonts w:eastAsiaTheme="minorEastAsia"/>
        </w:rPr>
        <w:t>are</w:t>
      </w:r>
      <w:r w:rsidRPr="00570D14">
        <w:rPr>
          <w:rFonts w:eastAsiaTheme="minorEastAsia"/>
        </w:rPr>
        <w:t xml:space="preserve"> correlated with </w:t>
      </w:r>
      <w:r>
        <w:rPr>
          <w:rFonts w:eastAsiaTheme="minorEastAsia"/>
        </w:rPr>
        <w:t>trust in science and technology (Wilks et al. 2019) and in authorities managing hazardous technologies (</w:t>
      </w:r>
      <w:r w:rsidRPr="00DF5BCE">
        <w:t>Siegrist, M. and Cvetkovich, G.</w:t>
      </w:r>
      <w:r>
        <w:t xml:space="preserve">, </w:t>
      </w:r>
      <w:r w:rsidRPr="00DF5BCE">
        <w:t>2000</w:t>
      </w:r>
      <w:r>
        <w:t>, Green et al. 2003</w:t>
      </w:r>
      <w:r w:rsidRPr="00DF5BCE">
        <w:t>)</w:t>
      </w:r>
      <w:r>
        <w:t>;</w:t>
      </w:r>
      <w:r w:rsidRPr="00DF5BCE">
        <w:t xml:space="preserve"> </w:t>
      </w:r>
      <w:r>
        <w:rPr>
          <w:rFonts w:eastAsiaTheme="minorEastAsia"/>
        </w:rPr>
        <w:t xml:space="preserve">thus we included variables such </w:t>
      </w:r>
      <w:r w:rsidRPr="00570D14">
        <w:rPr>
          <w:rFonts w:eastAsiaTheme="minorEastAsia"/>
        </w:rPr>
        <w:t>as Favorable views on Science and Technology, Trust in Science and Research, Trust in National government and parliament, Trust in big companies, Trust in environmental NGOs, and Trust in EU institutions (i.e., Parliament and Commission).</w:t>
      </w:r>
      <w:r>
        <w:rPr>
          <w:rFonts w:eastAsiaTheme="minorEastAsia"/>
        </w:rPr>
        <w:t xml:space="preserve"> </w:t>
      </w:r>
      <w:r w:rsidRPr="00570D14">
        <w:rPr>
          <w:rFonts w:eastAsiaTheme="minorEastAsia"/>
        </w:rPr>
        <w:t>In a similar vein</w:t>
      </w:r>
      <w:r>
        <w:rPr>
          <w:rFonts w:eastAsiaTheme="minorEastAsia"/>
        </w:rPr>
        <w:t>, w</w:t>
      </w:r>
      <w:r w:rsidRPr="00570D14">
        <w:rPr>
          <w:rFonts w:eastAsiaTheme="minorEastAsia"/>
        </w:rPr>
        <w:t>e also include</w:t>
      </w:r>
      <w:r>
        <w:rPr>
          <w:rFonts w:eastAsiaTheme="minorEastAsia"/>
        </w:rPr>
        <w:t>d</w:t>
      </w:r>
      <w:r w:rsidRPr="00570D14">
        <w:rPr>
          <w:rFonts w:eastAsiaTheme="minorEastAsia"/>
        </w:rPr>
        <w:t xml:space="preserve"> risk propensity since </w:t>
      </w:r>
      <w:r>
        <w:rPr>
          <w:rFonts w:eastAsiaTheme="minorEastAsia"/>
        </w:rPr>
        <w:t>the way in which participants evaluate perceived risk</w:t>
      </w:r>
      <w:r w:rsidRPr="00570D14">
        <w:rPr>
          <w:rFonts w:eastAsiaTheme="minorEastAsia"/>
        </w:rPr>
        <w:t xml:space="preserve"> </w:t>
      </w:r>
      <w:r>
        <w:rPr>
          <w:rFonts w:eastAsiaTheme="minorEastAsia"/>
        </w:rPr>
        <w:t>appears to be</w:t>
      </w:r>
      <w:r w:rsidRPr="00570D14">
        <w:rPr>
          <w:rFonts w:eastAsiaTheme="minorEastAsia"/>
        </w:rPr>
        <w:t xml:space="preserve"> capable of influencing the</w:t>
      </w:r>
      <w:r>
        <w:rPr>
          <w:rFonts w:eastAsiaTheme="minorEastAsia"/>
        </w:rPr>
        <w:t>ir</w:t>
      </w:r>
      <w:r w:rsidRPr="00570D14">
        <w:rPr>
          <w:rFonts w:eastAsiaTheme="minorEastAsia"/>
        </w:rPr>
        <w:t xml:space="preserve"> propensity to try new food products (</w:t>
      </w:r>
      <w:r>
        <w:rPr>
          <w:rFonts w:eastAsiaTheme="minorEastAsia"/>
        </w:rPr>
        <w:t>Ma et al, 2025</w:t>
      </w:r>
      <w:r w:rsidRPr="00570D14">
        <w:rPr>
          <w:rFonts w:eastAsiaTheme="minorEastAsia"/>
        </w:rPr>
        <w:t xml:space="preserve">). </w:t>
      </w:r>
    </w:p>
    <w:p w14:paraId="21BF69C9" w14:textId="32D0C851" w:rsidR="004D16E5" w:rsidRPr="00570D14" w:rsidRDefault="004D16E5" w:rsidP="004D16E5">
      <w:pPr>
        <w:spacing w:line="360" w:lineRule="auto"/>
        <w:jc w:val="both"/>
      </w:pPr>
      <w:r w:rsidRPr="00570D14">
        <w:rPr>
          <w:rFonts w:eastAsiaTheme="minorEastAsia"/>
        </w:rPr>
        <w:t xml:space="preserve">One possible issue associated with our approach is represented by priming, i.e., the possibility that respondents are influenced by researchers with biased information or framing. To partially mitigate this concern, we include among the controls a variable that captures the Perceived political bias of the questionnaire. Moreover, following </w:t>
      </w:r>
      <w:r w:rsidRPr="00570D14">
        <w:t>Haaland and Roth (2020) we include in the regression prior beliefs that are directly related to novel foods, namely opinions on the fact that cell-based meat and products based on insect flour may be Safe for human health, Compatible with our tradition, Beneficial for the environment, Harmful to animal welfare, and Disgusting.</w:t>
      </w:r>
    </w:p>
    <w:p w14:paraId="474A0AD4" w14:textId="67E6CF0C" w:rsidR="004D16E5" w:rsidRPr="00570D14" w:rsidRDefault="004D16E5" w:rsidP="004D16E5">
      <w:pPr>
        <w:spacing w:line="360" w:lineRule="auto"/>
        <w:jc w:val="both"/>
        <w:rPr>
          <w:rFonts w:eastAsiaTheme="minorEastAsia"/>
        </w:rPr>
      </w:pPr>
      <w:r w:rsidRPr="00570D14">
        <w:t>Still, since providing detailed information concerning novel foods may influence respondents’ behavior, we implemented a second obfuscated wave of interviews. Since we collected information only in relation to cell-based meat, we no longer employ a seemingly unrelated equations approach, and resort to a probit approach. In this case, the main dependent variable captures the propensity to consume cell-based meat as detected in the second wave on the usual 6-points Likert scale. The dependent variable is dichotomized by conflating negative (Slightly disagree; Mostly disagree; Strongly disagree) and positive (Strongly agree; Mostly agree; Slightly agree) responses to distinguish between individuals that are willing or unwilling to consume cell-based meat, and to build a dummy variable that equals 1 when the individual is willing to do so and 0 otherwise. Since we aim to assess the persistence over time of the informational treatment on consumers’ propensity toward novel foods, we introduce a variable that measures the distance over time between the two interviews for each participant, along with the relative interaction term with the treatment variable.</w:t>
      </w:r>
    </w:p>
    <w:p w14:paraId="7E8E3370" w14:textId="77777777" w:rsidR="004D16E5" w:rsidRPr="00BA228C" w:rsidRDefault="00000000" w:rsidP="004D16E5">
      <w:pPr>
        <w:spacing w:line="360" w:lineRule="auto"/>
        <w:jc w:val="both"/>
        <w:rPr>
          <w:rFonts w:eastAsiaTheme="minorEastAsia"/>
          <w:color w:val="000000"/>
          <w:kern w:val="0"/>
          <w:sz w:val="22"/>
          <w:szCs w:val="22"/>
          <w:lang w:eastAsia="it-IT"/>
          <w14:ligatures w14:val="none"/>
        </w:rPr>
      </w:pPr>
      <m:oMathPara>
        <m:oMath>
          <m:eqArr>
            <m:eqArrPr>
              <m:maxDist m:val="1"/>
              <m:ctrlPr>
                <w:rPr>
                  <w:rFonts w:ascii="Cambria Math" w:hAnsi="Cambria Math"/>
                  <w:i/>
                </w:rPr>
              </m:ctrlPr>
            </m:eqArrPr>
            <m:e>
              <m:sSub>
                <m:sSubPr>
                  <m:ctrlPr>
                    <w:rPr>
                      <w:rFonts w:ascii="Cambria Math" w:eastAsia="Times New Roman" w:hAnsi="Cambria Math" w:cs="Times New Roman"/>
                      <w:color w:val="000000"/>
                      <w:kern w:val="0"/>
                      <w:sz w:val="22"/>
                      <w:szCs w:val="22"/>
                      <w:lang w:eastAsia="it-IT"/>
                      <w14:ligatures w14:val="none"/>
                    </w:rPr>
                  </m:ctrlPr>
                </m:sSubPr>
                <m:e>
                  <m:sSub>
                    <m:sSubPr>
                      <m:ctrlPr>
                        <w:rPr>
                          <w:rFonts w:ascii="Cambria Math" w:eastAsia="Times New Roman" w:hAnsi="Cambria Math" w:cs="Times New Roman"/>
                          <w:color w:val="000000"/>
                          <w:kern w:val="0"/>
                          <w:sz w:val="22"/>
                          <w:szCs w:val="22"/>
                          <w:lang w:eastAsia="it-IT"/>
                          <w14:ligatures w14:val="none"/>
                        </w:rPr>
                      </m:ctrlPr>
                    </m:sSubPr>
                    <m:e>
                      <m:r>
                        <m:rPr>
                          <m:sty m:val="p"/>
                        </m:rPr>
                        <w:rPr>
                          <w:rFonts w:ascii="Cambria Math" w:eastAsia="Times New Roman" w:hAnsi="Cambria Math" w:cs="Times New Roman"/>
                          <w:color w:val="000000"/>
                          <w:kern w:val="0"/>
                          <w:sz w:val="22"/>
                          <w:szCs w:val="22"/>
                          <w:lang w:eastAsia="it-IT"/>
                          <w14:ligatures w14:val="none"/>
                        </w:rPr>
                        <m:t>Meat</m:t>
                      </m:r>
                    </m:e>
                    <m:sub>
                      <m:r>
                        <m:rPr>
                          <m:sty m:val="p"/>
                        </m:rPr>
                        <w:rPr>
                          <w:rFonts w:ascii="Cambria Math" w:eastAsia="Times New Roman" w:hAnsi="Cambria Math" w:cs="Times New Roman"/>
                          <w:color w:val="000000"/>
                          <w:kern w:val="0"/>
                          <w:sz w:val="22"/>
                          <w:szCs w:val="22"/>
                          <w:lang w:eastAsia="it-IT"/>
                          <w14:ligatures w14:val="none"/>
                        </w:rPr>
                        <m:t>Prop</m:t>
                      </m:r>
                    </m:sub>
                  </m:sSub>
                </m:e>
                <m:sub>
                  <m:r>
                    <w:rPr>
                      <w:rFonts w:ascii="Cambria Math" w:eastAsia="Times New Roman" w:hAnsi="Cambria Math" w:cs="Times New Roman"/>
                      <w:color w:val="000000"/>
                      <w:kern w:val="0"/>
                      <w:sz w:val="22"/>
                      <w:szCs w:val="22"/>
                      <w:lang w:eastAsia="it-IT"/>
                      <w14:ligatures w14:val="none"/>
                    </w:rPr>
                    <m:t>i</m:t>
                  </m:r>
                </m:sub>
              </m:sSub>
              <m:r>
                <w:rPr>
                  <w:rFonts w:ascii="Cambria Math" w:eastAsiaTheme="minorEastAsia" w:hAnsi="Cambria Math"/>
                </w:rPr>
                <m:t>=</m:t>
              </m:r>
              <m:r>
                <w:rPr>
                  <w:rFonts w:ascii="Cambria Math" w:hAnsi="Cambria Math"/>
                </w:rPr>
                <m:t>α</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Distance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Distance</m:t>
                  </m:r>
                </m:e>
                <m:sub>
                  <m:r>
                    <w:rPr>
                      <w:rFonts w:ascii="Cambria Math" w:hAnsi="Cambria Math"/>
                    </w:rPr>
                    <m:t>i</m:t>
                  </m:r>
                </m:sub>
              </m:sSub>
              <m:r>
                <w:rPr>
                  <w:rFonts w:ascii="Cambria Math" w:hAnsi="Cambria Math"/>
                </w:rPr>
                <m:t>+γ</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1i</m:t>
                  </m:r>
                </m:sub>
              </m:sSub>
              <m:r>
                <w:rPr>
                  <w:rFonts w:ascii="Cambria Math" w:hAnsi="Cambria Math"/>
                </w:rPr>
                <m:t xml:space="preserve"> </m:t>
              </m:r>
              <m:r>
                <w:rPr>
                  <w:rFonts w:ascii="Cambria Math" w:eastAsia="Times New Roman" w:hAnsi="Cambria Math" w:cs="Times New Roman"/>
                  <w:color w:val="000000"/>
                  <w:kern w:val="0"/>
                  <w:sz w:val="22"/>
                  <w:szCs w:val="22"/>
                  <w:lang w:eastAsia="it-IT"/>
                  <w14:ligatures w14:val="none"/>
                </w:rPr>
                <m:t>#</m:t>
              </m:r>
              <m:d>
                <m:dPr>
                  <m:ctrlPr>
                    <w:rPr>
                      <w:rFonts w:ascii="Cambria Math" w:hAnsi="Cambria Math"/>
                      <w:i/>
                    </w:rPr>
                  </m:ctrlPr>
                </m:dPr>
                <m:e>
                  <m:r>
                    <w:rPr>
                      <w:rFonts w:ascii="Cambria Math" w:hAnsi="Cambria Math"/>
                      <w:i/>
                    </w:rPr>
                    <w:fldChar w:fldCharType="begin"/>
                  </m:r>
                  <m:r>
                    <m:rPr>
                      <m:sty m:val="p"/>
                    </m:rPr>
                    <w:rPr>
                      <w:rFonts w:ascii="Cambria Math" w:hAnsi="Cambria Math"/>
                    </w:rPr>
                    <m:t xml:space="preserve"> seq equation </m:t>
                  </m:r>
                  <m:r>
                    <w:rPr>
                      <w:rFonts w:ascii="Cambria Math" w:hAnsi="Cambria Math"/>
                      <w:i/>
                    </w:rPr>
                    <w:fldChar w:fldCharType="separate"/>
                  </m:r>
                  <m:r>
                    <m:rPr>
                      <m:sty m:val="p"/>
                    </m:rPr>
                    <w:rPr>
                      <w:rFonts w:ascii="Cambria Math" w:hAnsi="Cambria Math"/>
                      <w:noProof/>
                    </w:rPr>
                    <m:t>4</m:t>
                  </m:r>
                  <m:r>
                    <w:rPr>
                      <w:rFonts w:ascii="Cambria Math" w:hAnsi="Cambria Math"/>
                      <w:i/>
                    </w:rPr>
                    <w:fldChar w:fldCharType="end"/>
                  </m:r>
                </m:e>
              </m:d>
              <m:ctrlPr>
                <w:rPr>
                  <w:rFonts w:ascii="Cambria Math" w:eastAsia="Times New Roman" w:hAnsi="Cambria Math" w:cs="Times New Roman"/>
                  <w:i/>
                  <w:color w:val="000000"/>
                  <w:kern w:val="0"/>
                  <w:sz w:val="22"/>
                  <w:szCs w:val="22"/>
                  <w:lang w:eastAsia="it-IT"/>
                  <w14:ligatures w14:val="none"/>
                </w:rPr>
              </m:ctrlPr>
            </m:e>
          </m:eqArr>
        </m:oMath>
      </m:oMathPara>
    </w:p>
    <w:p w14:paraId="30585A62" w14:textId="77777777" w:rsidR="004D16E5" w:rsidRPr="00570D14" w:rsidRDefault="004D16E5" w:rsidP="004D16E5">
      <w:pPr>
        <w:spacing w:line="360" w:lineRule="auto"/>
        <w:jc w:val="both"/>
        <w:rPr>
          <w:rFonts w:eastAsiaTheme="minorEastAsia"/>
        </w:rPr>
      </w:pPr>
    </w:p>
    <w:p w14:paraId="48901D78" w14:textId="77777777" w:rsidR="004D16E5" w:rsidRPr="00570D14" w:rsidRDefault="004D16E5" w:rsidP="004D16E5">
      <w:pPr>
        <w:spacing w:line="360" w:lineRule="auto"/>
        <w:jc w:val="both"/>
        <w:rPr>
          <w:rFonts w:eastAsiaTheme="minorEastAsia"/>
        </w:rPr>
      </w:pPr>
      <w:r w:rsidRPr="00570D14">
        <w:rPr>
          <w:rFonts w:eastAsiaTheme="minorEastAsia"/>
        </w:rPr>
        <w:t xml:space="preserve">Where </w:t>
      </w:r>
      <m:oMath>
        <m:sSub>
          <m:sSubPr>
            <m:ctrlPr>
              <w:rPr>
                <w:rFonts w:ascii="Cambria Math" w:eastAsia="Times New Roman" w:hAnsi="Cambria Math" w:cs="Times New Roman"/>
                <w:color w:val="000000"/>
                <w:kern w:val="0"/>
                <w:sz w:val="22"/>
                <w:szCs w:val="22"/>
                <w:lang w:eastAsia="it-IT"/>
                <w14:ligatures w14:val="none"/>
              </w:rPr>
            </m:ctrlPr>
          </m:sSubPr>
          <m:e>
            <m:r>
              <m:rPr>
                <m:sty m:val="p"/>
              </m:rPr>
              <w:rPr>
                <w:rFonts w:ascii="Cambria Math" w:eastAsia="Times New Roman" w:hAnsi="Cambria Math" w:cs="Times New Roman"/>
                <w:color w:val="000000"/>
                <w:kern w:val="0"/>
                <w:sz w:val="22"/>
                <w:szCs w:val="22"/>
                <w:lang w:eastAsia="it-IT"/>
                <w14:ligatures w14:val="none"/>
              </w:rPr>
              <m:t>Meat_Prop</m:t>
            </m:r>
          </m:e>
          <m:sub>
            <m:r>
              <w:rPr>
                <w:rFonts w:ascii="Cambria Math" w:eastAsia="Times New Roman" w:hAnsi="Cambria Math" w:cs="Times New Roman"/>
                <w:color w:val="000000"/>
                <w:kern w:val="0"/>
                <w:sz w:val="22"/>
                <w:szCs w:val="22"/>
                <w:lang w:eastAsia="it-IT"/>
                <w14:ligatures w14:val="none"/>
              </w:rPr>
              <m:t>i</m:t>
            </m:r>
          </m:sub>
        </m:sSub>
      </m:oMath>
      <w:r w:rsidRPr="00570D14">
        <w:rPr>
          <w:rFonts w:eastAsiaTheme="minorEastAsia"/>
        </w:rPr>
        <w:t xml:space="preserve"> is the dichotomized dependent variable, </w:t>
      </w:r>
      <m:oMath>
        <m:sSub>
          <m:sSubPr>
            <m:ctrlPr>
              <w:rPr>
                <w:rFonts w:ascii="Cambria Math" w:hAnsi="Cambria Math"/>
                <w:i/>
              </w:rPr>
            </m:ctrlPr>
          </m:sSubPr>
          <m:e>
            <m:r>
              <w:rPr>
                <w:rFonts w:ascii="Cambria Math" w:hAnsi="Cambria Math"/>
              </w:rPr>
              <m:t>Distance</m:t>
            </m:r>
          </m:e>
          <m:sub>
            <m:r>
              <w:rPr>
                <w:rFonts w:ascii="Cambria Math" w:hAnsi="Cambria Math"/>
              </w:rPr>
              <m:t>i</m:t>
            </m:r>
          </m:sub>
        </m:sSub>
      </m:oMath>
      <w:r w:rsidRPr="00570D14">
        <w:rPr>
          <w:rFonts w:eastAsiaTheme="minorEastAsia"/>
        </w:rPr>
        <w:t xml:space="preserve"> is the distance between the two waves over time. To facilitate the interpretation of the coefficient, in equation (5) we estimated </w:t>
      </w:r>
      <w:r w:rsidRPr="00570D14">
        <w:rPr>
          <w:rFonts w:eastAsiaTheme="minorEastAsia"/>
        </w:rPr>
        <w:lastRenderedPageBreak/>
        <w:t>marginal effects of the treatment variable at different levels of the distance variable, over 5-days periods (i.e., at 5, 10, 15…30 days).</w:t>
      </w:r>
    </w:p>
    <w:p w14:paraId="200D22FE" w14:textId="77777777" w:rsidR="004D16E5" w:rsidRPr="00570D14" w:rsidRDefault="004D16E5" w:rsidP="004D16E5">
      <w:pPr>
        <w:spacing w:line="360" w:lineRule="auto"/>
        <w:jc w:val="both"/>
      </w:pPr>
    </w:p>
    <w:p w14:paraId="0219A7B9" w14:textId="1AF0503F" w:rsidR="004D16E5" w:rsidRPr="004D16E5" w:rsidRDefault="004D16E5" w:rsidP="00D04780">
      <w:pPr>
        <w:spacing w:line="360" w:lineRule="auto"/>
        <w:jc w:val="both"/>
        <w:rPr>
          <w:b/>
          <w:bCs/>
        </w:rPr>
      </w:pPr>
      <w:r>
        <w:rPr>
          <w:b/>
          <w:bCs/>
        </w:rPr>
        <w:t xml:space="preserve">Main </w:t>
      </w:r>
      <w:r w:rsidRPr="004D16E5">
        <w:rPr>
          <w:b/>
          <w:bCs/>
        </w:rPr>
        <w:t>Results</w:t>
      </w:r>
    </w:p>
    <w:p w14:paraId="47779E99" w14:textId="4FA0A48C" w:rsidR="00FC243C" w:rsidRPr="00570D14" w:rsidRDefault="00311762" w:rsidP="00D04780">
      <w:pPr>
        <w:spacing w:line="360" w:lineRule="auto"/>
        <w:jc w:val="both"/>
      </w:pPr>
      <w:r w:rsidRPr="00570D14">
        <w:t>Supporting our hypothesis, participants who were exposed to the information</w:t>
      </w:r>
      <w:r w:rsidR="00BC4745" w:rsidRPr="00570D14">
        <w:t xml:space="preserve"> showed a significantly higher willingness to consume cell-based meat and insect-based products compared to those who did not receive the information. Moreover, we find that the effect of the information is at least partially persistent, as it emerges in an obfuscated follow-up survey. However, its intensity tends to decline as the time between the completion of the two surveys increases, eventually fading out completely.</w:t>
      </w:r>
    </w:p>
    <w:p w14:paraId="68D6C6F4" w14:textId="64D485D3" w:rsidR="00BC4745" w:rsidRPr="00570D14" w:rsidRDefault="002C767E" w:rsidP="00D04780">
      <w:pPr>
        <w:spacing w:line="360" w:lineRule="auto"/>
        <w:jc w:val="both"/>
      </w:pPr>
      <w:r w:rsidRPr="00570D14">
        <w:t xml:space="preserve">The combined results of the two surveys suggest that providing information about the marketing authorization process may positively influence consumer acceptance of novel foods—at least within the EU context and with respect to cell-based meat </w:t>
      </w:r>
      <w:r w:rsidR="007D38EE" w:rsidRPr="00570D14">
        <w:t>that was the focus of our follow-up survey</w:t>
      </w:r>
      <w:r w:rsidRPr="00570D14">
        <w:t xml:space="preserve">. However, to be effective, this information must be delivered in close proximity to the moment of purchase. A natural implication is the opportunity to use product labels </w:t>
      </w:r>
      <w:r w:rsidR="00057E11" w:rsidRPr="00057E11">
        <w:t>or provide information at specific points within the store</w:t>
      </w:r>
      <w:r w:rsidR="00057E11">
        <w:t xml:space="preserve"> </w:t>
      </w:r>
      <w:r w:rsidRPr="00570D14">
        <w:t>to inform consumers about the commercialization procedure as well.</w:t>
      </w:r>
    </w:p>
    <w:p w14:paraId="3D3D9827" w14:textId="77777777" w:rsidR="00A223F1" w:rsidRPr="00570D14" w:rsidRDefault="00A223F1" w:rsidP="00A223F1">
      <w:pPr>
        <w:spacing w:line="360" w:lineRule="auto"/>
        <w:jc w:val="both"/>
      </w:pPr>
    </w:p>
    <w:p w14:paraId="35F0119D" w14:textId="77777777" w:rsidR="00CD5898" w:rsidRPr="00570D14" w:rsidRDefault="00CD5898" w:rsidP="00B6418C">
      <w:pPr>
        <w:spacing w:line="360" w:lineRule="auto"/>
        <w:jc w:val="both"/>
      </w:pPr>
    </w:p>
    <w:p w14:paraId="44F851F5" w14:textId="3B869ADE" w:rsidR="00155C11" w:rsidRPr="002F312B" w:rsidRDefault="0094121C" w:rsidP="00B6418C">
      <w:pPr>
        <w:spacing w:line="360" w:lineRule="auto"/>
        <w:jc w:val="both"/>
        <w:rPr>
          <w:b/>
          <w:bCs/>
          <w:i/>
          <w:iCs/>
        </w:rPr>
      </w:pPr>
      <w:r w:rsidRPr="002F312B">
        <w:rPr>
          <w:b/>
          <w:bCs/>
          <w:i/>
          <w:iCs/>
        </w:rPr>
        <w:t>References</w:t>
      </w:r>
    </w:p>
    <w:p w14:paraId="4E85BE90" w14:textId="77777777" w:rsidR="00BA228C" w:rsidRPr="002F312B" w:rsidRDefault="00BA228C" w:rsidP="00BA228C">
      <w:pPr>
        <w:suppressAutoHyphens/>
        <w:spacing w:after="0" w:line="240" w:lineRule="auto"/>
        <w:jc w:val="both"/>
      </w:pPr>
      <w:r w:rsidRPr="002F312B">
        <w:t>FAO. (2024). The state of food security and nutrition in the world 2024.</w:t>
      </w:r>
    </w:p>
    <w:p w14:paraId="7BEC8C33" w14:textId="77777777" w:rsidR="00BA228C" w:rsidRPr="002F312B" w:rsidRDefault="00BA228C" w:rsidP="00BA228C">
      <w:pPr>
        <w:suppressAutoHyphens/>
        <w:spacing w:after="0" w:line="240" w:lineRule="auto"/>
        <w:jc w:val="both"/>
      </w:pPr>
    </w:p>
    <w:p w14:paraId="3CCB8454" w14:textId="77777777" w:rsidR="00BA228C" w:rsidRPr="002F312B" w:rsidRDefault="00BA228C" w:rsidP="00BA228C">
      <w:pPr>
        <w:suppressAutoHyphens/>
        <w:spacing w:after="0" w:line="240" w:lineRule="auto"/>
        <w:jc w:val="both"/>
      </w:pPr>
      <w:r w:rsidRPr="002F312B">
        <w:t>Green, J., Draper, A., &amp; Dowler, E. (2003). Short cuts to safety: Risk and “rules of thumb” in accounts of food choice. Health, Risk &amp; Society, 5(1), 33–52.</w:t>
      </w:r>
    </w:p>
    <w:p w14:paraId="2C32D901" w14:textId="77777777" w:rsidR="00BA228C" w:rsidRPr="002F312B" w:rsidRDefault="00BA228C" w:rsidP="00BA228C">
      <w:pPr>
        <w:suppressAutoHyphens/>
        <w:spacing w:after="0" w:line="240" w:lineRule="auto"/>
        <w:jc w:val="both"/>
      </w:pPr>
    </w:p>
    <w:p w14:paraId="35BBD4D4" w14:textId="77777777" w:rsidR="00BA228C" w:rsidRPr="002F312B" w:rsidRDefault="00BA228C" w:rsidP="00BA228C">
      <w:pPr>
        <w:suppressAutoHyphens/>
        <w:spacing w:after="0" w:line="240" w:lineRule="auto"/>
        <w:jc w:val="both"/>
      </w:pPr>
      <w:r w:rsidRPr="002F312B">
        <w:t>Haaland, I., &amp; Roth, C. (2020). Labor market concerns and support for immigration. Journal of Public Economics, 191.</w:t>
      </w:r>
    </w:p>
    <w:p w14:paraId="3AC7749B" w14:textId="77777777" w:rsidR="00BA228C" w:rsidRPr="002F312B" w:rsidRDefault="00BA228C" w:rsidP="00BA228C">
      <w:pPr>
        <w:suppressAutoHyphens/>
        <w:spacing w:after="0" w:line="240" w:lineRule="auto"/>
        <w:jc w:val="both"/>
      </w:pPr>
    </w:p>
    <w:p w14:paraId="10D12C50" w14:textId="77777777" w:rsidR="00BA228C" w:rsidRPr="002F312B" w:rsidRDefault="00BA228C" w:rsidP="00BA228C">
      <w:pPr>
        <w:suppressAutoHyphens/>
        <w:spacing w:after="0" w:line="240" w:lineRule="auto"/>
        <w:jc w:val="both"/>
      </w:pPr>
      <w:r w:rsidRPr="002F312B">
        <w:t>Haaland, I., Roth, C., &amp; Wohlfart, J. (2023). Designing information provision experiments. Journal of Economic Literature, 61(1), 3–40.</w:t>
      </w:r>
    </w:p>
    <w:p w14:paraId="439DAFE9" w14:textId="77777777" w:rsidR="00BA228C" w:rsidRPr="002F312B" w:rsidRDefault="00BA228C" w:rsidP="00BA228C">
      <w:pPr>
        <w:suppressAutoHyphens/>
        <w:spacing w:after="0" w:line="240" w:lineRule="auto"/>
        <w:jc w:val="both"/>
      </w:pPr>
    </w:p>
    <w:p w14:paraId="55A99BA4" w14:textId="000BB7DE" w:rsidR="00F3389A" w:rsidRPr="006B41FC" w:rsidRDefault="00F3389A" w:rsidP="00BA228C">
      <w:pPr>
        <w:suppressAutoHyphens/>
        <w:spacing w:after="0" w:line="240" w:lineRule="auto"/>
        <w:jc w:val="both"/>
      </w:pPr>
      <w:r w:rsidRPr="002F312B">
        <w:t xml:space="preserve">Ma, J., He, X., He, J., &amp; Xu, H. (2025). Investigating the influence of food technophobia and risk aversion on consumer acceptance of cultured meat in China. </w:t>
      </w:r>
      <w:r w:rsidRPr="006B41FC">
        <w:t>Journal of Agriculture and Food Research, 12, 102086.</w:t>
      </w:r>
    </w:p>
    <w:p w14:paraId="20C0C8AD" w14:textId="77777777" w:rsidR="00BA228C" w:rsidRPr="006B41FC" w:rsidRDefault="00BA228C" w:rsidP="00BA228C">
      <w:pPr>
        <w:suppressAutoHyphens/>
        <w:spacing w:after="0" w:line="240" w:lineRule="auto"/>
        <w:jc w:val="both"/>
      </w:pPr>
    </w:p>
    <w:p w14:paraId="6533CC71" w14:textId="77777777" w:rsidR="00BA228C" w:rsidRPr="002F312B" w:rsidRDefault="00BA228C" w:rsidP="00BA228C">
      <w:pPr>
        <w:suppressAutoHyphens/>
        <w:spacing w:after="0" w:line="240" w:lineRule="auto"/>
        <w:jc w:val="both"/>
      </w:pPr>
      <w:r w:rsidRPr="006B41FC">
        <w:t xml:space="preserve">Mazac, R., Meinilä, J., Korkalo, L., Järviö, N., Jalava, M., &amp; Tuomisto, H. L. (2022). </w:t>
      </w:r>
      <w:r w:rsidRPr="002F312B">
        <w:t>Incorporation of novel foods in European diets can reduce global warming potential, water use and land use by over 80%. Nature Food, 4, 286–293.</w:t>
      </w:r>
    </w:p>
    <w:p w14:paraId="7CFE57BF" w14:textId="77777777" w:rsidR="00BA228C" w:rsidRPr="002F312B" w:rsidRDefault="00BA228C" w:rsidP="00BA228C">
      <w:pPr>
        <w:suppressAutoHyphens/>
        <w:spacing w:after="0" w:line="240" w:lineRule="auto"/>
        <w:jc w:val="both"/>
      </w:pPr>
    </w:p>
    <w:p w14:paraId="44794574" w14:textId="77777777" w:rsidR="00BA228C" w:rsidRPr="002F312B" w:rsidRDefault="00BA228C" w:rsidP="00BA228C">
      <w:pPr>
        <w:suppressAutoHyphens/>
        <w:spacing w:after="0" w:line="240" w:lineRule="auto"/>
        <w:jc w:val="both"/>
      </w:pPr>
      <w:r w:rsidRPr="002F312B">
        <w:lastRenderedPageBreak/>
        <w:t>OECD &amp; FAO. (2024). OECD-FAO agricultural outlook 2024–2033. OECD Publishing/FAO.</w:t>
      </w:r>
    </w:p>
    <w:p w14:paraId="7B6A51C6" w14:textId="77777777" w:rsidR="00BA228C" w:rsidRPr="002F312B" w:rsidRDefault="00BA228C" w:rsidP="00BA228C">
      <w:pPr>
        <w:suppressAutoHyphens/>
        <w:spacing w:after="0" w:line="240" w:lineRule="auto"/>
        <w:jc w:val="both"/>
      </w:pPr>
    </w:p>
    <w:p w14:paraId="1EB7E223" w14:textId="77777777" w:rsidR="00BA228C" w:rsidRPr="006B41FC" w:rsidRDefault="00BA228C" w:rsidP="00BA228C">
      <w:pPr>
        <w:suppressAutoHyphens/>
        <w:spacing w:after="0" w:line="240" w:lineRule="auto"/>
        <w:jc w:val="both"/>
      </w:pPr>
      <w:r w:rsidRPr="002F312B">
        <w:t xml:space="preserve">Siegrist, M., &amp; Hartmann, C. (2020). Perceived naturalness, disgust, trust and food neophobia as predictors of cultured meat acceptance in ten countries. </w:t>
      </w:r>
      <w:r w:rsidRPr="006B41FC">
        <w:t>Appetite, 155, 104814.</w:t>
      </w:r>
    </w:p>
    <w:p w14:paraId="0F6B09CC" w14:textId="77777777" w:rsidR="00BA228C" w:rsidRPr="006B41FC" w:rsidRDefault="00BA228C" w:rsidP="00BA228C">
      <w:pPr>
        <w:suppressAutoHyphens/>
        <w:spacing w:after="0" w:line="240" w:lineRule="auto"/>
        <w:jc w:val="both"/>
      </w:pPr>
    </w:p>
    <w:p w14:paraId="2D16FDF1" w14:textId="77777777" w:rsidR="00BA228C" w:rsidRPr="002F312B" w:rsidRDefault="00BA228C" w:rsidP="00BA228C">
      <w:pPr>
        <w:suppressAutoHyphens/>
        <w:spacing w:after="0" w:line="240" w:lineRule="auto"/>
        <w:jc w:val="both"/>
      </w:pPr>
    </w:p>
    <w:p w14:paraId="6618D6A6" w14:textId="77777777" w:rsidR="00BA228C" w:rsidRPr="002F312B" w:rsidRDefault="00BA228C" w:rsidP="00BA228C">
      <w:pPr>
        <w:suppressAutoHyphens/>
        <w:spacing w:after="0" w:line="240" w:lineRule="auto"/>
        <w:jc w:val="both"/>
      </w:pPr>
      <w:r w:rsidRPr="002F312B">
        <w:t>United Nations. (2021). Report of the Special Rapporteur on the issue of human rights obligations relating to the enjoyment of a safe, clean, healthy and sustainable environment (Doc. A/76/179).</w:t>
      </w:r>
    </w:p>
    <w:p w14:paraId="61EF7ED0" w14:textId="77777777" w:rsidR="00BA228C" w:rsidRPr="002F312B" w:rsidRDefault="00BA228C" w:rsidP="00BA228C">
      <w:pPr>
        <w:suppressAutoHyphens/>
        <w:spacing w:after="0" w:line="240" w:lineRule="auto"/>
        <w:jc w:val="both"/>
      </w:pPr>
    </w:p>
    <w:p w14:paraId="3BE0C99B" w14:textId="77777777" w:rsidR="00BA228C" w:rsidRPr="002F312B" w:rsidRDefault="00BA228C" w:rsidP="00BA228C">
      <w:pPr>
        <w:suppressAutoHyphens/>
        <w:spacing w:after="0" w:line="240" w:lineRule="auto"/>
        <w:jc w:val="both"/>
      </w:pPr>
      <w:r w:rsidRPr="002F312B">
        <w:t>Van Der Meulen, B. (2009). Reconciling food law to competitiveness. Wageningen Academic Publishers.</w:t>
      </w:r>
    </w:p>
    <w:p w14:paraId="39A30332" w14:textId="77777777" w:rsidR="00BA228C" w:rsidRPr="002F312B" w:rsidRDefault="00BA228C" w:rsidP="00BA228C">
      <w:pPr>
        <w:suppressAutoHyphens/>
        <w:spacing w:after="0" w:line="240" w:lineRule="auto"/>
        <w:jc w:val="both"/>
      </w:pPr>
    </w:p>
    <w:p w14:paraId="1DFC9DEF" w14:textId="77777777" w:rsidR="00BA228C" w:rsidRPr="002F312B" w:rsidRDefault="00BA228C" w:rsidP="00BA228C">
      <w:pPr>
        <w:suppressAutoHyphens/>
        <w:spacing w:after="0" w:line="240" w:lineRule="auto"/>
        <w:jc w:val="both"/>
      </w:pPr>
      <w:r w:rsidRPr="002F312B">
        <w:t>Ververis, E., Ackerl, R., Azzollini, D., Colombo, P. A., de Sesmaisons, A., Dumas, C., ... &amp; Gelbmann, W. (2020). Novel foods in the European Union: Scientific requirements and challenges of the risk assessment process by the European Food Safety Authority. Food Research International, 137, 109515.</w:t>
      </w:r>
    </w:p>
    <w:p w14:paraId="4B2D6FC6" w14:textId="77777777" w:rsidR="00BA228C" w:rsidRPr="002F312B" w:rsidRDefault="00BA228C" w:rsidP="00BA228C">
      <w:pPr>
        <w:suppressAutoHyphens/>
        <w:spacing w:after="0" w:line="240" w:lineRule="auto"/>
        <w:jc w:val="both"/>
      </w:pPr>
    </w:p>
    <w:p w14:paraId="302C7B3F" w14:textId="539B78A1" w:rsidR="0064070C" w:rsidRPr="00570D14" w:rsidRDefault="00BA228C" w:rsidP="00301362">
      <w:pPr>
        <w:jc w:val="both"/>
        <w:sectPr w:rsidR="0064070C" w:rsidRPr="00570D14">
          <w:footerReference w:type="default" r:id="rId8"/>
          <w:pgSz w:w="11906" w:h="16838"/>
          <w:pgMar w:top="1417" w:right="1134" w:bottom="1134" w:left="1134" w:header="708" w:footer="708" w:gutter="0"/>
          <w:cols w:space="708"/>
          <w:docGrid w:linePitch="360"/>
        </w:sectPr>
      </w:pPr>
      <w:r w:rsidRPr="002F312B">
        <w:t>Wilks, M., &amp; Phillips, C. J. (2019). Testing potential psychological predictors of attitudes towards cultured meat. Appetite, 136, 137–145</w:t>
      </w:r>
    </w:p>
    <w:p w14:paraId="79F2358B" w14:textId="77777777" w:rsidR="00195D96" w:rsidRPr="00155C11" w:rsidRDefault="00195D96" w:rsidP="00DB65D1">
      <w:pPr>
        <w:spacing w:after="0" w:line="360" w:lineRule="auto"/>
        <w:jc w:val="both"/>
      </w:pPr>
    </w:p>
    <w:sectPr w:rsidR="00195D96" w:rsidRPr="00155C11" w:rsidSect="00B60B7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CC2A" w14:textId="77777777" w:rsidR="00933DB1" w:rsidRPr="00570D14" w:rsidRDefault="00933DB1" w:rsidP="001C46DF">
      <w:pPr>
        <w:spacing w:after="0" w:line="240" w:lineRule="auto"/>
      </w:pPr>
      <w:r w:rsidRPr="00570D14">
        <w:separator/>
      </w:r>
    </w:p>
  </w:endnote>
  <w:endnote w:type="continuationSeparator" w:id="0">
    <w:p w14:paraId="2392AB1D" w14:textId="77777777" w:rsidR="00933DB1" w:rsidRPr="00570D14" w:rsidRDefault="00933DB1" w:rsidP="001C46DF">
      <w:pPr>
        <w:spacing w:after="0" w:line="240" w:lineRule="auto"/>
      </w:pPr>
      <w:r w:rsidRPr="00570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43533"/>
      <w:docPartObj>
        <w:docPartGallery w:val="Page Numbers (Bottom of Page)"/>
        <w:docPartUnique/>
      </w:docPartObj>
    </w:sdtPr>
    <w:sdtContent>
      <w:p w14:paraId="5B80289D" w14:textId="2DFD0652" w:rsidR="00517E65" w:rsidRDefault="00517E65">
        <w:pPr>
          <w:pStyle w:val="Pidipagina"/>
          <w:jc w:val="right"/>
        </w:pPr>
        <w:r>
          <w:fldChar w:fldCharType="begin"/>
        </w:r>
        <w:r>
          <w:instrText>PAGE   \* MERGEFORMAT</w:instrText>
        </w:r>
        <w:r>
          <w:fldChar w:fldCharType="separate"/>
        </w:r>
        <w:r>
          <w:rPr>
            <w:lang w:val="it-IT"/>
          </w:rPr>
          <w:t>2</w:t>
        </w:r>
        <w:r>
          <w:fldChar w:fldCharType="end"/>
        </w:r>
      </w:p>
    </w:sdtContent>
  </w:sdt>
  <w:p w14:paraId="472F8B60" w14:textId="77777777" w:rsidR="00517E65" w:rsidRDefault="00517E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651D" w14:textId="77777777" w:rsidR="00933DB1" w:rsidRPr="00570D14" w:rsidRDefault="00933DB1" w:rsidP="001C46DF">
      <w:pPr>
        <w:spacing w:after="0" w:line="240" w:lineRule="auto"/>
      </w:pPr>
      <w:r w:rsidRPr="00570D14">
        <w:separator/>
      </w:r>
    </w:p>
  </w:footnote>
  <w:footnote w:type="continuationSeparator" w:id="0">
    <w:p w14:paraId="352658B9" w14:textId="77777777" w:rsidR="00933DB1" w:rsidRPr="00570D14" w:rsidRDefault="00933DB1" w:rsidP="001C46DF">
      <w:pPr>
        <w:spacing w:after="0" w:line="240" w:lineRule="auto"/>
      </w:pPr>
      <w:r w:rsidRPr="00570D14">
        <w:continuationSeparator/>
      </w:r>
    </w:p>
  </w:footnote>
  <w:footnote w:id="1">
    <w:p w14:paraId="57D7FE64" w14:textId="09C94638" w:rsidR="00517E65" w:rsidRPr="00570D14" w:rsidRDefault="00517E65" w:rsidP="00873C9A">
      <w:pPr>
        <w:pStyle w:val="Testonotaapidipagina"/>
        <w:jc w:val="both"/>
      </w:pPr>
      <w:r w:rsidRPr="00570D14">
        <w:rPr>
          <w:rStyle w:val="Rimandonotaapidipagina"/>
        </w:rPr>
        <w:footnoteRef/>
      </w:r>
      <w:r w:rsidRPr="00570D14">
        <w:t xml:space="preserve"> We adopt the definition of novel foods provided by EU Regulation 2015/2283. According to this regulation, food products are considered 'novel' if they meet both of the following criteria: a) they have not been consumed to a significant degree by humans within the EU before May 15, 1997 (the date on which the first EU regulation on novel foods—Regulation (EC) No 258/97 — entered into force); b) they fall under one of the ten categories listed in Article 3(2)(b), among which “foods consisting of, isolated from, or produced from cell cultures or tissue derived from animals, plants, microorganisms, fungi or algae” or traditional foods coming from third countries.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542E9"/>
    <w:multiLevelType w:val="hybridMultilevel"/>
    <w:tmpl w:val="31B092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8431989"/>
    <w:multiLevelType w:val="hybridMultilevel"/>
    <w:tmpl w:val="FB6A98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BE1528A"/>
    <w:multiLevelType w:val="hybridMultilevel"/>
    <w:tmpl w:val="E16442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1710194">
    <w:abstractNumId w:val="2"/>
  </w:num>
  <w:num w:numId="2" w16cid:durableId="2043940979">
    <w:abstractNumId w:val="0"/>
  </w:num>
  <w:num w:numId="3" w16cid:durableId="1603681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48"/>
    <w:rsid w:val="00001228"/>
    <w:rsid w:val="00001546"/>
    <w:rsid w:val="00012723"/>
    <w:rsid w:val="000138BB"/>
    <w:rsid w:val="00026AAC"/>
    <w:rsid w:val="00036E83"/>
    <w:rsid w:val="00037F38"/>
    <w:rsid w:val="00046184"/>
    <w:rsid w:val="00054F2B"/>
    <w:rsid w:val="00057E11"/>
    <w:rsid w:val="000601B3"/>
    <w:rsid w:val="00061FCB"/>
    <w:rsid w:val="00065B3E"/>
    <w:rsid w:val="00080077"/>
    <w:rsid w:val="00081D6C"/>
    <w:rsid w:val="00084A02"/>
    <w:rsid w:val="00091868"/>
    <w:rsid w:val="00093156"/>
    <w:rsid w:val="000A34DB"/>
    <w:rsid w:val="000A6125"/>
    <w:rsid w:val="000B0E93"/>
    <w:rsid w:val="000B1B83"/>
    <w:rsid w:val="000B2169"/>
    <w:rsid w:val="000B2BAD"/>
    <w:rsid w:val="000B2D61"/>
    <w:rsid w:val="000B3EE8"/>
    <w:rsid w:val="000C62C3"/>
    <w:rsid w:val="000D19A4"/>
    <w:rsid w:val="000D41BB"/>
    <w:rsid w:val="000D6790"/>
    <w:rsid w:val="000E07A5"/>
    <w:rsid w:val="000E1963"/>
    <w:rsid w:val="000E3043"/>
    <w:rsid w:val="000F479B"/>
    <w:rsid w:val="000F6403"/>
    <w:rsid w:val="000F7924"/>
    <w:rsid w:val="0010190A"/>
    <w:rsid w:val="00104DEC"/>
    <w:rsid w:val="0010629D"/>
    <w:rsid w:val="00106964"/>
    <w:rsid w:val="001100C2"/>
    <w:rsid w:val="001117BF"/>
    <w:rsid w:val="00116A57"/>
    <w:rsid w:val="00130C9C"/>
    <w:rsid w:val="001316AD"/>
    <w:rsid w:val="00142650"/>
    <w:rsid w:val="00155C11"/>
    <w:rsid w:val="00155D3C"/>
    <w:rsid w:val="001734F9"/>
    <w:rsid w:val="00175339"/>
    <w:rsid w:val="00182501"/>
    <w:rsid w:val="00191EC5"/>
    <w:rsid w:val="00192958"/>
    <w:rsid w:val="00195D96"/>
    <w:rsid w:val="001A159D"/>
    <w:rsid w:val="001A460E"/>
    <w:rsid w:val="001C46DF"/>
    <w:rsid w:val="001D0F47"/>
    <w:rsid w:val="001D42F1"/>
    <w:rsid w:val="001D4F56"/>
    <w:rsid w:val="001D54CF"/>
    <w:rsid w:val="001E3220"/>
    <w:rsid w:val="001F1482"/>
    <w:rsid w:val="001F1D81"/>
    <w:rsid w:val="001F263B"/>
    <w:rsid w:val="0020461E"/>
    <w:rsid w:val="00204AFB"/>
    <w:rsid w:val="00205AF8"/>
    <w:rsid w:val="00212924"/>
    <w:rsid w:val="00217BEE"/>
    <w:rsid w:val="002236F2"/>
    <w:rsid w:val="00223E9D"/>
    <w:rsid w:val="0023653E"/>
    <w:rsid w:val="00237A0A"/>
    <w:rsid w:val="00247E5E"/>
    <w:rsid w:val="002550E3"/>
    <w:rsid w:val="00260C42"/>
    <w:rsid w:val="00262FEE"/>
    <w:rsid w:val="00266CC6"/>
    <w:rsid w:val="002873EB"/>
    <w:rsid w:val="00293E9C"/>
    <w:rsid w:val="00294F8C"/>
    <w:rsid w:val="00297BF4"/>
    <w:rsid w:val="002A1EC8"/>
    <w:rsid w:val="002A249A"/>
    <w:rsid w:val="002A4B92"/>
    <w:rsid w:val="002A565F"/>
    <w:rsid w:val="002B31F8"/>
    <w:rsid w:val="002B45A7"/>
    <w:rsid w:val="002B65C5"/>
    <w:rsid w:val="002C767E"/>
    <w:rsid w:val="002D30F4"/>
    <w:rsid w:val="002D693A"/>
    <w:rsid w:val="002E18F3"/>
    <w:rsid w:val="002F312B"/>
    <w:rsid w:val="002F7266"/>
    <w:rsid w:val="002F77EC"/>
    <w:rsid w:val="00300295"/>
    <w:rsid w:val="00301362"/>
    <w:rsid w:val="00304185"/>
    <w:rsid w:val="00306631"/>
    <w:rsid w:val="00311399"/>
    <w:rsid w:val="00311762"/>
    <w:rsid w:val="0031481B"/>
    <w:rsid w:val="003249A6"/>
    <w:rsid w:val="00332E2D"/>
    <w:rsid w:val="0033653F"/>
    <w:rsid w:val="0035673D"/>
    <w:rsid w:val="00360F09"/>
    <w:rsid w:val="0036138C"/>
    <w:rsid w:val="00363C4B"/>
    <w:rsid w:val="00365A88"/>
    <w:rsid w:val="00366288"/>
    <w:rsid w:val="00370523"/>
    <w:rsid w:val="00375BBF"/>
    <w:rsid w:val="00384BD7"/>
    <w:rsid w:val="00384C56"/>
    <w:rsid w:val="00396CDE"/>
    <w:rsid w:val="003A4D0A"/>
    <w:rsid w:val="003A5E56"/>
    <w:rsid w:val="003C1856"/>
    <w:rsid w:val="003C223C"/>
    <w:rsid w:val="003C76C3"/>
    <w:rsid w:val="003D56A7"/>
    <w:rsid w:val="003E2B8B"/>
    <w:rsid w:val="003F59AC"/>
    <w:rsid w:val="004173EF"/>
    <w:rsid w:val="00424074"/>
    <w:rsid w:val="00424E36"/>
    <w:rsid w:val="0043264D"/>
    <w:rsid w:val="00437B48"/>
    <w:rsid w:val="00442F37"/>
    <w:rsid w:val="00447B54"/>
    <w:rsid w:val="00452A16"/>
    <w:rsid w:val="004554FF"/>
    <w:rsid w:val="0046224A"/>
    <w:rsid w:val="00463B4C"/>
    <w:rsid w:val="00465E1B"/>
    <w:rsid w:val="00470781"/>
    <w:rsid w:val="00471EA8"/>
    <w:rsid w:val="00480B83"/>
    <w:rsid w:val="004A4E61"/>
    <w:rsid w:val="004B115A"/>
    <w:rsid w:val="004C1F5E"/>
    <w:rsid w:val="004C3FB1"/>
    <w:rsid w:val="004D16E5"/>
    <w:rsid w:val="004E201B"/>
    <w:rsid w:val="004F1B70"/>
    <w:rsid w:val="004F5211"/>
    <w:rsid w:val="00510B73"/>
    <w:rsid w:val="00517E65"/>
    <w:rsid w:val="00522B84"/>
    <w:rsid w:val="00522D77"/>
    <w:rsid w:val="00524272"/>
    <w:rsid w:val="00525AC0"/>
    <w:rsid w:val="005272A9"/>
    <w:rsid w:val="00530F8A"/>
    <w:rsid w:val="00536B4E"/>
    <w:rsid w:val="00536C32"/>
    <w:rsid w:val="00557B50"/>
    <w:rsid w:val="005667EF"/>
    <w:rsid w:val="00570D14"/>
    <w:rsid w:val="00585A6C"/>
    <w:rsid w:val="0058770F"/>
    <w:rsid w:val="00587933"/>
    <w:rsid w:val="005B18BD"/>
    <w:rsid w:val="005B37C1"/>
    <w:rsid w:val="005B382D"/>
    <w:rsid w:val="005B4164"/>
    <w:rsid w:val="005B5D0A"/>
    <w:rsid w:val="005C3189"/>
    <w:rsid w:val="005C384E"/>
    <w:rsid w:val="005D4F98"/>
    <w:rsid w:val="005E5B8E"/>
    <w:rsid w:val="005F6353"/>
    <w:rsid w:val="005F7F1E"/>
    <w:rsid w:val="006119D0"/>
    <w:rsid w:val="00623FE9"/>
    <w:rsid w:val="00630AF2"/>
    <w:rsid w:val="00635E9E"/>
    <w:rsid w:val="0064070C"/>
    <w:rsid w:val="00642BDE"/>
    <w:rsid w:val="006454BF"/>
    <w:rsid w:val="00654868"/>
    <w:rsid w:val="00654C46"/>
    <w:rsid w:val="00655BFB"/>
    <w:rsid w:val="00660011"/>
    <w:rsid w:val="00683988"/>
    <w:rsid w:val="006A31A3"/>
    <w:rsid w:val="006B41FC"/>
    <w:rsid w:val="006C3465"/>
    <w:rsid w:val="006C5168"/>
    <w:rsid w:val="006C63C4"/>
    <w:rsid w:val="006C657C"/>
    <w:rsid w:val="006D70B4"/>
    <w:rsid w:val="006E50F7"/>
    <w:rsid w:val="006E6D63"/>
    <w:rsid w:val="006F3D54"/>
    <w:rsid w:val="00700114"/>
    <w:rsid w:val="00702831"/>
    <w:rsid w:val="0071086B"/>
    <w:rsid w:val="0072113D"/>
    <w:rsid w:val="0073406E"/>
    <w:rsid w:val="007408F8"/>
    <w:rsid w:val="00741A9B"/>
    <w:rsid w:val="00753978"/>
    <w:rsid w:val="00753C94"/>
    <w:rsid w:val="0075600E"/>
    <w:rsid w:val="00756327"/>
    <w:rsid w:val="00760E46"/>
    <w:rsid w:val="00767936"/>
    <w:rsid w:val="00771A5A"/>
    <w:rsid w:val="00780EA2"/>
    <w:rsid w:val="007843BC"/>
    <w:rsid w:val="00785A4B"/>
    <w:rsid w:val="00787C00"/>
    <w:rsid w:val="00792862"/>
    <w:rsid w:val="007A078B"/>
    <w:rsid w:val="007A3BBB"/>
    <w:rsid w:val="007A7225"/>
    <w:rsid w:val="007B2220"/>
    <w:rsid w:val="007B4E66"/>
    <w:rsid w:val="007B4FED"/>
    <w:rsid w:val="007C05CB"/>
    <w:rsid w:val="007C58AB"/>
    <w:rsid w:val="007C6FE8"/>
    <w:rsid w:val="007D19F6"/>
    <w:rsid w:val="007D38EE"/>
    <w:rsid w:val="007D4F3C"/>
    <w:rsid w:val="007E5B28"/>
    <w:rsid w:val="007F4026"/>
    <w:rsid w:val="00800CB7"/>
    <w:rsid w:val="0080671A"/>
    <w:rsid w:val="00811671"/>
    <w:rsid w:val="00814584"/>
    <w:rsid w:val="00817038"/>
    <w:rsid w:val="00820DDF"/>
    <w:rsid w:val="0082140C"/>
    <w:rsid w:val="00821827"/>
    <w:rsid w:val="00830938"/>
    <w:rsid w:val="008348C2"/>
    <w:rsid w:val="00853CBD"/>
    <w:rsid w:val="0087233C"/>
    <w:rsid w:val="00873C9A"/>
    <w:rsid w:val="00876388"/>
    <w:rsid w:val="008765B7"/>
    <w:rsid w:val="008838A3"/>
    <w:rsid w:val="00884358"/>
    <w:rsid w:val="00885753"/>
    <w:rsid w:val="0089108C"/>
    <w:rsid w:val="00896DEF"/>
    <w:rsid w:val="008B107A"/>
    <w:rsid w:val="008B5D6C"/>
    <w:rsid w:val="008B71DA"/>
    <w:rsid w:val="008C403E"/>
    <w:rsid w:val="008C474C"/>
    <w:rsid w:val="008D0FA3"/>
    <w:rsid w:val="008D2EF2"/>
    <w:rsid w:val="008D6E71"/>
    <w:rsid w:val="008D6FE5"/>
    <w:rsid w:val="008D7C5C"/>
    <w:rsid w:val="008E57D5"/>
    <w:rsid w:val="008E6568"/>
    <w:rsid w:val="00906476"/>
    <w:rsid w:val="00907B5D"/>
    <w:rsid w:val="00913366"/>
    <w:rsid w:val="00915D3A"/>
    <w:rsid w:val="009257EB"/>
    <w:rsid w:val="00933DB1"/>
    <w:rsid w:val="0094101C"/>
    <w:rsid w:val="0094121C"/>
    <w:rsid w:val="00941616"/>
    <w:rsid w:val="00947DA3"/>
    <w:rsid w:val="0097088C"/>
    <w:rsid w:val="00975AA9"/>
    <w:rsid w:val="00980548"/>
    <w:rsid w:val="00982F9B"/>
    <w:rsid w:val="00993644"/>
    <w:rsid w:val="009A6BFD"/>
    <w:rsid w:val="009B7AC2"/>
    <w:rsid w:val="009B7F28"/>
    <w:rsid w:val="009C3210"/>
    <w:rsid w:val="009D70AD"/>
    <w:rsid w:val="009E0DBA"/>
    <w:rsid w:val="009E15C5"/>
    <w:rsid w:val="009E7BFD"/>
    <w:rsid w:val="009F4C3B"/>
    <w:rsid w:val="009F521A"/>
    <w:rsid w:val="00A120F7"/>
    <w:rsid w:val="00A13001"/>
    <w:rsid w:val="00A1449F"/>
    <w:rsid w:val="00A223F1"/>
    <w:rsid w:val="00A30F7D"/>
    <w:rsid w:val="00A341DB"/>
    <w:rsid w:val="00A347C9"/>
    <w:rsid w:val="00A354D0"/>
    <w:rsid w:val="00A43EB6"/>
    <w:rsid w:val="00A44C56"/>
    <w:rsid w:val="00A45184"/>
    <w:rsid w:val="00A51451"/>
    <w:rsid w:val="00A56EEB"/>
    <w:rsid w:val="00A579B0"/>
    <w:rsid w:val="00A65AB9"/>
    <w:rsid w:val="00A71807"/>
    <w:rsid w:val="00A71CEE"/>
    <w:rsid w:val="00A92522"/>
    <w:rsid w:val="00AA34BA"/>
    <w:rsid w:val="00AA4105"/>
    <w:rsid w:val="00AA45C0"/>
    <w:rsid w:val="00AA7361"/>
    <w:rsid w:val="00AA7DB2"/>
    <w:rsid w:val="00AB60D2"/>
    <w:rsid w:val="00AB6392"/>
    <w:rsid w:val="00AB6AE6"/>
    <w:rsid w:val="00AC2ED5"/>
    <w:rsid w:val="00AC69B5"/>
    <w:rsid w:val="00AF0858"/>
    <w:rsid w:val="00AF53B7"/>
    <w:rsid w:val="00B26FC9"/>
    <w:rsid w:val="00B35543"/>
    <w:rsid w:val="00B40574"/>
    <w:rsid w:val="00B50FA1"/>
    <w:rsid w:val="00B51523"/>
    <w:rsid w:val="00B52F46"/>
    <w:rsid w:val="00B539B2"/>
    <w:rsid w:val="00B53CDA"/>
    <w:rsid w:val="00B54407"/>
    <w:rsid w:val="00B56F3E"/>
    <w:rsid w:val="00B60B7A"/>
    <w:rsid w:val="00B6418C"/>
    <w:rsid w:val="00B64F8F"/>
    <w:rsid w:val="00B71A20"/>
    <w:rsid w:val="00B82F3C"/>
    <w:rsid w:val="00B85414"/>
    <w:rsid w:val="00BA1176"/>
    <w:rsid w:val="00BA1F37"/>
    <w:rsid w:val="00BA228C"/>
    <w:rsid w:val="00BA4163"/>
    <w:rsid w:val="00BA785C"/>
    <w:rsid w:val="00BB01B5"/>
    <w:rsid w:val="00BB6E41"/>
    <w:rsid w:val="00BC4745"/>
    <w:rsid w:val="00BC4DE0"/>
    <w:rsid w:val="00BC765A"/>
    <w:rsid w:val="00BD2187"/>
    <w:rsid w:val="00BD2C28"/>
    <w:rsid w:val="00BF4604"/>
    <w:rsid w:val="00BF746D"/>
    <w:rsid w:val="00C025A7"/>
    <w:rsid w:val="00C055D0"/>
    <w:rsid w:val="00C127B1"/>
    <w:rsid w:val="00C20195"/>
    <w:rsid w:val="00C26DA8"/>
    <w:rsid w:val="00C27EC8"/>
    <w:rsid w:val="00C32A99"/>
    <w:rsid w:val="00C46A5E"/>
    <w:rsid w:val="00C52D97"/>
    <w:rsid w:val="00C534DD"/>
    <w:rsid w:val="00C5685B"/>
    <w:rsid w:val="00C613B3"/>
    <w:rsid w:val="00C64624"/>
    <w:rsid w:val="00C65009"/>
    <w:rsid w:val="00C67731"/>
    <w:rsid w:val="00C703CE"/>
    <w:rsid w:val="00C749DB"/>
    <w:rsid w:val="00C74D73"/>
    <w:rsid w:val="00C80FA9"/>
    <w:rsid w:val="00C86B31"/>
    <w:rsid w:val="00C954A4"/>
    <w:rsid w:val="00C960AE"/>
    <w:rsid w:val="00CA060F"/>
    <w:rsid w:val="00CA398F"/>
    <w:rsid w:val="00CA7130"/>
    <w:rsid w:val="00CB2EEC"/>
    <w:rsid w:val="00CB4802"/>
    <w:rsid w:val="00CB4BCB"/>
    <w:rsid w:val="00CC16D5"/>
    <w:rsid w:val="00CD0ABF"/>
    <w:rsid w:val="00CD53BB"/>
    <w:rsid w:val="00CD5898"/>
    <w:rsid w:val="00CF56C8"/>
    <w:rsid w:val="00CF7B46"/>
    <w:rsid w:val="00D000DA"/>
    <w:rsid w:val="00D04780"/>
    <w:rsid w:val="00D143AF"/>
    <w:rsid w:val="00D24A43"/>
    <w:rsid w:val="00D26C17"/>
    <w:rsid w:val="00D4269E"/>
    <w:rsid w:val="00D53524"/>
    <w:rsid w:val="00D53A60"/>
    <w:rsid w:val="00D5566F"/>
    <w:rsid w:val="00D70542"/>
    <w:rsid w:val="00D71210"/>
    <w:rsid w:val="00D74299"/>
    <w:rsid w:val="00D764F3"/>
    <w:rsid w:val="00D8231B"/>
    <w:rsid w:val="00D84FE4"/>
    <w:rsid w:val="00D947B7"/>
    <w:rsid w:val="00D95885"/>
    <w:rsid w:val="00DA025C"/>
    <w:rsid w:val="00DB22A7"/>
    <w:rsid w:val="00DB2A7B"/>
    <w:rsid w:val="00DB4247"/>
    <w:rsid w:val="00DB4778"/>
    <w:rsid w:val="00DB65D1"/>
    <w:rsid w:val="00DC611C"/>
    <w:rsid w:val="00DD0854"/>
    <w:rsid w:val="00DD5063"/>
    <w:rsid w:val="00DD5EDD"/>
    <w:rsid w:val="00DE6370"/>
    <w:rsid w:val="00DE6F39"/>
    <w:rsid w:val="00DF00A6"/>
    <w:rsid w:val="00DF5BCE"/>
    <w:rsid w:val="00DF6C29"/>
    <w:rsid w:val="00E02EDE"/>
    <w:rsid w:val="00E255DC"/>
    <w:rsid w:val="00E34DC5"/>
    <w:rsid w:val="00E37350"/>
    <w:rsid w:val="00E45FA8"/>
    <w:rsid w:val="00E50C9F"/>
    <w:rsid w:val="00E56024"/>
    <w:rsid w:val="00E62A26"/>
    <w:rsid w:val="00E7142F"/>
    <w:rsid w:val="00E766E0"/>
    <w:rsid w:val="00E808BD"/>
    <w:rsid w:val="00E83DA5"/>
    <w:rsid w:val="00E90656"/>
    <w:rsid w:val="00EA2338"/>
    <w:rsid w:val="00EA52C6"/>
    <w:rsid w:val="00EA5E64"/>
    <w:rsid w:val="00EA6B4D"/>
    <w:rsid w:val="00EA71DF"/>
    <w:rsid w:val="00EB1AAA"/>
    <w:rsid w:val="00EB6FCC"/>
    <w:rsid w:val="00EC26DB"/>
    <w:rsid w:val="00EC443B"/>
    <w:rsid w:val="00ED210F"/>
    <w:rsid w:val="00ED668C"/>
    <w:rsid w:val="00EE2890"/>
    <w:rsid w:val="00F07D3F"/>
    <w:rsid w:val="00F100C9"/>
    <w:rsid w:val="00F14907"/>
    <w:rsid w:val="00F22A71"/>
    <w:rsid w:val="00F24595"/>
    <w:rsid w:val="00F24F0E"/>
    <w:rsid w:val="00F31105"/>
    <w:rsid w:val="00F32FE0"/>
    <w:rsid w:val="00F3389A"/>
    <w:rsid w:val="00F47FB4"/>
    <w:rsid w:val="00F532F5"/>
    <w:rsid w:val="00F56359"/>
    <w:rsid w:val="00F56F6F"/>
    <w:rsid w:val="00F6072F"/>
    <w:rsid w:val="00F61BC4"/>
    <w:rsid w:val="00F63787"/>
    <w:rsid w:val="00F67A67"/>
    <w:rsid w:val="00F7277E"/>
    <w:rsid w:val="00F81EDA"/>
    <w:rsid w:val="00F83AC4"/>
    <w:rsid w:val="00F877B2"/>
    <w:rsid w:val="00F906F1"/>
    <w:rsid w:val="00F9289C"/>
    <w:rsid w:val="00FA6593"/>
    <w:rsid w:val="00FB2121"/>
    <w:rsid w:val="00FB2D5B"/>
    <w:rsid w:val="00FB4B50"/>
    <w:rsid w:val="00FB7F31"/>
    <w:rsid w:val="00FC1E33"/>
    <w:rsid w:val="00FC243C"/>
    <w:rsid w:val="00FC530B"/>
    <w:rsid w:val="00FC7764"/>
    <w:rsid w:val="00FF184B"/>
    <w:rsid w:val="00FF271C"/>
    <w:rsid w:val="00FF4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272A"/>
  <w15:chartTrackingRefBased/>
  <w15:docId w15:val="{102AD95A-9A0B-43F1-B2D2-DD201622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F8A"/>
    <w:rPr>
      <w:rFonts w:ascii="Times New Roman" w:hAnsi="Times New Roman"/>
      <w:lang w:val="en-US"/>
    </w:rPr>
  </w:style>
  <w:style w:type="paragraph" w:styleId="Titolo1">
    <w:name w:val="heading 1"/>
    <w:basedOn w:val="Normale"/>
    <w:next w:val="Normale"/>
    <w:link w:val="Titolo1Carattere"/>
    <w:uiPriority w:val="9"/>
    <w:qFormat/>
    <w:rsid w:val="00530F8A"/>
    <w:pPr>
      <w:keepNext/>
      <w:keepLines/>
      <w:spacing w:before="360" w:after="80"/>
      <w:jc w:val="center"/>
      <w:outlineLvl w:val="0"/>
    </w:pPr>
    <w:rPr>
      <w:rFonts w:eastAsiaTheme="majorEastAsia" w:cstheme="majorBidi"/>
      <w:color w:val="000000" w:themeColor="text1"/>
      <w:sz w:val="28"/>
      <w:szCs w:val="40"/>
    </w:rPr>
  </w:style>
  <w:style w:type="paragraph" w:styleId="Titolo2">
    <w:name w:val="heading 2"/>
    <w:basedOn w:val="Normale"/>
    <w:next w:val="Normale"/>
    <w:link w:val="Titolo2Carattere"/>
    <w:uiPriority w:val="9"/>
    <w:semiHidden/>
    <w:unhideWhenUsed/>
    <w:qFormat/>
    <w:rsid w:val="00437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37B4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37B4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37B4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37B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7B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7B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7B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0F8A"/>
    <w:rPr>
      <w:rFonts w:ascii="Times New Roman" w:eastAsiaTheme="majorEastAsia" w:hAnsi="Times New Roman" w:cstheme="majorBidi"/>
      <w:color w:val="000000" w:themeColor="text1"/>
      <w:sz w:val="28"/>
      <w:szCs w:val="40"/>
      <w:lang w:val="en-US"/>
    </w:rPr>
  </w:style>
  <w:style w:type="character" w:customStyle="1" w:styleId="Titolo2Carattere">
    <w:name w:val="Titolo 2 Carattere"/>
    <w:basedOn w:val="Carpredefinitoparagrafo"/>
    <w:link w:val="Titolo2"/>
    <w:uiPriority w:val="9"/>
    <w:semiHidden/>
    <w:rsid w:val="00437B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37B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37B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37B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37B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7B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7B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7B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7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7B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7B4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7B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7B4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7B48"/>
    <w:rPr>
      <w:i/>
      <w:iCs/>
      <w:color w:val="404040" w:themeColor="text1" w:themeTint="BF"/>
    </w:rPr>
  </w:style>
  <w:style w:type="paragraph" w:styleId="Paragrafoelenco">
    <w:name w:val="List Paragraph"/>
    <w:basedOn w:val="Normale"/>
    <w:uiPriority w:val="34"/>
    <w:qFormat/>
    <w:rsid w:val="00437B48"/>
    <w:pPr>
      <w:ind w:left="720"/>
      <w:contextualSpacing/>
    </w:pPr>
  </w:style>
  <w:style w:type="character" w:styleId="Enfasiintensa">
    <w:name w:val="Intense Emphasis"/>
    <w:basedOn w:val="Carpredefinitoparagrafo"/>
    <w:uiPriority w:val="21"/>
    <w:qFormat/>
    <w:rsid w:val="00437B48"/>
    <w:rPr>
      <w:i/>
      <w:iCs/>
      <w:color w:val="0F4761" w:themeColor="accent1" w:themeShade="BF"/>
    </w:rPr>
  </w:style>
  <w:style w:type="paragraph" w:styleId="Citazioneintensa">
    <w:name w:val="Intense Quote"/>
    <w:basedOn w:val="Normale"/>
    <w:next w:val="Normale"/>
    <w:link w:val="CitazioneintensaCarattere"/>
    <w:uiPriority w:val="30"/>
    <w:qFormat/>
    <w:rsid w:val="00437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37B48"/>
    <w:rPr>
      <w:i/>
      <w:iCs/>
      <w:color w:val="0F4761" w:themeColor="accent1" w:themeShade="BF"/>
    </w:rPr>
  </w:style>
  <w:style w:type="character" w:styleId="Riferimentointenso">
    <w:name w:val="Intense Reference"/>
    <w:basedOn w:val="Carpredefinitoparagrafo"/>
    <w:uiPriority w:val="32"/>
    <w:qFormat/>
    <w:rsid w:val="00437B48"/>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1C46D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C46DF"/>
    <w:rPr>
      <w:sz w:val="20"/>
      <w:szCs w:val="20"/>
    </w:rPr>
  </w:style>
  <w:style w:type="character" w:styleId="Rimandonotaapidipagina">
    <w:name w:val="footnote reference"/>
    <w:basedOn w:val="Carpredefinitoparagrafo"/>
    <w:uiPriority w:val="99"/>
    <w:semiHidden/>
    <w:unhideWhenUsed/>
    <w:rsid w:val="001C46DF"/>
    <w:rPr>
      <w:vertAlign w:val="superscript"/>
    </w:rPr>
  </w:style>
  <w:style w:type="character" w:styleId="Rimandocommento">
    <w:name w:val="annotation reference"/>
    <w:basedOn w:val="Carpredefinitoparagrafo"/>
    <w:uiPriority w:val="99"/>
    <w:semiHidden/>
    <w:unhideWhenUsed/>
    <w:rsid w:val="00B26FC9"/>
    <w:rPr>
      <w:sz w:val="16"/>
      <w:szCs w:val="16"/>
    </w:rPr>
  </w:style>
  <w:style w:type="paragraph" w:styleId="Testocommento">
    <w:name w:val="annotation text"/>
    <w:basedOn w:val="Normale"/>
    <w:link w:val="TestocommentoCarattere"/>
    <w:uiPriority w:val="99"/>
    <w:unhideWhenUsed/>
    <w:rsid w:val="00B26FC9"/>
    <w:pPr>
      <w:spacing w:line="240" w:lineRule="auto"/>
    </w:pPr>
    <w:rPr>
      <w:sz w:val="20"/>
      <w:szCs w:val="20"/>
    </w:rPr>
  </w:style>
  <w:style w:type="character" w:customStyle="1" w:styleId="TestocommentoCarattere">
    <w:name w:val="Testo commento Carattere"/>
    <w:basedOn w:val="Carpredefinitoparagrafo"/>
    <w:link w:val="Testocommento"/>
    <w:uiPriority w:val="99"/>
    <w:rsid w:val="00B26FC9"/>
    <w:rPr>
      <w:sz w:val="20"/>
      <w:szCs w:val="20"/>
    </w:rPr>
  </w:style>
  <w:style w:type="paragraph" w:styleId="Soggettocommento">
    <w:name w:val="annotation subject"/>
    <w:basedOn w:val="Testocommento"/>
    <w:next w:val="Testocommento"/>
    <w:link w:val="SoggettocommentoCarattere"/>
    <w:uiPriority w:val="99"/>
    <w:semiHidden/>
    <w:unhideWhenUsed/>
    <w:rsid w:val="00B26FC9"/>
    <w:rPr>
      <w:b/>
      <w:bCs/>
    </w:rPr>
  </w:style>
  <w:style w:type="character" w:customStyle="1" w:styleId="SoggettocommentoCarattere">
    <w:name w:val="Soggetto commento Carattere"/>
    <w:basedOn w:val="TestocommentoCarattere"/>
    <w:link w:val="Soggettocommento"/>
    <w:uiPriority w:val="99"/>
    <w:semiHidden/>
    <w:rsid w:val="00B26FC9"/>
    <w:rPr>
      <w:b/>
      <w:bCs/>
      <w:sz w:val="20"/>
      <w:szCs w:val="20"/>
    </w:rPr>
  </w:style>
  <w:style w:type="table" w:styleId="Grigliatabella">
    <w:name w:val="Table Grid"/>
    <w:basedOn w:val="Tabellanormale"/>
    <w:uiPriority w:val="39"/>
    <w:rsid w:val="00C7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B7F31"/>
    <w:pPr>
      <w:spacing w:after="0" w:line="240" w:lineRule="auto"/>
    </w:pPr>
  </w:style>
  <w:style w:type="character" w:styleId="Collegamentoipertestuale">
    <w:name w:val="Hyperlink"/>
    <w:basedOn w:val="Carpredefinitoparagrafo"/>
    <w:uiPriority w:val="99"/>
    <w:unhideWhenUsed/>
    <w:rsid w:val="00BA1176"/>
    <w:rPr>
      <w:color w:val="467886" w:themeColor="hyperlink"/>
      <w:u w:val="single"/>
    </w:rPr>
  </w:style>
  <w:style w:type="character" w:styleId="Menzionenonrisolta">
    <w:name w:val="Unresolved Mention"/>
    <w:basedOn w:val="Carpredefinitoparagrafo"/>
    <w:uiPriority w:val="99"/>
    <w:semiHidden/>
    <w:unhideWhenUsed/>
    <w:rsid w:val="00BA1176"/>
    <w:rPr>
      <w:color w:val="605E5C"/>
      <w:shd w:val="clear" w:color="auto" w:fill="E1DFDD"/>
    </w:rPr>
  </w:style>
  <w:style w:type="character" w:styleId="Collegamentovisitato">
    <w:name w:val="FollowedHyperlink"/>
    <w:basedOn w:val="Carpredefinitoparagrafo"/>
    <w:uiPriority w:val="99"/>
    <w:semiHidden/>
    <w:unhideWhenUsed/>
    <w:rsid w:val="000C62C3"/>
    <w:rPr>
      <w:color w:val="96607D"/>
      <w:u w:val="single"/>
    </w:rPr>
  </w:style>
  <w:style w:type="paragraph" w:customStyle="1" w:styleId="msonormal0">
    <w:name w:val="msonormal"/>
    <w:basedOn w:val="Normale"/>
    <w:rsid w:val="000C62C3"/>
    <w:pPr>
      <w:spacing w:before="100" w:beforeAutospacing="1" w:after="100" w:afterAutospacing="1" w:line="240" w:lineRule="auto"/>
    </w:pPr>
    <w:rPr>
      <w:rFonts w:eastAsia="Times New Roman" w:cs="Times New Roman"/>
      <w:kern w:val="0"/>
      <w:lang w:eastAsia="it-IT"/>
      <w14:ligatures w14:val="none"/>
    </w:rPr>
  </w:style>
  <w:style w:type="paragraph" w:customStyle="1" w:styleId="xl65">
    <w:name w:val="xl65"/>
    <w:basedOn w:val="Normale"/>
    <w:rsid w:val="000C62C3"/>
    <w:pPr>
      <w:spacing w:before="100" w:beforeAutospacing="1" w:after="100" w:afterAutospacing="1" w:line="240" w:lineRule="auto"/>
      <w:jc w:val="center"/>
    </w:pPr>
    <w:rPr>
      <w:rFonts w:eastAsia="Times New Roman" w:cs="Times New Roman"/>
      <w:kern w:val="0"/>
      <w:lang w:eastAsia="it-IT"/>
      <w14:ligatures w14:val="none"/>
    </w:rPr>
  </w:style>
  <w:style w:type="paragraph" w:customStyle="1" w:styleId="xl66">
    <w:name w:val="xl66"/>
    <w:basedOn w:val="Normale"/>
    <w:rsid w:val="000C62C3"/>
    <w:pPr>
      <w:pBdr>
        <w:top w:val="single" w:sz="4" w:space="0" w:color="auto"/>
      </w:pBdr>
      <w:spacing w:before="100" w:beforeAutospacing="1" w:after="100" w:afterAutospacing="1" w:line="240" w:lineRule="auto"/>
    </w:pPr>
    <w:rPr>
      <w:rFonts w:eastAsia="Times New Roman" w:cs="Times New Roman"/>
      <w:kern w:val="0"/>
      <w:lang w:eastAsia="it-IT"/>
      <w14:ligatures w14:val="none"/>
    </w:rPr>
  </w:style>
  <w:style w:type="paragraph" w:customStyle="1" w:styleId="xl67">
    <w:name w:val="xl67"/>
    <w:basedOn w:val="Normale"/>
    <w:rsid w:val="000C62C3"/>
    <w:pPr>
      <w:pBdr>
        <w:bottom w:val="single" w:sz="4" w:space="0" w:color="auto"/>
      </w:pBdr>
      <w:spacing w:before="100" w:beforeAutospacing="1" w:after="100" w:afterAutospacing="1" w:line="240" w:lineRule="auto"/>
    </w:pPr>
    <w:rPr>
      <w:rFonts w:eastAsia="Times New Roman" w:cs="Times New Roman"/>
      <w:kern w:val="0"/>
      <w:lang w:eastAsia="it-IT"/>
      <w14:ligatures w14:val="none"/>
    </w:rPr>
  </w:style>
  <w:style w:type="paragraph" w:customStyle="1" w:styleId="xl68">
    <w:name w:val="xl68"/>
    <w:basedOn w:val="Normale"/>
    <w:rsid w:val="000C62C3"/>
    <w:pPr>
      <w:pBdr>
        <w:top w:val="single" w:sz="4" w:space="0" w:color="auto"/>
      </w:pBdr>
      <w:spacing w:before="100" w:beforeAutospacing="1" w:after="100" w:afterAutospacing="1" w:line="240" w:lineRule="auto"/>
      <w:jc w:val="center"/>
    </w:pPr>
    <w:rPr>
      <w:rFonts w:eastAsia="Times New Roman" w:cs="Times New Roman"/>
      <w:kern w:val="0"/>
      <w:lang w:eastAsia="it-IT"/>
      <w14:ligatures w14:val="none"/>
    </w:rPr>
  </w:style>
  <w:style w:type="paragraph" w:customStyle="1" w:styleId="xl69">
    <w:name w:val="xl69"/>
    <w:basedOn w:val="Normale"/>
    <w:rsid w:val="000C62C3"/>
    <w:pPr>
      <w:pBdr>
        <w:bottom w:val="single" w:sz="4" w:space="0" w:color="auto"/>
      </w:pBdr>
      <w:spacing w:before="100" w:beforeAutospacing="1" w:after="100" w:afterAutospacing="1" w:line="240" w:lineRule="auto"/>
      <w:jc w:val="center"/>
    </w:pPr>
    <w:rPr>
      <w:rFonts w:eastAsia="Times New Roman" w:cs="Times New Roman"/>
      <w:kern w:val="0"/>
      <w:lang w:eastAsia="it-IT"/>
      <w14:ligatures w14:val="none"/>
    </w:rPr>
  </w:style>
  <w:style w:type="paragraph" w:customStyle="1" w:styleId="xl70">
    <w:name w:val="xl70"/>
    <w:basedOn w:val="Normale"/>
    <w:rsid w:val="000C62C3"/>
    <w:pPr>
      <w:pBdr>
        <w:top w:val="single" w:sz="4" w:space="0" w:color="auto"/>
      </w:pBdr>
      <w:spacing w:before="100" w:beforeAutospacing="1" w:after="100" w:afterAutospacing="1" w:line="240" w:lineRule="auto"/>
    </w:pPr>
    <w:rPr>
      <w:rFonts w:eastAsia="Times New Roman" w:cs="Times New Roman"/>
      <w:kern w:val="0"/>
      <w:lang w:eastAsia="it-IT"/>
      <w14:ligatures w14:val="none"/>
    </w:rPr>
  </w:style>
  <w:style w:type="paragraph" w:customStyle="1" w:styleId="xl72">
    <w:name w:val="xl72"/>
    <w:basedOn w:val="Normale"/>
    <w:rsid w:val="000C62C3"/>
    <w:pPr>
      <w:pBdr>
        <w:bottom w:val="single" w:sz="4" w:space="0" w:color="auto"/>
      </w:pBdr>
      <w:spacing w:before="100" w:beforeAutospacing="1" w:after="100" w:afterAutospacing="1" w:line="240" w:lineRule="auto"/>
    </w:pPr>
    <w:rPr>
      <w:rFonts w:eastAsia="Times New Roman" w:cs="Times New Roman"/>
      <w:kern w:val="0"/>
      <w:lang w:eastAsia="it-IT"/>
      <w14:ligatures w14:val="none"/>
    </w:rPr>
  </w:style>
  <w:style w:type="character" w:styleId="Testosegnaposto">
    <w:name w:val="Placeholder Text"/>
    <w:basedOn w:val="Carpredefinitoparagrafo"/>
    <w:uiPriority w:val="99"/>
    <w:semiHidden/>
    <w:rsid w:val="00D53A60"/>
    <w:rPr>
      <w:color w:val="666666"/>
    </w:rPr>
  </w:style>
  <w:style w:type="paragraph" w:styleId="Testofumetto">
    <w:name w:val="Balloon Text"/>
    <w:basedOn w:val="Normale"/>
    <w:link w:val="TestofumettoCarattere"/>
    <w:uiPriority w:val="99"/>
    <w:semiHidden/>
    <w:unhideWhenUsed/>
    <w:rsid w:val="000B0E9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0E93"/>
    <w:rPr>
      <w:rFonts w:ascii="Segoe UI" w:hAnsi="Segoe UI" w:cs="Segoe UI"/>
      <w:sz w:val="18"/>
      <w:szCs w:val="18"/>
      <w:lang w:val="en-US"/>
    </w:rPr>
  </w:style>
  <w:style w:type="paragraph" w:styleId="Intestazione">
    <w:name w:val="header"/>
    <w:basedOn w:val="Normale"/>
    <w:link w:val="IntestazioneCarattere"/>
    <w:uiPriority w:val="99"/>
    <w:unhideWhenUsed/>
    <w:rsid w:val="000B0E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0E93"/>
    <w:rPr>
      <w:lang w:val="en-US"/>
    </w:rPr>
  </w:style>
  <w:style w:type="paragraph" w:styleId="Pidipagina">
    <w:name w:val="footer"/>
    <w:basedOn w:val="Normale"/>
    <w:link w:val="PidipaginaCarattere"/>
    <w:uiPriority w:val="99"/>
    <w:unhideWhenUsed/>
    <w:rsid w:val="000B0E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0E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A37A-9F39-423F-9321-8785619D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7</Pages>
  <Words>1987</Words>
  <Characters>11328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DEGLI ANTONI</dc:creator>
  <cp:keywords/>
  <dc:description/>
  <cp:lastModifiedBy>Giacomo DEGLI ANTONI</cp:lastModifiedBy>
  <cp:revision>39</cp:revision>
  <cp:lastPrinted>2025-09-09T13:41:00Z</cp:lastPrinted>
  <dcterms:created xsi:type="dcterms:W3CDTF">2025-09-09T13:22:00Z</dcterms:created>
  <dcterms:modified xsi:type="dcterms:W3CDTF">2025-09-11T15:03:00Z</dcterms:modified>
</cp:coreProperties>
</file>