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049D" w14:textId="2376698B" w:rsidR="0080664B" w:rsidRPr="0013615E" w:rsidRDefault="0071403E" w:rsidP="0006766C">
      <w:pPr>
        <w:spacing w:line="240" w:lineRule="auto"/>
        <w:jc w:val="center"/>
        <w:rPr>
          <w:rFonts w:ascii="Times New Roman" w:hAnsi="Times New Roman" w:cs="Times New Roman"/>
        </w:rPr>
      </w:pPr>
      <w:r w:rsidRPr="0013615E">
        <w:rPr>
          <w:rFonts w:ascii="Times New Roman" w:hAnsi="Times New Roman" w:cs="Times New Roman"/>
        </w:rPr>
        <w:t xml:space="preserve"> </w:t>
      </w:r>
      <w:r w:rsidR="0080664B" w:rsidRPr="0013615E">
        <w:rPr>
          <w:rFonts w:ascii="Times New Roman" w:hAnsi="Times New Roman" w:cs="Times New Roman"/>
        </w:rPr>
        <w:t>***Working Paper- Not for Citation***</w:t>
      </w:r>
    </w:p>
    <w:p w14:paraId="6732C261" w14:textId="41B646FD" w:rsidR="003873CA" w:rsidRPr="00AF4144" w:rsidRDefault="000E09B8" w:rsidP="0006766C">
      <w:pPr>
        <w:spacing w:line="240" w:lineRule="auto"/>
        <w:rPr>
          <w:rFonts w:ascii="Times New Roman" w:hAnsi="Times New Roman" w:cs="Times New Roman"/>
          <w:b/>
          <w:bCs/>
        </w:rPr>
      </w:pPr>
      <w:r w:rsidRPr="00AF4144">
        <w:rPr>
          <w:rFonts w:ascii="Times New Roman" w:hAnsi="Times New Roman" w:cs="Times New Roman"/>
          <w:b/>
          <w:bCs/>
        </w:rPr>
        <w:t>“</w:t>
      </w:r>
      <w:r w:rsidR="003873CA" w:rsidRPr="00AF4144">
        <w:rPr>
          <w:rFonts w:ascii="Times New Roman" w:hAnsi="Times New Roman" w:cs="Times New Roman"/>
          <w:b/>
          <w:bCs/>
        </w:rPr>
        <w:t xml:space="preserve">AI </w:t>
      </w:r>
      <w:r w:rsidR="000C2B16" w:rsidRPr="00AF4144">
        <w:rPr>
          <w:rFonts w:ascii="Times New Roman" w:hAnsi="Times New Roman" w:cs="Times New Roman"/>
          <w:b/>
          <w:bCs/>
        </w:rPr>
        <w:t>R</w:t>
      </w:r>
      <w:r w:rsidR="003873CA" w:rsidRPr="00AF4144">
        <w:rPr>
          <w:rFonts w:ascii="Times New Roman" w:hAnsi="Times New Roman" w:cs="Times New Roman"/>
          <w:b/>
          <w:bCs/>
        </w:rPr>
        <w:t>egulation</w:t>
      </w:r>
      <w:r w:rsidR="00554C32" w:rsidRPr="00AF4144">
        <w:rPr>
          <w:rFonts w:ascii="Times New Roman" w:hAnsi="Times New Roman" w:cs="Times New Roman"/>
          <w:b/>
          <w:bCs/>
        </w:rPr>
        <w:t xml:space="preserve">: </w:t>
      </w:r>
      <w:r w:rsidR="000C2B16" w:rsidRPr="00AF4144">
        <w:rPr>
          <w:rFonts w:ascii="Times New Roman" w:hAnsi="Times New Roman" w:cs="Times New Roman"/>
          <w:b/>
          <w:bCs/>
        </w:rPr>
        <w:t xml:space="preserve">A Comparison of </w:t>
      </w:r>
      <w:r w:rsidR="00554C32" w:rsidRPr="00AF4144">
        <w:rPr>
          <w:rFonts w:ascii="Times New Roman" w:hAnsi="Times New Roman" w:cs="Times New Roman"/>
          <w:b/>
          <w:bCs/>
        </w:rPr>
        <w:t xml:space="preserve">Centralized and Decentralized Approaches in Federal </w:t>
      </w:r>
      <w:r w:rsidR="000C2B16" w:rsidRPr="00AF4144">
        <w:rPr>
          <w:rFonts w:ascii="Times New Roman" w:hAnsi="Times New Roman" w:cs="Times New Roman"/>
          <w:b/>
          <w:bCs/>
        </w:rPr>
        <w:t>S</w:t>
      </w:r>
      <w:r w:rsidR="00554C32" w:rsidRPr="00AF4144">
        <w:rPr>
          <w:rFonts w:ascii="Times New Roman" w:hAnsi="Times New Roman" w:cs="Times New Roman"/>
          <w:b/>
          <w:bCs/>
        </w:rPr>
        <w:t>ystems.</w:t>
      </w:r>
      <w:r w:rsidRPr="00AF4144">
        <w:rPr>
          <w:rFonts w:ascii="Times New Roman" w:hAnsi="Times New Roman" w:cs="Times New Roman"/>
          <w:b/>
          <w:bCs/>
        </w:rPr>
        <w:t>”</w:t>
      </w:r>
    </w:p>
    <w:p w14:paraId="4A16B27B" w14:textId="1CFE702D" w:rsidR="000E09B8" w:rsidRPr="0013615E" w:rsidRDefault="000E09B8" w:rsidP="0006766C">
      <w:pPr>
        <w:spacing w:line="240" w:lineRule="auto"/>
        <w:rPr>
          <w:rFonts w:ascii="Times New Roman" w:hAnsi="Times New Roman" w:cs="Times New Roman"/>
        </w:rPr>
      </w:pPr>
      <w:r w:rsidRPr="0013615E">
        <w:rPr>
          <w:rFonts w:ascii="Times New Roman" w:hAnsi="Times New Roman" w:cs="Times New Roman"/>
        </w:rPr>
        <w:t>By Paul Aubrecht</w:t>
      </w:r>
      <w:r w:rsidR="00AF4144">
        <w:rPr>
          <w:rStyle w:val="FootnoteReference"/>
          <w:rFonts w:ascii="Times New Roman" w:hAnsi="Times New Roman" w:cs="Times New Roman"/>
        </w:rPr>
        <w:footnoteReference w:id="1"/>
      </w:r>
      <w:r w:rsidRPr="0013615E">
        <w:rPr>
          <w:rFonts w:ascii="Times New Roman" w:hAnsi="Times New Roman" w:cs="Times New Roman"/>
        </w:rPr>
        <w:t xml:space="preserve"> and Mitja Kova</w:t>
      </w:r>
      <w:r w:rsidR="00AF4144">
        <w:rPr>
          <w:rFonts w:ascii="Times New Roman" w:hAnsi="Times New Roman" w:cs="Times New Roman"/>
        </w:rPr>
        <w:t>č</w:t>
      </w:r>
      <w:r w:rsidR="00AF4144">
        <w:rPr>
          <w:rStyle w:val="FootnoteReference"/>
          <w:rFonts w:ascii="Times New Roman" w:hAnsi="Times New Roman" w:cs="Times New Roman"/>
        </w:rPr>
        <w:footnoteReference w:id="2"/>
      </w:r>
      <w:r w:rsidRPr="0013615E">
        <w:rPr>
          <w:rFonts w:ascii="Times New Roman" w:hAnsi="Times New Roman" w:cs="Times New Roman"/>
        </w:rPr>
        <w:t xml:space="preserve"> </w:t>
      </w:r>
    </w:p>
    <w:p w14:paraId="6C10FFB4" w14:textId="74C6EC9F" w:rsidR="000E09B8" w:rsidRPr="0013615E" w:rsidRDefault="000E09B8" w:rsidP="0062256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Introduction </w:t>
      </w:r>
    </w:p>
    <w:p w14:paraId="136A939B" w14:textId="3211D96B" w:rsidR="00B73137" w:rsidRPr="0013615E" w:rsidRDefault="003F352E" w:rsidP="0006766C">
      <w:pPr>
        <w:spacing w:line="240" w:lineRule="auto"/>
        <w:rPr>
          <w:rFonts w:ascii="Times New Roman" w:hAnsi="Times New Roman" w:cs="Times New Roman"/>
        </w:rPr>
      </w:pPr>
      <w:r w:rsidRPr="0013615E">
        <w:rPr>
          <w:rFonts w:ascii="Times New Roman" w:hAnsi="Times New Roman" w:cs="Times New Roman"/>
        </w:rPr>
        <w:t>This</w:t>
      </w:r>
      <w:r w:rsidR="00A21AB6" w:rsidRPr="0013615E">
        <w:rPr>
          <w:rFonts w:ascii="Times New Roman" w:hAnsi="Times New Roman" w:cs="Times New Roman"/>
        </w:rPr>
        <w:t xml:space="preserve"> </w:t>
      </w:r>
      <w:r w:rsidRPr="0013615E">
        <w:rPr>
          <w:rFonts w:ascii="Times New Roman" w:hAnsi="Times New Roman" w:cs="Times New Roman"/>
        </w:rPr>
        <w:t>research</w:t>
      </w:r>
      <w:r w:rsidR="00A21AB6" w:rsidRPr="0013615E">
        <w:rPr>
          <w:rFonts w:ascii="Times New Roman" w:hAnsi="Times New Roman" w:cs="Times New Roman"/>
        </w:rPr>
        <w:t xml:space="preserve"> considers the</w:t>
      </w:r>
      <w:r w:rsidR="00CE0726" w:rsidRPr="0013615E">
        <w:rPr>
          <w:rFonts w:ascii="Times New Roman" w:hAnsi="Times New Roman" w:cs="Times New Roman"/>
        </w:rPr>
        <w:t xml:space="preserve"> benefits of centralization and decentralization</w:t>
      </w:r>
      <w:r w:rsidR="00A21AB6" w:rsidRPr="0013615E">
        <w:rPr>
          <w:rFonts w:ascii="Times New Roman" w:hAnsi="Times New Roman" w:cs="Times New Roman"/>
        </w:rPr>
        <w:t xml:space="preserve"> of regulation of </w:t>
      </w:r>
      <w:r w:rsidR="00B73137" w:rsidRPr="0013615E">
        <w:rPr>
          <w:rFonts w:ascii="Times New Roman" w:hAnsi="Times New Roman" w:cs="Times New Roman"/>
        </w:rPr>
        <w:t>artificial intelligence (</w:t>
      </w:r>
      <w:r w:rsidR="00A21AB6" w:rsidRPr="0013615E">
        <w:rPr>
          <w:rFonts w:ascii="Times New Roman" w:hAnsi="Times New Roman" w:cs="Times New Roman"/>
        </w:rPr>
        <w:t>AI</w:t>
      </w:r>
      <w:r w:rsidR="00B73137" w:rsidRPr="0013615E">
        <w:rPr>
          <w:rFonts w:ascii="Times New Roman" w:hAnsi="Times New Roman" w:cs="Times New Roman"/>
        </w:rPr>
        <w:t>)</w:t>
      </w:r>
      <w:r w:rsidR="00A21AB6" w:rsidRPr="0013615E">
        <w:rPr>
          <w:rFonts w:ascii="Times New Roman" w:hAnsi="Times New Roman" w:cs="Times New Roman"/>
        </w:rPr>
        <w:t xml:space="preserve"> from a comparative law and economics perspective</w:t>
      </w:r>
      <w:r w:rsidR="00B73137" w:rsidRPr="0013615E">
        <w:rPr>
          <w:rFonts w:ascii="Times New Roman" w:hAnsi="Times New Roman" w:cs="Times New Roman"/>
        </w:rPr>
        <w:t>. We</w:t>
      </w:r>
      <w:r w:rsidR="00A21AB6" w:rsidRPr="0013615E">
        <w:rPr>
          <w:rFonts w:ascii="Times New Roman" w:hAnsi="Times New Roman" w:cs="Times New Roman"/>
        </w:rPr>
        <w:t xml:space="preserve"> consider the costs and benefits of AI regulation and the implications of having </w:t>
      </w:r>
      <w:r w:rsidR="00B73137" w:rsidRPr="0013615E">
        <w:rPr>
          <w:rFonts w:ascii="Times New Roman" w:hAnsi="Times New Roman" w:cs="Times New Roman"/>
        </w:rPr>
        <w:t>a</w:t>
      </w:r>
      <w:r w:rsidR="00A21AB6" w:rsidRPr="0013615E">
        <w:rPr>
          <w:rFonts w:ascii="Times New Roman" w:hAnsi="Times New Roman" w:cs="Times New Roman"/>
        </w:rPr>
        <w:t xml:space="preserve"> </w:t>
      </w:r>
      <w:r w:rsidRPr="0013615E">
        <w:rPr>
          <w:rFonts w:ascii="Times New Roman" w:hAnsi="Times New Roman" w:cs="Times New Roman"/>
        </w:rPr>
        <w:t xml:space="preserve">convergence or </w:t>
      </w:r>
      <w:r w:rsidR="00A21AB6" w:rsidRPr="0013615E">
        <w:rPr>
          <w:rFonts w:ascii="Times New Roman" w:hAnsi="Times New Roman" w:cs="Times New Roman"/>
        </w:rPr>
        <w:t>divergence in the regulation of AI</w:t>
      </w:r>
      <w:r w:rsidR="00B73137" w:rsidRPr="0013615E">
        <w:rPr>
          <w:rFonts w:ascii="Times New Roman" w:hAnsi="Times New Roman" w:cs="Times New Roman"/>
        </w:rPr>
        <w:t xml:space="preserve"> within</w:t>
      </w:r>
      <w:r w:rsidR="00BD7891" w:rsidRPr="0013615E">
        <w:rPr>
          <w:rFonts w:ascii="Times New Roman" w:hAnsi="Times New Roman" w:cs="Times New Roman"/>
        </w:rPr>
        <w:t xml:space="preserve"> a</w:t>
      </w:r>
      <w:r w:rsidR="00B73137" w:rsidRPr="0013615E">
        <w:rPr>
          <w:rFonts w:ascii="Times New Roman" w:hAnsi="Times New Roman" w:cs="Times New Roman"/>
        </w:rPr>
        <w:t xml:space="preserve"> federal system</w:t>
      </w:r>
      <w:r w:rsidRPr="0013615E">
        <w:rPr>
          <w:rFonts w:ascii="Times New Roman" w:hAnsi="Times New Roman" w:cs="Times New Roman"/>
        </w:rPr>
        <w:t>.</w:t>
      </w:r>
      <w:r w:rsidR="00395B2E" w:rsidRPr="0013615E">
        <w:rPr>
          <w:rStyle w:val="FootnoteReference"/>
          <w:rFonts w:ascii="Times New Roman" w:hAnsi="Times New Roman" w:cs="Times New Roman"/>
        </w:rPr>
        <w:footnoteReference w:id="3"/>
      </w:r>
      <w:r w:rsidRPr="0013615E">
        <w:rPr>
          <w:rFonts w:ascii="Times New Roman" w:hAnsi="Times New Roman" w:cs="Times New Roman"/>
        </w:rPr>
        <w:t xml:space="preserve"> </w:t>
      </w:r>
      <w:r w:rsidR="00E9335B" w:rsidRPr="0013615E">
        <w:rPr>
          <w:rFonts w:ascii="Times New Roman" w:hAnsi="Times New Roman" w:cs="Times New Roman"/>
        </w:rPr>
        <w:t xml:space="preserve">Using Van den Bergh model of the benefits of centralization and benefits of decentralization </w:t>
      </w:r>
      <w:r w:rsidR="00B73137" w:rsidRPr="0013615E">
        <w:rPr>
          <w:rFonts w:ascii="Times New Roman" w:hAnsi="Times New Roman" w:cs="Times New Roman"/>
        </w:rPr>
        <w:t xml:space="preserve">within federal systems, </w:t>
      </w:r>
      <w:r w:rsidR="00E9335B" w:rsidRPr="0013615E">
        <w:rPr>
          <w:rFonts w:ascii="Times New Roman" w:hAnsi="Times New Roman" w:cs="Times New Roman"/>
        </w:rPr>
        <w:t xml:space="preserve">we examine the US and EU approaches to regulation of AI. </w:t>
      </w:r>
      <w:r w:rsidR="00B73137" w:rsidRPr="0013615E">
        <w:rPr>
          <w:rFonts w:ascii="Times New Roman" w:hAnsi="Times New Roman" w:cs="Times New Roman"/>
        </w:rPr>
        <w:t xml:space="preserve">This examines shows there is a distinct difference in risk preferences related to the regulation of AI between the EU and US as well as a higher likelihood of negative externalities related to the regulation of AI emerging in the US than in the EU while also recognizing that the US approach of decentralized regulation of AI is more likely to lead to the identification of novel approaches to the regulation of AI which may eventually lead to positive externalities. </w:t>
      </w:r>
    </w:p>
    <w:p w14:paraId="14AE4400" w14:textId="77777777" w:rsidR="00AD7ADB" w:rsidRPr="0013615E" w:rsidRDefault="00E9335B" w:rsidP="0006766C">
      <w:pPr>
        <w:spacing w:line="240" w:lineRule="auto"/>
        <w:rPr>
          <w:rFonts w:ascii="Times New Roman" w:hAnsi="Times New Roman" w:cs="Times New Roman"/>
        </w:rPr>
      </w:pPr>
      <w:r w:rsidRPr="0013615E">
        <w:rPr>
          <w:rFonts w:ascii="Times New Roman" w:hAnsi="Times New Roman" w:cs="Times New Roman"/>
        </w:rPr>
        <w:t xml:space="preserve">This examination focuses on the costs and benefits of centralization and decentralization within federal systems, i.e. systems where competencies to regulate are divided between the federal level and the state level. The US and EU provide useful examples of how federal approaches to regulating AI diverge. </w:t>
      </w:r>
      <w:r w:rsidR="00583760" w:rsidRPr="0013615E">
        <w:rPr>
          <w:rFonts w:ascii="Times New Roman" w:hAnsi="Times New Roman" w:cs="Times New Roman"/>
        </w:rPr>
        <w:t>A</w:t>
      </w:r>
      <w:r w:rsidR="00B73137" w:rsidRPr="0013615E">
        <w:rPr>
          <w:rFonts w:ascii="Times New Roman" w:hAnsi="Times New Roman" w:cs="Times New Roman"/>
        </w:rPr>
        <w:t xml:space="preserve"> quick look at the regulation of AI </w:t>
      </w:r>
      <w:r w:rsidR="00583760" w:rsidRPr="0013615E">
        <w:rPr>
          <w:rFonts w:ascii="Times New Roman" w:hAnsi="Times New Roman" w:cs="Times New Roman"/>
        </w:rPr>
        <w:t xml:space="preserve">in the EU and US shows </w:t>
      </w:r>
      <w:r w:rsidR="00B73137" w:rsidRPr="0013615E">
        <w:rPr>
          <w:rFonts w:ascii="Times New Roman" w:hAnsi="Times New Roman" w:cs="Times New Roman"/>
        </w:rPr>
        <w:t>a divergence in approaches to the regulation of AI within borders</w:t>
      </w:r>
      <w:r w:rsidR="00583760" w:rsidRPr="0013615E">
        <w:rPr>
          <w:rFonts w:ascii="Times New Roman" w:hAnsi="Times New Roman" w:cs="Times New Roman"/>
        </w:rPr>
        <w:t>,</w:t>
      </w:r>
      <w:r w:rsidR="00B73137" w:rsidRPr="0013615E">
        <w:rPr>
          <w:rFonts w:ascii="Times New Roman" w:hAnsi="Times New Roman" w:cs="Times New Roman"/>
        </w:rPr>
        <w:t xml:space="preserve"> between states inside federal systems (within the US)</w:t>
      </w:r>
      <w:r w:rsidR="00583760" w:rsidRPr="0013615E">
        <w:rPr>
          <w:rFonts w:ascii="Times New Roman" w:hAnsi="Times New Roman" w:cs="Times New Roman"/>
        </w:rPr>
        <w:t>,</w:t>
      </w:r>
      <w:r w:rsidR="00B73137" w:rsidRPr="0013615E">
        <w:rPr>
          <w:rFonts w:ascii="Times New Roman" w:hAnsi="Times New Roman" w:cs="Times New Roman"/>
        </w:rPr>
        <w:t xml:space="preserve"> and across borders between different federal systems (between the EU and US). </w:t>
      </w:r>
    </w:p>
    <w:p w14:paraId="78C6F1D9" w14:textId="0377596C" w:rsidR="00E9335B" w:rsidRPr="0013615E" w:rsidRDefault="00C81789" w:rsidP="0006766C">
      <w:pPr>
        <w:spacing w:line="240" w:lineRule="auto"/>
        <w:rPr>
          <w:rFonts w:ascii="Times New Roman" w:hAnsi="Times New Roman" w:cs="Times New Roman"/>
        </w:rPr>
      </w:pPr>
      <w:r w:rsidRPr="0013615E">
        <w:rPr>
          <w:rFonts w:ascii="Times New Roman" w:hAnsi="Times New Roman" w:cs="Times New Roman"/>
        </w:rPr>
        <w:t>There are important distinctions between the EU and US approach to federalism</w:t>
      </w:r>
      <w:r w:rsidR="00583760" w:rsidRPr="0013615E">
        <w:rPr>
          <w:rFonts w:ascii="Times New Roman" w:hAnsi="Times New Roman" w:cs="Times New Roman"/>
        </w:rPr>
        <w:t xml:space="preserve"> which are reflected in the regulation of AI</w:t>
      </w:r>
      <w:r w:rsidRPr="0013615E">
        <w:rPr>
          <w:rFonts w:ascii="Times New Roman" w:hAnsi="Times New Roman" w:cs="Times New Roman"/>
        </w:rPr>
        <w:t xml:space="preserve">. While EU Member States (MS) maintain national sovereignty, </w:t>
      </w:r>
      <w:r w:rsidR="00253279" w:rsidRPr="0013615E">
        <w:rPr>
          <w:rFonts w:ascii="Times New Roman" w:hAnsi="Times New Roman" w:cs="Times New Roman"/>
        </w:rPr>
        <w:t>a</w:t>
      </w:r>
      <w:r w:rsidR="00C50206" w:rsidRPr="0013615E">
        <w:rPr>
          <w:rFonts w:ascii="Times New Roman" w:hAnsi="Times New Roman" w:cs="Times New Roman"/>
        </w:rPr>
        <w:t xml:space="preserve">nd </w:t>
      </w:r>
      <w:r w:rsidR="00253279" w:rsidRPr="0013615E">
        <w:rPr>
          <w:rFonts w:ascii="Times New Roman" w:hAnsi="Times New Roman" w:cs="Times New Roman"/>
        </w:rPr>
        <w:t xml:space="preserve">the EU itself </w:t>
      </w:r>
      <w:r w:rsidR="00C50206" w:rsidRPr="0013615E">
        <w:rPr>
          <w:rFonts w:ascii="Times New Roman" w:hAnsi="Times New Roman" w:cs="Times New Roman"/>
        </w:rPr>
        <w:t xml:space="preserve">is </w:t>
      </w:r>
      <w:r w:rsidR="00253279" w:rsidRPr="0013615E">
        <w:rPr>
          <w:rFonts w:ascii="Times New Roman" w:hAnsi="Times New Roman" w:cs="Times New Roman"/>
        </w:rPr>
        <w:t xml:space="preserve">arguably </w:t>
      </w:r>
      <w:r w:rsidR="00C50206" w:rsidRPr="0013615E">
        <w:rPr>
          <w:rFonts w:ascii="Times New Roman" w:hAnsi="Times New Roman" w:cs="Times New Roman"/>
        </w:rPr>
        <w:t>not</w:t>
      </w:r>
      <w:r w:rsidR="00253279" w:rsidRPr="0013615E">
        <w:rPr>
          <w:rFonts w:ascii="Times New Roman" w:hAnsi="Times New Roman" w:cs="Times New Roman"/>
        </w:rPr>
        <w:t xml:space="preserve"> a </w:t>
      </w:r>
      <w:r w:rsidR="00C50206" w:rsidRPr="0013615E">
        <w:rPr>
          <w:rFonts w:ascii="Times New Roman" w:hAnsi="Times New Roman" w:cs="Times New Roman"/>
        </w:rPr>
        <w:t>full</w:t>
      </w:r>
      <w:r w:rsidR="00B73137" w:rsidRPr="0013615E">
        <w:rPr>
          <w:rFonts w:ascii="Times New Roman" w:hAnsi="Times New Roman" w:cs="Times New Roman"/>
        </w:rPr>
        <w:t>y</w:t>
      </w:r>
      <w:r w:rsidR="00C50206" w:rsidRPr="0013615E">
        <w:rPr>
          <w:rFonts w:ascii="Times New Roman" w:hAnsi="Times New Roman" w:cs="Times New Roman"/>
        </w:rPr>
        <w:t xml:space="preserve"> </w:t>
      </w:r>
      <w:r w:rsidR="00253279" w:rsidRPr="0013615E">
        <w:rPr>
          <w:rFonts w:ascii="Times New Roman" w:hAnsi="Times New Roman" w:cs="Times New Roman"/>
        </w:rPr>
        <w:t>sovereign state under international law</w:t>
      </w:r>
      <w:r w:rsidR="00C50206" w:rsidRPr="0013615E">
        <w:rPr>
          <w:rFonts w:ascii="Times New Roman" w:hAnsi="Times New Roman" w:cs="Times New Roman"/>
        </w:rPr>
        <w:t xml:space="preserve"> as it has limited competencies</w:t>
      </w:r>
      <w:r w:rsidR="00253279" w:rsidRPr="0013615E">
        <w:rPr>
          <w:rFonts w:ascii="Times New Roman" w:hAnsi="Times New Roman" w:cs="Times New Roman"/>
        </w:rPr>
        <w:t xml:space="preserve">, </w:t>
      </w:r>
      <w:r w:rsidRPr="0013615E">
        <w:rPr>
          <w:rFonts w:ascii="Times New Roman" w:hAnsi="Times New Roman" w:cs="Times New Roman"/>
        </w:rPr>
        <w:t xml:space="preserve">states within the US </w:t>
      </w:r>
      <w:r w:rsidR="00C50206" w:rsidRPr="0013615E">
        <w:rPr>
          <w:rFonts w:ascii="Times New Roman" w:hAnsi="Times New Roman" w:cs="Times New Roman"/>
        </w:rPr>
        <w:t>cannot be considered as sovereign nations</w:t>
      </w:r>
      <w:r w:rsidRPr="0013615E">
        <w:rPr>
          <w:rFonts w:ascii="Times New Roman" w:hAnsi="Times New Roman" w:cs="Times New Roman"/>
        </w:rPr>
        <w:t>.</w:t>
      </w:r>
      <w:r w:rsidR="00253279" w:rsidRPr="0013615E">
        <w:rPr>
          <w:rStyle w:val="FootnoteReference"/>
          <w:rFonts w:ascii="Times New Roman" w:hAnsi="Times New Roman" w:cs="Times New Roman"/>
        </w:rPr>
        <w:footnoteReference w:id="4"/>
      </w:r>
      <w:r w:rsidRPr="0013615E">
        <w:rPr>
          <w:rFonts w:ascii="Times New Roman" w:hAnsi="Times New Roman" w:cs="Times New Roman"/>
        </w:rPr>
        <w:t xml:space="preserve"> While individual US states maintain competency to regulate on matters which are reserved to them under the US Constitution, they are subject to the supremacy of federal law </w:t>
      </w:r>
      <w:r w:rsidR="00B73137" w:rsidRPr="0013615E">
        <w:rPr>
          <w:rFonts w:ascii="Times New Roman" w:hAnsi="Times New Roman" w:cs="Times New Roman"/>
        </w:rPr>
        <w:t xml:space="preserve"> and subject to limitations on regulating economic activities </w:t>
      </w:r>
      <w:r w:rsidRPr="0013615E">
        <w:rPr>
          <w:rFonts w:ascii="Times New Roman" w:hAnsi="Times New Roman" w:cs="Times New Roman"/>
        </w:rPr>
        <w:t>under the Commerce Clause.</w:t>
      </w:r>
      <w:r w:rsidRPr="0013615E">
        <w:rPr>
          <w:rStyle w:val="FootnoteReference"/>
          <w:rFonts w:ascii="Times New Roman" w:hAnsi="Times New Roman" w:cs="Times New Roman"/>
        </w:rPr>
        <w:footnoteReference w:id="5"/>
      </w:r>
      <w:r w:rsidRPr="0013615E">
        <w:rPr>
          <w:rFonts w:ascii="Times New Roman" w:hAnsi="Times New Roman" w:cs="Times New Roman"/>
        </w:rPr>
        <w:t xml:space="preserve"> </w:t>
      </w:r>
      <w:r w:rsidR="00055AE9" w:rsidRPr="0013615E">
        <w:rPr>
          <w:rFonts w:ascii="Times New Roman" w:hAnsi="Times New Roman" w:cs="Times New Roman"/>
        </w:rPr>
        <w:t xml:space="preserve">Narrowing our review to the US </w:t>
      </w:r>
      <w:r w:rsidR="00055AE9" w:rsidRPr="0013615E">
        <w:rPr>
          <w:rFonts w:ascii="Times New Roman" w:hAnsi="Times New Roman" w:cs="Times New Roman"/>
        </w:rPr>
        <w:lastRenderedPageBreak/>
        <w:t>and EU</w:t>
      </w:r>
      <w:r w:rsidR="00E9335B" w:rsidRPr="0013615E">
        <w:rPr>
          <w:rFonts w:ascii="Times New Roman" w:hAnsi="Times New Roman" w:cs="Times New Roman"/>
        </w:rPr>
        <w:t xml:space="preserve"> </w:t>
      </w:r>
      <w:r w:rsidR="00055AE9" w:rsidRPr="0013615E">
        <w:rPr>
          <w:rFonts w:ascii="Times New Roman" w:hAnsi="Times New Roman" w:cs="Times New Roman"/>
        </w:rPr>
        <w:t>allows</w:t>
      </w:r>
      <w:r w:rsidR="00E9335B" w:rsidRPr="0013615E">
        <w:rPr>
          <w:rFonts w:ascii="Times New Roman" w:hAnsi="Times New Roman" w:cs="Times New Roman"/>
        </w:rPr>
        <w:t xml:space="preserve"> us to identify the potential costs and benefits associated with each approach to regulating AI</w:t>
      </w:r>
      <w:r w:rsidR="00055AE9" w:rsidRPr="0013615E">
        <w:rPr>
          <w:rFonts w:ascii="Times New Roman" w:hAnsi="Times New Roman" w:cs="Times New Roman"/>
        </w:rPr>
        <w:t xml:space="preserve"> within the two largest federal systems in the world in terms of economic output</w:t>
      </w:r>
      <w:r w:rsidR="00E9335B" w:rsidRPr="0013615E">
        <w:rPr>
          <w:rFonts w:ascii="Times New Roman" w:hAnsi="Times New Roman" w:cs="Times New Roman"/>
        </w:rPr>
        <w:t>.</w:t>
      </w:r>
      <w:r w:rsidR="00B73137" w:rsidRPr="0013615E">
        <w:rPr>
          <w:rStyle w:val="FootnoteReference"/>
          <w:rFonts w:ascii="Times New Roman" w:hAnsi="Times New Roman" w:cs="Times New Roman"/>
        </w:rPr>
        <w:footnoteReference w:id="6"/>
      </w:r>
      <w:r w:rsidR="00E9335B" w:rsidRPr="0013615E">
        <w:rPr>
          <w:rFonts w:ascii="Times New Roman" w:hAnsi="Times New Roman" w:cs="Times New Roman"/>
        </w:rPr>
        <w:t xml:space="preserve"> </w:t>
      </w:r>
      <w:r w:rsidR="005B216A" w:rsidRPr="0013615E">
        <w:rPr>
          <w:rFonts w:ascii="Times New Roman" w:hAnsi="Times New Roman" w:cs="Times New Roman"/>
        </w:rPr>
        <w:t xml:space="preserve">Considering the size of the EU and US economies and their role in developing and regulating AI, these two federal systems prove to be the most significant jurisdictions to consider when looking at how AI regulation within federal systems has developed. </w:t>
      </w:r>
    </w:p>
    <w:p w14:paraId="7E6347B9" w14:textId="29108246" w:rsidR="00856B24" w:rsidRPr="0013615E" w:rsidRDefault="00E9335B" w:rsidP="0006766C">
      <w:pPr>
        <w:spacing w:line="240" w:lineRule="auto"/>
        <w:rPr>
          <w:rFonts w:ascii="Times New Roman" w:hAnsi="Times New Roman" w:cs="Times New Roman"/>
        </w:rPr>
        <w:sectPr w:rsidR="00856B24" w:rsidRPr="0013615E" w:rsidSect="00856B24">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cols w:space="720"/>
          <w:docGrid w:linePitch="360"/>
        </w:sectPr>
      </w:pPr>
      <w:r w:rsidRPr="0013615E">
        <w:rPr>
          <w:rFonts w:ascii="Times New Roman" w:hAnsi="Times New Roman" w:cs="Times New Roman"/>
        </w:rPr>
        <w:t xml:space="preserve">The topic of regulation of AI is at the forefront of legal scholarship as the use of AI has the potential to change nearly every aspect of human society. </w:t>
      </w:r>
      <w:r w:rsidR="005B216A" w:rsidRPr="0013615E">
        <w:rPr>
          <w:rFonts w:ascii="Times New Roman" w:hAnsi="Times New Roman" w:cs="Times New Roman"/>
        </w:rPr>
        <w:t xml:space="preserve">The potential for AI to impact society makes the regulation of AI particularly relevant to legal scholars, legal practitioners, and lawmakers. </w:t>
      </w:r>
      <w:r w:rsidRPr="0013615E">
        <w:rPr>
          <w:rFonts w:ascii="Times New Roman" w:hAnsi="Times New Roman" w:cs="Times New Roman"/>
        </w:rPr>
        <w:t xml:space="preserve">Along with the potential benefits of AI come potential cost of using AI. </w:t>
      </w:r>
      <w:r w:rsidR="005B216A" w:rsidRPr="0013615E">
        <w:rPr>
          <w:rFonts w:ascii="Times New Roman" w:hAnsi="Times New Roman" w:cs="Times New Roman"/>
        </w:rPr>
        <w:t>Potential benefits of AI include increased economic productivity, improved educational services, improved health outcomes, improved use of resources, benefits for scientific research, increased efficiency in government, and improvements to humans’ everyday lives, among many</w:t>
      </w:r>
      <w:r w:rsidR="00AF367B" w:rsidRPr="0013615E">
        <w:rPr>
          <w:rFonts w:ascii="Times New Roman" w:hAnsi="Times New Roman" w:cs="Times New Roman"/>
        </w:rPr>
        <w:t xml:space="preserve"> potential benefits</w:t>
      </w:r>
      <w:r w:rsidR="005B216A" w:rsidRPr="0013615E">
        <w:rPr>
          <w:rFonts w:ascii="Times New Roman" w:hAnsi="Times New Roman" w:cs="Times New Roman"/>
        </w:rPr>
        <w:t>. Some potential risk of AI include economic disruption which include</w:t>
      </w:r>
      <w:r w:rsidR="00AF367B" w:rsidRPr="0013615E">
        <w:rPr>
          <w:rFonts w:ascii="Times New Roman" w:hAnsi="Times New Roman" w:cs="Times New Roman"/>
        </w:rPr>
        <w:t>s</w:t>
      </w:r>
      <w:r w:rsidR="005B216A" w:rsidRPr="0013615E">
        <w:rPr>
          <w:rFonts w:ascii="Times New Roman" w:hAnsi="Times New Roman" w:cs="Times New Roman"/>
        </w:rPr>
        <w:t xml:space="preserve"> job displacement, AI operating with bias, decrease in privacy, the use of AI to produce misinformation, </w:t>
      </w:r>
      <w:r w:rsidR="00AF367B" w:rsidRPr="0013615E">
        <w:rPr>
          <w:rFonts w:ascii="Times New Roman" w:hAnsi="Times New Roman" w:cs="Times New Roman"/>
        </w:rPr>
        <w:t xml:space="preserve">the misuse of AI to manipulate markets, </w:t>
      </w:r>
      <w:r w:rsidR="005B216A" w:rsidRPr="0013615E">
        <w:rPr>
          <w:rFonts w:ascii="Times New Roman" w:hAnsi="Times New Roman" w:cs="Times New Roman"/>
        </w:rPr>
        <w:t xml:space="preserve">threats to state security from AI empowered bad actors, overdependence on the use of AI, high environmental costs of running AI, regulatory lag for AI, and existential threats to humanity, among </w:t>
      </w:r>
      <w:r w:rsidR="00AF367B" w:rsidRPr="0013615E">
        <w:rPr>
          <w:rFonts w:ascii="Times New Roman" w:hAnsi="Times New Roman" w:cs="Times New Roman"/>
        </w:rPr>
        <w:t xml:space="preserve">many </w:t>
      </w:r>
      <w:r w:rsidR="005B216A" w:rsidRPr="0013615E">
        <w:rPr>
          <w:rFonts w:ascii="Times New Roman" w:hAnsi="Times New Roman" w:cs="Times New Roman"/>
        </w:rPr>
        <w:t xml:space="preserve">others. </w:t>
      </w:r>
      <w:r w:rsidR="00AF367B" w:rsidRPr="0013615E">
        <w:rPr>
          <w:rFonts w:ascii="Times New Roman" w:hAnsi="Times New Roman" w:cs="Times New Roman"/>
        </w:rPr>
        <w:t xml:space="preserve">The potential list of </w:t>
      </w:r>
      <w:r w:rsidR="00BE7A1B" w:rsidRPr="0013615E">
        <w:rPr>
          <w:rFonts w:ascii="Times New Roman" w:hAnsi="Times New Roman" w:cs="Times New Roman"/>
        </w:rPr>
        <w:t>costs</w:t>
      </w:r>
      <w:r w:rsidR="00AF367B" w:rsidRPr="0013615E">
        <w:rPr>
          <w:rFonts w:ascii="Times New Roman" w:hAnsi="Times New Roman" w:cs="Times New Roman"/>
        </w:rPr>
        <w:t xml:space="preserve"> and </w:t>
      </w:r>
      <w:r w:rsidR="00BE7A1B" w:rsidRPr="0013615E">
        <w:rPr>
          <w:rFonts w:ascii="Times New Roman" w:hAnsi="Times New Roman" w:cs="Times New Roman"/>
        </w:rPr>
        <w:t xml:space="preserve">benefits associated with AI should be considered incomplete, as </w:t>
      </w:r>
      <w:r w:rsidR="00930147" w:rsidRPr="0013615E">
        <w:rPr>
          <w:rFonts w:ascii="Times New Roman" w:hAnsi="Times New Roman" w:cs="Times New Roman"/>
        </w:rPr>
        <w:t xml:space="preserve">many unforeseeable good and bad results from the use of AI exist and can be considered as emerging risks. </w:t>
      </w:r>
      <w:r w:rsidR="00AF367B" w:rsidRPr="0013615E">
        <w:rPr>
          <w:rFonts w:ascii="Times New Roman" w:hAnsi="Times New Roman" w:cs="Times New Roman"/>
        </w:rPr>
        <w:t xml:space="preserve"> </w:t>
      </w:r>
      <w:r w:rsidR="001E3212" w:rsidRPr="0013615E">
        <w:rPr>
          <w:rFonts w:ascii="Times New Roman" w:hAnsi="Times New Roman" w:cs="Times New Roman"/>
        </w:rPr>
        <w:t xml:space="preserve"> When considering the risk associated with AI, we should consider that “the regulatory aim should not be to eliminate loss: rather it should that of achieving an optimal degree of loss abatement, the point where the marginal benefits of reducing the loss are equivalent to the marginal costs.”</w:t>
      </w:r>
      <w:r w:rsidR="001E3212" w:rsidRPr="0013615E">
        <w:rPr>
          <w:rStyle w:val="FootnoteReference"/>
          <w:rFonts w:ascii="Times New Roman" w:hAnsi="Times New Roman" w:cs="Times New Roman"/>
        </w:rPr>
        <w:footnoteReference w:id="7"/>
      </w:r>
      <w:r w:rsidR="001E3212" w:rsidRPr="0013615E">
        <w:rPr>
          <w:rFonts w:ascii="Times New Roman" w:hAnsi="Times New Roman" w:cs="Times New Roman"/>
        </w:rPr>
        <w:t xml:space="preserve"> This approach represents a risk neutral approach to regulating AI where the </w:t>
      </w:r>
      <w:r w:rsidR="00CC6E2E" w:rsidRPr="0013615E">
        <w:rPr>
          <w:rFonts w:ascii="Times New Roman" w:hAnsi="Times New Roman" w:cs="Times New Roman"/>
        </w:rPr>
        <w:t xml:space="preserve">economic benefits regulation  are weighted against the costs of regulation.     </w:t>
      </w:r>
    </w:p>
    <w:p w14:paraId="483DC360" w14:textId="77777777" w:rsidR="00F23189" w:rsidRDefault="0006766C" w:rsidP="0006766C">
      <w:pPr>
        <w:spacing w:line="240" w:lineRule="auto"/>
        <w:rPr>
          <w:rFonts w:ascii="Times New Roman" w:hAnsi="Times New Roman" w:cs="Times New Roman"/>
        </w:rPr>
      </w:pPr>
      <w:r w:rsidRPr="0013615E">
        <w:rPr>
          <w:rFonts w:ascii="Times New Roman" w:hAnsi="Times New Roman" w:cs="Times New Roman"/>
        </w:rPr>
        <w:t>W</w:t>
      </w:r>
      <w:r w:rsidR="00055AE9" w:rsidRPr="0013615E">
        <w:rPr>
          <w:rFonts w:ascii="Times New Roman" w:hAnsi="Times New Roman" w:cs="Times New Roman"/>
        </w:rPr>
        <w:t>hile we</w:t>
      </w:r>
      <w:r w:rsidR="00E9335B" w:rsidRPr="0013615E">
        <w:rPr>
          <w:rFonts w:ascii="Times New Roman" w:hAnsi="Times New Roman" w:cs="Times New Roman"/>
        </w:rPr>
        <w:t xml:space="preserve"> can think of some uses of AI to have a low probability of leading to negative outcomes, i.e. they are less risky, there are other uses of AI which have a high probability of leading to negative outcomes</w:t>
      </w:r>
      <w:r w:rsidR="00055AE9" w:rsidRPr="0013615E">
        <w:rPr>
          <w:rFonts w:ascii="Times New Roman" w:hAnsi="Times New Roman" w:cs="Times New Roman"/>
        </w:rPr>
        <w:t>, i.e. they are riskier</w:t>
      </w:r>
      <w:r w:rsidR="00E9335B" w:rsidRPr="0013615E">
        <w:rPr>
          <w:rFonts w:ascii="Times New Roman" w:hAnsi="Times New Roman" w:cs="Times New Roman"/>
        </w:rPr>
        <w:t>.</w:t>
      </w:r>
      <w:r w:rsidR="00055AE9" w:rsidRPr="0013615E">
        <w:rPr>
          <w:rFonts w:ascii="Times New Roman" w:hAnsi="Times New Roman" w:cs="Times New Roman"/>
        </w:rPr>
        <w:t xml:space="preserve"> Thus, we can also consider within this framework of centralized and decentralized regulation of AI, the potential for risk preferences to play a role in the development of regulation related to AI.</w:t>
      </w:r>
      <w:r w:rsidR="00E9335B" w:rsidRPr="0013615E">
        <w:rPr>
          <w:rFonts w:ascii="Times New Roman" w:hAnsi="Times New Roman" w:cs="Times New Roman"/>
        </w:rPr>
        <w:t xml:space="preserve"> The EU approach and </w:t>
      </w:r>
      <w:r w:rsidR="00055AE9" w:rsidRPr="0013615E">
        <w:rPr>
          <w:rFonts w:ascii="Times New Roman" w:hAnsi="Times New Roman" w:cs="Times New Roman"/>
        </w:rPr>
        <w:t xml:space="preserve">the approach of </w:t>
      </w:r>
      <w:r w:rsidR="00E9335B" w:rsidRPr="0013615E">
        <w:rPr>
          <w:rFonts w:ascii="Times New Roman" w:hAnsi="Times New Roman" w:cs="Times New Roman"/>
        </w:rPr>
        <w:t xml:space="preserve">some individual states within the US </w:t>
      </w:r>
      <w:r w:rsidR="00055AE9" w:rsidRPr="0013615E">
        <w:rPr>
          <w:rFonts w:ascii="Times New Roman" w:hAnsi="Times New Roman" w:cs="Times New Roman"/>
        </w:rPr>
        <w:t>concerning the regulation</w:t>
      </w:r>
      <w:r w:rsidR="00E9335B" w:rsidRPr="0013615E">
        <w:rPr>
          <w:rFonts w:ascii="Times New Roman" w:hAnsi="Times New Roman" w:cs="Times New Roman"/>
        </w:rPr>
        <w:t xml:space="preserve"> </w:t>
      </w:r>
      <w:r w:rsidR="00055AE9" w:rsidRPr="0013615E">
        <w:rPr>
          <w:rFonts w:ascii="Times New Roman" w:hAnsi="Times New Roman" w:cs="Times New Roman"/>
        </w:rPr>
        <w:t xml:space="preserve">of </w:t>
      </w:r>
      <w:r w:rsidR="00E9335B" w:rsidRPr="0013615E">
        <w:rPr>
          <w:rFonts w:ascii="Times New Roman" w:hAnsi="Times New Roman" w:cs="Times New Roman"/>
        </w:rPr>
        <w:t xml:space="preserve">AI </w:t>
      </w:r>
      <w:r w:rsidR="00055AE9" w:rsidRPr="0013615E">
        <w:rPr>
          <w:rFonts w:ascii="Times New Roman" w:hAnsi="Times New Roman" w:cs="Times New Roman"/>
        </w:rPr>
        <w:t>are</w:t>
      </w:r>
      <w:r w:rsidR="00E9335B" w:rsidRPr="0013615E">
        <w:rPr>
          <w:rFonts w:ascii="Times New Roman" w:hAnsi="Times New Roman" w:cs="Times New Roman"/>
        </w:rPr>
        <w:t xml:space="preserve"> specifically designed to categorize different uses of AI into risk categories.</w:t>
      </w:r>
      <w:r w:rsidR="00C50206" w:rsidRPr="0013615E">
        <w:rPr>
          <w:rStyle w:val="FootnoteReference"/>
          <w:rFonts w:ascii="Times New Roman" w:hAnsi="Times New Roman" w:cs="Times New Roman"/>
        </w:rPr>
        <w:footnoteReference w:id="8"/>
      </w:r>
      <w:r w:rsidR="00E9335B" w:rsidRPr="0013615E">
        <w:rPr>
          <w:rFonts w:ascii="Times New Roman" w:hAnsi="Times New Roman" w:cs="Times New Roman"/>
        </w:rPr>
        <w:t xml:space="preserve"> This reasoning behind this </w:t>
      </w:r>
      <w:r w:rsidR="00C50206" w:rsidRPr="0013615E">
        <w:rPr>
          <w:rFonts w:ascii="Times New Roman" w:hAnsi="Times New Roman" w:cs="Times New Roman"/>
        </w:rPr>
        <w:t xml:space="preserve">risk-based </w:t>
      </w:r>
      <w:r w:rsidR="00E9335B" w:rsidRPr="0013615E">
        <w:rPr>
          <w:rFonts w:ascii="Times New Roman" w:hAnsi="Times New Roman" w:cs="Times New Roman"/>
        </w:rPr>
        <w:t xml:space="preserve">approach is highly related to the potential for </w:t>
      </w:r>
      <w:r w:rsidR="00C50206" w:rsidRPr="0013615E">
        <w:rPr>
          <w:rFonts w:ascii="Times New Roman" w:hAnsi="Times New Roman" w:cs="Times New Roman"/>
        </w:rPr>
        <w:t xml:space="preserve">specific uses of </w:t>
      </w:r>
      <w:r w:rsidR="00E9335B" w:rsidRPr="0013615E">
        <w:rPr>
          <w:rFonts w:ascii="Times New Roman" w:hAnsi="Times New Roman" w:cs="Times New Roman"/>
        </w:rPr>
        <w:t>AI to create negative externalities</w:t>
      </w:r>
      <w:r w:rsidR="00C50206" w:rsidRPr="0013615E">
        <w:rPr>
          <w:rFonts w:ascii="Times New Roman" w:hAnsi="Times New Roman" w:cs="Times New Roman"/>
        </w:rPr>
        <w:t>, for example the use of AI in financial markets creates a specific type of macroprudential risk or systemic risk related to the stability of financial markets</w:t>
      </w:r>
      <w:r w:rsidR="00E9335B" w:rsidRPr="0013615E">
        <w:rPr>
          <w:rFonts w:ascii="Times New Roman" w:hAnsi="Times New Roman" w:cs="Times New Roman"/>
        </w:rPr>
        <w:t>.</w:t>
      </w:r>
      <w:r w:rsidR="00C50206" w:rsidRPr="0013615E">
        <w:rPr>
          <w:rStyle w:val="FootnoteReference"/>
          <w:rFonts w:ascii="Times New Roman" w:hAnsi="Times New Roman" w:cs="Times New Roman"/>
        </w:rPr>
        <w:footnoteReference w:id="9"/>
      </w:r>
      <w:r w:rsidR="00E9335B" w:rsidRPr="0013615E">
        <w:rPr>
          <w:rFonts w:ascii="Times New Roman" w:hAnsi="Times New Roman" w:cs="Times New Roman"/>
        </w:rPr>
        <w:t xml:space="preserve"> Importantly, there is a potential for </w:t>
      </w:r>
      <w:r w:rsidR="00E9335B" w:rsidRPr="0013615E">
        <w:rPr>
          <w:rFonts w:ascii="Times New Roman" w:hAnsi="Times New Roman" w:cs="Times New Roman"/>
        </w:rPr>
        <w:lastRenderedPageBreak/>
        <w:t xml:space="preserve">negative </w:t>
      </w:r>
      <w:r w:rsidR="00055AE9" w:rsidRPr="0013615E">
        <w:rPr>
          <w:rFonts w:ascii="Times New Roman" w:hAnsi="Times New Roman" w:cs="Times New Roman"/>
        </w:rPr>
        <w:t>externalities</w:t>
      </w:r>
      <w:r w:rsidR="00E9335B" w:rsidRPr="0013615E">
        <w:rPr>
          <w:rFonts w:ascii="Times New Roman" w:hAnsi="Times New Roman" w:cs="Times New Roman"/>
        </w:rPr>
        <w:t xml:space="preserve"> from the use of AI to cross borders, meaning the risk has an associated </w:t>
      </w:r>
      <w:r w:rsidR="00055AE9" w:rsidRPr="0013615E">
        <w:rPr>
          <w:rFonts w:ascii="Times New Roman" w:hAnsi="Times New Roman" w:cs="Times New Roman"/>
        </w:rPr>
        <w:t xml:space="preserve">cost to those who can be considered as third parties, i.e. not users or developers of AI within the state where the AI is created or used. </w:t>
      </w:r>
    </w:p>
    <w:p w14:paraId="56820B41" w14:textId="7EE835D2" w:rsidR="00797242" w:rsidRPr="0013615E" w:rsidRDefault="00055AE9" w:rsidP="0006766C">
      <w:pPr>
        <w:spacing w:line="240" w:lineRule="auto"/>
        <w:rPr>
          <w:rFonts w:ascii="Times New Roman" w:hAnsi="Times New Roman" w:cs="Times New Roman"/>
        </w:rPr>
      </w:pPr>
      <w:r w:rsidRPr="0013615E">
        <w:rPr>
          <w:rFonts w:ascii="Times New Roman" w:hAnsi="Times New Roman" w:cs="Times New Roman"/>
        </w:rPr>
        <w:t xml:space="preserve">There is a regulatory competition aspect to this analysis. This concerns how states or nations compete over the provision of regulations to attract business incorporation. </w:t>
      </w:r>
      <w:r w:rsidR="003F352E" w:rsidRPr="0013615E">
        <w:rPr>
          <w:rFonts w:ascii="Times New Roman" w:hAnsi="Times New Roman" w:cs="Times New Roman"/>
        </w:rPr>
        <w:t>G</w:t>
      </w:r>
      <w:r w:rsidR="00A21AB6" w:rsidRPr="0013615E">
        <w:rPr>
          <w:rFonts w:ascii="Times New Roman" w:hAnsi="Times New Roman" w:cs="Times New Roman"/>
        </w:rPr>
        <w:t xml:space="preserve">iven </w:t>
      </w:r>
      <w:r w:rsidR="003F352E" w:rsidRPr="0013615E">
        <w:rPr>
          <w:rFonts w:ascii="Times New Roman" w:hAnsi="Times New Roman" w:cs="Times New Roman"/>
        </w:rPr>
        <w:t xml:space="preserve">the likelihood of increased </w:t>
      </w:r>
      <w:r w:rsidR="00A21AB6" w:rsidRPr="0013615E">
        <w:rPr>
          <w:rFonts w:ascii="Times New Roman" w:hAnsi="Times New Roman" w:cs="Times New Roman"/>
        </w:rPr>
        <w:t xml:space="preserve">regulatory arbitrage by firms developing AI </w:t>
      </w:r>
      <w:r w:rsidRPr="0013615E">
        <w:rPr>
          <w:rFonts w:ascii="Times New Roman" w:hAnsi="Times New Roman" w:cs="Times New Roman"/>
        </w:rPr>
        <w:t>technology</w:t>
      </w:r>
      <w:r w:rsidR="00F23189">
        <w:rPr>
          <w:rFonts w:ascii="Times New Roman" w:hAnsi="Times New Roman" w:cs="Times New Roman"/>
        </w:rPr>
        <w:t xml:space="preserve"> and</w:t>
      </w:r>
      <w:r w:rsidR="003F352E" w:rsidRPr="0013615E">
        <w:rPr>
          <w:rFonts w:ascii="Times New Roman" w:hAnsi="Times New Roman" w:cs="Times New Roman"/>
        </w:rPr>
        <w:t xml:space="preserve"> a divergence in regulation, it is possible that regulatory competition will result in some negative externalities emanating from the </w:t>
      </w:r>
      <w:r w:rsidRPr="0013615E">
        <w:rPr>
          <w:rFonts w:ascii="Times New Roman" w:hAnsi="Times New Roman" w:cs="Times New Roman"/>
        </w:rPr>
        <w:t>regulation</w:t>
      </w:r>
      <w:r w:rsidR="003F352E" w:rsidRPr="0013615E">
        <w:rPr>
          <w:rFonts w:ascii="Times New Roman" w:hAnsi="Times New Roman" w:cs="Times New Roman"/>
        </w:rPr>
        <w:t xml:space="preserve"> of AI.</w:t>
      </w:r>
      <w:r w:rsidR="00A21AB6" w:rsidRPr="0013615E">
        <w:rPr>
          <w:rFonts w:ascii="Times New Roman" w:hAnsi="Times New Roman" w:cs="Times New Roman"/>
        </w:rPr>
        <w:t xml:space="preserve"> </w:t>
      </w:r>
      <w:r w:rsidR="00797242" w:rsidRPr="0013615E">
        <w:rPr>
          <w:rFonts w:ascii="Times New Roman" w:hAnsi="Times New Roman" w:cs="Times New Roman"/>
        </w:rPr>
        <w:t>Given the divergence in approaches to regulating AI</w:t>
      </w:r>
      <w:r w:rsidR="00955CAB" w:rsidRPr="0013615E">
        <w:rPr>
          <w:rFonts w:ascii="Times New Roman" w:hAnsi="Times New Roman" w:cs="Times New Roman"/>
        </w:rPr>
        <w:t xml:space="preserve"> and</w:t>
      </w:r>
      <w:r w:rsidR="00797242" w:rsidRPr="0013615E">
        <w:rPr>
          <w:rFonts w:ascii="Times New Roman" w:hAnsi="Times New Roman" w:cs="Times New Roman"/>
        </w:rPr>
        <w:t xml:space="preserve"> the potential for harm emanating from regulatory competition in the regulation of AI must be addressed by legal scholars and researchers. This article seeks to address this unique type of risk related to the divergence of regulatory approaches in federal systems </w:t>
      </w:r>
      <w:r w:rsidR="00955CAB" w:rsidRPr="0013615E">
        <w:rPr>
          <w:rFonts w:ascii="Times New Roman" w:hAnsi="Times New Roman" w:cs="Times New Roman"/>
        </w:rPr>
        <w:t>to address the risks associated with AI</w:t>
      </w:r>
      <w:r w:rsidR="00797242" w:rsidRPr="0013615E">
        <w:rPr>
          <w:rFonts w:ascii="Times New Roman" w:hAnsi="Times New Roman" w:cs="Times New Roman"/>
        </w:rPr>
        <w:t xml:space="preserve">. </w:t>
      </w:r>
    </w:p>
    <w:p w14:paraId="066A35B3" w14:textId="4A6D64F2" w:rsidR="00B66E6A" w:rsidRPr="0013615E" w:rsidRDefault="00B66E6A" w:rsidP="0006766C">
      <w:pPr>
        <w:spacing w:line="240" w:lineRule="auto"/>
        <w:rPr>
          <w:rFonts w:ascii="Times New Roman" w:hAnsi="Times New Roman" w:cs="Times New Roman"/>
        </w:rPr>
      </w:pPr>
      <w:r w:rsidRPr="0013615E">
        <w:rPr>
          <w:rFonts w:ascii="Times New Roman" w:hAnsi="Times New Roman" w:cs="Times New Roman"/>
          <w:highlight w:val="yellow"/>
        </w:rPr>
        <w:t>The article is structured in the following manner….</w:t>
      </w:r>
    </w:p>
    <w:p w14:paraId="252460FF" w14:textId="127DD52B" w:rsidR="003846EF" w:rsidRPr="0013615E" w:rsidRDefault="00691686" w:rsidP="0062256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Key similarities and differences between EU and US federalism. </w:t>
      </w:r>
    </w:p>
    <w:p w14:paraId="32E30496" w14:textId="448D18FE" w:rsidR="00F23189" w:rsidRPr="0013615E" w:rsidRDefault="00C37394" w:rsidP="0006766C">
      <w:pPr>
        <w:spacing w:line="240" w:lineRule="auto"/>
        <w:rPr>
          <w:rFonts w:ascii="Times New Roman" w:hAnsi="Times New Roman" w:cs="Times New Roman"/>
        </w:rPr>
      </w:pPr>
      <w:r w:rsidRPr="0013615E">
        <w:rPr>
          <w:rFonts w:ascii="Times New Roman" w:hAnsi="Times New Roman" w:cs="Times New Roman"/>
        </w:rPr>
        <w:t xml:space="preserve">The US and EU operate under distinct forms of federalism. This is largely due to the differences in the composition of the federal systems. The US is a single sovereign state made up of 50 individual federal states which do not have the competence to separate from the federal system and individually lack sovereignty associated with an independent nation. States within the US have limited authority to enact laws and cannot enact laws which are contrary to US Federal law. The EU is made up of 27 MS which are each independent sovereign nations which operate in the EU under a voluntary delegation of power given to EU institutions and each MS maintains the competency to withdraw from the EU, as is evident from the Brexit. In the US, federal law is considered the supreme law of the land, while in the EU the scope of EU law is limited in its competency to those expressed powers found in the EU legal corpus. EU MS have limited competency to refrain from joining every EU institution, such as involvement in the Eurozone or the Schengen Zone. The judicial structure of the US and EU operate differently. In the US the federal court system acts independently and above state judiciaries. In the EU the European Court of Justice has limited competencies and coexists with individual MS judicial systems which function independently of the EU. Individual EU MS also </w:t>
      </w:r>
      <w:proofErr w:type="gramStart"/>
      <w:r w:rsidRPr="0013615E">
        <w:rPr>
          <w:rFonts w:ascii="Times New Roman" w:hAnsi="Times New Roman" w:cs="Times New Roman"/>
        </w:rPr>
        <w:t>have the ability to</w:t>
      </w:r>
      <w:proofErr w:type="gramEnd"/>
      <w:r w:rsidRPr="0013615E">
        <w:rPr>
          <w:rFonts w:ascii="Times New Roman" w:hAnsi="Times New Roman" w:cs="Times New Roman"/>
        </w:rPr>
        <w:t xml:space="preserve"> unilaterally </w:t>
      </w:r>
      <w:proofErr w:type="gramStart"/>
      <w:r w:rsidRPr="0013615E">
        <w:rPr>
          <w:rFonts w:ascii="Times New Roman" w:hAnsi="Times New Roman" w:cs="Times New Roman"/>
        </w:rPr>
        <w:t>enter into</w:t>
      </w:r>
      <w:proofErr w:type="gramEnd"/>
      <w:r w:rsidRPr="0013615E">
        <w:rPr>
          <w:rFonts w:ascii="Times New Roman" w:hAnsi="Times New Roman" w:cs="Times New Roman"/>
        </w:rPr>
        <w:t xml:space="preserve"> some types of treaties while some types of foreign treaties are negotiated at the EU level, for instance trade agreements are negotiated at the EU level. US states are unable to </w:t>
      </w:r>
      <w:proofErr w:type="gramStart"/>
      <w:r w:rsidRPr="0013615E">
        <w:rPr>
          <w:rFonts w:ascii="Times New Roman" w:hAnsi="Times New Roman" w:cs="Times New Roman"/>
        </w:rPr>
        <w:t>enter into</w:t>
      </w:r>
      <w:proofErr w:type="gramEnd"/>
      <w:r w:rsidRPr="0013615E">
        <w:rPr>
          <w:rFonts w:ascii="Times New Roman" w:hAnsi="Times New Roman" w:cs="Times New Roman"/>
        </w:rPr>
        <w:t xml:space="preserve"> any international treaty as the right is reserved for the US federal state. While the US maintains an independent law enforcement power, the EU delegates law enforcement for the most part to MS and MS maintain the competence to enforce most criminal and legislative </w:t>
      </w:r>
      <w:proofErr w:type="gramStart"/>
      <w:r w:rsidRPr="0013615E">
        <w:rPr>
          <w:rFonts w:ascii="Times New Roman" w:hAnsi="Times New Roman" w:cs="Times New Roman"/>
        </w:rPr>
        <w:t>laws, and</w:t>
      </w:r>
      <w:proofErr w:type="gramEnd"/>
      <w:r w:rsidRPr="0013615E">
        <w:rPr>
          <w:rFonts w:ascii="Times New Roman" w:hAnsi="Times New Roman" w:cs="Times New Roman"/>
        </w:rPr>
        <w:t xml:space="preserve"> enforce EU laws under the principle of subsidiarity. As mentioned, the US has a single currency while the EU has numerous currencies within its jurisdiction which is dominated by the EU backed Euro Zone which uses a common currency. Broadly we can think of the </w:t>
      </w:r>
      <w:proofErr w:type="gramStart"/>
      <w:r w:rsidRPr="0013615E">
        <w:rPr>
          <w:rFonts w:ascii="Times New Roman" w:hAnsi="Times New Roman" w:cs="Times New Roman"/>
        </w:rPr>
        <w:t>US</w:t>
      </w:r>
      <w:proofErr w:type="gramEnd"/>
      <w:r w:rsidRPr="0013615E">
        <w:rPr>
          <w:rFonts w:ascii="Times New Roman" w:hAnsi="Times New Roman" w:cs="Times New Roman"/>
        </w:rPr>
        <w:t xml:space="preserve"> a single sovereign country with numerous states representing the division of federal and state level, while </w:t>
      </w:r>
      <w:r w:rsidRPr="0013615E">
        <w:rPr>
          <w:rFonts w:ascii="Times New Roman" w:hAnsi="Times New Roman" w:cs="Times New Roman"/>
        </w:rPr>
        <w:lastRenderedPageBreak/>
        <w:t xml:space="preserve">the EU is not a true nation but rather a more flexible </w:t>
      </w:r>
      <w:proofErr w:type="gramStart"/>
      <w:r w:rsidRPr="0013615E">
        <w:rPr>
          <w:rFonts w:ascii="Times New Roman" w:hAnsi="Times New Roman" w:cs="Times New Roman"/>
        </w:rPr>
        <w:t>treaty based</w:t>
      </w:r>
      <w:proofErr w:type="gramEnd"/>
      <w:r w:rsidRPr="0013615E">
        <w:rPr>
          <w:rFonts w:ascii="Times New Roman" w:hAnsi="Times New Roman" w:cs="Times New Roman"/>
        </w:rPr>
        <w:t xml:space="preserve"> government which operates with the cooperation of independent nations. </w:t>
      </w:r>
      <w:r w:rsidR="00526CA6" w:rsidRPr="0013615E">
        <w:rPr>
          <w:rFonts w:ascii="Times New Roman" w:hAnsi="Times New Roman" w:cs="Times New Roman"/>
        </w:rPr>
        <w:t>According to Piris, the Eu can be thought of as a “federation of states” or “federation of nation states” or a “partially federal union”.</w:t>
      </w:r>
      <w:r w:rsidR="00526CA6" w:rsidRPr="0013615E">
        <w:rPr>
          <w:rStyle w:val="FootnoteReference"/>
          <w:rFonts w:ascii="Times New Roman" w:hAnsi="Times New Roman" w:cs="Times New Roman"/>
        </w:rPr>
        <w:footnoteReference w:id="10"/>
      </w:r>
      <w:r w:rsidR="00526CA6" w:rsidRPr="0013615E">
        <w:rPr>
          <w:rFonts w:ascii="Times New Roman" w:hAnsi="Times New Roman" w:cs="Times New Roman"/>
        </w:rPr>
        <w:t xml:space="preserve"> Despite the differences in federal structures between the US and EU, the two system, one of a Nation made of states, and the other a federation made of nation states, the presence of federalism is present in both and can be analyzed using a comparative legal methodology.  </w:t>
      </w:r>
    </w:p>
    <w:p w14:paraId="5A7EB69E" w14:textId="690DEA51" w:rsidR="00CE0726" w:rsidRPr="0013615E" w:rsidRDefault="00622565" w:rsidP="0062256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Why AI needs to be regulated</w:t>
      </w:r>
    </w:p>
    <w:p w14:paraId="69D4C906" w14:textId="7F45281F" w:rsidR="00DE5E0A" w:rsidRPr="0013615E" w:rsidRDefault="00DE5E0A" w:rsidP="0006766C">
      <w:pPr>
        <w:spacing w:line="240" w:lineRule="auto"/>
        <w:rPr>
          <w:rFonts w:ascii="Times New Roman" w:hAnsi="Times New Roman" w:cs="Times New Roman"/>
        </w:rPr>
      </w:pPr>
      <w:r w:rsidRPr="0013615E">
        <w:rPr>
          <w:rFonts w:ascii="Times New Roman" w:hAnsi="Times New Roman" w:cs="Times New Roman"/>
        </w:rPr>
        <w:t>The need for regulation in AI relates to the actual occurrence of negative externalities</w:t>
      </w:r>
      <w:r w:rsidR="004567AF" w:rsidRPr="0013615E">
        <w:rPr>
          <w:rFonts w:ascii="Times New Roman" w:hAnsi="Times New Roman" w:cs="Times New Roman"/>
        </w:rPr>
        <w:t>,</w:t>
      </w:r>
      <w:r w:rsidRPr="0013615E">
        <w:rPr>
          <w:rFonts w:ascii="Times New Roman" w:hAnsi="Times New Roman" w:cs="Times New Roman"/>
        </w:rPr>
        <w:t xml:space="preserve"> </w:t>
      </w:r>
      <w:r w:rsidR="004567AF" w:rsidRPr="0013615E">
        <w:rPr>
          <w:rFonts w:ascii="Times New Roman" w:hAnsi="Times New Roman" w:cs="Times New Roman"/>
        </w:rPr>
        <w:t xml:space="preserve">market failures </w:t>
      </w:r>
      <w:r w:rsidRPr="0013615E">
        <w:rPr>
          <w:rFonts w:ascii="Times New Roman" w:hAnsi="Times New Roman" w:cs="Times New Roman"/>
        </w:rPr>
        <w:t xml:space="preserve">and the potential for future negative externalities related to AI to materialize. </w:t>
      </w:r>
      <w:r w:rsidR="004567AF" w:rsidRPr="0013615E">
        <w:rPr>
          <w:rFonts w:ascii="Times New Roman" w:hAnsi="Times New Roman" w:cs="Times New Roman"/>
        </w:rPr>
        <w:t>“AI is exponentially growing, and certain of its materialisations bring greater threats to privacy, are ethically questionable and are possibly even dangerous, risky and could cause potential catastrophic risk.”</w:t>
      </w:r>
      <w:r w:rsidR="004567AF" w:rsidRPr="0013615E">
        <w:rPr>
          <w:rStyle w:val="FootnoteReference"/>
          <w:rFonts w:ascii="Times New Roman" w:hAnsi="Times New Roman" w:cs="Times New Roman"/>
        </w:rPr>
        <w:footnoteReference w:id="11"/>
      </w:r>
      <w:r w:rsidR="004567AF" w:rsidRPr="0013615E">
        <w:rPr>
          <w:rFonts w:ascii="Times New Roman" w:hAnsi="Times New Roman" w:cs="Times New Roman"/>
        </w:rPr>
        <w:t xml:space="preserve"> </w:t>
      </w:r>
      <w:r w:rsidR="00526CA6" w:rsidRPr="0013615E">
        <w:rPr>
          <w:rFonts w:ascii="Times New Roman" w:hAnsi="Times New Roman" w:cs="Times New Roman"/>
        </w:rPr>
        <w:t>It has become clear that AI “not only entails societal benefits but also raises concerns about the risks involved.”</w:t>
      </w:r>
      <w:r w:rsidR="00526CA6" w:rsidRPr="0013615E">
        <w:rPr>
          <w:rStyle w:val="FootnoteReference"/>
          <w:rFonts w:ascii="Times New Roman" w:hAnsi="Times New Roman" w:cs="Times New Roman"/>
        </w:rPr>
        <w:footnoteReference w:id="12"/>
      </w:r>
      <w:r w:rsidR="00526CA6" w:rsidRPr="0013615E">
        <w:rPr>
          <w:rFonts w:ascii="Times New Roman" w:hAnsi="Times New Roman" w:cs="Times New Roman"/>
        </w:rPr>
        <w:t xml:space="preserve"> </w:t>
      </w:r>
      <w:r w:rsidRPr="0013615E">
        <w:rPr>
          <w:rFonts w:ascii="Times New Roman" w:hAnsi="Times New Roman" w:cs="Times New Roman"/>
        </w:rPr>
        <w:t xml:space="preserve">Some of the document harms caused from the use of AI include: the creation and dissemination of fake information, (deepfakes, propaganda, fake news, medical advice, legal advice and other areas involving regulated industries), job displacement, economic disruptions, perpetuation of bias and discrimination, violations of privacy, enabling of illegal surveillance, threats to cybersecurity, fraud, negative phycological impacts on users, election interference (targeted misinformation campaigns), automated vehicle failures, automated trading failures, failures of autonomous weapons systems, negative environmental impacts, copyright infringement, and many more. Potential negative externalities related to AI are </w:t>
      </w:r>
      <w:r w:rsidR="0010166C" w:rsidRPr="0013615E">
        <w:rPr>
          <w:rFonts w:ascii="Times New Roman" w:hAnsi="Times New Roman" w:cs="Times New Roman"/>
        </w:rPr>
        <w:t xml:space="preserve">as </w:t>
      </w:r>
      <w:r w:rsidRPr="0013615E">
        <w:rPr>
          <w:rFonts w:ascii="Times New Roman" w:hAnsi="Times New Roman" w:cs="Times New Roman"/>
        </w:rPr>
        <w:t>endless</w:t>
      </w:r>
      <w:r w:rsidR="0010166C" w:rsidRPr="0013615E">
        <w:rPr>
          <w:rFonts w:ascii="Times New Roman" w:hAnsi="Times New Roman" w:cs="Times New Roman"/>
        </w:rPr>
        <w:t xml:space="preserve"> as AI’s potential applications</w:t>
      </w:r>
      <w:r w:rsidRPr="0013615E">
        <w:rPr>
          <w:rFonts w:ascii="Times New Roman" w:hAnsi="Times New Roman" w:cs="Times New Roman"/>
        </w:rPr>
        <w:t>. When one considers the implications of the “integral accident” which Paul Virilio used to describe the simultaneous invention of the object</w:t>
      </w:r>
      <w:r w:rsidR="0010166C" w:rsidRPr="0013615E">
        <w:rPr>
          <w:rFonts w:ascii="Times New Roman" w:hAnsi="Times New Roman" w:cs="Times New Roman"/>
        </w:rPr>
        <w:t xml:space="preserve"> or technology</w:t>
      </w:r>
      <w:r w:rsidRPr="0013615E">
        <w:rPr>
          <w:rFonts w:ascii="Times New Roman" w:hAnsi="Times New Roman" w:cs="Times New Roman"/>
        </w:rPr>
        <w:t xml:space="preserve">, such as the train or automobile, with the </w:t>
      </w:r>
      <w:r w:rsidR="0010166C" w:rsidRPr="0013615E">
        <w:rPr>
          <w:rFonts w:ascii="Times New Roman" w:hAnsi="Times New Roman" w:cs="Times New Roman"/>
        </w:rPr>
        <w:t xml:space="preserve">object or technology’s </w:t>
      </w:r>
      <w:r w:rsidRPr="0013615E">
        <w:rPr>
          <w:rFonts w:ascii="Times New Roman" w:hAnsi="Times New Roman" w:cs="Times New Roman"/>
        </w:rPr>
        <w:t>failure, the train wreck and the highway pileup, the potential harm which could be caused by AI is difficult to full comprehend.</w:t>
      </w:r>
      <w:r w:rsidR="007A3F06" w:rsidRPr="0013615E">
        <w:rPr>
          <w:rStyle w:val="FootnoteReference"/>
          <w:rFonts w:ascii="Times New Roman" w:hAnsi="Times New Roman" w:cs="Times New Roman"/>
        </w:rPr>
        <w:footnoteReference w:id="13"/>
      </w:r>
      <w:r w:rsidR="00526CA6" w:rsidRPr="0013615E">
        <w:rPr>
          <w:rFonts w:ascii="Times New Roman" w:hAnsi="Times New Roman" w:cs="Times New Roman"/>
        </w:rPr>
        <w:t xml:space="preserve"> One need only look at science fiction literature to consider the endless speculative implications of AI</w:t>
      </w:r>
      <w:r w:rsidR="009E68DA" w:rsidRPr="0013615E">
        <w:rPr>
          <w:rFonts w:ascii="Times New Roman" w:hAnsi="Times New Roman" w:cs="Times New Roman"/>
        </w:rPr>
        <w:t xml:space="preserve"> and Ai related risks</w:t>
      </w:r>
      <w:r w:rsidR="00526CA6" w:rsidRPr="0013615E">
        <w:rPr>
          <w:rFonts w:ascii="Times New Roman" w:hAnsi="Times New Roman" w:cs="Times New Roman"/>
        </w:rPr>
        <w:t>.</w:t>
      </w:r>
      <w:r w:rsidR="009E68DA" w:rsidRPr="0013615E">
        <w:rPr>
          <w:rStyle w:val="FootnoteReference"/>
          <w:rFonts w:ascii="Times New Roman" w:hAnsi="Times New Roman" w:cs="Times New Roman"/>
        </w:rPr>
        <w:footnoteReference w:id="14"/>
      </w:r>
      <w:r w:rsidR="00526CA6" w:rsidRPr="0013615E">
        <w:rPr>
          <w:rFonts w:ascii="Times New Roman" w:hAnsi="Times New Roman" w:cs="Times New Roman"/>
        </w:rPr>
        <w:t xml:space="preserve"> </w:t>
      </w:r>
      <w:r w:rsidRPr="0013615E">
        <w:rPr>
          <w:rFonts w:ascii="Times New Roman" w:hAnsi="Times New Roman" w:cs="Times New Roman"/>
        </w:rPr>
        <w:t xml:space="preserve"> </w:t>
      </w:r>
    </w:p>
    <w:p w14:paraId="61639749" w14:textId="4D98B7D2" w:rsidR="00F23189" w:rsidRPr="00F23189" w:rsidRDefault="00F23189" w:rsidP="00F23189">
      <w:pPr>
        <w:spacing w:line="240" w:lineRule="auto"/>
        <w:rPr>
          <w:rFonts w:ascii="Times New Roman" w:hAnsi="Times New Roman" w:cs="Times New Roman"/>
        </w:rPr>
      </w:pPr>
      <w:r>
        <w:rPr>
          <w:rFonts w:ascii="Times New Roman" w:hAnsi="Times New Roman" w:cs="Times New Roman"/>
        </w:rPr>
        <w:t>Risk preference likely helps to explain some of the divergence</w:t>
      </w:r>
      <w:r w:rsidR="00AF4144">
        <w:rPr>
          <w:rFonts w:ascii="Times New Roman" w:hAnsi="Times New Roman" w:cs="Times New Roman"/>
        </w:rPr>
        <w:t>s</w:t>
      </w:r>
      <w:r>
        <w:rPr>
          <w:rFonts w:ascii="Times New Roman" w:hAnsi="Times New Roman" w:cs="Times New Roman"/>
        </w:rPr>
        <w:t xml:space="preserve"> between EU and US A</w:t>
      </w:r>
      <w:r w:rsidR="00AF4144">
        <w:rPr>
          <w:rFonts w:ascii="Times New Roman" w:hAnsi="Times New Roman" w:cs="Times New Roman"/>
        </w:rPr>
        <w:t>I</w:t>
      </w:r>
      <w:r>
        <w:rPr>
          <w:rFonts w:ascii="Times New Roman" w:hAnsi="Times New Roman" w:cs="Times New Roman"/>
        </w:rPr>
        <w:t xml:space="preserve"> regulation. </w:t>
      </w:r>
      <w:r w:rsidRPr="00F23189">
        <w:rPr>
          <w:rFonts w:ascii="Times New Roman" w:hAnsi="Times New Roman" w:cs="Times New Roman"/>
        </w:rPr>
        <w:t xml:space="preserve">It can be argued that the approach of no regulation is a sign of having a risk-loving preference. </w:t>
      </w:r>
      <w:r>
        <w:rPr>
          <w:rFonts w:ascii="Times New Roman" w:hAnsi="Times New Roman" w:cs="Times New Roman"/>
        </w:rPr>
        <w:t xml:space="preserve">An approach </w:t>
      </w:r>
      <w:proofErr w:type="gramStart"/>
      <w:r>
        <w:rPr>
          <w:rFonts w:ascii="Times New Roman" w:hAnsi="Times New Roman" w:cs="Times New Roman"/>
        </w:rPr>
        <w:t>of</w:t>
      </w:r>
      <w:proofErr w:type="gramEnd"/>
      <w:r>
        <w:rPr>
          <w:rFonts w:ascii="Times New Roman" w:hAnsi="Times New Roman" w:cs="Times New Roman"/>
        </w:rPr>
        <w:t xml:space="preserve"> comprehensive and forward-looking regulation may reflect a risk averse preference. </w:t>
      </w:r>
      <w:r w:rsidRPr="00F23189">
        <w:rPr>
          <w:rFonts w:ascii="Times New Roman" w:hAnsi="Times New Roman" w:cs="Times New Roman"/>
        </w:rPr>
        <w:t xml:space="preserve">Because the use of AI is associated with unknown risks, the approach of no regulation necessarily corresponds with a preference to embrace risk. On the opposite end of the </w:t>
      </w:r>
      <w:r w:rsidRPr="00F23189">
        <w:rPr>
          <w:rFonts w:ascii="Times New Roman" w:hAnsi="Times New Roman" w:cs="Times New Roman"/>
        </w:rPr>
        <w:lastRenderedPageBreak/>
        <w:t>spectrum, the over regulation of AI might correspond with a risk averse preference</w:t>
      </w:r>
      <w:r w:rsidR="00AF4144">
        <w:rPr>
          <w:rFonts w:ascii="Times New Roman" w:hAnsi="Times New Roman" w:cs="Times New Roman"/>
        </w:rPr>
        <w:t xml:space="preserve"> which is reflected in a need to address risks which have yet to materialize </w:t>
      </w:r>
      <w:proofErr w:type="gramStart"/>
      <w:r w:rsidR="00AF4144">
        <w:rPr>
          <w:rFonts w:ascii="Times New Roman" w:hAnsi="Times New Roman" w:cs="Times New Roman"/>
        </w:rPr>
        <w:t>in order to</w:t>
      </w:r>
      <w:proofErr w:type="gramEnd"/>
      <w:r w:rsidR="00AF4144">
        <w:rPr>
          <w:rFonts w:ascii="Times New Roman" w:hAnsi="Times New Roman" w:cs="Times New Roman"/>
        </w:rPr>
        <w:t xml:space="preserve"> have more certainty in legal outcomes</w:t>
      </w:r>
      <w:r w:rsidRPr="00F23189">
        <w:rPr>
          <w:rFonts w:ascii="Times New Roman" w:hAnsi="Times New Roman" w:cs="Times New Roman"/>
        </w:rPr>
        <w:t>. While some literature has suggested that both firms and states should behave risk neutral, that being they look rather at the expected value and avoid strategies which increase, or limit risk unnecessarily given the expected impact of the value of regulation. Risk aversion and uncertainty aversion may also be reflected in legal rules, where a high degree of risk aversion is associates with detailed rules which have been developed ex ante and requires lower ex post analysis by courts to determine compliance with the rules.</w:t>
      </w:r>
      <w:r w:rsidRPr="00F23189">
        <w:rPr>
          <w:rFonts w:ascii="Times New Roman" w:hAnsi="Times New Roman" w:cs="Times New Roman"/>
          <w:vertAlign w:val="superscript"/>
        </w:rPr>
        <w:footnoteReference w:id="15"/>
      </w:r>
      <w:r w:rsidRPr="00F23189">
        <w:rPr>
          <w:rFonts w:ascii="Times New Roman" w:hAnsi="Times New Roman" w:cs="Times New Roman"/>
        </w:rPr>
        <w:t xml:space="preserve"> A low risk aversion or low uncertainty aversion may be evidenced by the use of standards which are less costly ex ante and more costly ex post as courts are required to devel into a more detailed scrutiny of behavior and facts to determine if the standard was violated.</w:t>
      </w:r>
      <w:r w:rsidRPr="00F23189">
        <w:rPr>
          <w:rFonts w:ascii="Times New Roman" w:hAnsi="Times New Roman" w:cs="Times New Roman"/>
          <w:vertAlign w:val="superscript"/>
        </w:rPr>
        <w:footnoteReference w:id="16"/>
      </w:r>
      <w:r w:rsidRPr="00F23189">
        <w:rPr>
          <w:rFonts w:ascii="Times New Roman" w:hAnsi="Times New Roman" w:cs="Times New Roman"/>
        </w:rPr>
        <w:t xml:space="preserve"> </w:t>
      </w:r>
      <w:r>
        <w:rPr>
          <w:rFonts w:ascii="Times New Roman" w:hAnsi="Times New Roman" w:cs="Times New Roman"/>
        </w:rPr>
        <w:t xml:space="preserve">The decision to regulate or not regulate AI and the form of regulation can be considered in the context of the risk preference found within the legal system. The decision to regulate or not regulate AI will reflect institutional preferences found within legal cultures. This is readily apparent when one considers the role of the precautionary principle in the EU and the emphasis on free market mechanism in the US. </w:t>
      </w:r>
      <w:r w:rsidRPr="00F23189">
        <w:rPr>
          <w:rFonts w:ascii="Times New Roman" w:hAnsi="Times New Roman" w:cs="Times New Roman"/>
        </w:rPr>
        <w:t xml:space="preserve">  </w:t>
      </w:r>
    </w:p>
    <w:p w14:paraId="2E0C927B" w14:textId="01CDBDC7" w:rsidR="00677B42" w:rsidRPr="0013615E" w:rsidRDefault="007A3F06" w:rsidP="0006766C">
      <w:pPr>
        <w:spacing w:line="240" w:lineRule="auto"/>
        <w:rPr>
          <w:rFonts w:ascii="Times New Roman" w:hAnsi="Times New Roman" w:cs="Times New Roman"/>
        </w:rPr>
      </w:pPr>
      <w:r w:rsidRPr="0013615E">
        <w:rPr>
          <w:rFonts w:ascii="Times New Roman" w:hAnsi="Times New Roman" w:cs="Times New Roman"/>
        </w:rPr>
        <w:t xml:space="preserve">We can think of AI as a type of information industry, although this might be changing in that AI is becoming more autonomous and thus might be growing beyond an information industry. </w:t>
      </w:r>
      <w:r w:rsidR="004567AF" w:rsidRPr="0013615E">
        <w:rPr>
          <w:rFonts w:ascii="Times New Roman" w:hAnsi="Times New Roman" w:cs="Times New Roman"/>
        </w:rPr>
        <w:t xml:space="preserve">When we think of the potential </w:t>
      </w:r>
      <w:r w:rsidR="0010166C" w:rsidRPr="0013615E">
        <w:rPr>
          <w:rFonts w:ascii="Times New Roman" w:hAnsi="Times New Roman" w:cs="Times New Roman"/>
        </w:rPr>
        <w:t>harm</w:t>
      </w:r>
      <w:r w:rsidR="004567AF" w:rsidRPr="0013615E">
        <w:rPr>
          <w:rFonts w:ascii="Times New Roman" w:hAnsi="Times New Roman" w:cs="Times New Roman"/>
        </w:rPr>
        <w:t xml:space="preserve"> caused by AI, we can also think in terms of liability under tort law. If AI firms cause damage to individuals</w:t>
      </w:r>
      <w:r w:rsidR="0010166C" w:rsidRPr="0013615E">
        <w:rPr>
          <w:rFonts w:ascii="Times New Roman" w:hAnsi="Times New Roman" w:cs="Times New Roman"/>
        </w:rPr>
        <w:t xml:space="preserve"> through </w:t>
      </w:r>
      <w:proofErr w:type="gramStart"/>
      <w:r w:rsidR="0010166C" w:rsidRPr="0013615E">
        <w:rPr>
          <w:rFonts w:ascii="Times New Roman" w:hAnsi="Times New Roman" w:cs="Times New Roman"/>
        </w:rPr>
        <w:t>its</w:t>
      </w:r>
      <w:proofErr w:type="gramEnd"/>
      <w:r w:rsidR="0010166C" w:rsidRPr="0013615E">
        <w:rPr>
          <w:rFonts w:ascii="Times New Roman" w:hAnsi="Times New Roman" w:cs="Times New Roman"/>
        </w:rPr>
        <w:t xml:space="preserve"> AI applications</w:t>
      </w:r>
      <w:r w:rsidR="004567AF" w:rsidRPr="0013615E">
        <w:rPr>
          <w:rFonts w:ascii="Times New Roman" w:hAnsi="Times New Roman" w:cs="Times New Roman"/>
        </w:rPr>
        <w:t>, then those individuals may have a legal claim against the AI firm for the damage. Kovac discusses how “Shavell instrumentally addressed the effects of liability rules and direct regulation on a rational self-interested party’s decision making process” where “liability in tort and safety regulation are two different approaches to controlling activities that create risk of harm and inducing the optimal amount of precaution.”</w:t>
      </w:r>
      <w:r w:rsidR="004567AF" w:rsidRPr="0013615E">
        <w:rPr>
          <w:rStyle w:val="FootnoteReference"/>
          <w:rFonts w:ascii="Times New Roman" w:hAnsi="Times New Roman" w:cs="Times New Roman"/>
        </w:rPr>
        <w:footnoteReference w:id="17"/>
      </w:r>
      <w:r w:rsidR="004567AF" w:rsidRPr="0013615E">
        <w:rPr>
          <w:rFonts w:ascii="Times New Roman" w:hAnsi="Times New Roman" w:cs="Times New Roman"/>
        </w:rPr>
        <w:t xml:space="preserve"> </w:t>
      </w:r>
      <w:r w:rsidR="008C7261" w:rsidRPr="0013615E">
        <w:rPr>
          <w:rFonts w:ascii="Times New Roman" w:hAnsi="Times New Roman" w:cs="Times New Roman"/>
        </w:rPr>
        <w:t>The risk or harm can be described as a type of market failure, which can generally be considered as economic market failures, such as abuse of monopoly power, asymmetric information, spillover effects (externalities), or coordination problems.</w:t>
      </w:r>
      <w:r w:rsidR="008C7261" w:rsidRPr="0013615E">
        <w:rPr>
          <w:rStyle w:val="FootnoteReference"/>
          <w:rFonts w:ascii="Times New Roman" w:hAnsi="Times New Roman" w:cs="Times New Roman"/>
        </w:rPr>
        <w:footnoteReference w:id="18"/>
      </w:r>
      <w:r w:rsidR="008C7261" w:rsidRPr="0013615E">
        <w:rPr>
          <w:rFonts w:ascii="Times New Roman" w:hAnsi="Times New Roman" w:cs="Times New Roman"/>
        </w:rPr>
        <w:t xml:space="preserve"> If private law were capable of effectively leading to AI firms to take adequate precautions that their AI system would not cause harm</w:t>
      </w:r>
      <w:r w:rsidR="00677B42" w:rsidRPr="0013615E">
        <w:rPr>
          <w:rFonts w:ascii="Times New Roman" w:hAnsi="Times New Roman" w:cs="Times New Roman"/>
        </w:rPr>
        <w:t xml:space="preserve"> from these economic market failures</w:t>
      </w:r>
      <w:r w:rsidR="008C7261" w:rsidRPr="0013615E">
        <w:rPr>
          <w:rFonts w:ascii="Times New Roman" w:hAnsi="Times New Roman" w:cs="Times New Roman"/>
        </w:rPr>
        <w:t xml:space="preserve">, </w:t>
      </w:r>
      <w:r w:rsidR="00677B42" w:rsidRPr="0013615E">
        <w:rPr>
          <w:rFonts w:ascii="Times New Roman" w:hAnsi="Times New Roman" w:cs="Times New Roman"/>
        </w:rPr>
        <w:t>then</w:t>
      </w:r>
      <w:r w:rsidR="008C7261" w:rsidRPr="0013615E">
        <w:rPr>
          <w:rFonts w:ascii="Times New Roman" w:hAnsi="Times New Roman" w:cs="Times New Roman"/>
        </w:rPr>
        <w:t xml:space="preserve"> firms would be held liable for the harm they cause </w:t>
      </w:r>
      <w:r w:rsidR="00677B42" w:rsidRPr="0013615E">
        <w:rPr>
          <w:rFonts w:ascii="Times New Roman" w:hAnsi="Times New Roman" w:cs="Times New Roman"/>
        </w:rPr>
        <w:t xml:space="preserve"> and th</w:t>
      </w:r>
      <w:r w:rsidR="008C7261" w:rsidRPr="0013615E">
        <w:rPr>
          <w:rFonts w:ascii="Times New Roman" w:hAnsi="Times New Roman" w:cs="Times New Roman"/>
        </w:rPr>
        <w:t>ere might be little need for regulation of AI.</w:t>
      </w:r>
      <w:r w:rsidR="008C7261" w:rsidRPr="0013615E">
        <w:rPr>
          <w:rStyle w:val="FootnoteReference"/>
          <w:rFonts w:ascii="Times New Roman" w:hAnsi="Times New Roman" w:cs="Times New Roman"/>
        </w:rPr>
        <w:footnoteReference w:id="19"/>
      </w:r>
      <w:r w:rsidR="008C7261" w:rsidRPr="0013615E">
        <w:rPr>
          <w:rFonts w:ascii="Times New Roman" w:hAnsi="Times New Roman" w:cs="Times New Roman"/>
        </w:rPr>
        <w:t xml:space="preserve"> </w:t>
      </w:r>
      <w:r w:rsidR="00677B42" w:rsidRPr="0013615E">
        <w:rPr>
          <w:rFonts w:ascii="Times New Roman" w:hAnsi="Times New Roman" w:cs="Times New Roman"/>
        </w:rPr>
        <w:t xml:space="preserve">This does not </w:t>
      </w:r>
      <w:r w:rsidR="00677B42" w:rsidRPr="0013615E">
        <w:rPr>
          <w:rFonts w:ascii="Times New Roman" w:hAnsi="Times New Roman" w:cs="Times New Roman"/>
        </w:rPr>
        <w:lastRenderedPageBreak/>
        <w:t>appear to be the case with AI markets, as there already appears to be monopolies forming,</w:t>
      </w:r>
      <w:r w:rsidR="00677B42" w:rsidRPr="0013615E">
        <w:rPr>
          <w:rStyle w:val="FootnoteReference"/>
          <w:rFonts w:ascii="Times New Roman" w:hAnsi="Times New Roman" w:cs="Times New Roman"/>
        </w:rPr>
        <w:footnoteReference w:id="20"/>
      </w:r>
      <w:r w:rsidR="00677B42" w:rsidRPr="0013615E">
        <w:rPr>
          <w:rFonts w:ascii="Times New Roman" w:hAnsi="Times New Roman" w:cs="Times New Roman"/>
        </w:rPr>
        <w:t xml:space="preserve"> a pervasive problem of asymmetric asymmetry in the market</w:t>
      </w:r>
      <w:r w:rsidR="009E68DA" w:rsidRPr="0013615E">
        <w:rPr>
          <w:rFonts w:ascii="Times New Roman" w:hAnsi="Times New Roman" w:cs="Times New Roman"/>
        </w:rPr>
        <w:t xml:space="preserve"> between individuals and AI firms</w:t>
      </w:r>
      <w:r w:rsidR="00E1269F" w:rsidRPr="0013615E">
        <w:rPr>
          <w:rFonts w:ascii="Times New Roman" w:hAnsi="Times New Roman" w:cs="Times New Roman"/>
        </w:rPr>
        <w:t xml:space="preserve"> but perhaps not between AI firms</w:t>
      </w:r>
      <w:r w:rsidR="00677B42" w:rsidRPr="0013615E">
        <w:rPr>
          <w:rFonts w:ascii="Times New Roman" w:hAnsi="Times New Roman" w:cs="Times New Roman"/>
        </w:rPr>
        <w:t>,</w:t>
      </w:r>
      <w:r w:rsidR="00677B42" w:rsidRPr="0013615E">
        <w:rPr>
          <w:rStyle w:val="FootnoteReference"/>
          <w:rFonts w:ascii="Times New Roman" w:hAnsi="Times New Roman" w:cs="Times New Roman"/>
        </w:rPr>
        <w:footnoteReference w:id="21"/>
      </w:r>
      <w:r w:rsidR="00677B42" w:rsidRPr="0013615E">
        <w:rPr>
          <w:rFonts w:ascii="Times New Roman" w:hAnsi="Times New Roman" w:cs="Times New Roman"/>
        </w:rPr>
        <w:t xml:space="preserve"> the presence of spillovers causing negative externalities</w:t>
      </w:r>
      <w:r w:rsidR="00677B42" w:rsidRPr="0013615E">
        <w:rPr>
          <w:rStyle w:val="FootnoteReference"/>
          <w:rFonts w:ascii="Times New Roman" w:hAnsi="Times New Roman" w:cs="Times New Roman"/>
        </w:rPr>
        <w:footnoteReference w:id="22"/>
      </w:r>
      <w:r w:rsidR="00677B42" w:rsidRPr="0013615E">
        <w:rPr>
          <w:rFonts w:ascii="Times New Roman" w:hAnsi="Times New Roman" w:cs="Times New Roman"/>
        </w:rPr>
        <w:t xml:space="preserve"> and the coordination needed to prevent these problems is costly.</w:t>
      </w:r>
      <w:r w:rsidR="00677B42" w:rsidRPr="0013615E">
        <w:rPr>
          <w:rStyle w:val="FootnoteReference"/>
          <w:rFonts w:ascii="Times New Roman" w:hAnsi="Times New Roman" w:cs="Times New Roman"/>
        </w:rPr>
        <w:footnoteReference w:id="23"/>
      </w:r>
      <w:r w:rsidR="00677B42" w:rsidRPr="0013615E">
        <w:rPr>
          <w:rFonts w:ascii="Times New Roman" w:hAnsi="Times New Roman" w:cs="Times New Roman"/>
        </w:rPr>
        <w:t xml:space="preserve"> In the US, another barrier to private law remedying the problems associated with AI markets is further complicated by the widespread use of arbitration in AI user agreements.</w:t>
      </w:r>
      <w:r w:rsidR="00677B42" w:rsidRPr="0013615E">
        <w:rPr>
          <w:rStyle w:val="FootnoteReference"/>
          <w:rFonts w:ascii="Times New Roman" w:hAnsi="Times New Roman" w:cs="Times New Roman"/>
        </w:rPr>
        <w:footnoteReference w:id="24"/>
      </w:r>
      <w:r w:rsidR="00677B42" w:rsidRPr="0013615E">
        <w:rPr>
          <w:rFonts w:ascii="Times New Roman" w:hAnsi="Times New Roman" w:cs="Times New Roman"/>
        </w:rPr>
        <w:t xml:space="preserve"> The lack of effective private law remedies </w:t>
      </w:r>
      <w:r w:rsidR="00677B42" w:rsidRPr="0013615E">
        <w:rPr>
          <w:rFonts w:ascii="Times New Roman" w:hAnsi="Times New Roman" w:cs="Times New Roman"/>
        </w:rPr>
        <w:lastRenderedPageBreak/>
        <w:t xml:space="preserve">to solve the problems associated with negative externalities in the AI market bolster the case for regulation. </w:t>
      </w:r>
    </w:p>
    <w:p w14:paraId="3585188D" w14:textId="5F93395D" w:rsidR="007A3F06" w:rsidRPr="0013615E" w:rsidRDefault="007A3F06" w:rsidP="0006766C">
      <w:pPr>
        <w:spacing w:line="240" w:lineRule="auto"/>
        <w:rPr>
          <w:rFonts w:ascii="Times New Roman" w:hAnsi="Times New Roman" w:cs="Times New Roman"/>
        </w:rPr>
      </w:pPr>
      <w:r w:rsidRPr="0013615E">
        <w:rPr>
          <w:rFonts w:ascii="Times New Roman" w:hAnsi="Times New Roman" w:cs="Times New Roman"/>
        </w:rPr>
        <w:t>Weiser suggested several methods for regulating the information industry within a federal framework.</w:t>
      </w:r>
      <w:r w:rsidRPr="0013615E">
        <w:rPr>
          <w:rStyle w:val="FootnoteReference"/>
          <w:rFonts w:ascii="Times New Roman" w:hAnsi="Times New Roman" w:cs="Times New Roman"/>
        </w:rPr>
        <w:footnoteReference w:id="25"/>
      </w:r>
      <w:r w:rsidRPr="0013615E">
        <w:rPr>
          <w:rFonts w:ascii="Times New Roman" w:hAnsi="Times New Roman" w:cs="Times New Roman"/>
        </w:rPr>
        <w:t xml:space="preserve"> A federal agency could be used to “adopt command and control regulations that govern an industry</w:t>
      </w:r>
      <w:r w:rsidRPr="0013615E">
        <w:rPr>
          <w:rStyle w:val="FootnoteReference"/>
          <w:rFonts w:ascii="Times New Roman" w:hAnsi="Times New Roman" w:cs="Times New Roman"/>
        </w:rPr>
        <w:footnoteReference w:id="26"/>
      </w:r>
      <w:r w:rsidRPr="0013615E">
        <w:rPr>
          <w:rFonts w:ascii="Times New Roman" w:hAnsi="Times New Roman" w:cs="Times New Roman"/>
        </w:rPr>
        <w:t>.” A “dual jurisdiction” method could be used “where related federal and state agencies (or courts) work in partnership- under a cooperative federalism model.”</w:t>
      </w:r>
      <w:r w:rsidRPr="0013615E">
        <w:rPr>
          <w:rStyle w:val="FootnoteReference"/>
          <w:rFonts w:ascii="Times New Roman" w:hAnsi="Times New Roman" w:cs="Times New Roman"/>
        </w:rPr>
        <w:footnoteReference w:id="27"/>
      </w:r>
      <w:r w:rsidRPr="0013615E">
        <w:rPr>
          <w:rFonts w:ascii="Times New Roman" w:hAnsi="Times New Roman" w:cs="Times New Roman"/>
        </w:rPr>
        <w:t xml:space="preserve"> A regulatory regime could “rely on common law-type developments by judges, as is the case with constitutional law, antitrust law, and copyright law.” </w:t>
      </w:r>
      <w:r w:rsidRPr="0013615E">
        <w:rPr>
          <w:rStyle w:val="FootnoteReference"/>
          <w:rFonts w:ascii="Times New Roman" w:hAnsi="Times New Roman" w:cs="Times New Roman"/>
        </w:rPr>
        <w:footnoteReference w:id="28"/>
      </w:r>
      <w:r w:rsidRPr="0013615E">
        <w:rPr>
          <w:rFonts w:ascii="Times New Roman" w:hAnsi="Times New Roman" w:cs="Times New Roman"/>
        </w:rPr>
        <w:t xml:space="preserve"> The government coul</w:t>
      </w:r>
      <w:r w:rsidR="00C34730" w:rsidRPr="0013615E">
        <w:rPr>
          <w:rFonts w:ascii="Times New Roman" w:hAnsi="Times New Roman" w:cs="Times New Roman"/>
        </w:rPr>
        <w:t>d</w:t>
      </w:r>
      <w:r w:rsidRPr="0013615E">
        <w:rPr>
          <w:rFonts w:ascii="Times New Roman" w:hAnsi="Times New Roman" w:cs="Times New Roman"/>
        </w:rPr>
        <w:t xml:space="preserve"> also decide to adopt a model based on </w:t>
      </w:r>
      <w:r w:rsidR="00C34730" w:rsidRPr="0013615E">
        <w:rPr>
          <w:rFonts w:ascii="Times New Roman" w:hAnsi="Times New Roman" w:cs="Times New Roman"/>
        </w:rPr>
        <w:t>“codes of conduct or standard setting” enacted by industry groups to as a form of self-regulation.</w:t>
      </w:r>
      <w:r w:rsidR="00C34730" w:rsidRPr="0013615E">
        <w:rPr>
          <w:rStyle w:val="FootnoteReference"/>
          <w:rFonts w:ascii="Times New Roman" w:hAnsi="Times New Roman" w:cs="Times New Roman"/>
        </w:rPr>
        <w:footnoteReference w:id="29"/>
      </w:r>
      <w:r w:rsidR="00C34730" w:rsidRPr="0013615E">
        <w:rPr>
          <w:rFonts w:ascii="Times New Roman" w:hAnsi="Times New Roman" w:cs="Times New Roman"/>
        </w:rPr>
        <w:t xml:space="preserve">  Although Professor Weiser addressed the topic of regulating the information industries in 2003, over two decades ago, his perception that “considerable fambiguity and legal uncertainty in this area” creates challenges for regulation as there is a need to “develop and apply old principles to a fast changing world.”</w:t>
      </w:r>
      <w:r w:rsidR="00C34730" w:rsidRPr="0013615E">
        <w:rPr>
          <w:rStyle w:val="FootnoteReference"/>
          <w:rFonts w:ascii="Times New Roman" w:hAnsi="Times New Roman" w:cs="Times New Roman"/>
        </w:rPr>
        <w:footnoteReference w:id="30"/>
      </w:r>
      <w:r w:rsidR="00C34730" w:rsidRPr="0013615E">
        <w:rPr>
          <w:rFonts w:ascii="Times New Roman" w:hAnsi="Times New Roman" w:cs="Times New Roman"/>
        </w:rPr>
        <w:t xml:space="preserve"> The AI market seems to be changing almost daily. The rate of change seems to be growing exponentially. While the continued advancement of AI may face some impediments </w:t>
      </w:r>
      <w:proofErr w:type="gramStart"/>
      <w:r w:rsidR="00C34730" w:rsidRPr="0013615E">
        <w:rPr>
          <w:rFonts w:ascii="Times New Roman" w:hAnsi="Times New Roman" w:cs="Times New Roman"/>
        </w:rPr>
        <w:t>in the near future</w:t>
      </w:r>
      <w:proofErr w:type="gramEnd"/>
      <w:r w:rsidR="00C34730" w:rsidRPr="0013615E">
        <w:rPr>
          <w:rFonts w:ascii="Times New Roman" w:hAnsi="Times New Roman" w:cs="Times New Roman"/>
        </w:rPr>
        <w:t xml:space="preserve"> (one may be the lack of power to fuel the energy intense hardware which operates AI models), it appears that advancements in AI will have wide reaching impacts on society </w:t>
      </w:r>
      <w:proofErr w:type="gramStart"/>
      <w:r w:rsidR="00C34730" w:rsidRPr="0013615E">
        <w:rPr>
          <w:rFonts w:ascii="Times New Roman" w:hAnsi="Times New Roman" w:cs="Times New Roman"/>
        </w:rPr>
        <w:t>in the near future</w:t>
      </w:r>
      <w:proofErr w:type="gramEnd"/>
      <w:r w:rsidR="00C34730" w:rsidRPr="0013615E">
        <w:rPr>
          <w:rFonts w:ascii="Times New Roman" w:hAnsi="Times New Roman" w:cs="Times New Roman"/>
        </w:rPr>
        <w:t xml:space="preserve">. It seems the potential harm caused by the failure of AI is increasing on </w:t>
      </w:r>
      <w:proofErr w:type="gramStart"/>
      <w:r w:rsidR="00C34730" w:rsidRPr="0013615E">
        <w:rPr>
          <w:rFonts w:ascii="Times New Roman" w:hAnsi="Times New Roman" w:cs="Times New Roman"/>
        </w:rPr>
        <w:t>a</w:t>
      </w:r>
      <w:proofErr w:type="gramEnd"/>
      <w:r w:rsidR="00C34730" w:rsidRPr="0013615E">
        <w:rPr>
          <w:rFonts w:ascii="Times New Roman" w:hAnsi="Times New Roman" w:cs="Times New Roman"/>
        </w:rPr>
        <w:t xml:space="preserve"> hourly basis, thus the urgency in developing effective regulation for the AI industry is also growing. </w:t>
      </w:r>
    </w:p>
    <w:p w14:paraId="2F15DB70" w14:textId="3FED2A71" w:rsidR="00C04170" w:rsidRPr="0013615E" w:rsidRDefault="00C04170" w:rsidP="0062256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AI Regulation in the EU and US</w:t>
      </w:r>
    </w:p>
    <w:p w14:paraId="680A6414" w14:textId="72F1534E" w:rsidR="003618A9" w:rsidRPr="0013615E" w:rsidRDefault="003618A9" w:rsidP="0006766C">
      <w:pPr>
        <w:spacing w:line="240" w:lineRule="auto"/>
        <w:rPr>
          <w:rFonts w:ascii="Times New Roman" w:hAnsi="Times New Roman" w:cs="Times New Roman"/>
        </w:rPr>
      </w:pPr>
      <w:r w:rsidRPr="0013615E">
        <w:rPr>
          <w:rFonts w:ascii="Times New Roman" w:hAnsi="Times New Roman" w:cs="Times New Roman"/>
        </w:rPr>
        <w:t>Some thoughts on the comparison of the EU and the US approaches for regulating AI. While it can generally be said that the EU has taken a centralized approach to regulating AI and the US has taken a decentralized approach, this is not necessarily the whole story. I</w:t>
      </w:r>
      <w:r w:rsidR="00C34730" w:rsidRPr="0013615E">
        <w:rPr>
          <w:rFonts w:ascii="Times New Roman" w:hAnsi="Times New Roman" w:cs="Times New Roman"/>
        </w:rPr>
        <w:t>n</w:t>
      </w:r>
      <w:r w:rsidRPr="0013615E">
        <w:rPr>
          <w:rFonts w:ascii="Times New Roman" w:hAnsi="Times New Roman" w:cs="Times New Roman"/>
        </w:rPr>
        <w:t xml:space="preserve"> the US there are regulations regarding the use of AI within the federal government and the regulation of AI in the US military is done centrally. </w:t>
      </w:r>
      <w:r w:rsidR="00C34730" w:rsidRPr="0013615E">
        <w:rPr>
          <w:rFonts w:ascii="Times New Roman" w:hAnsi="Times New Roman" w:cs="Times New Roman"/>
        </w:rPr>
        <w:t xml:space="preserve">In the EU the MS </w:t>
      </w:r>
      <w:proofErr w:type="gramStart"/>
      <w:r w:rsidR="00C34730" w:rsidRPr="0013615E">
        <w:rPr>
          <w:rFonts w:ascii="Times New Roman" w:hAnsi="Times New Roman" w:cs="Times New Roman"/>
        </w:rPr>
        <w:t>have</w:t>
      </w:r>
      <w:proofErr w:type="gramEnd"/>
      <w:r w:rsidR="00C34730" w:rsidRPr="0013615E">
        <w:rPr>
          <w:rFonts w:ascii="Times New Roman" w:hAnsi="Times New Roman" w:cs="Times New Roman"/>
        </w:rPr>
        <w:t xml:space="preserve"> broad power to regulate the use of AI within the government, their militaries and their police forces. When it comes to the regulation of AI in the courts, both the EU and the US can be considered as taking a decentralized approach, as MS in the EU retain full competency to regulate their judiciary </w:t>
      </w:r>
      <w:proofErr w:type="gramStart"/>
      <w:r w:rsidR="00C34730" w:rsidRPr="0013615E">
        <w:rPr>
          <w:rFonts w:ascii="Times New Roman" w:hAnsi="Times New Roman" w:cs="Times New Roman"/>
        </w:rPr>
        <w:t>as do</w:t>
      </w:r>
      <w:proofErr w:type="gramEnd"/>
      <w:r w:rsidR="00C34730" w:rsidRPr="0013615E">
        <w:rPr>
          <w:rFonts w:ascii="Times New Roman" w:hAnsi="Times New Roman" w:cs="Times New Roman"/>
        </w:rPr>
        <w:t xml:space="preserve"> individual states within the US. While there may be some centralized rulemaking regarding the European Union court or the Federal Courts, the regulation of AI in the </w:t>
      </w:r>
      <w:proofErr w:type="gramStart"/>
      <w:r w:rsidR="00C34730" w:rsidRPr="0013615E">
        <w:rPr>
          <w:rFonts w:ascii="Times New Roman" w:hAnsi="Times New Roman" w:cs="Times New Roman"/>
        </w:rPr>
        <w:t>day to day</w:t>
      </w:r>
      <w:proofErr w:type="gramEnd"/>
      <w:r w:rsidR="00C34730" w:rsidRPr="0013615E">
        <w:rPr>
          <w:rFonts w:ascii="Times New Roman" w:hAnsi="Times New Roman" w:cs="Times New Roman"/>
        </w:rPr>
        <w:t xml:space="preserve"> practice of law is highly decentralized. </w:t>
      </w:r>
      <w:r w:rsidR="0002053B" w:rsidRPr="0013615E">
        <w:rPr>
          <w:rFonts w:ascii="Times New Roman" w:hAnsi="Times New Roman" w:cs="Times New Roman"/>
        </w:rPr>
        <w:t xml:space="preserve">While we can view the regulation of AI in markets as being centralized in the EU and decentralized in the US, the question of how AI is regulated in these two federal systems is </w:t>
      </w:r>
      <w:proofErr w:type="gramStart"/>
      <w:r w:rsidR="0002053B" w:rsidRPr="0013615E">
        <w:rPr>
          <w:rFonts w:ascii="Times New Roman" w:hAnsi="Times New Roman" w:cs="Times New Roman"/>
        </w:rPr>
        <w:t xml:space="preserve">really </w:t>
      </w:r>
      <w:r w:rsidR="0002053B" w:rsidRPr="0013615E">
        <w:rPr>
          <w:rFonts w:ascii="Times New Roman" w:hAnsi="Times New Roman" w:cs="Times New Roman"/>
        </w:rPr>
        <w:lastRenderedPageBreak/>
        <w:t>not</w:t>
      </w:r>
      <w:proofErr w:type="gramEnd"/>
      <w:r w:rsidR="0002053B" w:rsidRPr="0013615E">
        <w:rPr>
          <w:rFonts w:ascii="Times New Roman" w:hAnsi="Times New Roman" w:cs="Times New Roman"/>
        </w:rPr>
        <w:t xml:space="preserve"> so simple and there are layers of nuance which </w:t>
      </w:r>
      <w:proofErr w:type="gramStart"/>
      <w:r w:rsidR="0002053B" w:rsidRPr="0013615E">
        <w:rPr>
          <w:rFonts w:ascii="Times New Roman" w:hAnsi="Times New Roman" w:cs="Times New Roman"/>
        </w:rPr>
        <w:t>concerns</w:t>
      </w:r>
      <w:proofErr w:type="gramEnd"/>
      <w:r w:rsidR="0002053B" w:rsidRPr="0013615E">
        <w:rPr>
          <w:rFonts w:ascii="Times New Roman" w:hAnsi="Times New Roman" w:cs="Times New Roman"/>
        </w:rPr>
        <w:t xml:space="preserve"> the current regulation of AI in both EU and US. </w:t>
      </w:r>
      <w:r w:rsidR="00C34730" w:rsidRPr="0013615E">
        <w:rPr>
          <w:rFonts w:ascii="Times New Roman" w:hAnsi="Times New Roman" w:cs="Times New Roman"/>
        </w:rPr>
        <w:t xml:space="preserve"> </w:t>
      </w:r>
    </w:p>
    <w:p w14:paraId="3455BD87" w14:textId="496BCDC2" w:rsidR="007455F3" w:rsidRPr="0013615E" w:rsidRDefault="00622565" w:rsidP="0006766C">
      <w:p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4.1 </w:t>
      </w:r>
      <w:r w:rsidR="0040524C" w:rsidRPr="0013615E">
        <w:rPr>
          <w:rFonts w:ascii="Times New Roman" w:hAnsi="Times New Roman" w:cs="Times New Roman"/>
          <w:b/>
          <w:bCs/>
          <w:u w:val="single"/>
        </w:rPr>
        <w:t xml:space="preserve">The </w:t>
      </w:r>
      <w:r w:rsidR="007455F3" w:rsidRPr="0013615E">
        <w:rPr>
          <w:rFonts w:ascii="Times New Roman" w:hAnsi="Times New Roman" w:cs="Times New Roman"/>
          <w:b/>
          <w:bCs/>
          <w:u w:val="single"/>
        </w:rPr>
        <w:t>EU</w:t>
      </w:r>
      <w:r w:rsidR="0040524C" w:rsidRPr="0013615E">
        <w:rPr>
          <w:rFonts w:ascii="Times New Roman" w:hAnsi="Times New Roman" w:cs="Times New Roman"/>
          <w:b/>
          <w:bCs/>
          <w:u w:val="single"/>
        </w:rPr>
        <w:t xml:space="preserve"> AI Act and Regulation of AI by Member States </w:t>
      </w:r>
    </w:p>
    <w:p w14:paraId="56AC4BF9" w14:textId="3B8ED71E" w:rsidR="00A23700" w:rsidRPr="0013615E" w:rsidRDefault="000045EB" w:rsidP="00A23700">
      <w:pPr>
        <w:tabs>
          <w:tab w:val="num" w:pos="720"/>
        </w:tabs>
        <w:jc w:val="both"/>
        <w:rPr>
          <w:rFonts w:ascii="Times New Roman" w:hAnsi="Times New Roman" w:cs="Times New Roman"/>
        </w:rPr>
      </w:pPr>
      <w:r w:rsidRPr="0013615E">
        <w:rPr>
          <w:rFonts w:ascii="Times New Roman" w:hAnsi="Times New Roman" w:cs="Times New Roman"/>
        </w:rPr>
        <w:t>In the EU</w:t>
      </w:r>
      <w:r w:rsidR="00114240" w:rsidRPr="0013615E">
        <w:rPr>
          <w:rFonts w:ascii="Times New Roman" w:hAnsi="Times New Roman" w:cs="Times New Roman"/>
        </w:rPr>
        <w:t xml:space="preserve"> </w:t>
      </w:r>
      <w:r w:rsidRPr="0013615E">
        <w:rPr>
          <w:rFonts w:ascii="Times New Roman" w:hAnsi="Times New Roman" w:cs="Times New Roman"/>
        </w:rPr>
        <w:t>there is a single framework which was created in the AI Act</w:t>
      </w:r>
      <w:r w:rsidR="007E5B62" w:rsidRPr="0013615E">
        <w:rPr>
          <w:rFonts w:ascii="Times New Roman" w:hAnsi="Times New Roman" w:cs="Times New Roman"/>
        </w:rPr>
        <w:t>, a regulation enacted at the EU level</w:t>
      </w:r>
      <w:r w:rsidRPr="0013615E">
        <w:rPr>
          <w:rFonts w:ascii="Times New Roman" w:hAnsi="Times New Roman" w:cs="Times New Roman"/>
        </w:rPr>
        <w:t xml:space="preserve">. </w:t>
      </w:r>
      <w:r w:rsidR="00114240" w:rsidRPr="0013615E">
        <w:rPr>
          <w:rFonts w:ascii="Times New Roman" w:hAnsi="Times New Roman" w:cs="Times New Roman"/>
        </w:rPr>
        <w:t>The</w:t>
      </w:r>
      <w:r w:rsidR="00A23700" w:rsidRPr="0013615E">
        <w:rPr>
          <w:rFonts w:ascii="Times New Roman" w:hAnsi="Times New Roman" w:cs="Times New Roman"/>
        </w:rPr>
        <w:t xml:space="preserve"> new EU Artificial Intelligence Act (Proposal for a Regulation of the European Parliament and of the Council Laying Down Harmonized Rules on Artificial Intelligence (Artificial Intelligence Act) and Amending Certain Union Legislative Acts, COM/2021/206) have been enacted by the European Parliament on 13 March 2024 and as of this writing awaits reading in the EU Council. This EU AI Act is claimed to be the first comprehensive regulation on AI by a major regulator anywhere. It </w:t>
      </w:r>
      <w:proofErr w:type="gramStart"/>
      <w:r w:rsidR="00A23700" w:rsidRPr="0013615E">
        <w:rPr>
          <w:rFonts w:ascii="Times New Roman" w:hAnsi="Times New Roman" w:cs="Times New Roman"/>
        </w:rPr>
        <w:t>as</w:t>
      </w:r>
      <w:proofErr w:type="gramEnd"/>
      <w:r w:rsidR="00A23700" w:rsidRPr="0013615E">
        <w:rPr>
          <w:rFonts w:ascii="Times New Roman" w:hAnsi="Times New Roman" w:cs="Times New Roman"/>
        </w:rPr>
        <w:t xml:space="preserve"> super-comprehensive regulation that briefly speaking assigns applications of AI to four risk categories (EU Commission, 2024). First, applications and systems that create an unacceptable risk, such as government-run social scoring of the type used in China, are banned (EU Commission, 2024). EU Commission (2024) provides that AI systems identified as high-risk include AI technology used in: a) critical infrastructures (e.g. transport), that could put the life and health of citizens at risk; b) educational or vocational training, that may determine the access to education and professional course of someone’s life (e.g. scoring of exams); c) safety components of products (e.g. AI application in robot-assisted surgery); d) employment, management of workers and access to self-employment (e.g. CV-sorting software for recruitment procedures); e) essential private and public services (e.g. credit scoring denying citizens opportunity to obtain a loan); f) law enforcement that may interfere with people’s fundamental rights (e.g. evaluation of the reliability of evidence); g) migration, asylum and border control management (e.g. automated examination of visa applications); and f) administration of justice and democratic processes (e.g. AI solutions to search for court rulings). According to the EU Commission (2024) high-risk AI systems will (as of this writing in April 2024) be subject to strict obligations before they can be put on the market: a) adequate risk assessment and mitigation systems; b) high quality of the datasets feeding the system to </w:t>
      </w:r>
      <w:proofErr w:type="spellStart"/>
      <w:r w:rsidR="00A23700" w:rsidRPr="0013615E">
        <w:rPr>
          <w:rFonts w:ascii="Times New Roman" w:hAnsi="Times New Roman" w:cs="Times New Roman"/>
        </w:rPr>
        <w:t>minimise</w:t>
      </w:r>
      <w:proofErr w:type="spellEnd"/>
      <w:r w:rsidR="00A23700" w:rsidRPr="0013615E">
        <w:rPr>
          <w:rFonts w:ascii="Times New Roman" w:hAnsi="Times New Roman" w:cs="Times New Roman"/>
        </w:rPr>
        <w:t xml:space="preserve"> risks and discriminatory outcomes; c) logging of activity to ensure traceability of results; d) detailed documentation providing all information necessary on the system and its purpose for authorities to assess its compliance; e) clear and adequate information to the deployer; f) appropriate human oversight measures to </w:t>
      </w:r>
      <w:proofErr w:type="spellStart"/>
      <w:r w:rsidR="00A23700" w:rsidRPr="0013615E">
        <w:rPr>
          <w:rFonts w:ascii="Times New Roman" w:hAnsi="Times New Roman" w:cs="Times New Roman"/>
        </w:rPr>
        <w:t>minimise</w:t>
      </w:r>
      <w:proofErr w:type="spellEnd"/>
      <w:r w:rsidR="00A23700" w:rsidRPr="0013615E">
        <w:rPr>
          <w:rFonts w:ascii="Times New Roman" w:hAnsi="Times New Roman" w:cs="Times New Roman"/>
        </w:rPr>
        <w:t xml:space="preserve"> risk; g) high level of robustness, security and accuracy.</w:t>
      </w:r>
    </w:p>
    <w:p w14:paraId="2AEB6FE4"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Second, high-risk applications, such as a CV-scanning tool that ranks job applicants, are subject to specific legal requirements (EU Commission, 2024). They are subject to strict obligations before they can be put on the market: a) adequate risk assessment and mitigation systems; b) high quality of the datasets feeding the system to </w:t>
      </w:r>
      <w:proofErr w:type="spellStart"/>
      <w:r w:rsidRPr="0013615E">
        <w:rPr>
          <w:rFonts w:ascii="Times New Roman" w:hAnsi="Times New Roman" w:cs="Times New Roman"/>
        </w:rPr>
        <w:t>minimise</w:t>
      </w:r>
      <w:proofErr w:type="spellEnd"/>
      <w:r w:rsidRPr="0013615E">
        <w:rPr>
          <w:rFonts w:ascii="Times New Roman" w:hAnsi="Times New Roman" w:cs="Times New Roman"/>
        </w:rPr>
        <w:t xml:space="preserve"> risks and discriminatory outcomes; c) logging of activity to ensure traceability of results; d) detailed documentation providing all information necessary on the system and its purpose for authorities to assess its compliance; e) clear and adequate information to the deployer; f) appropriate human oversight measures to </w:t>
      </w:r>
      <w:proofErr w:type="spellStart"/>
      <w:r w:rsidRPr="0013615E">
        <w:rPr>
          <w:rFonts w:ascii="Times New Roman" w:hAnsi="Times New Roman" w:cs="Times New Roman"/>
        </w:rPr>
        <w:t>minimise</w:t>
      </w:r>
      <w:proofErr w:type="spellEnd"/>
      <w:r w:rsidRPr="0013615E">
        <w:rPr>
          <w:rFonts w:ascii="Times New Roman" w:hAnsi="Times New Roman" w:cs="Times New Roman"/>
        </w:rPr>
        <w:t xml:space="preserve"> risk; g) high level of robustness, security and accuracy (EU Commission, 2024). All remote biometric identification systems are considered high-risk and subject to strict requirements (EU Commission, </w:t>
      </w:r>
      <w:r w:rsidRPr="0013615E">
        <w:rPr>
          <w:rFonts w:ascii="Times New Roman" w:hAnsi="Times New Roman" w:cs="Times New Roman"/>
        </w:rPr>
        <w:lastRenderedPageBreak/>
        <w:t xml:space="preserve">2024). The use of remote biometric identification in publicly accessible spaces for law enforcement purposes is, in principle, prohibited. Narrow exceptions are strictly defined and regulated, such as when necessary to search for a missing child, to prevent a specific and imminent terrorist threat or to detect, locate, identify or prosecute a perpetrator or suspect of a serious criminal offence (EU Commission, 2024). Those usages </w:t>
      </w:r>
      <w:proofErr w:type="gramStart"/>
      <w:r w:rsidRPr="0013615E">
        <w:rPr>
          <w:rFonts w:ascii="Times New Roman" w:hAnsi="Times New Roman" w:cs="Times New Roman"/>
        </w:rPr>
        <w:t>is</w:t>
      </w:r>
      <w:proofErr w:type="gramEnd"/>
      <w:r w:rsidRPr="0013615E">
        <w:rPr>
          <w:rFonts w:ascii="Times New Roman" w:hAnsi="Times New Roman" w:cs="Times New Roman"/>
        </w:rPr>
        <w:t xml:space="preserve"> subject to </w:t>
      </w:r>
      <w:proofErr w:type="spellStart"/>
      <w:r w:rsidRPr="0013615E">
        <w:rPr>
          <w:rFonts w:ascii="Times New Roman" w:hAnsi="Times New Roman" w:cs="Times New Roman"/>
        </w:rPr>
        <w:t>authorisation</w:t>
      </w:r>
      <w:proofErr w:type="spellEnd"/>
      <w:r w:rsidRPr="0013615E">
        <w:rPr>
          <w:rFonts w:ascii="Times New Roman" w:hAnsi="Times New Roman" w:cs="Times New Roman"/>
        </w:rPr>
        <w:t xml:space="preserve"> by a judicial or other independent body and to appropriate limits in time, geographic reach and the </w:t>
      </w:r>
      <w:proofErr w:type="gramStart"/>
      <w:r w:rsidRPr="0013615E">
        <w:rPr>
          <w:rFonts w:ascii="Times New Roman" w:hAnsi="Times New Roman" w:cs="Times New Roman"/>
        </w:rPr>
        <w:t>data bases</w:t>
      </w:r>
      <w:proofErr w:type="gramEnd"/>
      <w:r w:rsidRPr="0013615E">
        <w:rPr>
          <w:rFonts w:ascii="Times New Roman" w:hAnsi="Times New Roman" w:cs="Times New Roman"/>
        </w:rPr>
        <w:t xml:space="preserve"> searched (EU Commission, 2024).</w:t>
      </w:r>
    </w:p>
    <w:p w14:paraId="25304EE7"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Third, limited risk </w:t>
      </w:r>
      <w:proofErr w:type="gramStart"/>
      <w:r w:rsidRPr="0013615E">
        <w:rPr>
          <w:rFonts w:ascii="Times New Roman" w:hAnsi="Times New Roman" w:cs="Times New Roman"/>
        </w:rPr>
        <w:t>category which</w:t>
      </w:r>
      <w:proofErr w:type="gramEnd"/>
      <w:r w:rsidRPr="0013615E">
        <w:rPr>
          <w:rFonts w:ascii="Times New Roman" w:hAnsi="Times New Roman" w:cs="Times New Roman"/>
        </w:rPr>
        <w:t xml:space="preserve"> refers to the risks associated with lack of transparency in AI usage (EU Commission, 2024). The AI Act introduces specific transparency obligations to ensure that humans are informed when necessary, fostering trust. For instance, when using AI systems such as chatbots, humans should be made aware that they are interacting with a machine so they can take an informed decision to continue or step back (EU Commission, 2024). Providers will also have to ensure that AI-generated content is identifiable (EU Commission, 2024). Besides, AI-generated text published with the purpose </w:t>
      </w:r>
      <w:proofErr w:type="gramStart"/>
      <w:r w:rsidRPr="0013615E">
        <w:rPr>
          <w:rFonts w:ascii="Times New Roman" w:hAnsi="Times New Roman" w:cs="Times New Roman"/>
        </w:rPr>
        <w:t>to inform</w:t>
      </w:r>
      <w:proofErr w:type="gramEnd"/>
      <w:r w:rsidRPr="0013615E">
        <w:rPr>
          <w:rFonts w:ascii="Times New Roman" w:hAnsi="Times New Roman" w:cs="Times New Roman"/>
        </w:rPr>
        <w:t xml:space="preserve"> the public on matters of public interest must be labelled as artificially generated. This also applies to audio and video content constituting deep fakes (EU Commission, 2024).  </w:t>
      </w:r>
    </w:p>
    <w:p w14:paraId="494FBBEC"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Fourth, minimal or no risk category. The EU AI Act allows the free use of minimal-risk AI. This includes applications such as AI-enabled video games or spam filters (EU Commission, 2024). As to the trustworthy use of large AI models and general-purpose AI models (generative AI) the EU AI Act introduces transparency obligations for all general-purpose AI models to enable a better understanding of these models and additional risk management obligations for very capable and impactful models (EU Commission, 2024). These additional obligations include self-assessment and mitigation of systemic risks, reporting of serious incidents, conducting test and model evaluations, as well as cybersecurity requirements (EU Commission, 2024).</w:t>
      </w:r>
    </w:p>
    <w:p w14:paraId="12E93BEE"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EU Commission (2024) also argues that this new EU AI Act is a “future-proof legislation” whereas AI is a fast-evolving technology, the proposal has a future-proof approach, allowing rules to adapt to technological change. Commission (2024) also argues that AI applications should remain trustworthy even after they have been placed on the market where </w:t>
      </w:r>
      <w:proofErr w:type="gramStart"/>
      <w:r w:rsidRPr="0013615E">
        <w:rPr>
          <w:rFonts w:ascii="Times New Roman" w:hAnsi="Times New Roman" w:cs="Times New Roman"/>
        </w:rPr>
        <w:t>an ongoing</w:t>
      </w:r>
      <w:proofErr w:type="gramEnd"/>
      <w:r w:rsidRPr="0013615E">
        <w:rPr>
          <w:rFonts w:ascii="Times New Roman" w:hAnsi="Times New Roman" w:cs="Times New Roman"/>
        </w:rPr>
        <w:t xml:space="preserve"> quality and risk management control by providers is required.</w:t>
      </w:r>
    </w:p>
    <w:p w14:paraId="18ACE238"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As to the enforcement and implementation, EU Commission (2024) established in February 2024 the European AI Office (within the Commission), which shall oversee the EU AI Act’s enforcement and implementation with the member states (MS). It aims to create an environment where AI technologies respect human dignity, rights, and trust (EU Commission, 2024). It should, as argued by EU Commission (2024), also foster collaboration, innovation, and research in AI among various stakeholders. Moreover, as </w:t>
      </w:r>
      <w:proofErr w:type="gramStart"/>
      <w:r w:rsidRPr="0013615E">
        <w:rPr>
          <w:rFonts w:ascii="Times New Roman" w:hAnsi="Times New Roman" w:cs="Times New Roman"/>
        </w:rPr>
        <w:t>suggested</w:t>
      </w:r>
      <w:proofErr w:type="gramEnd"/>
      <w:r w:rsidRPr="0013615E">
        <w:rPr>
          <w:rFonts w:ascii="Times New Roman" w:hAnsi="Times New Roman" w:cs="Times New Roman"/>
        </w:rPr>
        <w:t xml:space="preserve"> the EU AI Office shall engage in international dialogue and cooperation on AI issues, acknowledging the need for global alignment on AI governance (EU Commission, 2024). Through these efforts, the European AI Office </w:t>
      </w:r>
      <w:proofErr w:type="gramStart"/>
      <w:r w:rsidRPr="0013615E">
        <w:rPr>
          <w:rFonts w:ascii="Times New Roman" w:hAnsi="Times New Roman" w:cs="Times New Roman"/>
        </w:rPr>
        <w:t>shall</w:t>
      </w:r>
      <w:proofErr w:type="gramEnd"/>
      <w:r w:rsidRPr="0013615E">
        <w:rPr>
          <w:rFonts w:ascii="Times New Roman" w:hAnsi="Times New Roman" w:cs="Times New Roman"/>
        </w:rPr>
        <w:t xml:space="preserve"> as </w:t>
      </w:r>
      <w:proofErr w:type="gramStart"/>
      <w:r w:rsidRPr="0013615E">
        <w:rPr>
          <w:rFonts w:ascii="Times New Roman" w:hAnsi="Times New Roman" w:cs="Times New Roman"/>
        </w:rPr>
        <w:lastRenderedPageBreak/>
        <w:t>planned</w:t>
      </w:r>
      <w:proofErr w:type="gramEnd"/>
      <w:r w:rsidRPr="0013615E">
        <w:rPr>
          <w:rFonts w:ascii="Times New Roman" w:hAnsi="Times New Roman" w:cs="Times New Roman"/>
        </w:rPr>
        <w:t>, strive to position Europe as a leader in the ethical and sustainable development of AI technologies (EU Commission, 2024).</w:t>
      </w:r>
    </w:p>
    <w:p w14:paraId="3B6F4022" w14:textId="77777777" w:rsidR="00A23700" w:rsidRPr="0013615E" w:rsidRDefault="00A23700" w:rsidP="00A23700">
      <w:pPr>
        <w:tabs>
          <w:tab w:val="num" w:pos="720"/>
        </w:tabs>
        <w:jc w:val="both"/>
        <w:rPr>
          <w:rFonts w:ascii="Times New Roman" w:hAnsi="Times New Roman" w:cs="Times New Roman"/>
        </w:rPr>
      </w:pPr>
      <w:r w:rsidRPr="0013615E">
        <w:rPr>
          <w:rFonts w:ascii="Times New Roman" w:hAnsi="Times New Roman" w:cs="Times New Roman"/>
        </w:rPr>
        <w:t xml:space="preserve">     As to the exact timeline as of this writing the European Parliament and the Council of the EU reached a political agreement on the AI Act in December 2023 and it will enter into force 20 days after its publication in the Official Journal, and will be fully applicable 2 years later, with some exceptions: prohibitions will take effect after six months, the governance rules and the obligations for general-purpose AI models become applicable after 12 months and the rules for AI systems - embedded into regulated products - will apply after 36 months (EU Commission, 2024). To facilitate the transition to the new regulatory framework, the Commission has also launched the AI Pact, a voluntary initiative that seeks to support the future implementation and invites AI developers from Europe and beyond to comply with the key obligations of the AI Act ahead of time (EU Commission, 2024).</w:t>
      </w:r>
    </w:p>
    <w:p w14:paraId="453E72CB" w14:textId="71DF6E6A" w:rsidR="000045EB" w:rsidRPr="0013615E" w:rsidRDefault="00A23700" w:rsidP="00114240">
      <w:pPr>
        <w:tabs>
          <w:tab w:val="num" w:pos="720"/>
        </w:tabs>
        <w:jc w:val="both"/>
        <w:rPr>
          <w:rFonts w:ascii="Times New Roman" w:hAnsi="Times New Roman" w:cs="Times New Roman"/>
        </w:rPr>
      </w:pPr>
      <w:r w:rsidRPr="0013615E">
        <w:rPr>
          <w:rFonts w:ascii="Times New Roman" w:hAnsi="Times New Roman" w:cs="Times New Roman"/>
        </w:rPr>
        <w:t xml:space="preserve">     Finally, we </w:t>
      </w:r>
      <w:proofErr w:type="gramStart"/>
      <w:r w:rsidRPr="0013615E">
        <w:rPr>
          <w:rFonts w:ascii="Times New Roman" w:hAnsi="Times New Roman" w:cs="Times New Roman"/>
        </w:rPr>
        <w:t>have to</w:t>
      </w:r>
      <w:proofErr w:type="gramEnd"/>
      <w:r w:rsidRPr="0013615E">
        <w:rPr>
          <w:rFonts w:ascii="Times New Roman" w:hAnsi="Times New Roman" w:cs="Times New Roman"/>
        </w:rPr>
        <w:t xml:space="preserve"> address the issue of general-purpose AI (GPAI; generative AI), or as sometimes called foundation models. Machine-learning based models such as GPT-4 are trained on broad data at scale and may form the basis for a range of downstream systems. This leads to a particular responsibility along the AI value chain and accordingly, the new EU AI Act regulates them with a higher burden (EU Commission, 2024). In general, providers of GPAI models must create and provide detailed technical documentation of the model to the supervisory authority upon request, e.g. data used for training and validation, computational resources utilized and known or estimated energy consumption (EU Commission, 2024). Further, the provider must enable downstream users of their GPAI model to comprehend their capabilities and limitations and draw up and make publicly available a sufficiently detailed summary about the content used for training (</w:t>
      </w:r>
      <w:proofErr w:type="spellStart"/>
      <w:r w:rsidRPr="0013615E">
        <w:rPr>
          <w:rFonts w:ascii="Times New Roman" w:hAnsi="Times New Roman" w:cs="Times New Roman"/>
        </w:rPr>
        <w:t>Rammos</w:t>
      </w:r>
      <w:proofErr w:type="spellEnd"/>
      <w:r w:rsidRPr="0013615E">
        <w:rPr>
          <w:rFonts w:ascii="Times New Roman" w:hAnsi="Times New Roman" w:cs="Times New Roman"/>
        </w:rPr>
        <w:t xml:space="preserve"> and Gläser, 2024). The </w:t>
      </w:r>
      <w:bookmarkStart w:id="1" w:name="_Hlk166940830"/>
      <w:r w:rsidRPr="0013615E">
        <w:rPr>
          <w:rFonts w:ascii="Times New Roman" w:hAnsi="Times New Roman" w:cs="Times New Roman"/>
        </w:rPr>
        <w:t xml:space="preserve">new EU AI Act addresses “providers” of GPAI </w:t>
      </w:r>
      <w:bookmarkEnd w:id="1"/>
      <w:r w:rsidRPr="0013615E">
        <w:rPr>
          <w:rFonts w:ascii="Times New Roman" w:hAnsi="Times New Roman" w:cs="Times New Roman"/>
        </w:rPr>
        <w:t>(EU Commission, 2024). Hence, the focus is on companies that develop or “integrate” GPAI and place it on the EU market (</w:t>
      </w:r>
      <w:proofErr w:type="spellStart"/>
      <w:r w:rsidRPr="0013615E">
        <w:rPr>
          <w:rFonts w:ascii="Times New Roman" w:hAnsi="Times New Roman" w:cs="Times New Roman"/>
        </w:rPr>
        <w:t>Rammos</w:t>
      </w:r>
      <w:proofErr w:type="spellEnd"/>
      <w:r w:rsidRPr="0013615E">
        <w:rPr>
          <w:rFonts w:ascii="Times New Roman" w:hAnsi="Times New Roman" w:cs="Times New Roman"/>
        </w:rPr>
        <w:t xml:space="preserve"> and Gläser, 2024). Commentators note that there remains a risk to be in scope of the AI Act’s obligations whenever you finetune pre-existing models such as GPT-4 by modifying or adapting data sources (</w:t>
      </w:r>
      <w:proofErr w:type="spellStart"/>
      <w:r w:rsidRPr="0013615E">
        <w:rPr>
          <w:rFonts w:ascii="Times New Roman" w:hAnsi="Times New Roman" w:cs="Times New Roman"/>
        </w:rPr>
        <w:t>Rammos</w:t>
      </w:r>
      <w:proofErr w:type="spellEnd"/>
      <w:r w:rsidRPr="0013615E">
        <w:rPr>
          <w:rFonts w:ascii="Times New Roman" w:hAnsi="Times New Roman" w:cs="Times New Roman"/>
        </w:rPr>
        <w:t xml:space="preserve"> and Gläser, 2024). </w:t>
      </w:r>
    </w:p>
    <w:p w14:paraId="68E8578D" w14:textId="2AA77AFC" w:rsidR="003846EF" w:rsidRPr="0013615E" w:rsidRDefault="00622565" w:rsidP="0006766C">
      <w:pPr>
        <w:spacing w:line="240" w:lineRule="auto"/>
        <w:rPr>
          <w:rFonts w:ascii="Times New Roman" w:hAnsi="Times New Roman" w:cs="Times New Roman"/>
          <w:highlight w:val="yellow"/>
          <w:u w:val="single"/>
        </w:rPr>
      </w:pPr>
      <w:r w:rsidRPr="0013615E">
        <w:rPr>
          <w:rFonts w:ascii="Times New Roman" w:hAnsi="Times New Roman" w:cs="Times New Roman"/>
          <w:highlight w:val="yellow"/>
          <w:u w:val="single"/>
        </w:rPr>
        <w:t xml:space="preserve">4.1.1 </w:t>
      </w:r>
      <w:r w:rsidR="003846EF" w:rsidRPr="0013615E">
        <w:rPr>
          <w:rFonts w:ascii="Times New Roman" w:hAnsi="Times New Roman" w:cs="Times New Roman"/>
          <w:highlight w:val="yellow"/>
          <w:u w:val="single"/>
        </w:rPr>
        <w:t xml:space="preserve">Individual Member States Regulation of AI- </w:t>
      </w:r>
    </w:p>
    <w:p w14:paraId="79761D4E" w14:textId="44B716BA" w:rsidR="003846EF" w:rsidRPr="0013615E" w:rsidRDefault="003846EF" w:rsidP="0006766C">
      <w:pPr>
        <w:spacing w:line="240" w:lineRule="auto"/>
        <w:rPr>
          <w:rFonts w:ascii="Times New Roman" w:hAnsi="Times New Roman" w:cs="Times New Roman"/>
          <w:highlight w:val="yellow"/>
        </w:rPr>
      </w:pPr>
      <w:r w:rsidRPr="0013615E">
        <w:rPr>
          <w:rFonts w:ascii="Times New Roman" w:hAnsi="Times New Roman" w:cs="Times New Roman"/>
          <w:highlight w:val="yellow"/>
        </w:rPr>
        <w:t>Individual MS laws which regulate the AI industry</w:t>
      </w:r>
    </w:p>
    <w:p w14:paraId="0DE6029D" w14:textId="295CCB45" w:rsidR="003846EF" w:rsidRPr="0013615E" w:rsidRDefault="003846EF" w:rsidP="0006766C">
      <w:pPr>
        <w:spacing w:line="240" w:lineRule="auto"/>
        <w:rPr>
          <w:rFonts w:ascii="Times New Roman" w:hAnsi="Times New Roman" w:cs="Times New Roman"/>
          <w:highlight w:val="yellow"/>
        </w:rPr>
      </w:pPr>
      <w:r w:rsidRPr="0013615E">
        <w:rPr>
          <w:rFonts w:ascii="Times New Roman" w:hAnsi="Times New Roman" w:cs="Times New Roman"/>
          <w:highlight w:val="yellow"/>
        </w:rPr>
        <w:t>Individual MS rules which regulated the use of AI in legal practice.</w:t>
      </w:r>
    </w:p>
    <w:p w14:paraId="02BC699E" w14:textId="308EBE5F" w:rsidR="003846EF" w:rsidRPr="0013615E" w:rsidRDefault="00114240" w:rsidP="0006766C">
      <w:pPr>
        <w:spacing w:line="240" w:lineRule="auto"/>
        <w:rPr>
          <w:rFonts w:ascii="Times New Roman" w:hAnsi="Times New Roman" w:cs="Times New Roman"/>
        </w:rPr>
      </w:pPr>
      <w:r w:rsidRPr="0013615E">
        <w:rPr>
          <w:rFonts w:ascii="Times New Roman" w:hAnsi="Times New Roman" w:cs="Times New Roman"/>
          <w:highlight w:val="yellow"/>
        </w:rPr>
        <w:t xml:space="preserve">In </w:t>
      </w:r>
      <w:r w:rsidR="003846EF" w:rsidRPr="0013615E">
        <w:rPr>
          <w:rFonts w:ascii="Times New Roman" w:hAnsi="Times New Roman" w:cs="Times New Roman"/>
          <w:highlight w:val="yellow"/>
        </w:rPr>
        <w:t>Germany</w:t>
      </w:r>
      <w:r w:rsidRPr="0013615E">
        <w:rPr>
          <w:rFonts w:ascii="Times New Roman" w:hAnsi="Times New Roman" w:cs="Times New Roman"/>
          <w:highlight w:val="yellow"/>
        </w:rPr>
        <w:t xml:space="preserve"> j</w:t>
      </w:r>
      <w:r w:rsidR="003846EF" w:rsidRPr="0013615E">
        <w:rPr>
          <w:rFonts w:ascii="Times New Roman" w:hAnsi="Times New Roman" w:cs="Times New Roman"/>
          <w:highlight w:val="yellow"/>
        </w:rPr>
        <w:t>udicial decisions must be taken by Humans</w:t>
      </w:r>
      <w:r w:rsidR="00A0737F" w:rsidRPr="0013615E">
        <w:rPr>
          <w:rFonts w:ascii="Times New Roman" w:hAnsi="Times New Roman" w:cs="Times New Roman"/>
          <w:highlight w:val="yellow"/>
        </w:rPr>
        <w:t xml:space="preserve"> under</w:t>
      </w:r>
      <w:r w:rsidR="003846EF" w:rsidRPr="0013615E">
        <w:rPr>
          <w:rFonts w:ascii="Times New Roman" w:hAnsi="Times New Roman" w:cs="Times New Roman"/>
          <w:highlight w:val="yellow"/>
        </w:rPr>
        <w:t xml:space="preserve"> Art 92 and 97 GG</w:t>
      </w:r>
      <w:r w:rsidR="00A0737F" w:rsidRPr="0013615E">
        <w:rPr>
          <w:rFonts w:ascii="Times New Roman" w:hAnsi="Times New Roman" w:cs="Times New Roman"/>
          <w:highlight w:val="yellow"/>
        </w:rPr>
        <w:t xml:space="preserve"> and under </w:t>
      </w:r>
      <w:r w:rsidR="003846EF" w:rsidRPr="0013615E">
        <w:rPr>
          <w:rFonts w:ascii="Times New Roman" w:hAnsi="Times New Roman" w:cs="Times New Roman"/>
          <w:highlight w:val="yellow"/>
        </w:rPr>
        <w:t xml:space="preserve">PH 78 </w:t>
      </w:r>
      <w:proofErr w:type="gramStart"/>
      <w:r w:rsidR="003846EF" w:rsidRPr="0013615E">
        <w:rPr>
          <w:rFonts w:ascii="Times New Roman" w:hAnsi="Times New Roman" w:cs="Times New Roman"/>
          <w:highlight w:val="yellow"/>
        </w:rPr>
        <w:t>ZPO  anything</w:t>
      </w:r>
      <w:proofErr w:type="gramEnd"/>
      <w:r w:rsidR="003846EF" w:rsidRPr="0013615E">
        <w:rPr>
          <w:rFonts w:ascii="Times New Roman" w:hAnsi="Times New Roman" w:cs="Times New Roman"/>
          <w:highlight w:val="yellow"/>
        </w:rPr>
        <w:t xml:space="preserve"> submitted to court must be checked by the individual attorney</w:t>
      </w:r>
      <w:r w:rsidR="00A0737F" w:rsidRPr="0013615E">
        <w:rPr>
          <w:rFonts w:ascii="Times New Roman" w:hAnsi="Times New Roman" w:cs="Times New Roman"/>
          <w:highlight w:val="yellow"/>
        </w:rPr>
        <w:t xml:space="preserve"> and t</w:t>
      </w:r>
      <w:r w:rsidR="003846EF" w:rsidRPr="0013615E">
        <w:rPr>
          <w:rFonts w:ascii="Times New Roman" w:hAnsi="Times New Roman" w:cs="Times New Roman"/>
          <w:highlight w:val="yellow"/>
        </w:rPr>
        <w:t>he</w:t>
      </w:r>
      <w:r w:rsidR="00A0737F" w:rsidRPr="0013615E">
        <w:rPr>
          <w:rFonts w:ascii="Times New Roman" w:hAnsi="Times New Roman" w:cs="Times New Roman"/>
          <w:highlight w:val="yellow"/>
        </w:rPr>
        <w:t xml:space="preserve"> a</w:t>
      </w:r>
      <w:r w:rsidR="003846EF" w:rsidRPr="0013615E">
        <w:rPr>
          <w:rFonts w:ascii="Times New Roman" w:hAnsi="Times New Roman" w:cs="Times New Roman"/>
          <w:highlight w:val="yellow"/>
        </w:rPr>
        <w:t xml:space="preserve">ttorney is responsible for their court </w:t>
      </w:r>
      <w:r w:rsidR="00A0737F" w:rsidRPr="0013615E">
        <w:rPr>
          <w:rFonts w:ascii="Times New Roman" w:hAnsi="Times New Roman" w:cs="Times New Roman"/>
          <w:highlight w:val="yellow"/>
        </w:rPr>
        <w:t>filings</w:t>
      </w:r>
      <w:r w:rsidRPr="0013615E">
        <w:rPr>
          <w:rFonts w:ascii="Times New Roman" w:hAnsi="Times New Roman" w:cs="Times New Roman"/>
        </w:rPr>
        <w:t>.</w:t>
      </w:r>
    </w:p>
    <w:p w14:paraId="3474161A" w14:textId="420E2FA4" w:rsidR="007455F3" w:rsidRPr="0013615E" w:rsidRDefault="00622565" w:rsidP="0006766C">
      <w:p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4.2 </w:t>
      </w:r>
      <w:r w:rsidR="0040524C" w:rsidRPr="0013615E">
        <w:rPr>
          <w:rFonts w:ascii="Times New Roman" w:hAnsi="Times New Roman" w:cs="Times New Roman"/>
          <w:b/>
          <w:bCs/>
          <w:u w:val="single"/>
        </w:rPr>
        <w:t xml:space="preserve">The Regulation of AI in the </w:t>
      </w:r>
      <w:r w:rsidR="007455F3" w:rsidRPr="0013615E">
        <w:rPr>
          <w:rFonts w:ascii="Times New Roman" w:hAnsi="Times New Roman" w:cs="Times New Roman"/>
          <w:b/>
          <w:bCs/>
          <w:u w:val="single"/>
        </w:rPr>
        <w:t xml:space="preserve">US </w:t>
      </w:r>
      <w:r w:rsidR="0040524C" w:rsidRPr="0013615E">
        <w:rPr>
          <w:rFonts w:ascii="Times New Roman" w:hAnsi="Times New Roman" w:cs="Times New Roman"/>
          <w:b/>
          <w:bCs/>
          <w:u w:val="single"/>
        </w:rPr>
        <w:t>at the Federal and State Level</w:t>
      </w:r>
    </w:p>
    <w:p w14:paraId="315F2B46" w14:textId="5A3BF1B2" w:rsidR="00846CEF" w:rsidRPr="0013615E" w:rsidRDefault="00622565" w:rsidP="0006766C">
      <w:pPr>
        <w:spacing w:line="240" w:lineRule="auto"/>
        <w:rPr>
          <w:rFonts w:ascii="Times New Roman" w:hAnsi="Times New Roman" w:cs="Times New Roman"/>
          <w:u w:val="single"/>
        </w:rPr>
      </w:pPr>
      <w:r w:rsidRPr="0013615E">
        <w:rPr>
          <w:rFonts w:ascii="Times New Roman" w:hAnsi="Times New Roman" w:cs="Times New Roman"/>
          <w:u w:val="single"/>
        </w:rPr>
        <w:t xml:space="preserve">4.2.1 US </w:t>
      </w:r>
      <w:r w:rsidR="00846CEF" w:rsidRPr="0013615E">
        <w:rPr>
          <w:rFonts w:ascii="Times New Roman" w:hAnsi="Times New Roman" w:cs="Times New Roman"/>
          <w:u w:val="single"/>
        </w:rPr>
        <w:t>Federal</w:t>
      </w:r>
      <w:r w:rsidRPr="0013615E">
        <w:rPr>
          <w:rFonts w:ascii="Times New Roman" w:hAnsi="Times New Roman" w:cs="Times New Roman"/>
          <w:u w:val="single"/>
        </w:rPr>
        <w:t xml:space="preserve"> AI Regulation </w:t>
      </w:r>
    </w:p>
    <w:p w14:paraId="2FC1DBF8" w14:textId="1A4A59AE" w:rsidR="00662D60" w:rsidRPr="0013615E" w:rsidRDefault="00997C39" w:rsidP="0006766C">
      <w:pPr>
        <w:spacing w:line="240" w:lineRule="auto"/>
        <w:rPr>
          <w:rFonts w:ascii="Times New Roman" w:hAnsi="Times New Roman" w:cs="Times New Roman"/>
        </w:rPr>
      </w:pPr>
      <w:r w:rsidRPr="0013615E">
        <w:rPr>
          <w:rFonts w:ascii="Times New Roman" w:hAnsi="Times New Roman" w:cs="Times New Roman"/>
        </w:rPr>
        <w:t>There is no</w:t>
      </w:r>
      <w:r w:rsidR="007455F3" w:rsidRPr="0013615E">
        <w:rPr>
          <w:rFonts w:ascii="Times New Roman" w:hAnsi="Times New Roman" w:cs="Times New Roman"/>
        </w:rPr>
        <w:t xml:space="preserve"> comprehensive AI regulation at the federal level</w:t>
      </w:r>
      <w:r w:rsidRPr="0013615E">
        <w:rPr>
          <w:rFonts w:ascii="Times New Roman" w:hAnsi="Times New Roman" w:cs="Times New Roman"/>
        </w:rPr>
        <w:t xml:space="preserve"> in the United States. There are some federal regulations related to AI found in the </w:t>
      </w:r>
      <w:r w:rsidR="00650A0B" w:rsidRPr="0013615E">
        <w:rPr>
          <w:rFonts w:ascii="Times New Roman" w:hAnsi="Times New Roman" w:cs="Times New Roman"/>
        </w:rPr>
        <w:t>United States Code (</w:t>
      </w:r>
      <w:r w:rsidRPr="0013615E">
        <w:rPr>
          <w:rFonts w:ascii="Times New Roman" w:hAnsi="Times New Roman" w:cs="Times New Roman"/>
        </w:rPr>
        <w:t>U.S.C.</w:t>
      </w:r>
      <w:r w:rsidR="00650A0B" w:rsidRPr="0013615E">
        <w:rPr>
          <w:rFonts w:ascii="Times New Roman" w:hAnsi="Times New Roman" w:cs="Times New Roman"/>
        </w:rPr>
        <w:t>)</w:t>
      </w:r>
      <w:r w:rsidRPr="0013615E">
        <w:rPr>
          <w:rFonts w:ascii="Times New Roman" w:hAnsi="Times New Roman" w:cs="Times New Roman"/>
        </w:rPr>
        <w:t xml:space="preserve">, including a definition </w:t>
      </w:r>
      <w:r w:rsidRPr="0013615E">
        <w:rPr>
          <w:rFonts w:ascii="Times New Roman" w:hAnsi="Times New Roman" w:cs="Times New Roman"/>
        </w:rPr>
        <w:lastRenderedPageBreak/>
        <w:t>of artificial intelligence as “The term “artificial intelligence” means a machine-based system that can, for a given set of human-defined objectives, make predictions, recommendations or decisions influencing real or virtual environments. Artificial intelligence systems use machine and human-based inputs to-- (A) perceive real and virtual environments; (B) abstract such perceptions into models through analysis in an automated manner; and (C) use model inference to formulate options for information or action.”</w:t>
      </w:r>
      <w:r w:rsidRPr="0013615E">
        <w:rPr>
          <w:rStyle w:val="FootnoteReference"/>
          <w:rFonts w:ascii="Times New Roman" w:hAnsi="Times New Roman" w:cs="Times New Roman"/>
        </w:rPr>
        <w:footnoteReference w:id="31"/>
      </w:r>
      <w:r w:rsidRPr="0013615E">
        <w:rPr>
          <w:rFonts w:ascii="Times New Roman" w:hAnsi="Times New Roman" w:cs="Times New Roman"/>
        </w:rPr>
        <w:t xml:space="preserve"> Much of the reference to artificial intelligence in the </w:t>
      </w:r>
      <w:r w:rsidR="00650A0B" w:rsidRPr="0013615E">
        <w:rPr>
          <w:rFonts w:ascii="Times New Roman" w:hAnsi="Times New Roman" w:cs="Times New Roman"/>
        </w:rPr>
        <w:t>U.S.C.</w:t>
      </w:r>
      <w:r w:rsidRPr="0013615E">
        <w:rPr>
          <w:rFonts w:ascii="Times New Roman" w:hAnsi="Times New Roman" w:cs="Times New Roman"/>
        </w:rPr>
        <w:t xml:space="preserve"> </w:t>
      </w:r>
      <w:r w:rsidR="00662D60" w:rsidRPr="0013615E">
        <w:rPr>
          <w:rFonts w:ascii="Times New Roman" w:hAnsi="Times New Roman" w:cs="Times New Roman"/>
        </w:rPr>
        <w:t xml:space="preserve">concerns the use of AI by the government </w:t>
      </w:r>
      <w:r w:rsidR="00650A0B" w:rsidRPr="0013615E">
        <w:rPr>
          <w:rFonts w:ascii="Times New Roman" w:hAnsi="Times New Roman" w:cs="Times New Roman"/>
        </w:rPr>
        <w:t xml:space="preserve">agencies or departments </w:t>
      </w:r>
      <w:r w:rsidR="00662D60" w:rsidRPr="0013615E">
        <w:rPr>
          <w:rFonts w:ascii="Times New Roman" w:hAnsi="Times New Roman" w:cs="Times New Roman"/>
        </w:rPr>
        <w:t xml:space="preserve">or </w:t>
      </w:r>
      <w:r w:rsidR="00C93217" w:rsidRPr="0013615E">
        <w:rPr>
          <w:rFonts w:ascii="Times New Roman" w:hAnsi="Times New Roman" w:cs="Times New Roman"/>
        </w:rPr>
        <w:t xml:space="preserve">is </w:t>
      </w:r>
      <w:r w:rsidR="00662D60" w:rsidRPr="0013615E">
        <w:rPr>
          <w:rFonts w:ascii="Times New Roman" w:hAnsi="Times New Roman" w:cs="Times New Roman"/>
        </w:rPr>
        <w:t xml:space="preserve">related to </w:t>
      </w:r>
      <w:r w:rsidR="00C93217" w:rsidRPr="0013615E">
        <w:rPr>
          <w:rFonts w:ascii="Times New Roman" w:hAnsi="Times New Roman" w:cs="Times New Roman"/>
        </w:rPr>
        <w:t xml:space="preserve">support for </w:t>
      </w:r>
      <w:r w:rsidR="00662D60" w:rsidRPr="0013615E">
        <w:rPr>
          <w:rFonts w:ascii="Times New Roman" w:hAnsi="Times New Roman" w:cs="Times New Roman"/>
        </w:rPr>
        <w:t xml:space="preserve">AI </w:t>
      </w:r>
      <w:r w:rsidR="00C93217" w:rsidRPr="0013615E">
        <w:rPr>
          <w:rFonts w:ascii="Times New Roman" w:hAnsi="Times New Roman" w:cs="Times New Roman"/>
        </w:rPr>
        <w:t xml:space="preserve">related </w:t>
      </w:r>
      <w:r w:rsidR="00662D60" w:rsidRPr="0013615E">
        <w:rPr>
          <w:rFonts w:ascii="Times New Roman" w:hAnsi="Times New Roman" w:cs="Times New Roman"/>
        </w:rPr>
        <w:t>research. The National Artificial Intelligence Initiative Act (NAIIA) has been described as “the most expansive law” related to AI at the US federal level.</w:t>
      </w:r>
      <w:r w:rsidR="00662D60" w:rsidRPr="0013615E">
        <w:rPr>
          <w:rStyle w:val="FootnoteReference"/>
          <w:rFonts w:ascii="Times New Roman" w:hAnsi="Times New Roman" w:cs="Times New Roman"/>
        </w:rPr>
        <w:footnoteReference w:id="32"/>
      </w:r>
      <w:r w:rsidR="00662D60" w:rsidRPr="0013615E">
        <w:rPr>
          <w:rFonts w:ascii="Times New Roman" w:hAnsi="Times New Roman" w:cs="Times New Roman"/>
        </w:rPr>
        <w:t xml:space="preserve"> Under the NAIIA,</w:t>
      </w:r>
    </w:p>
    <w:p w14:paraId="2DE0E69C" w14:textId="3C0056C3" w:rsidR="00662D60" w:rsidRPr="0013615E" w:rsidRDefault="00662D60" w:rsidP="0006766C">
      <w:pPr>
        <w:spacing w:line="240" w:lineRule="auto"/>
        <w:ind w:left="720" w:right="720"/>
        <w:rPr>
          <w:rFonts w:ascii="Times New Roman" w:hAnsi="Times New Roman" w:cs="Times New Roman"/>
        </w:rPr>
      </w:pPr>
      <w:r w:rsidRPr="0013615E">
        <w:rPr>
          <w:rFonts w:ascii="Times New Roman" w:hAnsi="Times New Roman" w:cs="Times New Roman"/>
        </w:rPr>
        <w:t xml:space="preserve"> “The President shall establish and implement an initiative to be known as the “National Artificial Intelligence Initiative”. The purposes of the Initiative shall be to-- (1) ensure continued United States leadership in artificial intelligence research and development; (2) lead the world in the development and use of trustworthy artificial intelligence systems in the public and private sectors; (3) prepare the present and future United States workforce for the integration of artificial intelligence systems across all sectors of the economy and society; and (4) coordinate ongoing artificial intelligence research, development, and demonstration activities among the civilian agencies, the Department of Defense and the Intelligence Community to ensure that each informs the work of the others.”</w:t>
      </w:r>
      <w:r w:rsidRPr="0013615E">
        <w:rPr>
          <w:rStyle w:val="FootnoteReference"/>
          <w:rFonts w:ascii="Times New Roman" w:hAnsi="Times New Roman" w:cs="Times New Roman"/>
        </w:rPr>
        <w:footnoteReference w:id="33"/>
      </w:r>
    </w:p>
    <w:p w14:paraId="201EF194" w14:textId="77777777" w:rsidR="00703F0A" w:rsidRPr="0013615E" w:rsidRDefault="00662D60" w:rsidP="0006766C">
      <w:pPr>
        <w:spacing w:line="240" w:lineRule="auto"/>
        <w:rPr>
          <w:rFonts w:ascii="Times New Roman" w:hAnsi="Times New Roman" w:cs="Times New Roman"/>
        </w:rPr>
      </w:pPr>
      <w:r w:rsidRPr="0013615E">
        <w:rPr>
          <w:rFonts w:ascii="Times New Roman" w:hAnsi="Times New Roman" w:cs="Times New Roman"/>
        </w:rPr>
        <w:t xml:space="preserve">The NAIIA provides for the office of the President to </w:t>
      </w:r>
      <w:r w:rsidR="00601F9F" w:rsidRPr="0013615E">
        <w:rPr>
          <w:rFonts w:ascii="Times New Roman" w:hAnsi="Times New Roman" w:cs="Times New Roman"/>
        </w:rPr>
        <w:t>take steps to promote the adoption and development of AI “through the Initiative Office”.</w:t>
      </w:r>
      <w:r w:rsidR="00601F9F" w:rsidRPr="0013615E">
        <w:rPr>
          <w:rStyle w:val="FootnoteReference"/>
          <w:rFonts w:ascii="Times New Roman" w:hAnsi="Times New Roman" w:cs="Times New Roman"/>
        </w:rPr>
        <w:footnoteReference w:id="34"/>
      </w:r>
      <w:r w:rsidR="00601F9F" w:rsidRPr="0013615E">
        <w:rPr>
          <w:rFonts w:ascii="Times New Roman" w:hAnsi="Times New Roman" w:cs="Times New Roman"/>
        </w:rPr>
        <w:t xml:space="preserve"> </w:t>
      </w:r>
      <w:r w:rsidR="00661C89" w:rsidRPr="0013615E">
        <w:rPr>
          <w:rFonts w:ascii="Times New Roman" w:hAnsi="Times New Roman" w:cs="Times New Roman"/>
        </w:rPr>
        <w:t xml:space="preserve">Under the NAIIA there have been </w:t>
      </w:r>
      <w:r w:rsidR="00661C89" w:rsidRPr="0013615E">
        <w:rPr>
          <w:rFonts w:ascii="Times New Roman" w:hAnsi="Times New Roman" w:cs="Times New Roman"/>
        </w:rPr>
        <w:lastRenderedPageBreak/>
        <w:t>investments in AI research under numerous federal programs.</w:t>
      </w:r>
      <w:r w:rsidR="00661C89" w:rsidRPr="0013615E">
        <w:rPr>
          <w:rStyle w:val="FootnoteReference"/>
          <w:rFonts w:ascii="Times New Roman" w:hAnsi="Times New Roman" w:cs="Times New Roman"/>
        </w:rPr>
        <w:footnoteReference w:id="35"/>
      </w:r>
      <w:r w:rsidR="00661C89" w:rsidRPr="0013615E">
        <w:rPr>
          <w:rFonts w:ascii="Times New Roman" w:hAnsi="Times New Roman" w:cs="Times New Roman"/>
        </w:rPr>
        <w:t xml:space="preserve"> Much of the other references to AI found in the U.S.C. concerns the use of AI within government agencies, research and developments, and education.  </w:t>
      </w:r>
    </w:p>
    <w:p w14:paraId="5007DCA9" w14:textId="175088B6" w:rsidR="00661C89" w:rsidRPr="0013615E" w:rsidRDefault="00661C89" w:rsidP="0006766C">
      <w:pPr>
        <w:spacing w:line="240" w:lineRule="auto"/>
        <w:rPr>
          <w:rFonts w:ascii="Times New Roman" w:hAnsi="Times New Roman" w:cs="Times New Roman"/>
        </w:rPr>
      </w:pPr>
      <w:r w:rsidRPr="0013615E">
        <w:rPr>
          <w:rFonts w:ascii="Times New Roman" w:hAnsi="Times New Roman" w:cs="Times New Roman"/>
        </w:rPr>
        <w:t xml:space="preserve">There have been </w:t>
      </w:r>
      <w:r w:rsidR="00703F0A" w:rsidRPr="0013615E">
        <w:rPr>
          <w:rFonts w:ascii="Times New Roman" w:hAnsi="Times New Roman" w:cs="Times New Roman"/>
        </w:rPr>
        <w:t>several</w:t>
      </w:r>
      <w:r w:rsidRPr="0013615E">
        <w:rPr>
          <w:rFonts w:ascii="Times New Roman" w:hAnsi="Times New Roman" w:cs="Times New Roman"/>
        </w:rPr>
        <w:t xml:space="preserve"> Executive Orders </w:t>
      </w:r>
      <w:r w:rsidR="00703F0A" w:rsidRPr="0013615E">
        <w:rPr>
          <w:rFonts w:ascii="Times New Roman" w:hAnsi="Times New Roman" w:cs="Times New Roman"/>
        </w:rPr>
        <w:t>(E.O.) related to</w:t>
      </w:r>
      <w:r w:rsidRPr="0013615E">
        <w:rPr>
          <w:rFonts w:ascii="Times New Roman" w:hAnsi="Times New Roman" w:cs="Times New Roman"/>
        </w:rPr>
        <w:t xml:space="preserve"> AI</w:t>
      </w:r>
      <w:r w:rsidR="00A2340E" w:rsidRPr="0013615E">
        <w:rPr>
          <w:rFonts w:ascii="Times New Roman" w:hAnsi="Times New Roman" w:cs="Times New Roman"/>
        </w:rPr>
        <w:t xml:space="preserve">. In 2019 President Trump signed E.O. 13859, </w:t>
      </w:r>
      <w:r w:rsidR="00A2340E" w:rsidRPr="0013615E">
        <w:rPr>
          <w:rFonts w:ascii="Times New Roman" w:hAnsi="Times New Roman" w:cs="Times New Roman"/>
          <w:i/>
          <w:iCs/>
        </w:rPr>
        <w:t>Marinating American Leadership in Artificial Intelligence</w:t>
      </w:r>
      <w:r w:rsidR="00A2340E" w:rsidRPr="0013615E">
        <w:rPr>
          <w:rFonts w:ascii="Times New Roman" w:hAnsi="Times New Roman" w:cs="Times New Roman"/>
        </w:rPr>
        <w:t xml:space="preserve">, which directs federal agencies to promote the development of AI, enhance access to federal data for AI, remove barriers and promote innovation for AI, </w:t>
      </w:r>
      <w:r w:rsidR="00814565" w:rsidRPr="0013615E">
        <w:rPr>
          <w:rFonts w:ascii="Times New Roman" w:hAnsi="Times New Roman" w:cs="Times New Roman"/>
        </w:rPr>
        <w:t>create standards in AI, provide training for AI, and protect AI national interests.</w:t>
      </w:r>
      <w:r w:rsidR="00814565" w:rsidRPr="0013615E">
        <w:rPr>
          <w:rStyle w:val="FootnoteReference"/>
          <w:rFonts w:ascii="Times New Roman" w:hAnsi="Times New Roman" w:cs="Times New Roman"/>
        </w:rPr>
        <w:footnoteReference w:id="36"/>
      </w:r>
      <w:r w:rsidR="00814565" w:rsidRPr="0013615E">
        <w:rPr>
          <w:rFonts w:ascii="Times New Roman" w:hAnsi="Times New Roman" w:cs="Times New Roman"/>
        </w:rPr>
        <w:t xml:space="preserve"> E.O. 13960, </w:t>
      </w:r>
      <w:r w:rsidR="00814565" w:rsidRPr="0013615E">
        <w:rPr>
          <w:rFonts w:ascii="Times New Roman" w:hAnsi="Times New Roman" w:cs="Times New Roman"/>
          <w:i/>
          <w:iCs/>
        </w:rPr>
        <w:t>Promoting the Use of Trustworthy Artificial Intelligence in the Federal Government</w:t>
      </w:r>
      <w:r w:rsidR="00814565" w:rsidRPr="0013615E">
        <w:rPr>
          <w:rFonts w:ascii="Times New Roman" w:hAnsi="Times New Roman" w:cs="Times New Roman"/>
        </w:rPr>
        <w:t>, was signed</w:t>
      </w:r>
      <w:r w:rsidR="00F11B5A" w:rsidRPr="0013615E">
        <w:rPr>
          <w:rFonts w:ascii="Times New Roman" w:hAnsi="Times New Roman" w:cs="Times New Roman"/>
        </w:rPr>
        <w:t xml:space="preserve"> </w:t>
      </w:r>
      <w:r w:rsidR="00814565" w:rsidRPr="0013615E">
        <w:rPr>
          <w:rFonts w:ascii="Times New Roman" w:hAnsi="Times New Roman" w:cs="Times New Roman"/>
        </w:rPr>
        <w:t>by President Trump in 2020</w:t>
      </w:r>
      <w:r w:rsidR="00F11B5A" w:rsidRPr="0013615E">
        <w:rPr>
          <w:rFonts w:ascii="Times New Roman" w:hAnsi="Times New Roman" w:cs="Times New Roman"/>
        </w:rPr>
        <w:t xml:space="preserve"> in the waning days of his first presidency</w:t>
      </w:r>
      <w:r w:rsidR="00814565" w:rsidRPr="0013615E">
        <w:rPr>
          <w:rFonts w:ascii="Times New Roman" w:hAnsi="Times New Roman" w:cs="Times New Roman"/>
        </w:rPr>
        <w:t xml:space="preserve"> and promotes the use of AI in government agencies and the adoption of “guidelines and principles” for the federal governments use of AI for “purposes other than national security and defense” through “common policy guidelines across agencies”. </w:t>
      </w:r>
      <w:r w:rsidR="00814565" w:rsidRPr="0013615E">
        <w:rPr>
          <w:rStyle w:val="FootnoteReference"/>
          <w:rFonts w:ascii="Times New Roman" w:hAnsi="Times New Roman" w:cs="Times New Roman"/>
        </w:rPr>
        <w:footnoteReference w:id="37"/>
      </w:r>
      <w:r w:rsidR="00814565" w:rsidRPr="0013615E">
        <w:rPr>
          <w:rFonts w:ascii="Times New Roman" w:hAnsi="Times New Roman" w:cs="Times New Roman"/>
        </w:rPr>
        <w:t xml:space="preserve"> E.O. 14110, </w:t>
      </w:r>
      <w:r w:rsidR="00814565" w:rsidRPr="0013615E">
        <w:rPr>
          <w:rFonts w:ascii="Times New Roman" w:hAnsi="Times New Roman" w:cs="Times New Roman"/>
          <w:i/>
          <w:iCs/>
        </w:rPr>
        <w:t>Safe, Secure, and Trustworthy Development and Use of Artificial Intelligence</w:t>
      </w:r>
      <w:r w:rsidR="00814565" w:rsidRPr="0013615E">
        <w:rPr>
          <w:rFonts w:ascii="Times New Roman" w:hAnsi="Times New Roman" w:cs="Times New Roman"/>
        </w:rPr>
        <w:t xml:space="preserve">, signed by President Biden in 2023, provided for </w:t>
      </w:r>
      <w:r w:rsidR="00593E60" w:rsidRPr="0013615E">
        <w:rPr>
          <w:rFonts w:ascii="Times New Roman" w:hAnsi="Times New Roman" w:cs="Times New Roman"/>
        </w:rPr>
        <w:t>guiding principles for agencies use of AI under 8 principles including (a) safety and security, (b) “responsible innovation, competition and collaboration”, (c) support for American workers, (d) “dedication to advancing equity and civil rights”, (e) consumer protections,  (f) privacy rights, (g) risk management and workforce protection, and (h) safeguards.</w:t>
      </w:r>
      <w:r w:rsidR="00593E60" w:rsidRPr="0013615E">
        <w:rPr>
          <w:rStyle w:val="FootnoteReference"/>
          <w:rFonts w:ascii="Times New Roman" w:hAnsi="Times New Roman" w:cs="Times New Roman"/>
        </w:rPr>
        <w:footnoteReference w:id="38"/>
      </w:r>
      <w:r w:rsidR="00593E60" w:rsidRPr="0013615E">
        <w:rPr>
          <w:rFonts w:ascii="Times New Roman" w:hAnsi="Times New Roman" w:cs="Times New Roman"/>
        </w:rPr>
        <w:t xml:space="preserve"> </w:t>
      </w:r>
      <w:r w:rsidR="002C363C" w:rsidRPr="0013615E">
        <w:rPr>
          <w:rFonts w:ascii="Times New Roman" w:hAnsi="Times New Roman" w:cs="Times New Roman"/>
        </w:rPr>
        <w:t xml:space="preserve">In general, the Trump administration has shown contempt for any policies or legislation which the Biden and Obama administrations have passed, and AI related policies from these administrations have been reversed during president Trumps second term. One such policy from the Biden administration which has gone by the wayside is E.O. </w:t>
      </w:r>
      <w:r w:rsidR="003F4319" w:rsidRPr="0013615E">
        <w:rPr>
          <w:rFonts w:ascii="Times New Roman" w:hAnsi="Times New Roman" w:cs="Times New Roman"/>
        </w:rPr>
        <w:t>14110</w:t>
      </w:r>
      <w:r w:rsidR="002C363C" w:rsidRPr="0013615E">
        <w:rPr>
          <w:rFonts w:ascii="Times New Roman" w:hAnsi="Times New Roman" w:cs="Times New Roman"/>
        </w:rPr>
        <w:t xml:space="preserve">. </w:t>
      </w:r>
      <w:r w:rsidR="00593E60" w:rsidRPr="0013615E">
        <w:rPr>
          <w:rFonts w:ascii="Times New Roman" w:hAnsi="Times New Roman" w:cs="Times New Roman"/>
        </w:rPr>
        <w:t>E.O. 14110 was revoked in the first days of the second Trump presidency</w:t>
      </w:r>
      <w:r w:rsidR="00703F0A" w:rsidRPr="0013615E">
        <w:rPr>
          <w:rFonts w:ascii="Times New Roman" w:hAnsi="Times New Roman" w:cs="Times New Roman"/>
        </w:rPr>
        <w:t>, along with a slew of other E.O.s from the Biden presidency.</w:t>
      </w:r>
      <w:r w:rsidR="00703F0A" w:rsidRPr="0013615E">
        <w:rPr>
          <w:rStyle w:val="FootnoteReference"/>
          <w:rFonts w:ascii="Times New Roman" w:hAnsi="Times New Roman" w:cs="Times New Roman"/>
        </w:rPr>
        <w:footnoteReference w:id="39"/>
      </w:r>
      <w:r w:rsidR="00703F0A" w:rsidRPr="0013615E">
        <w:rPr>
          <w:rFonts w:ascii="Times New Roman" w:hAnsi="Times New Roman" w:cs="Times New Roman"/>
        </w:rPr>
        <w:t xml:space="preserve"> </w:t>
      </w:r>
      <w:r w:rsidR="009E7155" w:rsidRPr="0013615E">
        <w:rPr>
          <w:rFonts w:ascii="Times New Roman" w:hAnsi="Times New Roman" w:cs="Times New Roman"/>
        </w:rPr>
        <w:t xml:space="preserve">The most recent presidential order is </w:t>
      </w:r>
      <w:r w:rsidR="003F4319" w:rsidRPr="0013615E">
        <w:rPr>
          <w:rFonts w:ascii="Times New Roman" w:hAnsi="Times New Roman" w:cs="Times New Roman"/>
        </w:rPr>
        <w:t xml:space="preserve">relating to AI is </w:t>
      </w:r>
      <w:r w:rsidR="009E7155" w:rsidRPr="0013615E">
        <w:rPr>
          <w:rFonts w:ascii="Times New Roman" w:hAnsi="Times New Roman" w:cs="Times New Roman"/>
        </w:rPr>
        <w:t>E.O. 14179</w:t>
      </w:r>
      <w:r w:rsidR="001B0274" w:rsidRPr="0013615E">
        <w:rPr>
          <w:rFonts w:ascii="Times New Roman" w:hAnsi="Times New Roman" w:cs="Times New Roman"/>
        </w:rPr>
        <w:t xml:space="preserve">, Removing </w:t>
      </w:r>
      <w:r w:rsidR="003F4319" w:rsidRPr="0013615E">
        <w:rPr>
          <w:rFonts w:ascii="Times New Roman" w:hAnsi="Times New Roman" w:cs="Times New Roman"/>
        </w:rPr>
        <w:t>B</w:t>
      </w:r>
      <w:r w:rsidR="001B0274" w:rsidRPr="0013615E">
        <w:rPr>
          <w:rFonts w:ascii="Times New Roman" w:hAnsi="Times New Roman" w:cs="Times New Roman"/>
        </w:rPr>
        <w:t xml:space="preserve">arriers to American Leadership in Artificial Intelligence, enacted in 2025, which provides for </w:t>
      </w:r>
      <w:r w:rsidR="00434112" w:rsidRPr="0013615E">
        <w:rPr>
          <w:rFonts w:ascii="Times New Roman" w:hAnsi="Times New Roman" w:cs="Times New Roman"/>
        </w:rPr>
        <w:t xml:space="preserve">specific steps to be taken within the recission of E.O. 14110, to </w:t>
      </w:r>
      <w:r w:rsidR="006D43E5" w:rsidRPr="0013615E">
        <w:rPr>
          <w:rFonts w:ascii="Times New Roman" w:hAnsi="Times New Roman" w:cs="Times New Roman"/>
        </w:rPr>
        <w:t xml:space="preserve">promote the development of “AI systems that are free from ideological bias or engineered social </w:t>
      </w:r>
      <w:r w:rsidR="006D43E5" w:rsidRPr="0013615E">
        <w:rPr>
          <w:rFonts w:ascii="Times New Roman" w:hAnsi="Times New Roman" w:cs="Times New Roman"/>
        </w:rPr>
        <w:lastRenderedPageBreak/>
        <w:t>agendas” and “to sustain and enhance America’s global AI dominance in order to promote human flourishing, economic competitiveness, and national security.”</w:t>
      </w:r>
      <w:r w:rsidR="00160A33" w:rsidRPr="0013615E">
        <w:rPr>
          <w:rStyle w:val="FootnoteReference"/>
          <w:rFonts w:ascii="Times New Roman" w:hAnsi="Times New Roman" w:cs="Times New Roman"/>
        </w:rPr>
        <w:footnoteReference w:id="40"/>
      </w:r>
      <w:r w:rsidR="006D43E5" w:rsidRPr="0013615E">
        <w:rPr>
          <w:rFonts w:ascii="Times New Roman" w:hAnsi="Times New Roman" w:cs="Times New Roman"/>
        </w:rPr>
        <w:t xml:space="preserve"> </w:t>
      </w:r>
    </w:p>
    <w:p w14:paraId="6F483802" w14:textId="1E32F371" w:rsidR="008507E6" w:rsidRPr="0013615E" w:rsidRDefault="008507E6" w:rsidP="0006766C">
      <w:pPr>
        <w:spacing w:line="240" w:lineRule="auto"/>
        <w:rPr>
          <w:rFonts w:ascii="Times New Roman" w:hAnsi="Times New Roman" w:cs="Times New Roman"/>
        </w:rPr>
      </w:pPr>
      <w:r w:rsidRPr="0013615E">
        <w:rPr>
          <w:rFonts w:ascii="Times New Roman" w:hAnsi="Times New Roman" w:cs="Times New Roman"/>
        </w:rPr>
        <w:t xml:space="preserve">A proposal for the </w:t>
      </w:r>
      <w:r w:rsidR="00C93217" w:rsidRPr="0013615E">
        <w:rPr>
          <w:rFonts w:ascii="Times New Roman" w:hAnsi="Times New Roman" w:cs="Times New Roman"/>
        </w:rPr>
        <w:t>“</w:t>
      </w:r>
      <w:r w:rsidRPr="0013615E">
        <w:rPr>
          <w:rFonts w:ascii="Times New Roman" w:hAnsi="Times New Roman" w:cs="Times New Roman"/>
        </w:rPr>
        <w:t>AI Bill of Rights</w:t>
      </w:r>
      <w:r w:rsidR="00C93217" w:rsidRPr="0013615E">
        <w:rPr>
          <w:rFonts w:ascii="Times New Roman" w:hAnsi="Times New Roman" w:cs="Times New Roman"/>
        </w:rPr>
        <w:t>”</w:t>
      </w:r>
      <w:r w:rsidRPr="0013615E">
        <w:rPr>
          <w:rFonts w:ascii="Times New Roman" w:hAnsi="Times New Roman" w:cs="Times New Roman"/>
        </w:rPr>
        <w:t xml:space="preserve"> was published by the Biden Whitehouse in 2022. </w:t>
      </w:r>
      <w:r w:rsidR="00C93217" w:rsidRPr="0013615E">
        <w:rPr>
          <w:rFonts w:ascii="Times New Roman" w:hAnsi="Times New Roman" w:cs="Times New Roman"/>
        </w:rPr>
        <w:t xml:space="preserve">The White House </w:t>
      </w:r>
      <w:r w:rsidRPr="0013615E">
        <w:rPr>
          <w:rFonts w:ascii="Times New Roman" w:hAnsi="Times New Roman" w:cs="Times New Roman"/>
        </w:rPr>
        <w:t>Office of Science and Technology Policy published a set of principles relating to the AI Bill of Rights which included: Safe and Effective Systems- pre deployment testing, risk identification, mitigation, and monitoring; Algorithmic Discrimination Protections- bias in race, color, ethnicity, sex, religion, age, national origin, disability, veteran status, genetic information, other protected classifications; Proactive measures, equitable design, accessibility, independent evaluation; Data Protection- from abusive practices, promote agency in personal data, limit and regulate use of surveillance tech; Notice and Explanation- know when it is being used and understand implications of the use; Human alternatives, consideration and fallback- opt out, access to a real person.</w:t>
      </w:r>
      <w:r w:rsidR="0025029F" w:rsidRPr="0013615E">
        <w:rPr>
          <w:rStyle w:val="FootnoteReference"/>
          <w:rFonts w:ascii="Times New Roman" w:hAnsi="Times New Roman" w:cs="Times New Roman"/>
        </w:rPr>
        <w:footnoteReference w:id="41"/>
      </w:r>
      <w:r w:rsidRPr="0013615E">
        <w:rPr>
          <w:rFonts w:ascii="Times New Roman" w:hAnsi="Times New Roman" w:cs="Times New Roman"/>
        </w:rPr>
        <w:t xml:space="preserve"> The prospect of an AI Bill of Rights being enacted in the US is highly doubtful, and the provisions proposed by the Biden administration are likely to be a limited if any such law is passed. The reality is that the US Congress is highly dysfunctional, and unlikely to pass any comprehensive legislation related to AI </w:t>
      </w:r>
      <w:proofErr w:type="gramStart"/>
      <w:r w:rsidRPr="0013615E">
        <w:rPr>
          <w:rFonts w:ascii="Times New Roman" w:hAnsi="Times New Roman" w:cs="Times New Roman"/>
        </w:rPr>
        <w:t>in the near future</w:t>
      </w:r>
      <w:proofErr w:type="gramEnd"/>
      <w:r w:rsidRPr="0013615E">
        <w:rPr>
          <w:rFonts w:ascii="Times New Roman" w:hAnsi="Times New Roman" w:cs="Times New Roman"/>
        </w:rPr>
        <w:t xml:space="preserve">. </w:t>
      </w:r>
      <w:r w:rsidR="00160809" w:rsidRPr="0013615E">
        <w:rPr>
          <w:rFonts w:ascii="Times New Roman" w:hAnsi="Times New Roman" w:cs="Times New Roman"/>
        </w:rPr>
        <w:t xml:space="preserve">The Biden AI policy has been described as </w:t>
      </w:r>
      <w:r w:rsidR="00271462" w:rsidRPr="0013615E">
        <w:rPr>
          <w:rFonts w:ascii="Times New Roman" w:hAnsi="Times New Roman" w:cs="Times New Roman"/>
        </w:rPr>
        <w:t>embracing a “framework, guidance, and “</w:t>
      </w:r>
      <w:proofErr w:type="gramStart"/>
      <w:r w:rsidR="00271462" w:rsidRPr="0013615E">
        <w:rPr>
          <w:rFonts w:ascii="Times New Roman" w:hAnsi="Times New Roman" w:cs="Times New Roman"/>
        </w:rPr>
        <w:t>soft-law</w:t>
      </w:r>
      <w:proofErr w:type="gramEnd"/>
      <w:r w:rsidR="00271462" w:rsidRPr="0013615E">
        <w:rPr>
          <w:rFonts w:ascii="Times New Roman" w:hAnsi="Times New Roman" w:cs="Times New Roman"/>
        </w:rPr>
        <w:t>” approach” to the regulation of AI.</w:t>
      </w:r>
      <w:r w:rsidR="00271462" w:rsidRPr="0013615E">
        <w:rPr>
          <w:rStyle w:val="FootnoteReference"/>
          <w:rFonts w:ascii="Times New Roman" w:hAnsi="Times New Roman" w:cs="Times New Roman"/>
        </w:rPr>
        <w:footnoteReference w:id="42"/>
      </w:r>
    </w:p>
    <w:p w14:paraId="00C678FC" w14:textId="7625EA23" w:rsidR="003F352E" w:rsidRPr="0013615E" w:rsidRDefault="003F352E" w:rsidP="00622565">
      <w:pPr>
        <w:spacing w:line="240" w:lineRule="auto"/>
        <w:rPr>
          <w:rFonts w:ascii="Times New Roman" w:hAnsi="Times New Roman" w:cs="Times New Roman"/>
        </w:rPr>
      </w:pPr>
      <w:r w:rsidRPr="0013615E">
        <w:rPr>
          <w:rFonts w:ascii="Times New Roman" w:hAnsi="Times New Roman" w:cs="Times New Roman"/>
        </w:rPr>
        <w:t>President Trump in his second term has embraced a policy of deregulation across a wide range of industries.</w:t>
      </w:r>
      <w:r w:rsidR="00554623" w:rsidRPr="0013615E">
        <w:rPr>
          <w:rStyle w:val="FootnoteReference"/>
          <w:rFonts w:ascii="Times New Roman" w:hAnsi="Times New Roman" w:cs="Times New Roman"/>
        </w:rPr>
        <w:footnoteReference w:id="43"/>
      </w:r>
      <w:r w:rsidRPr="0013615E">
        <w:rPr>
          <w:rFonts w:ascii="Times New Roman" w:hAnsi="Times New Roman" w:cs="Times New Roman"/>
        </w:rPr>
        <w:t xml:space="preserve"> This includes the regulation of AI.</w:t>
      </w:r>
      <w:r w:rsidR="00554623" w:rsidRPr="0013615E">
        <w:rPr>
          <w:rStyle w:val="FootnoteReference"/>
          <w:rFonts w:ascii="Times New Roman" w:hAnsi="Times New Roman" w:cs="Times New Roman"/>
        </w:rPr>
        <w:footnoteReference w:id="44"/>
      </w:r>
      <w:r w:rsidRPr="0013615E">
        <w:rPr>
          <w:rFonts w:ascii="Times New Roman" w:hAnsi="Times New Roman" w:cs="Times New Roman"/>
        </w:rPr>
        <w:t xml:space="preserve"> </w:t>
      </w:r>
      <w:r w:rsidR="00C37394" w:rsidRPr="0013615E">
        <w:rPr>
          <w:rFonts w:ascii="Times New Roman" w:hAnsi="Times New Roman" w:cs="Times New Roman"/>
        </w:rPr>
        <w:t>President</w:t>
      </w:r>
      <w:r w:rsidRPr="0013615E">
        <w:rPr>
          <w:rFonts w:ascii="Times New Roman" w:hAnsi="Times New Roman" w:cs="Times New Roman"/>
        </w:rPr>
        <w:t xml:space="preserve"> Trump </w:t>
      </w:r>
      <w:r w:rsidR="00C37394" w:rsidRPr="0013615E">
        <w:rPr>
          <w:rFonts w:ascii="Times New Roman" w:hAnsi="Times New Roman" w:cs="Times New Roman"/>
        </w:rPr>
        <w:t xml:space="preserve">has been seeking </w:t>
      </w:r>
      <w:r w:rsidRPr="0013615E">
        <w:rPr>
          <w:rFonts w:ascii="Times New Roman" w:hAnsi="Times New Roman" w:cs="Times New Roman"/>
        </w:rPr>
        <w:t>to limit the ability of individual states to regulate AI.</w:t>
      </w:r>
      <w:r w:rsidR="00554623" w:rsidRPr="0013615E">
        <w:rPr>
          <w:rStyle w:val="FootnoteReference"/>
          <w:rFonts w:ascii="Times New Roman" w:hAnsi="Times New Roman" w:cs="Times New Roman"/>
        </w:rPr>
        <w:footnoteReference w:id="45"/>
      </w:r>
      <w:r w:rsidRPr="0013615E">
        <w:rPr>
          <w:rFonts w:ascii="Times New Roman" w:hAnsi="Times New Roman" w:cs="Times New Roman"/>
        </w:rPr>
        <w:t xml:space="preserve"> This represents a national policy to allow AI development and its applications to be unregulated. The stated goal of this policy is to increase the competitiveness of US based AI firms and to encourage AI research and development in the US. According to </w:t>
      </w:r>
      <w:r w:rsidR="00C37394" w:rsidRPr="0013615E">
        <w:rPr>
          <w:rFonts w:ascii="Times New Roman" w:hAnsi="Times New Roman" w:cs="Times New Roman"/>
        </w:rPr>
        <w:t>a</w:t>
      </w:r>
      <w:r w:rsidRPr="0013615E">
        <w:rPr>
          <w:rFonts w:ascii="Times New Roman" w:hAnsi="Times New Roman" w:cs="Times New Roman"/>
        </w:rPr>
        <w:t xml:space="preserve"> draft</w:t>
      </w:r>
      <w:r w:rsidR="00E80B6D" w:rsidRPr="0013615E">
        <w:rPr>
          <w:rFonts w:ascii="Times New Roman" w:hAnsi="Times New Roman" w:cs="Times New Roman"/>
        </w:rPr>
        <w:t xml:space="preserve"> provision</w:t>
      </w:r>
      <w:r w:rsidRPr="0013615E">
        <w:rPr>
          <w:rFonts w:ascii="Times New Roman" w:hAnsi="Times New Roman" w:cs="Times New Roman"/>
        </w:rPr>
        <w:t xml:space="preserve"> of the “Big Beautiful Bill”</w:t>
      </w:r>
      <w:r w:rsidR="00C37394" w:rsidRPr="0013615E">
        <w:rPr>
          <w:rFonts w:ascii="Times New Roman" w:hAnsi="Times New Roman" w:cs="Times New Roman"/>
        </w:rPr>
        <w:t xml:space="preserve">, a provision which was not included in the passed legislation, President Trump had </w:t>
      </w:r>
      <w:r w:rsidR="0002053B" w:rsidRPr="0013615E">
        <w:rPr>
          <w:rFonts w:ascii="Times New Roman" w:hAnsi="Times New Roman" w:cs="Times New Roman"/>
        </w:rPr>
        <w:t>sought</w:t>
      </w:r>
      <w:r w:rsidR="00C37394" w:rsidRPr="0013615E">
        <w:rPr>
          <w:rFonts w:ascii="Times New Roman" w:hAnsi="Times New Roman" w:cs="Times New Roman"/>
        </w:rPr>
        <w:t xml:space="preserve"> to prohibit </w:t>
      </w:r>
      <w:r w:rsidRPr="0013615E">
        <w:rPr>
          <w:rFonts w:ascii="Times New Roman" w:hAnsi="Times New Roman" w:cs="Times New Roman"/>
        </w:rPr>
        <w:t>AI regulation at the state level for 10 years.</w:t>
      </w:r>
      <w:r w:rsidR="00882759" w:rsidRPr="0013615E">
        <w:rPr>
          <w:rStyle w:val="FootnoteReference"/>
          <w:rFonts w:ascii="Times New Roman" w:hAnsi="Times New Roman" w:cs="Times New Roman"/>
        </w:rPr>
        <w:footnoteReference w:id="46"/>
      </w:r>
      <w:r w:rsidRPr="0013615E">
        <w:rPr>
          <w:rFonts w:ascii="Times New Roman" w:hAnsi="Times New Roman" w:cs="Times New Roman"/>
        </w:rPr>
        <w:t xml:space="preserve"> While this proposed “Big Beautiful Bill” would</w:t>
      </w:r>
      <w:r w:rsidR="00C37394" w:rsidRPr="0013615E">
        <w:rPr>
          <w:rFonts w:ascii="Times New Roman" w:hAnsi="Times New Roman" w:cs="Times New Roman"/>
        </w:rPr>
        <w:t xml:space="preserve"> have</w:t>
      </w:r>
      <w:r w:rsidRPr="0013615E">
        <w:rPr>
          <w:rFonts w:ascii="Times New Roman" w:hAnsi="Times New Roman" w:cs="Times New Roman"/>
        </w:rPr>
        <w:t xml:space="preserve"> impose a </w:t>
      </w:r>
      <w:r w:rsidRPr="0013615E">
        <w:rPr>
          <w:rFonts w:ascii="Times New Roman" w:hAnsi="Times New Roman" w:cs="Times New Roman"/>
        </w:rPr>
        <w:lastRenderedPageBreak/>
        <w:t xml:space="preserve">restriction on the state level regulation of AI, it </w:t>
      </w:r>
      <w:r w:rsidR="00C37394" w:rsidRPr="0013615E">
        <w:rPr>
          <w:rFonts w:ascii="Times New Roman" w:hAnsi="Times New Roman" w:cs="Times New Roman"/>
        </w:rPr>
        <w:t>would</w:t>
      </w:r>
      <w:r w:rsidRPr="0013615E">
        <w:rPr>
          <w:rFonts w:ascii="Times New Roman" w:hAnsi="Times New Roman" w:cs="Times New Roman"/>
        </w:rPr>
        <w:t xml:space="preserve"> not impose any federal regulation of AI, effectively meaning that regulation of AI would only happen is as much as the harmful actions of AI within the US could only be limited by federal laws which only ancillary regulated AI, for instance relevant antitrust laws and other federal regulations which affect all industries. The decision not to </w:t>
      </w:r>
      <w:r w:rsidR="00554C32" w:rsidRPr="0013615E">
        <w:rPr>
          <w:rFonts w:ascii="Times New Roman" w:hAnsi="Times New Roman" w:cs="Times New Roman"/>
        </w:rPr>
        <w:t>regulate</w:t>
      </w:r>
      <w:r w:rsidRPr="0013615E">
        <w:rPr>
          <w:rFonts w:ascii="Times New Roman" w:hAnsi="Times New Roman" w:cs="Times New Roman"/>
        </w:rPr>
        <w:t xml:space="preserve"> AI in the US would have far reaching implications. For instance, the application of AI across </w:t>
      </w:r>
      <w:r w:rsidR="00C37394" w:rsidRPr="0013615E">
        <w:rPr>
          <w:rFonts w:ascii="Times New Roman" w:hAnsi="Times New Roman" w:cs="Times New Roman"/>
        </w:rPr>
        <w:t xml:space="preserve">state </w:t>
      </w:r>
      <w:r w:rsidRPr="0013615E">
        <w:rPr>
          <w:rFonts w:ascii="Times New Roman" w:hAnsi="Times New Roman" w:cs="Times New Roman"/>
        </w:rPr>
        <w:t>borders is increasing, seemingly daily. This indicates that potential cross border externalities</w:t>
      </w:r>
      <w:r w:rsidR="00C37394" w:rsidRPr="0013615E">
        <w:rPr>
          <w:rFonts w:ascii="Times New Roman" w:hAnsi="Times New Roman" w:cs="Times New Roman"/>
        </w:rPr>
        <w:t xml:space="preserve"> within the US</w:t>
      </w:r>
      <w:r w:rsidRPr="0013615E">
        <w:rPr>
          <w:rFonts w:ascii="Times New Roman" w:hAnsi="Times New Roman" w:cs="Times New Roman"/>
        </w:rPr>
        <w:t xml:space="preserve"> from the application of AI which has developed </w:t>
      </w:r>
      <w:r w:rsidR="00554C32" w:rsidRPr="0013615E">
        <w:rPr>
          <w:rFonts w:ascii="Times New Roman" w:hAnsi="Times New Roman" w:cs="Times New Roman"/>
        </w:rPr>
        <w:t>unregulated</w:t>
      </w:r>
      <w:r w:rsidRPr="0013615E">
        <w:rPr>
          <w:rFonts w:ascii="Times New Roman" w:hAnsi="Times New Roman" w:cs="Times New Roman"/>
        </w:rPr>
        <w:t xml:space="preserve"> w</w:t>
      </w:r>
      <w:r w:rsidR="00C37394" w:rsidRPr="0013615E">
        <w:rPr>
          <w:rFonts w:ascii="Times New Roman" w:hAnsi="Times New Roman" w:cs="Times New Roman"/>
        </w:rPr>
        <w:t xml:space="preserve">ould </w:t>
      </w:r>
      <w:r w:rsidRPr="0013615E">
        <w:rPr>
          <w:rFonts w:ascii="Times New Roman" w:hAnsi="Times New Roman" w:cs="Times New Roman"/>
        </w:rPr>
        <w:t>increase. Although there is the potential that these externalities will be positive, creating efficiencies or otherwise unattainable development of technology, there is also the significant risk that cross border externalities related to the use of AI will be negative, allowing US AI firms to export accidents related to AI without the risks which other industries face from similarly exporting the externalities related to their business</w:t>
      </w:r>
      <w:r w:rsidR="00C37394" w:rsidRPr="0013615E">
        <w:rPr>
          <w:rFonts w:ascii="Times New Roman" w:hAnsi="Times New Roman" w:cs="Times New Roman"/>
        </w:rPr>
        <w:t xml:space="preserve"> to other states within the US</w:t>
      </w:r>
      <w:r w:rsidRPr="0013615E">
        <w:rPr>
          <w:rFonts w:ascii="Times New Roman" w:hAnsi="Times New Roman" w:cs="Times New Roman"/>
        </w:rPr>
        <w:t xml:space="preserve">. </w:t>
      </w:r>
      <w:r w:rsidR="00554C32" w:rsidRPr="0013615E">
        <w:rPr>
          <w:rFonts w:ascii="Times New Roman" w:hAnsi="Times New Roman" w:cs="Times New Roman"/>
        </w:rPr>
        <w:t xml:space="preserve">The US Senate eventually removed this language limiting </w:t>
      </w:r>
      <w:proofErr w:type="gramStart"/>
      <w:r w:rsidR="00554C32" w:rsidRPr="0013615E">
        <w:rPr>
          <w:rFonts w:ascii="Times New Roman" w:hAnsi="Times New Roman" w:cs="Times New Roman"/>
        </w:rPr>
        <w:t>states</w:t>
      </w:r>
      <w:proofErr w:type="gramEnd"/>
      <w:r w:rsidR="00554C32" w:rsidRPr="0013615E">
        <w:rPr>
          <w:rFonts w:ascii="Times New Roman" w:hAnsi="Times New Roman" w:cs="Times New Roman"/>
        </w:rPr>
        <w:t xml:space="preserve"> from regulating AI</w:t>
      </w:r>
      <w:r w:rsidR="00C37394" w:rsidRPr="0013615E">
        <w:rPr>
          <w:rFonts w:ascii="Times New Roman" w:hAnsi="Times New Roman" w:cs="Times New Roman"/>
        </w:rPr>
        <w:t>, but a</w:t>
      </w:r>
      <w:r w:rsidR="00554C32" w:rsidRPr="0013615E">
        <w:rPr>
          <w:rFonts w:ascii="Times New Roman" w:hAnsi="Times New Roman" w:cs="Times New Roman"/>
        </w:rPr>
        <w:t>s it stands</w:t>
      </w:r>
      <w:r w:rsidR="00C37394" w:rsidRPr="0013615E">
        <w:rPr>
          <w:rFonts w:ascii="Times New Roman" w:hAnsi="Times New Roman" w:cs="Times New Roman"/>
        </w:rPr>
        <w:t xml:space="preserve"> today</w:t>
      </w:r>
      <w:r w:rsidR="00554C32" w:rsidRPr="0013615E">
        <w:rPr>
          <w:rFonts w:ascii="Times New Roman" w:hAnsi="Times New Roman" w:cs="Times New Roman"/>
        </w:rPr>
        <w:t xml:space="preserve">, the US Federal Government has few regulations related to AI. </w:t>
      </w:r>
    </w:p>
    <w:p w14:paraId="2DD42C43" w14:textId="5A371400" w:rsidR="007D4C1C" w:rsidRPr="0013615E" w:rsidRDefault="00F02EB0" w:rsidP="0006766C">
      <w:pPr>
        <w:spacing w:line="240" w:lineRule="auto"/>
        <w:rPr>
          <w:rFonts w:ascii="Times New Roman" w:hAnsi="Times New Roman" w:cs="Times New Roman"/>
        </w:rPr>
      </w:pPr>
      <w:r w:rsidRPr="0013615E">
        <w:rPr>
          <w:rFonts w:ascii="Times New Roman" w:hAnsi="Times New Roman" w:cs="Times New Roman"/>
        </w:rPr>
        <w:t>F</w:t>
      </w:r>
      <w:r w:rsidR="00C37394" w:rsidRPr="0013615E">
        <w:rPr>
          <w:rFonts w:ascii="Times New Roman" w:hAnsi="Times New Roman" w:cs="Times New Roman"/>
        </w:rPr>
        <w:t xml:space="preserve">ederal regulation of AI is limited and generally is found under existing legislation and regulatory oversight which relates to other issues which happen to </w:t>
      </w:r>
      <w:proofErr w:type="gramStart"/>
      <w:r w:rsidR="00C37394" w:rsidRPr="0013615E">
        <w:rPr>
          <w:rFonts w:ascii="Times New Roman" w:hAnsi="Times New Roman" w:cs="Times New Roman"/>
        </w:rPr>
        <w:t>involves</w:t>
      </w:r>
      <w:proofErr w:type="gramEnd"/>
      <w:r w:rsidR="00C37394" w:rsidRPr="0013615E">
        <w:rPr>
          <w:rFonts w:ascii="Times New Roman" w:hAnsi="Times New Roman" w:cs="Times New Roman"/>
        </w:rPr>
        <w:t xml:space="preserve"> aspects of AI, and not AI specifically. </w:t>
      </w:r>
      <w:r w:rsidR="002404BC" w:rsidRPr="0013615E">
        <w:rPr>
          <w:rFonts w:ascii="Times New Roman" w:hAnsi="Times New Roman" w:cs="Times New Roman"/>
        </w:rPr>
        <w:t xml:space="preserve">According to the </w:t>
      </w:r>
      <w:r w:rsidR="001A3294" w:rsidRPr="0013615E">
        <w:rPr>
          <w:rFonts w:ascii="Times New Roman" w:hAnsi="Times New Roman" w:cs="Times New Roman"/>
        </w:rPr>
        <w:t>Congressional Research Service, “</w:t>
      </w:r>
      <w:r w:rsidR="003D33B5" w:rsidRPr="0013615E">
        <w:rPr>
          <w:rFonts w:ascii="Times New Roman" w:hAnsi="Times New Roman" w:cs="Times New Roman"/>
        </w:rPr>
        <w:t>[b]eyond broad AI governance frameworks… most of the U.S. regulatory efforts regarding AI have centered on federal agency assessments and enforcement of existing regulatory authorities, exploration of whether individual agencies require additional authorities, and securing voluntary commitments from industry.”</w:t>
      </w:r>
      <w:r w:rsidR="003D33B5" w:rsidRPr="0013615E">
        <w:rPr>
          <w:rStyle w:val="FootnoteReference"/>
          <w:rFonts w:ascii="Times New Roman" w:hAnsi="Times New Roman" w:cs="Times New Roman"/>
        </w:rPr>
        <w:footnoteReference w:id="47"/>
      </w:r>
      <w:r w:rsidR="007D4C1C" w:rsidRPr="0013615E">
        <w:rPr>
          <w:rFonts w:ascii="Times New Roman" w:hAnsi="Times New Roman" w:cs="Times New Roman"/>
        </w:rPr>
        <w:t xml:space="preserve"> </w:t>
      </w:r>
      <w:r w:rsidR="001A3294" w:rsidRPr="0013615E">
        <w:rPr>
          <w:rFonts w:ascii="Times New Roman" w:hAnsi="Times New Roman" w:cs="Times New Roman"/>
        </w:rPr>
        <w:t xml:space="preserve">The </w:t>
      </w:r>
      <w:r w:rsidRPr="0013615E">
        <w:rPr>
          <w:rFonts w:ascii="Times New Roman" w:hAnsi="Times New Roman" w:cs="Times New Roman"/>
        </w:rPr>
        <w:t xml:space="preserve">lack of regulation of AI at the US federal level may be due to one of several reasons, such as, a lack of willingness to regulate AI, a lack of consensus on how best to regulate AI, external pressure from industry to keep AI from being regulated, dysfunction in the US congress, lack of political power to push through AI regulation, and </w:t>
      </w:r>
      <w:r w:rsidR="00D563E1" w:rsidRPr="0013615E">
        <w:rPr>
          <w:rFonts w:ascii="Times New Roman" w:hAnsi="Times New Roman" w:cs="Times New Roman"/>
        </w:rPr>
        <w:t xml:space="preserve">the lack of foresight by US policy makers. </w:t>
      </w:r>
      <w:r w:rsidR="00DA0189" w:rsidRPr="0013615E">
        <w:rPr>
          <w:rFonts w:ascii="Times New Roman" w:hAnsi="Times New Roman" w:cs="Times New Roman"/>
        </w:rPr>
        <w:t xml:space="preserve">It is doubtful that the lack of regulation of AI at the federal level is a matter of there being a lack of need to regulate AI, rather the lack of regulation is best explained </w:t>
      </w:r>
      <w:proofErr w:type="gramStart"/>
      <w:r w:rsidR="00DA0189" w:rsidRPr="0013615E">
        <w:rPr>
          <w:rFonts w:ascii="Times New Roman" w:hAnsi="Times New Roman" w:cs="Times New Roman"/>
        </w:rPr>
        <w:t>as a result of</w:t>
      </w:r>
      <w:proofErr w:type="gramEnd"/>
      <w:r w:rsidR="00DA0189" w:rsidRPr="0013615E">
        <w:rPr>
          <w:rFonts w:ascii="Times New Roman" w:hAnsi="Times New Roman" w:cs="Times New Roman"/>
        </w:rPr>
        <w:t xml:space="preserve"> the political process and the lobbying of the AI industry. </w:t>
      </w:r>
    </w:p>
    <w:p w14:paraId="03763F49" w14:textId="7F572207" w:rsidR="00846CEF" w:rsidRPr="0013615E" w:rsidRDefault="00622565" w:rsidP="0006766C">
      <w:pPr>
        <w:spacing w:line="240" w:lineRule="auto"/>
        <w:rPr>
          <w:rFonts w:ascii="Times New Roman" w:hAnsi="Times New Roman" w:cs="Times New Roman"/>
          <w:u w:val="single"/>
        </w:rPr>
      </w:pPr>
      <w:r w:rsidRPr="0013615E">
        <w:rPr>
          <w:rFonts w:ascii="Times New Roman" w:hAnsi="Times New Roman" w:cs="Times New Roman"/>
          <w:u w:val="single"/>
        </w:rPr>
        <w:t xml:space="preserve">4.2.2 US </w:t>
      </w:r>
      <w:r w:rsidR="00846CEF" w:rsidRPr="0013615E">
        <w:rPr>
          <w:rFonts w:ascii="Times New Roman" w:hAnsi="Times New Roman" w:cs="Times New Roman"/>
          <w:u w:val="single"/>
        </w:rPr>
        <w:t>State</w:t>
      </w:r>
      <w:r w:rsidRPr="0013615E">
        <w:rPr>
          <w:rFonts w:ascii="Times New Roman" w:hAnsi="Times New Roman" w:cs="Times New Roman"/>
          <w:u w:val="single"/>
        </w:rPr>
        <w:t xml:space="preserve"> AI Regulation</w:t>
      </w:r>
    </w:p>
    <w:p w14:paraId="1A2988BD" w14:textId="77777777" w:rsidR="00B80FAE" w:rsidRPr="0013615E" w:rsidRDefault="00647C2B" w:rsidP="0006766C">
      <w:pPr>
        <w:spacing w:line="240" w:lineRule="auto"/>
        <w:rPr>
          <w:rFonts w:ascii="Times New Roman" w:hAnsi="Times New Roman" w:cs="Times New Roman"/>
        </w:rPr>
      </w:pPr>
      <w:r w:rsidRPr="0013615E">
        <w:rPr>
          <w:rFonts w:ascii="Times New Roman" w:hAnsi="Times New Roman" w:cs="Times New Roman"/>
        </w:rPr>
        <w:lastRenderedPageBreak/>
        <w:t xml:space="preserve">Even if the inability of the federal government to enact comprehensive regulation of AI is </w:t>
      </w:r>
      <w:r w:rsidR="00093C68" w:rsidRPr="0013615E">
        <w:rPr>
          <w:rFonts w:ascii="Times New Roman" w:hAnsi="Times New Roman" w:cs="Times New Roman"/>
        </w:rPr>
        <w:t>protracted</w:t>
      </w:r>
      <w:r w:rsidRPr="0013615E">
        <w:rPr>
          <w:rFonts w:ascii="Times New Roman" w:hAnsi="Times New Roman" w:cs="Times New Roman"/>
        </w:rPr>
        <w:t xml:space="preserve">, there appears </w:t>
      </w:r>
      <w:r w:rsidR="00093C68" w:rsidRPr="0013615E">
        <w:rPr>
          <w:rFonts w:ascii="Times New Roman" w:hAnsi="Times New Roman" w:cs="Times New Roman"/>
        </w:rPr>
        <w:t>some</w:t>
      </w:r>
      <w:r w:rsidRPr="0013615E">
        <w:rPr>
          <w:rFonts w:ascii="Times New Roman" w:hAnsi="Times New Roman" w:cs="Times New Roman"/>
        </w:rPr>
        <w:t xml:space="preserve"> </w:t>
      </w:r>
      <w:r w:rsidR="00093C68" w:rsidRPr="0013615E">
        <w:rPr>
          <w:rFonts w:ascii="Times New Roman" w:hAnsi="Times New Roman" w:cs="Times New Roman"/>
        </w:rPr>
        <w:t>willingness</w:t>
      </w:r>
      <w:r w:rsidRPr="0013615E">
        <w:rPr>
          <w:rFonts w:ascii="Times New Roman" w:hAnsi="Times New Roman" w:cs="Times New Roman"/>
        </w:rPr>
        <w:t xml:space="preserve"> to </w:t>
      </w:r>
      <w:r w:rsidR="007D4C1C" w:rsidRPr="0013615E">
        <w:rPr>
          <w:rFonts w:ascii="Times New Roman" w:hAnsi="Times New Roman" w:cs="Times New Roman"/>
        </w:rPr>
        <w:t>regulate AI at</w:t>
      </w:r>
      <w:r w:rsidRPr="0013615E">
        <w:rPr>
          <w:rFonts w:ascii="Times New Roman" w:hAnsi="Times New Roman" w:cs="Times New Roman"/>
        </w:rPr>
        <w:t xml:space="preserve"> the state</w:t>
      </w:r>
      <w:r w:rsidR="007D4C1C" w:rsidRPr="0013615E">
        <w:rPr>
          <w:rFonts w:ascii="Times New Roman" w:hAnsi="Times New Roman" w:cs="Times New Roman"/>
        </w:rPr>
        <w:t xml:space="preserve"> level. </w:t>
      </w:r>
      <w:r w:rsidR="00E55C49" w:rsidRPr="0013615E">
        <w:rPr>
          <w:rFonts w:ascii="Times New Roman" w:hAnsi="Times New Roman" w:cs="Times New Roman"/>
        </w:rPr>
        <w:t xml:space="preserve">According to </w:t>
      </w:r>
      <w:r w:rsidR="00CE0905" w:rsidRPr="0013615E">
        <w:rPr>
          <w:rFonts w:ascii="Times New Roman" w:hAnsi="Times New Roman" w:cs="Times New Roman"/>
        </w:rPr>
        <w:t>Frostestad, “</w:t>
      </w:r>
      <w:r w:rsidR="00236D89" w:rsidRPr="0013615E">
        <w:rPr>
          <w:rFonts w:ascii="Times New Roman" w:hAnsi="Times New Roman" w:cs="Times New Roman"/>
        </w:rPr>
        <w:t>[t]he state regulatory efforts in the U.S. currently exceed those at the federal level in the form of bottom-up regulatory approach.”</w:t>
      </w:r>
      <w:r w:rsidR="00236D89" w:rsidRPr="0013615E">
        <w:rPr>
          <w:rStyle w:val="FootnoteReference"/>
          <w:rFonts w:ascii="Times New Roman" w:hAnsi="Times New Roman" w:cs="Times New Roman"/>
        </w:rPr>
        <w:footnoteReference w:id="48"/>
      </w:r>
      <w:r w:rsidR="00236D89" w:rsidRPr="0013615E">
        <w:rPr>
          <w:rFonts w:ascii="Times New Roman" w:hAnsi="Times New Roman" w:cs="Times New Roman"/>
        </w:rPr>
        <w:t xml:space="preserve"> </w:t>
      </w:r>
      <w:r w:rsidRPr="0013615E">
        <w:rPr>
          <w:rFonts w:ascii="Times New Roman" w:hAnsi="Times New Roman" w:cs="Times New Roman"/>
        </w:rPr>
        <w:t xml:space="preserve">Under the principles of federalism found in the US Constitution, the states have been taking up the burden of regulating AI under their reserved powers and the lack of regulation enacted at the federal level that might lead to an invocation of the supremacy clause to limit state regulation of AI. </w:t>
      </w:r>
    </w:p>
    <w:p w14:paraId="37EA626D" w14:textId="77777777" w:rsidR="00B80FAE" w:rsidRPr="0013615E" w:rsidRDefault="00093C68" w:rsidP="0006766C">
      <w:pPr>
        <w:spacing w:line="240" w:lineRule="auto"/>
        <w:rPr>
          <w:rFonts w:ascii="Times New Roman" w:hAnsi="Times New Roman" w:cs="Times New Roman"/>
        </w:rPr>
      </w:pPr>
      <w:r w:rsidRPr="0013615E">
        <w:rPr>
          <w:rFonts w:ascii="Times New Roman" w:hAnsi="Times New Roman" w:cs="Times New Roman"/>
        </w:rPr>
        <w:t xml:space="preserve">The current regulation of AI at the state level in the US has been described as </w:t>
      </w:r>
      <w:r w:rsidR="00B80FAE" w:rsidRPr="0013615E">
        <w:rPr>
          <w:rFonts w:ascii="Times New Roman" w:hAnsi="Times New Roman" w:cs="Times New Roman"/>
        </w:rPr>
        <w:t>w</w:t>
      </w:r>
      <w:r w:rsidR="00647C2B" w:rsidRPr="0013615E">
        <w:rPr>
          <w:rFonts w:ascii="Times New Roman" w:hAnsi="Times New Roman" w:cs="Times New Roman"/>
        </w:rPr>
        <w:t>ithin the federal void of regulation, states have been continually enacting comprehensive AI regulation or limited regulation of AI concerning certain areas of law</w:t>
      </w:r>
      <w:r w:rsidR="00F52443" w:rsidRPr="0013615E">
        <w:rPr>
          <w:rFonts w:ascii="Times New Roman" w:hAnsi="Times New Roman" w:cs="Times New Roman"/>
        </w:rPr>
        <w:t>. The state approach</w:t>
      </w:r>
      <w:r w:rsidR="00846CEF" w:rsidRPr="0013615E">
        <w:rPr>
          <w:rFonts w:ascii="Times New Roman" w:hAnsi="Times New Roman" w:cs="Times New Roman"/>
        </w:rPr>
        <w:t xml:space="preserve"> has been divergent, as the specific framework of regulation has not converged around a </w:t>
      </w:r>
      <w:r w:rsidR="00A65646" w:rsidRPr="0013615E">
        <w:rPr>
          <w:rFonts w:ascii="Times New Roman" w:hAnsi="Times New Roman" w:cs="Times New Roman"/>
        </w:rPr>
        <w:t xml:space="preserve">common methodology. </w:t>
      </w:r>
    </w:p>
    <w:p w14:paraId="5954BC62" w14:textId="0EC6363A" w:rsidR="00B80FAE" w:rsidRPr="0013615E" w:rsidRDefault="00B80FAE" w:rsidP="0006766C">
      <w:pPr>
        <w:spacing w:line="240" w:lineRule="auto"/>
        <w:rPr>
          <w:rFonts w:ascii="Times New Roman" w:hAnsi="Times New Roman" w:cs="Times New Roman"/>
        </w:rPr>
      </w:pPr>
      <w:r w:rsidRPr="0013615E">
        <w:rPr>
          <w:rFonts w:ascii="Times New Roman" w:hAnsi="Times New Roman" w:cs="Times New Roman"/>
        </w:rPr>
        <w:t xml:space="preserve">The use of AI in legal practice in the US has been the source of numerous ethics complaints against lawyers. One specific problem concerns the use of AI by lawyers to draft documents which are filed with the court. LLMs are known to hallucinate cases which are nonexistent, and some lawyers have submitted pleadings and briefs which cite nonexistent cases which are the product of AI hallucinations. </w:t>
      </w:r>
      <w:r w:rsidR="00527CD0" w:rsidRPr="0013615E">
        <w:rPr>
          <w:rFonts w:ascii="Times New Roman" w:hAnsi="Times New Roman" w:cs="Times New Roman"/>
        </w:rPr>
        <w:t>The Interactive GenAI Legal Hallucination Tracker maintained by the AI Law Librarians, as of November 2025 has a documented over 480 instances of attorneys using non existent cases which were hallucinated by AI, which were submitted to courts in the US.</w:t>
      </w:r>
      <w:r w:rsidR="00527CD0" w:rsidRPr="0013615E">
        <w:rPr>
          <w:rStyle w:val="FootnoteReference"/>
          <w:rFonts w:ascii="Times New Roman" w:hAnsi="Times New Roman" w:cs="Times New Roman"/>
        </w:rPr>
        <w:footnoteReference w:id="49"/>
      </w:r>
      <w:r w:rsidR="00527CD0" w:rsidRPr="0013615E">
        <w:rPr>
          <w:rFonts w:ascii="Times New Roman" w:hAnsi="Times New Roman" w:cs="Times New Roman"/>
        </w:rPr>
        <w:t xml:space="preserve"> Aside from the widespread use of AI by attorneys and the resulting court sanctions related to submitting false briefs to the court</w:t>
      </w:r>
      <w:r w:rsidR="001B0CD8" w:rsidRPr="0013615E">
        <w:rPr>
          <w:rFonts w:ascii="Times New Roman" w:hAnsi="Times New Roman" w:cs="Times New Roman"/>
        </w:rPr>
        <w:t>s</w:t>
      </w:r>
      <w:r w:rsidR="00527CD0" w:rsidRPr="0013615E">
        <w:rPr>
          <w:rFonts w:ascii="Times New Roman" w:hAnsi="Times New Roman" w:cs="Times New Roman"/>
        </w:rPr>
        <w:t>, there is some state and federal judicial regulation of AI in the practice of law.</w:t>
      </w:r>
      <w:r w:rsidR="00527CD0" w:rsidRPr="0013615E">
        <w:rPr>
          <w:rStyle w:val="FootnoteReference"/>
          <w:rFonts w:ascii="Times New Roman" w:hAnsi="Times New Roman" w:cs="Times New Roman"/>
        </w:rPr>
        <w:footnoteReference w:id="50"/>
      </w:r>
      <w:r w:rsidR="00527CD0" w:rsidRPr="0013615E">
        <w:rPr>
          <w:rFonts w:ascii="Times New Roman" w:hAnsi="Times New Roman" w:cs="Times New Roman"/>
        </w:rPr>
        <w:t xml:space="preserve"> </w:t>
      </w:r>
      <w:r w:rsidRPr="0013615E">
        <w:rPr>
          <w:rFonts w:ascii="Times New Roman" w:hAnsi="Times New Roman" w:cs="Times New Roman"/>
        </w:rPr>
        <w:t xml:space="preserve">Generally, court rules regulating the use of AI are designed to ensure disclosure of AI being used, and to ensure compliance with existing rules of professional responsibility. </w:t>
      </w:r>
    </w:p>
    <w:p w14:paraId="3F3C49C3" w14:textId="30102F1E" w:rsidR="00DD580F" w:rsidRPr="0013615E" w:rsidRDefault="009B723B" w:rsidP="0006766C">
      <w:pPr>
        <w:spacing w:line="240" w:lineRule="auto"/>
        <w:rPr>
          <w:rFonts w:ascii="Times New Roman" w:hAnsi="Times New Roman" w:cs="Times New Roman"/>
        </w:rPr>
      </w:pPr>
      <w:r w:rsidRPr="0013615E">
        <w:rPr>
          <w:rFonts w:ascii="Times New Roman" w:hAnsi="Times New Roman" w:cs="Times New Roman"/>
        </w:rPr>
        <w:t xml:space="preserve">As of October 2025, </w:t>
      </w:r>
      <w:r w:rsidR="00B80FAE" w:rsidRPr="0013615E">
        <w:rPr>
          <w:rFonts w:ascii="Times New Roman" w:hAnsi="Times New Roman" w:cs="Times New Roman"/>
        </w:rPr>
        <w:t>o</w:t>
      </w:r>
      <w:r w:rsidR="00A65646" w:rsidRPr="0013615E">
        <w:rPr>
          <w:rFonts w:ascii="Times New Roman" w:hAnsi="Times New Roman" w:cs="Times New Roman"/>
        </w:rPr>
        <w:t xml:space="preserve">nly four states have enacted </w:t>
      </w:r>
      <w:r w:rsidR="00DD580F" w:rsidRPr="0013615E">
        <w:rPr>
          <w:rFonts w:ascii="Times New Roman" w:hAnsi="Times New Roman" w:cs="Times New Roman"/>
        </w:rPr>
        <w:t xml:space="preserve">comprehensive AI </w:t>
      </w:r>
      <w:proofErr w:type="gramStart"/>
      <w:r w:rsidR="00DD580F" w:rsidRPr="0013615E">
        <w:rPr>
          <w:rFonts w:ascii="Times New Roman" w:hAnsi="Times New Roman" w:cs="Times New Roman"/>
        </w:rPr>
        <w:t>regulation</w:t>
      </w:r>
      <w:proofErr w:type="gramEnd"/>
      <w:r w:rsidR="00DD580F" w:rsidRPr="0013615E">
        <w:rPr>
          <w:rFonts w:ascii="Times New Roman" w:hAnsi="Times New Roman" w:cs="Times New Roman"/>
        </w:rPr>
        <w:t>, California, Texas, Utah, and Colorado.</w:t>
      </w:r>
      <w:r w:rsidR="006F7D1B" w:rsidRPr="0013615E">
        <w:rPr>
          <w:rFonts w:ascii="Times New Roman" w:hAnsi="Times New Roman" w:cs="Times New Roman"/>
        </w:rPr>
        <w:t xml:space="preserve"> These four states comprehensive AI regulation can be </w:t>
      </w:r>
      <w:proofErr w:type="gramStart"/>
      <w:r w:rsidR="006F7D1B" w:rsidRPr="0013615E">
        <w:rPr>
          <w:rFonts w:ascii="Times New Roman" w:hAnsi="Times New Roman" w:cs="Times New Roman"/>
        </w:rPr>
        <w:t>considered as</w:t>
      </w:r>
      <w:proofErr w:type="gramEnd"/>
      <w:r w:rsidR="006F7D1B" w:rsidRPr="0013615E">
        <w:rPr>
          <w:rFonts w:ascii="Times New Roman" w:hAnsi="Times New Roman" w:cs="Times New Roman"/>
        </w:rPr>
        <w:t xml:space="preserve"> divergent, as there is no overreaching common approach to the regulation on these four state</w:t>
      </w:r>
      <w:r w:rsidR="00114240" w:rsidRPr="0013615E">
        <w:rPr>
          <w:rFonts w:ascii="Times New Roman" w:hAnsi="Times New Roman" w:cs="Times New Roman"/>
        </w:rPr>
        <w:t>s.</w:t>
      </w:r>
    </w:p>
    <w:p w14:paraId="1ABF6A0C" w14:textId="77777777" w:rsidR="00DD580F" w:rsidRPr="0013615E" w:rsidRDefault="00DD580F" w:rsidP="0006766C">
      <w:pPr>
        <w:spacing w:line="240" w:lineRule="auto"/>
        <w:rPr>
          <w:rFonts w:ascii="Times New Roman" w:hAnsi="Times New Roman" w:cs="Times New Roman"/>
        </w:rPr>
      </w:pPr>
      <w:r w:rsidRPr="0013615E">
        <w:rPr>
          <w:rFonts w:ascii="Times New Roman" w:hAnsi="Times New Roman" w:cs="Times New Roman"/>
        </w:rPr>
        <w:t>California</w:t>
      </w:r>
    </w:p>
    <w:p w14:paraId="6EE84598" w14:textId="64AA2B14" w:rsidR="008A1B3B" w:rsidRPr="0013615E" w:rsidRDefault="00E31F92" w:rsidP="0006766C">
      <w:pPr>
        <w:spacing w:line="240" w:lineRule="auto"/>
        <w:rPr>
          <w:rFonts w:ascii="Times New Roman" w:hAnsi="Times New Roman" w:cs="Times New Roman"/>
        </w:rPr>
      </w:pPr>
      <w:r w:rsidRPr="0013615E">
        <w:rPr>
          <w:rFonts w:ascii="Times New Roman" w:hAnsi="Times New Roman" w:cs="Times New Roman"/>
        </w:rPr>
        <w:t>California has enacted several statutes related to the regulation of AI</w:t>
      </w:r>
      <w:r w:rsidR="005B1819" w:rsidRPr="0013615E">
        <w:rPr>
          <w:rFonts w:ascii="Times New Roman" w:hAnsi="Times New Roman" w:cs="Times New Roman"/>
        </w:rPr>
        <w:t xml:space="preserve">. Looking at the most recent regulation passed in California, the </w:t>
      </w:r>
      <w:r w:rsidR="00291B54" w:rsidRPr="0013615E">
        <w:rPr>
          <w:rFonts w:ascii="Times New Roman" w:hAnsi="Times New Roman" w:cs="Times New Roman"/>
        </w:rPr>
        <w:t xml:space="preserve">California </w:t>
      </w:r>
      <w:r w:rsidR="005B1819" w:rsidRPr="0013615E">
        <w:rPr>
          <w:rFonts w:ascii="Times New Roman" w:hAnsi="Times New Roman" w:cs="Times New Roman"/>
        </w:rPr>
        <w:t>AI Transparency Act</w:t>
      </w:r>
      <w:r w:rsidR="00CA7808" w:rsidRPr="0013615E">
        <w:rPr>
          <w:rFonts w:ascii="Times New Roman" w:hAnsi="Times New Roman" w:cs="Times New Roman"/>
        </w:rPr>
        <w:t>.</w:t>
      </w:r>
      <w:r w:rsidR="00CA7808" w:rsidRPr="0013615E">
        <w:rPr>
          <w:rStyle w:val="FootnoteReference"/>
          <w:rFonts w:ascii="Times New Roman" w:hAnsi="Times New Roman" w:cs="Times New Roman"/>
        </w:rPr>
        <w:footnoteReference w:id="51"/>
      </w:r>
      <w:r w:rsidR="00CA7808" w:rsidRPr="0013615E">
        <w:rPr>
          <w:rFonts w:ascii="Times New Roman" w:hAnsi="Times New Roman" w:cs="Times New Roman"/>
        </w:rPr>
        <w:t xml:space="preserve"> </w:t>
      </w:r>
      <w:r w:rsidR="00291B54" w:rsidRPr="0013615E">
        <w:rPr>
          <w:rFonts w:ascii="Times New Roman" w:hAnsi="Times New Roman" w:cs="Times New Roman"/>
        </w:rPr>
        <w:t>Under the AI Transparency Act, “Artificial intelligence” or “AI” means an engineered or machine-based system that varies in its level of autonomy and that can, for explicit or implicit objectives, infer from the input it receives how to generate outputs that can influence physical or virtual environments.”</w:t>
      </w:r>
      <w:r w:rsidR="00291B54" w:rsidRPr="0013615E">
        <w:rPr>
          <w:rStyle w:val="FootnoteReference"/>
          <w:rFonts w:ascii="Times New Roman" w:hAnsi="Times New Roman" w:cs="Times New Roman"/>
        </w:rPr>
        <w:footnoteReference w:id="52"/>
      </w:r>
      <w:r w:rsidR="008401DD" w:rsidRPr="0013615E">
        <w:rPr>
          <w:rFonts w:ascii="Times New Roman" w:hAnsi="Times New Roman" w:cs="Times New Roman"/>
        </w:rPr>
        <w:t xml:space="preserve"> The act </w:t>
      </w:r>
      <w:r w:rsidR="008401DD" w:rsidRPr="0013615E">
        <w:rPr>
          <w:rFonts w:ascii="Times New Roman" w:hAnsi="Times New Roman" w:cs="Times New Roman"/>
        </w:rPr>
        <w:lastRenderedPageBreak/>
        <w:t xml:space="preserve">is designed to </w:t>
      </w:r>
      <w:r w:rsidR="00BB2650" w:rsidRPr="0013615E">
        <w:rPr>
          <w:rFonts w:ascii="Times New Roman" w:hAnsi="Times New Roman" w:cs="Times New Roman"/>
        </w:rPr>
        <w:t xml:space="preserve">make </w:t>
      </w:r>
      <w:r w:rsidR="004A257D" w:rsidRPr="0013615E">
        <w:rPr>
          <w:rFonts w:ascii="Times New Roman" w:hAnsi="Times New Roman" w:cs="Times New Roman"/>
        </w:rPr>
        <w:t>“covered providers” with “over 1,000,000 monthly visitors or users and is publicly accessible” provide information about the generation of “synthetic content”, including emending “provenance data” within the content.</w:t>
      </w:r>
      <w:r w:rsidR="004A257D" w:rsidRPr="0013615E">
        <w:rPr>
          <w:rStyle w:val="FootnoteReference"/>
          <w:rFonts w:ascii="Times New Roman" w:hAnsi="Times New Roman" w:cs="Times New Roman"/>
        </w:rPr>
        <w:footnoteReference w:id="53"/>
      </w:r>
      <w:r w:rsidR="00194759" w:rsidRPr="0013615E">
        <w:rPr>
          <w:rFonts w:ascii="Times New Roman" w:hAnsi="Times New Roman" w:cs="Times New Roman"/>
        </w:rPr>
        <w:t xml:space="preserve"> Providers are required to “make available an AI detection tool at not cost to the users” which allows them to “assess whether image, video, or audio content</w:t>
      </w:r>
      <w:r w:rsidR="009B05AC" w:rsidRPr="0013615E">
        <w:rPr>
          <w:rFonts w:ascii="Times New Roman" w:hAnsi="Times New Roman" w:cs="Times New Roman"/>
        </w:rPr>
        <w:t>… was created or altered by the covered provider’s GenAI system.”</w:t>
      </w:r>
      <w:r w:rsidR="009B05AC" w:rsidRPr="0013615E">
        <w:rPr>
          <w:rStyle w:val="FootnoteReference"/>
          <w:rFonts w:ascii="Times New Roman" w:hAnsi="Times New Roman" w:cs="Times New Roman"/>
        </w:rPr>
        <w:footnoteReference w:id="54"/>
      </w:r>
      <w:r w:rsidR="006F064F" w:rsidRPr="0013615E">
        <w:rPr>
          <w:rFonts w:ascii="Times New Roman" w:hAnsi="Times New Roman" w:cs="Times New Roman"/>
        </w:rPr>
        <w:t xml:space="preserve"> This accompanies disclosure requirements related to GenAI content</w:t>
      </w:r>
      <w:r w:rsidR="00AD6194" w:rsidRPr="0013615E">
        <w:rPr>
          <w:rFonts w:ascii="Times New Roman" w:hAnsi="Times New Roman" w:cs="Times New Roman"/>
        </w:rPr>
        <w:t>, and provides for civil penalties for the violation of the act ($5,000 per violation)</w:t>
      </w:r>
      <w:r w:rsidR="006F064F" w:rsidRPr="0013615E">
        <w:rPr>
          <w:rFonts w:ascii="Times New Roman" w:hAnsi="Times New Roman" w:cs="Times New Roman"/>
        </w:rPr>
        <w:t>.</w:t>
      </w:r>
      <w:r w:rsidR="006F064F" w:rsidRPr="0013615E">
        <w:rPr>
          <w:rStyle w:val="FootnoteReference"/>
          <w:rFonts w:ascii="Times New Roman" w:hAnsi="Times New Roman" w:cs="Times New Roman"/>
        </w:rPr>
        <w:footnoteReference w:id="55"/>
      </w:r>
      <w:r w:rsidR="006F064F" w:rsidRPr="0013615E">
        <w:rPr>
          <w:rFonts w:ascii="Times New Roman" w:hAnsi="Times New Roman" w:cs="Times New Roman"/>
        </w:rPr>
        <w:t xml:space="preserve"> </w:t>
      </w:r>
      <w:r w:rsidR="008A1B3B" w:rsidRPr="0013615E">
        <w:rPr>
          <w:rFonts w:ascii="Times New Roman" w:hAnsi="Times New Roman" w:cs="Times New Roman"/>
        </w:rPr>
        <w:t xml:space="preserve">California also has </w:t>
      </w:r>
      <w:r w:rsidR="00BB433A" w:rsidRPr="0013615E">
        <w:rPr>
          <w:rFonts w:ascii="Times New Roman" w:hAnsi="Times New Roman" w:cs="Times New Roman"/>
        </w:rPr>
        <w:t>legislation which addresses the use of AI in state education agencies,</w:t>
      </w:r>
      <w:r w:rsidR="00BB433A" w:rsidRPr="0013615E">
        <w:rPr>
          <w:rStyle w:val="FootnoteReference"/>
          <w:rFonts w:ascii="Times New Roman" w:hAnsi="Times New Roman" w:cs="Times New Roman"/>
        </w:rPr>
        <w:footnoteReference w:id="56"/>
      </w:r>
      <w:r w:rsidR="00BB433A" w:rsidRPr="0013615E">
        <w:rPr>
          <w:rFonts w:ascii="Times New Roman" w:hAnsi="Times New Roman" w:cs="Times New Roman"/>
        </w:rPr>
        <w:t xml:space="preserve"> </w:t>
      </w:r>
      <w:r w:rsidR="007473C6" w:rsidRPr="0013615E">
        <w:rPr>
          <w:rFonts w:ascii="Times New Roman" w:hAnsi="Times New Roman" w:cs="Times New Roman"/>
        </w:rPr>
        <w:t>government agencies,</w:t>
      </w:r>
      <w:r w:rsidR="007473C6" w:rsidRPr="0013615E">
        <w:rPr>
          <w:rStyle w:val="FootnoteReference"/>
          <w:rFonts w:ascii="Times New Roman" w:hAnsi="Times New Roman" w:cs="Times New Roman"/>
        </w:rPr>
        <w:footnoteReference w:id="57"/>
      </w:r>
      <w:r w:rsidR="007473C6" w:rsidRPr="0013615E">
        <w:rPr>
          <w:rFonts w:ascii="Times New Roman" w:hAnsi="Times New Roman" w:cs="Times New Roman"/>
        </w:rPr>
        <w:t xml:space="preserve"> </w:t>
      </w:r>
      <w:r w:rsidR="00B67295" w:rsidRPr="0013615E">
        <w:rPr>
          <w:rFonts w:ascii="Times New Roman" w:hAnsi="Times New Roman" w:cs="Times New Roman"/>
        </w:rPr>
        <w:t xml:space="preserve">political </w:t>
      </w:r>
      <w:r w:rsidR="006D4351" w:rsidRPr="0013615E">
        <w:rPr>
          <w:rFonts w:ascii="Times New Roman" w:hAnsi="Times New Roman" w:cs="Times New Roman"/>
        </w:rPr>
        <w:t xml:space="preserve">advertisements and telephone </w:t>
      </w:r>
      <w:r w:rsidR="00B67295" w:rsidRPr="0013615E">
        <w:rPr>
          <w:rFonts w:ascii="Times New Roman" w:hAnsi="Times New Roman" w:cs="Times New Roman"/>
        </w:rPr>
        <w:t>campaigns,</w:t>
      </w:r>
      <w:r w:rsidR="00B67295" w:rsidRPr="0013615E">
        <w:rPr>
          <w:rStyle w:val="FootnoteReference"/>
          <w:rFonts w:ascii="Times New Roman" w:hAnsi="Times New Roman" w:cs="Times New Roman"/>
        </w:rPr>
        <w:footnoteReference w:id="58"/>
      </w:r>
      <w:r w:rsidR="00B67295" w:rsidRPr="0013615E">
        <w:rPr>
          <w:rFonts w:ascii="Times New Roman" w:hAnsi="Times New Roman" w:cs="Times New Roman"/>
        </w:rPr>
        <w:t xml:space="preserve"> </w:t>
      </w:r>
      <w:r w:rsidR="00555A10" w:rsidRPr="0013615E">
        <w:rPr>
          <w:rFonts w:ascii="Times New Roman" w:hAnsi="Times New Roman" w:cs="Times New Roman"/>
        </w:rPr>
        <w:t>health care,</w:t>
      </w:r>
      <w:r w:rsidR="00555A10" w:rsidRPr="0013615E">
        <w:rPr>
          <w:rStyle w:val="FootnoteReference"/>
          <w:rFonts w:ascii="Times New Roman" w:hAnsi="Times New Roman" w:cs="Times New Roman"/>
        </w:rPr>
        <w:footnoteReference w:id="59"/>
      </w:r>
      <w:r w:rsidR="00555A10" w:rsidRPr="0013615E">
        <w:rPr>
          <w:rFonts w:ascii="Times New Roman" w:hAnsi="Times New Roman" w:cs="Times New Roman"/>
        </w:rPr>
        <w:t xml:space="preserve"> and the creation</w:t>
      </w:r>
      <w:r w:rsidR="00A86432" w:rsidRPr="0013615E">
        <w:rPr>
          <w:rFonts w:ascii="Times New Roman" w:hAnsi="Times New Roman" w:cs="Times New Roman"/>
        </w:rPr>
        <w:t xml:space="preserve"> or possession</w:t>
      </w:r>
      <w:r w:rsidR="00555A10" w:rsidRPr="0013615E">
        <w:rPr>
          <w:rFonts w:ascii="Times New Roman" w:hAnsi="Times New Roman" w:cs="Times New Roman"/>
        </w:rPr>
        <w:t xml:space="preserve"> of obscene material depicting minors</w:t>
      </w:r>
      <w:r w:rsidR="00A86432" w:rsidRPr="0013615E">
        <w:rPr>
          <w:rFonts w:ascii="Times New Roman" w:hAnsi="Times New Roman" w:cs="Times New Roman"/>
        </w:rPr>
        <w:t xml:space="preserve"> or child sexual abuse materials (CSAM)</w:t>
      </w:r>
      <w:r w:rsidR="00555A10" w:rsidRPr="0013615E">
        <w:rPr>
          <w:rStyle w:val="FootnoteReference"/>
          <w:rFonts w:ascii="Times New Roman" w:hAnsi="Times New Roman" w:cs="Times New Roman"/>
        </w:rPr>
        <w:footnoteReference w:id="60"/>
      </w:r>
      <w:r w:rsidR="00991ABC" w:rsidRPr="0013615E">
        <w:rPr>
          <w:rFonts w:ascii="Times New Roman" w:hAnsi="Times New Roman" w:cs="Times New Roman"/>
        </w:rPr>
        <w:t xml:space="preserve">. </w:t>
      </w:r>
      <w:r w:rsidR="001B45BD" w:rsidRPr="0013615E">
        <w:rPr>
          <w:rFonts w:ascii="Times New Roman" w:hAnsi="Times New Roman" w:cs="Times New Roman"/>
        </w:rPr>
        <w:t>California courts have also enacted rule 10.430 “Generative artificial intelligence use policies” which defines generative AI as “a computer-based system that uses machine learning or similar techniques to produce new content--such as text, images, audio, video, code, or data visualizations--in response to user inputs. Generative AI systems create content that is not pre-programmed or explicitly retrieved but synthesized based on underlying models trained on large datasets and may include integration with other sources, such as real-time access to proprietary databases.”</w:t>
      </w:r>
      <w:r w:rsidR="001B45BD" w:rsidRPr="0013615E">
        <w:rPr>
          <w:rStyle w:val="FootnoteReference"/>
          <w:rFonts w:ascii="Times New Roman" w:hAnsi="Times New Roman" w:cs="Times New Roman"/>
        </w:rPr>
        <w:footnoteReference w:id="61"/>
      </w:r>
      <w:r w:rsidR="001B45BD" w:rsidRPr="0013615E">
        <w:rPr>
          <w:rFonts w:ascii="Times New Roman" w:hAnsi="Times New Roman" w:cs="Times New Roman"/>
        </w:rPr>
        <w:t xml:space="preserve"> Under Rule 10.430, courts in California must adopt policies for judicial officers use of generative AI if they have not prohibited it.</w:t>
      </w:r>
      <w:r w:rsidR="001B45BD" w:rsidRPr="0013615E">
        <w:rPr>
          <w:rStyle w:val="FootnoteReference"/>
          <w:rFonts w:ascii="Times New Roman" w:hAnsi="Times New Roman" w:cs="Times New Roman"/>
        </w:rPr>
        <w:footnoteReference w:id="62"/>
      </w:r>
      <w:r w:rsidR="001B45BD" w:rsidRPr="0013615E">
        <w:rPr>
          <w:rFonts w:ascii="Times New Roman" w:hAnsi="Times New Roman" w:cs="Times New Roman"/>
        </w:rPr>
        <w:t xml:space="preserve"> </w:t>
      </w:r>
      <w:r w:rsidR="007415E9" w:rsidRPr="0013615E">
        <w:rPr>
          <w:rFonts w:ascii="Times New Roman" w:hAnsi="Times New Roman" w:cs="Times New Roman"/>
        </w:rPr>
        <w:t>Such policies must “[p]rohibit the entry of confidential, personal identifying, or other nonpublic information into a public generative AI system,”</w:t>
      </w:r>
      <w:r w:rsidR="007415E9" w:rsidRPr="0013615E">
        <w:rPr>
          <w:rStyle w:val="FootnoteReference"/>
          <w:rFonts w:ascii="Times New Roman" w:hAnsi="Times New Roman" w:cs="Times New Roman"/>
        </w:rPr>
        <w:footnoteReference w:id="63"/>
      </w:r>
      <w:r w:rsidR="007415E9" w:rsidRPr="0013615E">
        <w:rPr>
          <w:rFonts w:ascii="Times New Roman" w:hAnsi="Times New Roman" w:cs="Times New Roman"/>
        </w:rPr>
        <w:t xml:space="preserve"> the use of generative AI to “unlawfully discriminate”,</w:t>
      </w:r>
      <w:r w:rsidR="007415E9" w:rsidRPr="0013615E">
        <w:rPr>
          <w:rStyle w:val="FootnoteReference"/>
          <w:rFonts w:ascii="Times New Roman" w:hAnsi="Times New Roman" w:cs="Times New Roman"/>
        </w:rPr>
        <w:footnoteReference w:id="64"/>
      </w:r>
      <w:r w:rsidR="007415E9" w:rsidRPr="0013615E">
        <w:rPr>
          <w:rFonts w:ascii="Times New Roman" w:hAnsi="Times New Roman" w:cs="Times New Roman"/>
        </w:rPr>
        <w:t xml:space="preserve"> places a burden on judicial officers “to take reasonable steps to verify that the material is accurate,”</w:t>
      </w:r>
      <w:r w:rsidR="007415E9" w:rsidRPr="0013615E">
        <w:rPr>
          <w:rStyle w:val="FootnoteReference"/>
          <w:rFonts w:ascii="Times New Roman" w:hAnsi="Times New Roman" w:cs="Times New Roman"/>
        </w:rPr>
        <w:footnoteReference w:id="65"/>
      </w:r>
      <w:r w:rsidR="007415E9" w:rsidRPr="0013615E">
        <w:rPr>
          <w:rFonts w:ascii="Times New Roman" w:hAnsi="Times New Roman" w:cs="Times New Roman"/>
        </w:rPr>
        <w:t xml:space="preserve"> remove biased content,</w:t>
      </w:r>
      <w:r w:rsidR="007415E9" w:rsidRPr="0013615E">
        <w:rPr>
          <w:rStyle w:val="FootnoteReference"/>
          <w:rFonts w:ascii="Times New Roman" w:hAnsi="Times New Roman" w:cs="Times New Roman"/>
        </w:rPr>
        <w:footnoteReference w:id="66"/>
      </w:r>
      <w:r w:rsidR="007415E9" w:rsidRPr="0013615E">
        <w:rPr>
          <w:rFonts w:ascii="Times New Roman" w:hAnsi="Times New Roman" w:cs="Times New Roman"/>
        </w:rPr>
        <w:t xml:space="preserve"> and disclose the use of the generative AI</w:t>
      </w:r>
      <w:r w:rsidR="007415E9" w:rsidRPr="0013615E">
        <w:rPr>
          <w:rStyle w:val="FootnoteReference"/>
          <w:rFonts w:ascii="Times New Roman" w:hAnsi="Times New Roman" w:cs="Times New Roman"/>
        </w:rPr>
        <w:footnoteReference w:id="67"/>
      </w:r>
      <w:r w:rsidR="007415E9" w:rsidRPr="0013615E">
        <w:rPr>
          <w:rFonts w:ascii="Times New Roman" w:hAnsi="Times New Roman" w:cs="Times New Roman"/>
        </w:rPr>
        <w:t>.</w:t>
      </w:r>
      <w:r w:rsidR="002E0142" w:rsidRPr="0013615E">
        <w:rPr>
          <w:rFonts w:ascii="Times New Roman" w:hAnsi="Times New Roman" w:cs="Times New Roman"/>
        </w:rPr>
        <w:t xml:space="preserve"> The Adivisory Committee comments notes that the rule does “not require any court to permit the use of generative AI.”</w:t>
      </w:r>
      <w:r w:rsidR="002E0142" w:rsidRPr="0013615E">
        <w:rPr>
          <w:rStyle w:val="FootnoteReference"/>
          <w:rFonts w:ascii="Times New Roman" w:hAnsi="Times New Roman" w:cs="Times New Roman"/>
        </w:rPr>
        <w:footnoteReference w:id="68"/>
      </w:r>
    </w:p>
    <w:p w14:paraId="6190C644" w14:textId="77777777" w:rsidR="0013615E" w:rsidRPr="0013615E" w:rsidRDefault="0013615E" w:rsidP="0013615E">
      <w:pPr>
        <w:spacing w:line="240" w:lineRule="auto"/>
        <w:rPr>
          <w:rFonts w:ascii="Times New Roman" w:hAnsi="Times New Roman" w:cs="Times New Roman"/>
        </w:rPr>
      </w:pPr>
      <w:r w:rsidRPr="0013615E">
        <w:rPr>
          <w:rFonts w:ascii="Times New Roman" w:hAnsi="Times New Roman" w:cs="Times New Roman"/>
        </w:rPr>
        <w:t>Colorado.</w:t>
      </w:r>
    </w:p>
    <w:p w14:paraId="2FC5E05D" w14:textId="260A3383" w:rsidR="0013615E" w:rsidRPr="0013615E" w:rsidRDefault="0013615E" w:rsidP="0013615E">
      <w:pPr>
        <w:spacing w:line="240" w:lineRule="auto"/>
        <w:rPr>
          <w:rFonts w:ascii="Times New Roman" w:eastAsia="Times New Roman" w:hAnsi="Times New Roman" w:cs="Times New Roman"/>
          <w:color w:val="000000"/>
          <w:kern w:val="0"/>
          <w14:ligatures w14:val="none"/>
        </w:rPr>
      </w:pPr>
      <w:r w:rsidRPr="0013615E">
        <w:rPr>
          <w:rFonts w:ascii="Times New Roman" w:hAnsi="Times New Roman" w:cs="Times New Roman"/>
        </w:rPr>
        <w:t>Under part 17 of the Colorado Consumer Protection Act, high risk Ai applications are regulated. Colorado</w:t>
      </w:r>
      <w:r w:rsidR="00A86432" w:rsidRPr="0013615E">
        <w:rPr>
          <w:rFonts w:ascii="Times New Roman" w:hAnsi="Times New Roman" w:cs="Times New Roman"/>
        </w:rPr>
        <w:t xml:space="preserve"> legislation uses </w:t>
      </w:r>
      <w:r w:rsidR="00F42560" w:rsidRPr="0013615E">
        <w:rPr>
          <w:rFonts w:ascii="Times New Roman" w:hAnsi="Times New Roman" w:cs="Times New Roman"/>
        </w:rPr>
        <w:t>risk</w:t>
      </w:r>
      <w:r w:rsidR="00A86432" w:rsidRPr="0013615E">
        <w:rPr>
          <w:rFonts w:ascii="Times New Roman" w:hAnsi="Times New Roman" w:cs="Times New Roman"/>
        </w:rPr>
        <w:t xml:space="preserve"> categorization to determine the </w:t>
      </w:r>
      <w:r w:rsidR="00500EE2" w:rsidRPr="0013615E">
        <w:rPr>
          <w:rFonts w:ascii="Times New Roman" w:hAnsi="Times New Roman" w:cs="Times New Roman"/>
        </w:rPr>
        <w:t xml:space="preserve">risk related to the </w:t>
      </w:r>
      <w:proofErr w:type="gramStart"/>
      <w:r w:rsidR="00500EE2" w:rsidRPr="0013615E">
        <w:rPr>
          <w:rFonts w:ascii="Times New Roman" w:hAnsi="Times New Roman" w:cs="Times New Roman"/>
        </w:rPr>
        <w:t>particular AI</w:t>
      </w:r>
      <w:proofErr w:type="gramEnd"/>
      <w:r w:rsidR="00500EE2" w:rsidRPr="0013615E">
        <w:rPr>
          <w:rFonts w:ascii="Times New Roman" w:hAnsi="Times New Roman" w:cs="Times New Roman"/>
        </w:rPr>
        <w:t xml:space="preserve"> use. </w:t>
      </w:r>
      <w:r w:rsidRPr="0013615E">
        <w:rPr>
          <w:rFonts w:ascii="Times New Roman" w:hAnsi="Times New Roman" w:cs="Times New Roman"/>
        </w:rPr>
        <w:t>Under § 6-1-1702 “</w:t>
      </w:r>
      <w:r w:rsidRPr="0013615E">
        <w:rPr>
          <w:rFonts w:ascii="Times New Roman" w:hAnsi="Times New Roman" w:cs="Times New Roman"/>
        </w:rPr>
        <w:t xml:space="preserve">a developer of a high-risk artificial intelligence system shall use reasonable care to protect consumers from any known or reasonably foreseeable risks of algorithmic discrimination arising from the intended and contracted uses of the high-risk artificial </w:t>
      </w:r>
      <w:r w:rsidRPr="0013615E">
        <w:rPr>
          <w:rFonts w:ascii="Times New Roman" w:hAnsi="Times New Roman" w:cs="Times New Roman"/>
        </w:rPr>
        <w:lastRenderedPageBreak/>
        <w:t>intelligence system.</w:t>
      </w:r>
      <w:r w:rsidRPr="0013615E">
        <w:rPr>
          <w:rFonts w:ascii="Times New Roman" w:hAnsi="Times New Roman" w:cs="Times New Roman"/>
        </w:rPr>
        <w:t>”</w:t>
      </w:r>
      <w:r w:rsidRPr="0013615E">
        <w:rPr>
          <w:rStyle w:val="FootnoteReference"/>
          <w:rFonts w:ascii="Times New Roman" w:hAnsi="Times New Roman" w:cs="Times New Roman"/>
        </w:rPr>
        <w:footnoteReference w:id="69"/>
      </w:r>
      <w:r w:rsidRPr="0013615E">
        <w:rPr>
          <w:rFonts w:ascii="Times New Roman" w:hAnsi="Times New Roman" w:cs="Times New Roman"/>
        </w:rPr>
        <w:t xml:space="preserve"> The legislation also places disclosure requirements on AI developers of high-risk applications.</w:t>
      </w:r>
      <w:r w:rsidRPr="0013615E">
        <w:rPr>
          <w:rStyle w:val="FootnoteReference"/>
          <w:rFonts w:ascii="Times New Roman" w:hAnsi="Times New Roman" w:cs="Times New Roman"/>
        </w:rPr>
        <w:footnoteReference w:id="70"/>
      </w:r>
      <w:r w:rsidRPr="0013615E">
        <w:rPr>
          <w:rFonts w:ascii="Times New Roman" w:eastAsia="Times New Roman" w:hAnsi="Times New Roman" w:cs="Times New Roman"/>
          <w:color w:val="000000"/>
          <w:kern w:val="0"/>
          <w14:ligatures w14:val="none"/>
        </w:rPr>
        <w:t xml:space="preserve"> Under § 6-1-1703 “</w:t>
      </w:r>
      <w:r w:rsidRPr="0013615E">
        <w:rPr>
          <w:rFonts w:ascii="Times New Roman" w:eastAsia="Times New Roman" w:hAnsi="Times New Roman" w:cs="Times New Roman"/>
          <w:color w:val="000000"/>
          <w:kern w:val="0"/>
          <w14:ligatures w14:val="none"/>
        </w:rPr>
        <w:t>deployer of a high-risk artificial intelligence system shall implement a risk management policy and program to govern the deployer's deployment of the high-risk artificial intelligence system</w:t>
      </w:r>
      <w:r>
        <w:rPr>
          <w:rFonts w:ascii="Times New Roman" w:eastAsia="Times New Roman" w:hAnsi="Times New Roman" w:cs="Times New Roman"/>
          <w:color w:val="000000"/>
          <w:kern w:val="0"/>
          <w14:ligatures w14:val="none"/>
        </w:rPr>
        <w:t>” where the “</w:t>
      </w:r>
      <w:r w:rsidRPr="0013615E">
        <w:rPr>
          <w:rFonts w:ascii="Times New Roman" w:eastAsia="Times New Roman" w:hAnsi="Times New Roman" w:cs="Times New Roman"/>
          <w:color w:val="000000"/>
          <w:kern w:val="0"/>
          <w14:ligatures w14:val="none"/>
        </w:rPr>
        <w:t>policy and program must specify and incorporate the principles, processes, and personnel that the deployer uses to identify, document, and mitigate known or reasonably foreseeable risks of algorithmic discrimination</w:t>
      </w:r>
      <w:r>
        <w:rPr>
          <w:rFonts w:ascii="Times New Roman" w:eastAsia="Times New Roman" w:hAnsi="Times New Roman" w:cs="Times New Roman"/>
          <w:color w:val="000000"/>
          <w:kern w:val="0"/>
          <w14:ligatures w14:val="none"/>
        </w:rPr>
        <w:t>.”</w:t>
      </w:r>
      <w:r>
        <w:rPr>
          <w:rStyle w:val="FootnoteReference"/>
          <w:rFonts w:ascii="Times New Roman" w:eastAsia="Times New Roman" w:hAnsi="Times New Roman" w:cs="Times New Roman"/>
          <w:color w:val="000000"/>
          <w:kern w:val="0"/>
          <w14:ligatures w14:val="none"/>
        </w:rPr>
        <w:footnoteReference w:id="71"/>
      </w:r>
      <w:r>
        <w:rPr>
          <w:rFonts w:ascii="Times New Roman" w:eastAsia="Times New Roman" w:hAnsi="Times New Roman" w:cs="Times New Roman"/>
          <w:color w:val="000000"/>
          <w:kern w:val="0"/>
          <w14:ligatures w14:val="none"/>
        </w:rPr>
        <w:t xml:space="preserve"> Under §6-1-1704 “</w:t>
      </w:r>
      <w:r w:rsidRPr="0013615E">
        <w:rPr>
          <w:rFonts w:ascii="Times New Roman" w:eastAsia="Times New Roman" w:hAnsi="Times New Roman" w:cs="Times New Roman"/>
          <w:color w:val="000000"/>
          <w:kern w:val="0"/>
          <w14:ligatures w14:val="none"/>
        </w:rPr>
        <w:t>a deployer or other developer that deploys, offers, sells, leases, licenses, gives, or otherwise makes available an artificial intelligence system that is intended to interact with consumers shall ensure the disclosure to each consumer who interacts with the artificial intelligence system that the consumer is interacting with an artificial intelligence system</w:t>
      </w:r>
      <w:r>
        <w:rPr>
          <w:rFonts w:ascii="Times New Roman" w:eastAsia="Times New Roman" w:hAnsi="Times New Roman" w:cs="Times New Roman"/>
          <w:color w:val="000000"/>
          <w:kern w:val="0"/>
          <w14:ligatures w14:val="none"/>
        </w:rPr>
        <w:t>.”</w:t>
      </w:r>
      <w:r>
        <w:rPr>
          <w:rStyle w:val="FootnoteReference"/>
          <w:rFonts w:ascii="Times New Roman" w:eastAsia="Times New Roman" w:hAnsi="Times New Roman" w:cs="Times New Roman"/>
          <w:color w:val="000000"/>
          <w:kern w:val="0"/>
          <w14:ligatures w14:val="none"/>
        </w:rPr>
        <w:footnoteReference w:id="72"/>
      </w:r>
      <w:r>
        <w:rPr>
          <w:rFonts w:ascii="Times New Roman" w:eastAsia="Times New Roman" w:hAnsi="Times New Roman" w:cs="Times New Roman"/>
          <w:color w:val="000000"/>
          <w:kern w:val="0"/>
          <w14:ligatures w14:val="none"/>
        </w:rPr>
        <w:t xml:space="preserve"> </w:t>
      </w:r>
    </w:p>
    <w:p w14:paraId="6E2E5D6C" w14:textId="77777777" w:rsidR="00DD580F" w:rsidRPr="00F23189" w:rsidRDefault="00DD580F" w:rsidP="0006766C">
      <w:pPr>
        <w:spacing w:line="240" w:lineRule="auto"/>
        <w:rPr>
          <w:rFonts w:ascii="Times New Roman" w:hAnsi="Times New Roman" w:cs="Times New Roman"/>
        </w:rPr>
      </w:pPr>
      <w:r w:rsidRPr="00F23189">
        <w:rPr>
          <w:rFonts w:ascii="Times New Roman" w:hAnsi="Times New Roman" w:cs="Times New Roman"/>
        </w:rPr>
        <w:t>Texas</w:t>
      </w:r>
    </w:p>
    <w:p w14:paraId="354067E9" w14:textId="52668E4C" w:rsidR="0088037B" w:rsidRPr="0032665D" w:rsidRDefault="0088037B" w:rsidP="0006766C">
      <w:pPr>
        <w:spacing w:line="240" w:lineRule="auto"/>
        <w:rPr>
          <w:rFonts w:ascii="Times New Roman" w:hAnsi="Times New Roman" w:cs="Times New Roman"/>
        </w:rPr>
      </w:pPr>
      <w:r w:rsidRPr="0088037B">
        <w:rPr>
          <w:rFonts w:ascii="Times New Roman" w:hAnsi="Times New Roman" w:cs="Times New Roman"/>
        </w:rPr>
        <w:t>Texas</w:t>
      </w:r>
      <w:r>
        <w:rPr>
          <w:rFonts w:ascii="Times New Roman" w:hAnsi="Times New Roman" w:cs="Times New Roman"/>
        </w:rPr>
        <w:t xml:space="preserve"> recently enacted the </w:t>
      </w:r>
      <w:r w:rsidR="0032665D" w:rsidRPr="0032665D">
        <w:rPr>
          <w:rFonts w:ascii="Times New Roman" w:hAnsi="Times New Roman" w:cs="Times New Roman"/>
        </w:rPr>
        <w:t>Texas Responsible Artificial Intelligence Governance Act</w:t>
      </w:r>
      <w:r w:rsidR="0032665D">
        <w:rPr>
          <w:rFonts w:ascii="Times New Roman" w:hAnsi="Times New Roman" w:cs="Times New Roman"/>
        </w:rPr>
        <w:t xml:space="preserve"> or TRAIGA.</w:t>
      </w:r>
      <w:r w:rsidR="0032665D">
        <w:rPr>
          <w:rStyle w:val="FootnoteReference"/>
          <w:rFonts w:ascii="Times New Roman" w:hAnsi="Times New Roman" w:cs="Times New Roman"/>
        </w:rPr>
        <w:footnoteReference w:id="73"/>
      </w:r>
      <w:r w:rsidR="0032665D">
        <w:rPr>
          <w:rFonts w:ascii="Times New Roman" w:hAnsi="Times New Roman" w:cs="Times New Roman"/>
        </w:rPr>
        <w:t xml:space="preserve"> Under the TRAIGA there are “requirements for government entity AI developers, deployers” and “outlines prohibited uses of AI” while also </w:t>
      </w:r>
      <w:r w:rsidR="002B4290">
        <w:rPr>
          <w:rFonts w:ascii="Times New Roman" w:hAnsi="Times New Roman" w:cs="Times New Roman"/>
        </w:rPr>
        <w:t>establishing</w:t>
      </w:r>
      <w:r w:rsidR="0032665D">
        <w:rPr>
          <w:rFonts w:ascii="Times New Roman" w:hAnsi="Times New Roman" w:cs="Times New Roman"/>
        </w:rPr>
        <w:t xml:space="preserve"> “civil penalties for violations.”</w:t>
      </w:r>
      <w:r w:rsidR="0032665D">
        <w:rPr>
          <w:rStyle w:val="FootnoteReference"/>
          <w:rFonts w:ascii="Times New Roman" w:hAnsi="Times New Roman" w:cs="Times New Roman"/>
        </w:rPr>
        <w:footnoteReference w:id="74"/>
      </w:r>
      <w:r w:rsidR="0032665D">
        <w:rPr>
          <w:rFonts w:ascii="Times New Roman" w:hAnsi="Times New Roman" w:cs="Times New Roman"/>
        </w:rPr>
        <w:t xml:space="preserve"> Under §552.051 “</w:t>
      </w:r>
      <w:r w:rsidR="0032665D" w:rsidRPr="0032665D">
        <w:rPr>
          <w:rFonts w:ascii="Times New Roman" w:hAnsi="Times New Roman" w:cs="Times New Roman"/>
        </w:rPr>
        <w:t>A governmental agency that makes available an artificial intelligence system intended to interact with consumers shall disclose to each consumer, before or at the time of interaction, that the consumer is interacting with an artificial intelligence system</w:t>
      </w:r>
      <w:r w:rsidR="0032665D">
        <w:rPr>
          <w:rFonts w:ascii="Times New Roman" w:hAnsi="Times New Roman" w:cs="Times New Roman"/>
        </w:rPr>
        <w:t>.”</w:t>
      </w:r>
      <w:r w:rsidR="0032665D">
        <w:rPr>
          <w:rStyle w:val="FootnoteReference"/>
          <w:rFonts w:ascii="Times New Roman" w:hAnsi="Times New Roman" w:cs="Times New Roman"/>
        </w:rPr>
        <w:footnoteReference w:id="75"/>
      </w:r>
      <w:r w:rsidR="0032665D">
        <w:rPr>
          <w:rFonts w:ascii="Times New Roman" w:hAnsi="Times New Roman" w:cs="Times New Roman"/>
        </w:rPr>
        <w:t xml:space="preserve"> Social scoring is explicitly prohibited under §552.053.</w:t>
      </w:r>
      <w:r w:rsidR="0032665D">
        <w:rPr>
          <w:rStyle w:val="FootnoteReference"/>
          <w:rFonts w:ascii="Times New Roman" w:hAnsi="Times New Roman" w:cs="Times New Roman"/>
        </w:rPr>
        <w:footnoteReference w:id="76"/>
      </w:r>
      <w:r w:rsidR="0032665D">
        <w:rPr>
          <w:rFonts w:ascii="Times New Roman" w:hAnsi="Times New Roman" w:cs="Times New Roman"/>
        </w:rPr>
        <w:t xml:space="preserve"> </w:t>
      </w:r>
      <w:r w:rsidR="002B4290">
        <w:rPr>
          <w:rFonts w:ascii="Times New Roman" w:hAnsi="Times New Roman" w:cs="Times New Roman"/>
        </w:rPr>
        <w:t>The collection of biometric data is also prohibited.</w:t>
      </w:r>
      <w:r w:rsidR="002B4290">
        <w:rPr>
          <w:rStyle w:val="FootnoteReference"/>
          <w:rFonts w:ascii="Times New Roman" w:hAnsi="Times New Roman" w:cs="Times New Roman"/>
        </w:rPr>
        <w:footnoteReference w:id="77"/>
      </w:r>
    </w:p>
    <w:p w14:paraId="253CF21B" w14:textId="07865073" w:rsidR="00C37394" w:rsidRDefault="00DD580F" w:rsidP="0006766C">
      <w:pPr>
        <w:spacing w:line="240" w:lineRule="auto"/>
        <w:rPr>
          <w:rFonts w:ascii="Times New Roman" w:hAnsi="Times New Roman" w:cs="Times New Roman"/>
        </w:rPr>
      </w:pPr>
      <w:r w:rsidRPr="00F23189">
        <w:rPr>
          <w:rFonts w:ascii="Times New Roman" w:hAnsi="Times New Roman" w:cs="Times New Roman"/>
        </w:rPr>
        <w:t>Utah</w:t>
      </w:r>
      <w:r w:rsidR="00F52443" w:rsidRPr="0013615E">
        <w:rPr>
          <w:rFonts w:ascii="Times New Roman" w:hAnsi="Times New Roman" w:cs="Times New Roman"/>
        </w:rPr>
        <w:t xml:space="preserve"> </w:t>
      </w:r>
      <w:r w:rsidR="00647C2B" w:rsidRPr="0013615E">
        <w:rPr>
          <w:rFonts w:ascii="Times New Roman" w:hAnsi="Times New Roman" w:cs="Times New Roman"/>
        </w:rPr>
        <w:t xml:space="preserve"> </w:t>
      </w:r>
      <w:r w:rsidR="00D563E1" w:rsidRPr="0013615E">
        <w:rPr>
          <w:rFonts w:ascii="Times New Roman" w:hAnsi="Times New Roman" w:cs="Times New Roman"/>
        </w:rPr>
        <w:t xml:space="preserve"> </w:t>
      </w:r>
    </w:p>
    <w:p w14:paraId="69835B5C" w14:textId="5C0E4200" w:rsidR="002B4290" w:rsidRPr="0013615E" w:rsidRDefault="002B4290" w:rsidP="0006766C">
      <w:pPr>
        <w:spacing w:line="240" w:lineRule="auto"/>
        <w:rPr>
          <w:rFonts w:ascii="Times New Roman" w:hAnsi="Times New Roman" w:cs="Times New Roman"/>
        </w:rPr>
      </w:pPr>
      <w:r>
        <w:rPr>
          <w:rFonts w:ascii="Times New Roman" w:hAnsi="Times New Roman" w:cs="Times New Roman"/>
        </w:rPr>
        <w:t>Utah has enacted the Artificial Intelligence Policy Act, “</w:t>
      </w:r>
      <w:r w:rsidRPr="002B4290">
        <w:rPr>
          <w:rFonts w:ascii="Times New Roman" w:hAnsi="Times New Roman" w:cs="Times New Roman"/>
        </w:rPr>
        <w:t>which imposes certain disclosure requirements on entities using generative AI tools with their customers, and limits an entity’s ability to “blame” generative AI for statements or acts that constitute consumer protection violations.</w:t>
      </w:r>
      <w:r>
        <w:rPr>
          <w:rFonts w:ascii="Times New Roman" w:hAnsi="Times New Roman" w:cs="Times New Roman"/>
        </w:rPr>
        <w:t>”</w:t>
      </w:r>
      <w:r>
        <w:rPr>
          <w:rStyle w:val="FootnoteReference"/>
          <w:rFonts w:ascii="Times New Roman" w:hAnsi="Times New Roman" w:cs="Times New Roman"/>
        </w:rPr>
        <w:footnoteReference w:id="78"/>
      </w:r>
      <w:r>
        <w:rPr>
          <w:rFonts w:ascii="Times New Roman" w:hAnsi="Times New Roman" w:cs="Times New Roman"/>
        </w:rPr>
        <w:t xml:space="preserve"> </w:t>
      </w:r>
    </w:p>
    <w:p w14:paraId="5F419015" w14:textId="139E4B77" w:rsidR="001B45BD" w:rsidRPr="0013615E" w:rsidRDefault="00546F90" w:rsidP="001B45BD">
      <w:pPr>
        <w:spacing w:line="240" w:lineRule="auto"/>
        <w:rPr>
          <w:rFonts w:ascii="Times New Roman" w:hAnsi="Times New Roman" w:cs="Times New Roman"/>
        </w:rPr>
      </w:pPr>
      <w:r w:rsidRPr="0013615E">
        <w:rPr>
          <w:rFonts w:ascii="Times New Roman" w:hAnsi="Times New Roman" w:cs="Times New Roman"/>
        </w:rPr>
        <w:t xml:space="preserve">Additionally, numerous states have enacted AI regulation related to specific risks related to AI, which can be described as something less than comprehensive. These </w:t>
      </w:r>
      <w:r w:rsidR="00D00C85" w:rsidRPr="0013615E">
        <w:rPr>
          <w:rFonts w:ascii="Times New Roman" w:hAnsi="Times New Roman" w:cs="Times New Roman"/>
        </w:rPr>
        <w:t xml:space="preserve">more targeted regulations </w:t>
      </w:r>
      <w:r w:rsidR="00D00C85" w:rsidRPr="0013615E">
        <w:rPr>
          <w:rFonts w:ascii="Times New Roman" w:hAnsi="Times New Roman" w:cs="Times New Roman"/>
        </w:rPr>
        <w:lastRenderedPageBreak/>
        <w:t xml:space="preserve">of AI relate to several key areas, including, </w:t>
      </w:r>
      <w:r w:rsidR="001C414F" w:rsidRPr="0013615E">
        <w:rPr>
          <w:rFonts w:ascii="Times New Roman" w:hAnsi="Times New Roman" w:cs="Times New Roman"/>
        </w:rPr>
        <w:t xml:space="preserve">deepfakes, childe sexual abuse material, disclosure, bias, state use, human element in the loop, task forces/commissions, facial recognition, the use in courts, chat bots, transparency, discrimination, political campaigns, stalking, profiling, and Agentic AI. </w:t>
      </w:r>
    </w:p>
    <w:p w14:paraId="7A415C7C" w14:textId="6FBB4256" w:rsidR="00C04170" w:rsidRPr="0013615E" w:rsidRDefault="00C04170" w:rsidP="0062256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Smart Mixes of Centralized and Decentralized AI regulation</w:t>
      </w:r>
    </w:p>
    <w:p w14:paraId="5BA44488" w14:textId="450D859F" w:rsidR="00AA401B" w:rsidRPr="0013615E" w:rsidRDefault="00C04170" w:rsidP="00AA401B">
      <w:pPr>
        <w:spacing w:line="240" w:lineRule="auto"/>
        <w:rPr>
          <w:rFonts w:ascii="Times New Roman" w:hAnsi="Times New Roman" w:cs="Times New Roman"/>
        </w:rPr>
      </w:pPr>
      <w:r w:rsidRPr="0013615E">
        <w:rPr>
          <w:rFonts w:ascii="Times New Roman" w:hAnsi="Times New Roman" w:cs="Times New Roman"/>
        </w:rPr>
        <w:t xml:space="preserve">We consider AI regulation in federal systems </w:t>
      </w:r>
      <w:r w:rsidR="006A06E7" w:rsidRPr="0013615E">
        <w:rPr>
          <w:rFonts w:ascii="Times New Roman" w:hAnsi="Times New Roman" w:cs="Times New Roman"/>
        </w:rPr>
        <w:t>using a</w:t>
      </w:r>
      <w:r w:rsidRPr="0013615E">
        <w:rPr>
          <w:rFonts w:ascii="Times New Roman" w:hAnsi="Times New Roman" w:cs="Times New Roman"/>
        </w:rPr>
        <w:t xml:space="preserve"> comparative law and economics methodology which focuses on the methodology used by Van Den Bergh for evaluating the economics of federalism.</w:t>
      </w:r>
      <w:r w:rsidRPr="0013615E">
        <w:rPr>
          <w:rStyle w:val="FootnoteReference"/>
          <w:rFonts w:ascii="Times New Roman" w:hAnsi="Times New Roman" w:cs="Times New Roman"/>
        </w:rPr>
        <w:footnoteReference w:id="79"/>
      </w:r>
      <w:r w:rsidRPr="0013615E">
        <w:rPr>
          <w:rFonts w:ascii="Times New Roman" w:hAnsi="Times New Roman" w:cs="Times New Roman"/>
        </w:rPr>
        <w:t xml:space="preserve"> </w:t>
      </w:r>
      <w:r w:rsidR="00AA401B" w:rsidRPr="0013615E">
        <w:rPr>
          <w:rFonts w:ascii="Times New Roman" w:hAnsi="Times New Roman" w:cs="Times New Roman"/>
        </w:rPr>
        <w:t>This economics of federalism are relevant to AI regulation because “Federalism and the development of digital policies are closely intertwined.”</w:t>
      </w:r>
      <w:r w:rsidR="00AA401B" w:rsidRPr="0013615E">
        <w:rPr>
          <w:rStyle w:val="FootnoteReference"/>
          <w:rFonts w:ascii="Times New Roman" w:hAnsi="Times New Roman" w:cs="Times New Roman"/>
        </w:rPr>
        <w:footnoteReference w:id="80"/>
      </w:r>
      <w:r w:rsidR="00AA401B" w:rsidRPr="0013615E">
        <w:rPr>
          <w:rFonts w:ascii="Times New Roman" w:hAnsi="Times New Roman" w:cs="Times New Roman"/>
        </w:rPr>
        <w:t xml:space="preserve"> Because of the potential role which the individual states play in federal systems, AI regulation should not </w:t>
      </w:r>
      <w:r w:rsidR="00167BF1" w:rsidRPr="0013615E">
        <w:rPr>
          <w:rFonts w:ascii="Times New Roman" w:hAnsi="Times New Roman" w:cs="Times New Roman"/>
        </w:rPr>
        <w:t>ignore the benefits of decentralization. According to Van Den Bergh “the economics of federalism warns against overly zealous centralization and indicates a preference for action taken at lower levels of government… when decentralization is more efficient.”</w:t>
      </w:r>
      <w:r w:rsidR="00167BF1" w:rsidRPr="0013615E">
        <w:rPr>
          <w:rStyle w:val="FootnoteReference"/>
          <w:rFonts w:ascii="Times New Roman" w:hAnsi="Times New Roman" w:cs="Times New Roman"/>
        </w:rPr>
        <w:footnoteReference w:id="81"/>
      </w:r>
      <w:r w:rsidR="00167BF1" w:rsidRPr="0013615E">
        <w:rPr>
          <w:rFonts w:ascii="Times New Roman" w:hAnsi="Times New Roman" w:cs="Times New Roman"/>
        </w:rPr>
        <w:t xml:space="preserve"> This necessarily brings up the question, how much AI regulation should be carried out at the decentralized state level in the US and EU? The answer is not simple as the challenges from AI are increasingly complex and “[w]hen problems are complex, simple answers cannot be given.”</w:t>
      </w:r>
      <w:r w:rsidR="00167BF1" w:rsidRPr="0013615E">
        <w:rPr>
          <w:rStyle w:val="FootnoteReference"/>
          <w:rFonts w:ascii="Times New Roman" w:hAnsi="Times New Roman" w:cs="Times New Roman"/>
        </w:rPr>
        <w:footnoteReference w:id="82"/>
      </w:r>
      <w:r w:rsidR="00167BF1" w:rsidRPr="0013615E">
        <w:rPr>
          <w:rFonts w:ascii="Times New Roman" w:hAnsi="Times New Roman" w:cs="Times New Roman"/>
        </w:rPr>
        <w:t xml:space="preserve"> Within this complex and ever evolving landscape of AI, we must consider where the right balance of centralized and decentralized AI regulation exits</w:t>
      </w:r>
      <w:r w:rsidR="006A06E7" w:rsidRPr="0013615E">
        <w:rPr>
          <w:rFonts w:ascii="Times New Roman" w:hAnsi="Times New Roman" w:cs="Times New Roman"/>
        </w:rPr>
        <w:t>, which is likely to fall within “a grey area where only a combined action of authorities at different levels of government can generate efficient outcomes.”</w:t>
      </w:r>
      <w:r w:rsidR="006A06E7" w:rsidRPr="0013615E">
        <w:rPr>
          <w:rStyle w:val="FootnoteReference"/>
          <w:rFonts w:ascii="Times New Roman" w:hAnsi="Times New Roman" w:cs="Times New Roman"/>
        </w:rPr>
        <w:footnoteReference w:id="83"/>
      </w:r>
      <w:r w:rsidR="006A06E7" w:rsidRPr="0013615E">
        <w:rPr>
          <w:rFonts w:ascii="Times New Roman" w:hAnsi="Times New Roman" w:cs="Times New Roman"/>
        </w:rPr>
        <w:t xml:space="preserve"> This requires find  a “smart mix” of decentralized and centralized AI regulation in federal systems. </w:t>
      </w:r>
    </w:p>
    <w:p w14:paraId="413E3F46" w14:textId="5C4CF0E5" w:rsidR="00B66E6A" w:rsidRPr="0013615E" w:rsidRDefault="00622565" w:rsidP="00B66E6A">
      <w:p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5.1 </w:t>
      </w:r>
      <w:r w:rsidR="00B66E6A" w:rsidRPr="0013615E">
        <w:rPr>
          <w:rFonts w:ascii="Times New Roman" w:hAnsi="Times New Roman" w:cs="Times New Roman"/>
          <w:b/>
          <w:bCs/>
          <w:u w:val="single"/>
        </w:rPr>
        <w:t>Van den Bergh’s framework of Centralized and Decentralized Regulation of AI</w:t>
      </w:r>
    </w:p>
    <w:p w14:paraId="0C0E248B" w14:textId="77777777" w:rsidR="00B66E6A" w:rsidRPr="0013615E" w:rsidRDefault="00B66E6A" w:rsidP="00B66E6A">
      <w:pPr>
        <w:spacing w:line="240" w:lineRule="auto"/>
        <w:rPr>
          <w:rFonts w:ascii="Times New Roman" w:hAnsi="Times New Roman" w:cs="Times New Roman"/>
        </w:rPr>
      </w:pPr>
      <w:r w:rsidRPr="0013615E">
        <w:rPr>
          <w:rFonts w:ascii="Times New Roman" w:hAnsi="Times New Roman" w:cs="Times New Roman"/>
        </w:rPr>
        <w:t>A comparative law and economics approach to the regulation of AI helps to shed some light on the benefits of different methods of regulation.</w:t>
      </w:r>
      <w:r w:rsidRPr="0013615E">
        <w:rPr>
          <w:rStyle w:val="FootnoteReference"/>
          <w:rFonts w:ascii="Times New Roman" w:hAnsi="Times New Roman" w:cs="Times New Roman"/>
        </w:rPr>
        <w:footnoteReference w:id="84"/>
      </w:r>
      <w:r w:rsidRPr="0013615E">
        <w:rPr>
          <w:rFonts w:ascii="Times New Roman" w:hAnsi="Times New Roman" w:cs="Times New Roman"/>
        </w:rPr>
        <w:t xml:space="preserve"> According to Van den Bergh, the benefits of using a decentralized approach include providing an opportunity for government to reflect the diverging preferences of citizens, allowing information advantages at lower levels of government to influence the role of regulation and the placing an emphasis on the importance of learning processes related to regulation.</w:t>
      </w:r>
      <w:r w:rsidRPr="0013615E">
        <w:rPr>
          <w:rStyle w:val="FootnoteReference"/>
          <w:rFonts w:ascii="Times New Roman" w:hAnsi="Times New Roman" w:cs="Times New Roman"/>
        </w:rPr>
        <w:footnoteReference w:id="85"/>
      </w:r>
      <w:r w:rsidRPr="0013615E">
        <w:rPr>
          <w:rFonts w:ascii="Times New Roman" w:hAnsi="Times New Roman" w:cs="Times New Roman"/>
        </w:rPr>
        <w:t xml:space="preserve"> Conversely,  there are benefits of centralization as well, including the potential for solving problems associated with cross border externalities, allowing regulation to benefit from scale economies and their associated efficiency gains, and the potential for centralized regulation to reduce the risk of destructive competition between states within a federal system.</w:t>
      </w:r>
      <w:r w:rsidRPr="0013615E">
        <w:rPr>
          <w:rStyle w:val="FootnoteReference"/>
          <w:rFonts w:ascii="Times New Roman" w:hAnsi="Times New Roman" w:cs="Times New Roman"/>
        </w:rPr>
        <w:footnoteReference w:id="86"/>
      </w:r>
      <w:r w:rsidRPr="0013615E">
        <w:rPr>
          <w:rFonts w:ascii="Times New Roman" w:hAnsi="Times New Roman" w:cs="Times New Roman"/>
        </w:rPr>
        <w:t xml:space="preserve"> </w:t>
      </w:r>
    </w:p>
    <w:p w14:paraId="159CA03F" w14:textId="56731FAB" w:rsidR="00B66E6A" w:rsidRPr="0013615E" w:rsidRDefault="00B66E6A" w:rsidP="00B66E6A">
      <w:pPr>
        <w:spacing w:line="240" w:lineRule="auto"/>
        <w:rPr>
          <w:rFonts w:ascii="Times New Roman" w:hAnsi="Times New Roman" w:cs="Times New Roman"/>
        </w:rPr>
      </w:pPr>
      <w:r w:rsidRPr="0013615E">
        <w:rPr>
          <w:rFonts w:ascii="Times New Roman" w:hAnsi="Times New Roman" w:cs="Times New Roman"/>
        </w:rPr>
        <w:lastRenderedPageBreak/>
        <w:t>Decentralized regulation and centralized regulation have the potential to address different problems which need to be accounted for in determining the best approach to regulation.</w:t>
      </w:r>
      <w:r w:rsidRPr="0013615E">
        <w:rPr>
          <w:rStyle w:val="FootnoteReference"/>
          <w:rFonts w:ascii="Times New Roman" w:hAnsi="Times New Roman" w:cs="Times New Roman"/>
        </w:rPr>
        <w:footnoteReference w:id="87"/>
      </w:r>
      <w:r w:rsidRPr="0013615E">
        <w:rPr>
          <w:rFonts w:ascii="Times New Roman" w:hAnsi="Times New Roman" w:cs="Times New Roman"/>
        </w:rPr>
        <w:t xml:space="preserve"> Potential benefits of using decentralized approaches include</w:t>
      </w:r>
      <w:bookmarkStart w:id="6" w:name="_Hlk214290859"/>
      <w:r w:rsidRPr="0013615E">
        <w:rPr>
          <w:rFonts w:ascii="Times New Roman" w:hAnsi="Times New Roman" w:cs="Times New Roman"/>
        </w:rPr>
        <w:t>: the ability of local populations to have their preferences reflected in regulation, a higher efficiency of gathering information at the lower levels of the federal system, and the potential for different regulatory approaches to provide beneficial competition which helps to identify efficient approaches to novel problems</w:t>
      </w:r>
      <w:bookmarkEnd w:id="6"/>
      <w:r w:rsidRPr="0013615E">
        <w:rPr>
          <w:rFonts w:ascii="Times New Roman" w:hAnsi="Times New Roman" w:cs="Times New Roman"/>
        </w:rPr>
        <w:t xml:space="preserve">. </w:t>
      </w:r>
      <w:r w:rsidR="00536494" w:rsidRPr="0013615E">
        <w:rPr>
          <w:rFonts w:ascii="Times New Roman" w:hAnsi="Times New Roman" w:cs="Times New Roman"/>
        </w:rPr>
        <w:t xml:space="preserve">The Benefits of Centralization include </w:t>
      </w:r>
      <w:bookmarkStart w:id="7" w:name="_Hlk214297979"/>
      <w:r w:rsidR="00536494" w:rsidRPr="0013615E">
        <w:rPr>
          <w:rFonts w:ascii="Times New Roman" w:hAnsi="Times New Roman" w:cs="Times New Roman"/>
        </w:rPr>
        <w:t>the limitation of externalities which cross borders, the benefits of low transaction costs from lower cost coordination, and the mitigation of destructive regulatory competition between states within a federal system</w:t>
      </w:r>
      <w:bookmarkEnd w:id="7"/>
      <w:r w:rsidR="00536494" w:rsidRPr="0013615E">
        <w:rPr>
          <w:rFonts w:ascii="Times New Roman" w:hAnsi="Times New Roman" w:cs="Times New Roman"/>
        </w:rPr>
        <w:t xml:space="preserve">. </w:t>
      </w:r>
      <w:r w:rsidRPr="0013615E">
        <w:rPr>
          <w:rFonts w:ascii="Times New Roman" w:hAnsi="Times New Roman" w:cs="Times New Roman"/>
        </w:rPr>
        <w:t xml:space="preserve">Given these various potential benefits from having centralized and decentralized regulation within federal systems, it is important to evaluate AI regulation within federal systems </w:t>
      </w:r>
      <w:proofErr w:type="gramStart"/>
      <w:r w:rsidRPr="0013615E">
        <w:rPr>
          <w:rFonts w:ascii="Times New Roman" w:hAnsi="Times New Roman" w:cs="Times New Roman"/>
        </w:rPr>
        <w:t>in light of</w:t>
      </w:r>
      <w:proofErr w:type="gramEnd"/>
      <w:r w:rsidRPr="0013615E">
        <w:rPr>
          <w:rFonts w:ascii="Times New Roman" w:hAnsi="Times New Roman" w:cs="Times New Roman"/>
        </w:rPr>
        <w:t xml:space="preserve"> the potential costs and benefits related to the regulatory approach.  </w:t>
      </w:r>
    </w:p>
    <w:p w14:paraId="36666C25" w14:textId="0EC26885" w:rsidR="00B66E6A" w:rsidRPr="0013615E" w:rsidRDefault="00B66E6A" w:rsidP="00B66E6A">
      <w:pPr>
        <w:spacing w:line="240" w:lineRule="auto"/>
        <w:rPr>
          <w:rFonts w:ascii="Times New Roman" w:hAnsi="Times New Roman" w:cs="Times New Roman"/>
        </w:rPr>
      </w:pPr>
      <w:r w:rsidRPr="0013615E">
        <w:rPr>
          <w:rFonts w:ascii="Times New Roman" w:hAnsi="Times New Roman" w:cs="Times New Roman"/>
        </w:rPr>
        <w:t xml:space="preserve">Table 1. </w:t>
      </w:r>
      <w:proofErr w:type="spellStart"/>
      <w:r w:rsidRPr="0013615E">
        <w:rPr>
          <w:rFonts w:ascii="Times New Roman" w:hAnsi="Times New Roman" w:cs="Times New Roman"/>
        </w:rPr>
        <w:t>Decentalised</w:t>
      </w:r>
      <w:proofErr w:type="spellEnd"/>
      <w:r w:rsidRPr="0013615E">
        <w:rPr>
          <w:rFonts w:ascii="Times New Roman" w:hAnsi="Times New Roman" w:cs="Times New Roman"/>
        </w:rPr>
        <w:t xml:space="preserve"> or </w:t>
      </w:r>
      <w:proofErr w:type="spellStart"/>
      <w:r w:rsidRPr="0013615E">
        <w:rPr>
          <w:rFonts w:ascii="Times New Roman" w:hAnsi="Times New Roman" w:cs="Times New Roman"/>
        </w:rPr>
        <w:t>centralised</w:t>
      </w:r>
      <w:proofErr w:type="spellEnd"/>
      <w:r w:rsidRPr="0013615E">
        <w:rPr>
          <w:rFonts w:ascii="Times New Roman" w:hAnsi="Times New Roman" w:cs="Times New Roman"/>
        </w:rPr>
        <w:t xml:space="preserve"> decision-making in federal systems. </w:t>
      </w:r>
      <w:r w:rsidRPr="0013615E">
        <w:rPr>
          <w:rStyle w:val="FootnoteReference"/>
          <w:rFonts w:ascii="Times New Roman" w:hAnsi="Times New Roman" w:cs="Times New Roman"/>
        </w:rPr>
        <w:footnoteReference w:id="88"/>
      </w:r>
    </w:p>
    <w:tbl>
      <w:tblPr>
        <w:tblW w:w="9558"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08"/>
        <w:gridCol w:w="4950"/>
      </w:tblGrid>
      <w:tr w:rsidR="00B66E6A" w:rsidRPr="0013615E" w14:paraId="3CE61C31" w14:textId="77777777" w:rsidTr="00442002">
        <w:trPr>
          <w:trHeight w:val="93"/>
        </w:trPr>
        <w:tc>
          <w:tcPr>
            <w:tcW w:w="4608" w:type="dxa"/>
          </w:tcPr>
          <w:p w14:paraId="124FAB06"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b/>
                <w:bCs/>
              </w:rPr>
              <w:t xml:space="preserve">BENEFITS OF DECENTRALISATION </w:t>
            </w:r>
          </w:p>
        </w:tc>
        <w:tc>
          <w:tcPr>
            <w:tcW w:w="4950" w:type="dxa"/>
          </w:tcPr>
          <w:p w14:paraId="1560C805"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b/>
                <w:bCs/>
              </w:rPr>
              <w:t xml:space="preserve">BENEFITS OF CENTRALISATION </w:t>
            </w:r>
          </w:p>
        </w:tc>
      </w:tr>
      <w:tr w:rsidR="00B66E6A" w:rsidRPr="0013615E" w14:paraId="76631E7F" w14:textId="77777777" w:rsidTr="00442002">
        <w:trPr>
          <w:trHeight w:val="189"/>
        </w:trPr>
        <w:tc>
          <w:tcPr>
            <w:tcW w:w="4608" w:type="dxa"/>
          </w:tcPr>
          <w:p w14:paraId="62D45C5D"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1. Allows individual states in a federal system to meet the divergent preferences of their citizens </w:t>
            </w:r>
          </w:p>
        </w:tc>
        <w:tc>
          <w:tcPr>
            <w:tcW w:w="4950" w:type="dxa"/>
          </w:tcPr>
          <w:p w14:paraId="07E85074"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1. Allows for the </w:t>
            </w:r>
            <w:proofErr w:type="spellStart"/>
            <w:r w:rsidRPr="0013615E">
              <w:rPr>
                <w:rFonts w:ascii="Times New Roman" w:hAnsi="Times New Roman" w:cs="Times New Roman"/>
              </w:rPr>
              <w:t>internalisation</w:t>
            </w:r>
            <w:proofErr w:type="spellEnd"/>
            <w:r w:rsidRPr="0013615E">
              <w:rPr>
                <w:rFonts w:ascii="Times New Roman" w:hAnsi="Times New Roman" w:cs="Times New Roman"/>
              </w:rPr>
              <w:t xml:space="preserve"> of interstate externalities within federal systems </w:t>
            </w:r>
          </w:p>
        </w:tc>
      </w:tr>
      <w:tr w:rsidR="00B66E6A" w:rsidRPr="0013615E" w14:paraId="4B6B844B" w14:textId="77777777" w:rsidTr="00442002">
        <w:trPr>
          <w:trHeight w:val="289"/>
        </w:trPr>
        <w:tc>
          <w:tcPr>
            <w:tcW w:w="4608" w:type="dxa"/>
          </w:tcPr>
          <w:p w14:paraId="5395DC5B"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2. Solves problems of information asymmetry between different levels of government in a federal system </w:t>
            </w:r>
          </w:p>
        </w:tc>
        <w:tc>
          <w:tcPr>
            <w:tcW w:w="4950" w:type="dxa"/>
          </w:tcPr>
          <w:p w14:paraId="37337064"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2. May enable states within federal systems to benefit from scale economies through lower transaction costs </w:t>
            </w:r>
          </w:p>
        </w:tc>
      </w:tr>
      <w:tr w:rsidR="00B66E6A" w:rsidRPr="0013615E" w14:paraId="17159D60" w14:textId="77777777" w:rsidTr="00442002">
        <w:trPr>
          <w:trHeight w:val="389"/>
        </w:trPr>
        <w:tc>
          <w:tcPr>
            <w:tcW w:w="4608" w:type="dxa"/>
          </w:tcPr>
          <w:p w14:paraId="76BF1486"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3. Allows states in a federal system to experiment with governance policies, thereby promoting competition in the learning process of numerous states dealing with similar problems </w:t>
            </w:r>
          </w:p>
        </w:tc>
        <w:tc>
          <w:tcPr>
            <w:tcW w:w="4950" w:type="dxa"/>
          </w:tcPr>
          <w:p w14:paraId="1B834C5F" w14:textId="77777777" w:rsidR="00B66E6A" w:rsidRPr="0013615E" w:rsidRDefault="00B66E6A" w:rsidP="00442002">
            <w:pPr>
              <w:spacing w:line="240" w:lineRule="auto"/>
              <w:rPr>
                <w:rFonts w:ascii="Times New Roman" w:hAnsi="Times New Roman" w:cs="Times New Roman"/>
              </w:rPr>
            </w:pPr>
            <w:r w:rsidRPr="0013615E">
              <w:rPr>
                <w:rFonts w:ascii="Times New Roman" w:hAnsi="Times New Roman" w:cs="Times New Roman"/>
              </w:rPr>
              <w:t xml:space="preserve">3. Can reduce the risk of destructive competition between states in a federal system </w:t>
            </w:r>
          </w:p>
        </w:tc>
      </w:tr>
    </w:tbl>
    <w:p w14:paraId="6A1045B9" w14:textId="77777777" w:rsidR="00B66E6A" w:rsidRPr="0013615E" w:rsidRDefault="00B66E6A" w:rsidP="00B66E6A">
      <w:pPr>
        <w:spacing w:line="240" w:lineRule="auto"/>
        <w:rPr>
          <w:rFonts w:ascii="Times New Roman" w:hAnsi="Times New Roman" w:cs="Times New Roman"/>
        </w:rPr>
      </w:pPr>
    </w:p>
    <w:p w14:paraId="7735714B" w14:textId="67C7763F" w:rsidR="00B66E6A" w:rsidRPr="0013615E" w:rsidRDefault="00B66E6A" w:rsidP="00B66E6A">
      <w:pPr>
        <w:spacing w:line="240" w:lineRule="auto"/>
        <w:rPr>
          <w:rFonts w:ascii="Times New Roman" w:hAnsi="Times New Roman" w:cs="Times New Roman"/>
        </w:rPr>
      </w:pPr>
      <w:r w:rsidRPr="0013615E">
        <w:rPr>
          <w:rFonts w:ascii="Times New Roman" w:hAnsi="Times New Roman" w:cs="Times New Roman"/>
        </w:rPr>
        <w:t>Here we generally consider that the EU framework is centralized with the ability of MS to also enact regulations of AI which are not contrary to community laws, most notably at the MS level concerning military application and the practice of law.</w:t>
      </w:r>
    </w:p>
    <w:p w14:paraId="5848468D" w14:textId="77777777" w:rsidR="00B66E6A" w:rsidRPr="0013615E" w:rsidRDefault="00B66E6A" w:rsidP="00B66E6A">
      <w:pPr>
        <w:spacing w:line="240" w:lineRule="auto"/>
        <w:rPr>
          <w:rFonts w:ascii="Times New Roman" w:hAnsi="Times New Roman" w:cs="Times New Roman"/>
        </w:rPr>
      </w:pPr>
      <w:r w:rsidRPr="0013615E">
        <w:rPr>
          <w:rFonts w:ascii="Times New Roman" w:hAnsi="Times New Roman" w:cs="Times New Roman"/>
        </w:rPr>
        <w:t xml:space="preserve">The US framework is generally decentralized, with the vast majority of AI regulation existing at the state and local levels, although some regulation concerning the use of AI in federal government agencies, the regulation of markets, and the use of AI in military applications is regulated at the Federal level. </w:t>
      </w:r>
    </w:p>
    <w:p w14:paraId="44A05942" w14:textId="3B9DCE60" w:rsidR="00B66E6A" w:rsidRPr="0013615E" w:rsidRDefault="00622565" w:rsidP="00AA401B">
      <w:pPr>
        <w:spacing w:line="240" w:lineRule="auto"/>
        <w:rPr>
          <w:rFonts w:ascii="Times New Roman" w:hAnsi="Times New Roman" w:cs="Times New Roman"/>
          <w:b/>
          <w:bCs/>
        </w:rPr>
      </w:pPr>
      <w:r w:rsidRPr="0013615E">
        <w:rPr>
          <w:rFonts w:ascii="Times New Roman" w:hAnsi="Times New Roman" w:cs="Times New Roman"/>
          <w:b/>
          <w:bCs/>
        </w:rPr>
        <w:t xml:space="preserve">5.2 </w:t>
      </w:r>
      <w:r w:rsidR="00B66E6A" w:rsidRPr="0013615E">
        <w:rPr>
          <w:rFonts w:ascii="Times New Roman" w:hAnsi="Times New Roman" w:cs="Times New Roman"/>
          <w:b/>
          <w:bCs/>
        </w:rPr>
        <w:t xml:space="preserve">The Benefits of Decentralized AI Regulation in Federal Systems </w:t>
      </w:r>
    </w:p>
    <w:p w14:paraId="5D738D04" w14:textId="77777777" w:rsidR="00536494" w:rsidRPr="0013615E" w:rsidRDefault="00536494" w:rsidP="00536494">
      <w:pPr>
        <w:spacing w:line="240" w:lineRule="auto"/>
        <w:rPr>
          <w:rFonts w:ascii="Times New Roman" w:hAnsi="Times New Roman" w:cs="Times New Roman"/>
        </w:rPr>
      </w:pPr>
      <w:r w:rsidRPr="0013615E">
        <w:rPr>
          <w:rFonts w:ascii="Times New Roman" w:hAnsi="Times New Roman" w:cs="Times New Roman"/>
        </w:rPr>
        <w:t xml:space="preserve">AI regulation in federal states must account for regulation at </w:t>
      </w:r>
      <w:proofErr w:type="gramStart"/>
      <w:r w:rsidRPr="0013615E">
        <w:rPr>
          <w:rFonts w:ascii="Times New Roman" w:hAnsi="Times New Roman" w:cs="Times New Roman"/>
        </w:rPr>
        <w:t>the individual</w:t>
      </w:r>
      <w:proofErr w:type="gramEnd"/>
      <w:r w:rsidRPr="0013615E">
        <w:rPr>
          <w:rFonts w:ascii="Times New Roman" w:hAnsi="Times New Roman" w:cs="Times New Roman"/>
        </w:rPr>
        <w:t xml:space="preserve"> unit levels </w:t>
      </w:r>
      <w:proofErr w:type="gramStart"/>
      <w:r w:rsidRPr="0013615E">
        <w:rPr>
          <w:rFonts w:ascii="Times New Roman" w:hAnsi="Times New Roman" w:cs="Times New Roman"/>
        </w:rPr>
        <w:t>in order to</w:t>
      </w:r>
      <w:proofErr w:type="gramEnd"/>
      <w:r w:rsidRPr="0013615E">
        <w:rPr>
          <w:rFonts w:ascii="Times New Roman" w:hAnsi="Times New Roman" w:cs="Times New Roman"/>
        </w:rPr>
        <w:t xml:space="preserve"> maximize the benefits of AI regulation. According to Liebig et al. “research on AI policies </w:t>
      </w:r>
      <w:r w:rsidRPr="0013615E">
        <w:rPr>
          <w:rFonts w:ascii="Times New Roman" w:hAnsi="Times New Roman" w:cs="Times New Roman"/>
        </w:rPr>
        <w:lastRenderedPageBreak/>
        <w:t xml:space="preserve">misses an important space of </w:t>
      </w:r>
      <w:proofErr w:type="gramStart"/>
      <w:r w:rsidRPr="0013615E">
        <w:rPr>
          <w:rFonts w:ascii="Times New Roman" w:hAnsi="Times New Roman" w:cs="Times New Roman"/>
        </w:rPr>
        <w:t>policy-making</w:t>
      </w:r>
      <w:proofErr w:type="gramEnd"/>
      <w:r w:rsidRPr="0013615E">
        <w:rPr>
          <w:rFonts w:ascii="Times New Roman" w:hAnsi="Times New Roman" w:cs="Times New Roman"/>
        </w:rPr>
        <w:t xml:space="preserve"> and implementation if it does not investigate subnational institutions such as federal states.”</w:t>
      </w:r>
      <w:r w:rsidRPr="0013615E">
        <w:rPr>
          <w:rStyle w:val="FootnoteReference"/>
          <w:rFonts w:ascii="Times New Roman" w:hAnsi="Times New Roman" w:cs="Times New Roman"/>
        </w:rPr>
        <w:footnoteReference w:id="89"/>
      </w:r>
    </w:p>
    <w:p w14:paraId="2E595B67" w14:textId="323B0ADE" w:rsidR="00536494" w:rsidRPr="0013615E" w:rsidRDefault="009236F5" w:rsidP="00AA401B">
      <w:pPr>
        <w:spacing w:line="240" w:lineRule="auto"/>
        <w:rPr>
          <w:rFonts w:ascii="Times New Roman" w:hAnsi="Times New Roman" w:cs="Times New Roman"/>
          <w:u w:val="single"/>
        </w:rPr>
      </w:pPr>
      <w:r w:rsidRPr="0013615E">
        <w:rPr>
          <w:rFonts w:ascii="Times New Roman" w:hAnsi="Times New Roman" w:cs="Times New Roman"/>
          <w:u w:val="single"/>
        </w:rPr>
        <w:t xml:space="preserve">5.2.1 </w:t>
      </w:r>
      <w:r w:rsidR="00622565" w:rsidRPr="0013615E">
        <w:rPr>
          <w:rFonts w:ascii="Times New Roman" w:hAnsi="Times New Roman" w:cs="Times New Roman"/>
          <w:u w:val="single"/>
        </w:rPr>
        <w:t>P</w:t>
      </w:r>
      <w:r w:rsidR="00536494" w:rsidRPr="0013615E">
        <w:rPr>
          <w:rFonts w:ascii="Times New Roman" w:hAnsi="Times New Roman" w:cs="Times New Roman"/>
          <w:u w:val="single"/>
        </w:rPr>
        <w:t>references reflect</w:t>
      </w:r>
      <w:r w:rsidR="00622565" w:rsidRPr="0013615E">
        <w:rPr>
          <w:rFonts w:ascii="Times New Roman" w:hAnsi="Times New Roman" w:cs="Times New Roman"/>
          <w:u w:val="single"/>
        </w:rPr>
        <w:t>ion</w:t>
      </w:r>
      <w:r w:rsidR="00536494" w:rsidRPr="0013615E">
        <w:rPr>
          <w:rFonts w:ascii="Times New Roman" w:hAnsi="Times New Roman" w:cs="Times New Roman"/>
          <w:u w:val="single"/>
        </w:rPr>
        <w:t xml:space="preserve"> in regulatio</w:t>
      </w:r>
      <w:r w:rsidR="00622565" w:rsidRPr="0013615E">
        <w:rPr>
          <w:rFonts w:ascii="Times New Roman" w:hAnsi="Times New Roman" w:cs="Times New Roman"/>
          <w:u w:val="single"/>
        </w:rPr>
        <w:t>n</w:t>
      </w:r>
    </w:p>
    <w:p w14:paraId="1B424821" w14:textId="6C01D29A" w:rsidR="002C155F" w:rsidRPr="0013615E" w:rsidRDefault="00D75E71" w:rsidP="00C04170">
      <w:pPr>
        <w:spacing w:line="240" w:lineRule="auto"/>
        <w:rPr>
          <w:rFonts w:ascii="Times New Roman" w:hAnsi="Times New Roman" w:cs="Times New Roman"/>
        </w:rPr>
      </w:pPr>
      <w:r w:rsidRPr="0013615E">
        <w:rPr>
          <w:rFonts w:ascii="Times New Roman" w:hAnsi="Times New Roman" w:cs="Times New Roman"/>
        </w:rPr>
        <w:t xml:space="preserve">Local populations may have a specific preference for using AI. This may be due “internal forces that operate beneath the surface of external law” or “the readily identifiable form of law” which operates at the local or state level, such as “custom, history, religion, ethics, geography, language, philosophy, interpretation, or translation.”  These local “internal forces” which are at play at the smaller units of the federal system will inherently be different from other units of the federal system. By allowing a </w:t>
      </w:r>
      <w:proofErr w:type="spellStart"/>
      <w:r w:rsidRPr="0013615E">
        <w:rPr>
          <w:rFonts w:ascii="Times New Roman" w:hAnsi="Times New Roman" w:cs="Times New Roman"/>
        </w:rPr>
        <w:t>denctralized</w:t>
      </w:r>
      <w:proofErr w:type="spellEnd"/>
      <w:r w:rsidRPr="0013615E">
        <w:rPr>
          <w:rFonts w:ascii="Times New Roman" w:hAnsi="Times New Roman" w:cs="Times New Roman"/>
        </w:rPr>
        <w:t xml:space="preserve"> approach to AI regulation, these “internal forces” which can also be though of in terms of local preferences, can be better incorporated into AI regulation. For instance, some populations may find it more important to use AI applications for agricultural purposes, such as automation of animal feeding, crop fertilization, </w:t>
      </w:r>
      <w:r w:rsidR="00726846" w:rsidRPr="0013615E">
        <w:rPr>
          <w:rFonts w:ascii="Times New Roman" w:hAnsi="Times New Roman" w:cs="Times New Roman"/>
        </w:rPr>
        <w:t xml:space="preserve">while more urbanized populations may find it more important to use AI for automation of driving and public services. By allowing decentralized AI regulation for key areas such as acceptance of AI in public spaces, AI monitoring of individuals in public spaces, automation of industries and services which have a historical presence or cultural significance, the use of AI to depict religious images, the use of AI to promote immoral behaviors, the need for transparency in some AI applications, the use of AI to cater to the local geographical needs of society, the impact of and accessibility of AI for local languages, local preferences for the ethical uses of AI, and the use of AI in local courts systems, may all be facts which should be considered when looking at how AI regulation might be better implemented at the local levels. There is a risk that AI regulation at the centralized level will not be able to meet the needs of </w:t>
      </w:r>
      <w:r w:rsidR="00767C42" w:rsidRPr="0013615E">
        <w:rPr>
          <w:rFonts w:ascii="Times New Roman" w:hAnsi="Times New Roman" w:cs="Times New Roman"/>
        </w:rPr>
        <w:t xml:space="preserve">local </w:t>
      </w:r>
      <w:proofErr w:type="gramStart"/>
      <w:r w:rsidR="00767C42" w:rsidRPr="0013615E">
        <w:rPr>
          <w:rFonts w:ascii="Times New Roman" w:hAnsi="Times New Roman" w:cs="Times New Roman"/>
        </w:rPr>
        <w:t>populations</w:t>
      </w:r>
      <w:proofErr w:type="gramEnd"/>
      <w:r w:rsidR="00767C42" w:rsidRPr="0013615E">
        <w:rPr>
          <w:rFonts w:ascii="Times New Roman" w:hAnsi="Times New Roman" w:cs="Times New Roman"/>
        </w:rPr>
        <w:t xml:space="preserve"> or it may be seen as antithetical to their local culture or customs. Importantly, when considering local economies which reflect local traditions, the automation of some types of production and services may erode local connections to historical industries.  This should also be reflected in the amount of local investment and taxes required for AI regulation. One can imagine that rural, agrarian or agricultural populations might have a lower need for AI in daily life, or a different need from urbanized populations, and thus may have a lower willingness to accept general tax schemes to regulate AI in their state, while the converse may also apply that more urbanized and tech savvy population might have a higher willingness to pay for taxes which support the regulation of AI. </w:t>
      </w:r>
    </w:p>
    <w:p w14:paraId="21A13764" w14:textId="42772DC1" w:rsidR="00E55B29" w:rsidRPr="0013615E" w:rsidRDefault="00E55B29" w:rsidP="00C04170">
      <w:pPr>
        <w:spacing w:line="240" w:lineRule="auto"/>
        <w:rPr>
          <w:rFonts w:ascii="Times New Roman" w:hAnsi="Times New Roman" w:cs="Times New Roman"/>
        </w:rPr>
      </w:pPr>
      <w:r w:rsidRPr="0013615E">
        <w:rPr>
          <w:rFonts w:ascii="Times New Roman" w:hAnsi="Times New Roman" w:cs="Times New Roman"/>
        </w:rPr>
        <w:t xml:space="preserve">In the US the </w:t>
      </w:r>
      <w:r w:rsidR="00D44831" w:rsidRPr="0013615E">
        <w:rPr>
          <w:rFonts w:ascii="Times New Roman" w:hAnsi="Times New Roman" w:cs="Times New Roman"/>
        </w:rPr>
        <w:t>decentralized</w:t>
      </w:r>
      <w:r w:rsidRPr="0013615E">
        <w:rPr>
          <w:rFonts w:ascii="Times New Roman" w:hAnsi="Times New Roman" w:cs="Times New Roman"/>
        </w:rPr>
        <w:t xml:space="preserve"> approach to AI regulation is likely to allow </w:t>
      </w:r>
      <w:r w:rsidR="00D44831" w:rsidRPr="0013615E">
        <w:rPr>
          <w:rFonts w:ascii="Times New Roman" w:hAnsi="Times New Roman" w:cs="Times New Roman"/>
        </w:rPr>
        <w:t xml:space="preserve">states to develop AI regulation which more closely </w:t>
      </w:r>
      <w:proofErr w:type="gramStart"/>
      <w:r w:rsidR="00D44831" w:rsidRPr="0013615E">
        <w:rPr>
          <w:rFonts w:ascii="Times New Roman" w:hAnsi="Times New Roman" w:cs="Times New Roman"/>
        </w:rPr>
        <w:t>reflects to</w:t>
      </w:r>
      <w:proofErr w:type="gramEnd"/>
      <w:r w:rsidR="00D44831" w:rsidRPr="0013615E">
        <w:rPr>
          <w:rFonts w:ascii="Times New Roman" w:hAnsi="Times New Roman" w:cs="Times New Roman"/>
        </w:rPr>
        <w:t xml:space="preserve"> preferences of the </w:t>
      </w:r>
      <w:proofErr w:type="gramStart"/>
      <w:r w:rsidR="00D44831" w:rsidRPr="0013615E">
        <w:rPr>
          <w:rFonts w:ascii="Times New Roman" w:hAnsi="Times New Roman" w:cs="Times New Roman"/>
        </w:rPr>
        <w:t>states</w:t>
      </w:r>
      <w:proofErr w:type="gramEnd"/>
      <w:r w:rsidR="00D44831" w:rsidRPr="0013615E">
        <w:rPr>
          <w:rFonts w:ascii="Times New Roman" w:hAnsi="Times New Roman" w:cs="Times New Roman"/>
        </w:rPr>
        <w:t xml:space="preserve"> population. This can be seen in the divergent approaches between the states which have enacted comprehensive AI regulations. While California</w:t>
      </w:r>
      <w:r w:rsidR="003D605C" w:rsidRPr="0013615E">
        <w:rPr>
          <w:rFonts w:ascii="Times New Roman" w:hAnsi="Times New Roman" w:cs="Times New Roman"/>
        </w:rPr>
        <w:t>, a state with nearly 40 million residents,</w:t>
      </w:r>
      <w:r w:rsidR="00D44831" w:rsidRPr="0013615E">
        <w:rPr>
          <w:rFonts w:ascii="Times New Roman" w:hAnsi="Times New Roman" w:cs="Times New Roman"/>
        </w:rPr>
        <w:t xml:space="preserve"> requires some use thresholds for certain AI </w:t>
      </w:r>
      <w:r w:rsidR="003D605C" w:rsidRPr="0013615E">
        <w:rPr>
          <w:rFonts w:ascii="Times New Roman" w:hAnsi="Times New Roman" w:cs="Times New Roman"/>
        </w:rPr>
        <w:t>regulations</w:t>
      </w:r>
      <w:r w:rsidR="00D44831" w:rsidRPr="0013615E">
        <w:rPr>
          <w:rFonts w:ascii="Times New Roman" w:hAnsi="Times New Roman" w:cs="Times New Roman"/>
        </w:rPr>
        <w:t xml:space="preserve"> to apply</w:t>
      </w:r>
      <w:r w:rsidR="00D44831" w:rsidRPr="0013615E">
        <w:rPr>
          <w:rStyle w:val="FootnoteReference"/>
          <w:rFonts w:ascii="Times New Roman" w:hAnsi="Times New Roman" w:cs="Times New Roman"/>
        </w:rPr>
        <w:footnoteReference w:id="90"/>
      </w:r>
      <w:r w:rsidR="00D44831" w:rsidRPr="0013615E">
        <w:rPr>
          <w:rFonts w:ascii="Times New Roman" w:hAnsi="Times New Roman" w:cs="Times New Roman"/>
        </w:rPr>
        <w:t>, these same thresholds of one million monthly users would prove unworkable in smaller states, such as Wyoming where the total state population is well below one million.</w:t>
      </w:r>
      <w:r w:rsidR="003D605C" w:rsidRPr="0013615E">
        <w:rPr>
          <w:rStyle w:val="FootnoteReference"/>
          <w:rFonts w:ascii="Times New Roman" w:hAnsi="Times New Roman" w:cs="Times New Roman"/>
        </w:rPr>
        <w:footnoteReference w:id="91"/>
      </w:r>
      <w:r w:rsidR="00D44831" w:rsidRPr="0013615E">
        <w:rPr>
          <w:rFonts w:ascii="Times New Roman" w:hAnsi="Times New Roman" w:cs="Times New Roman"/>
        </w:rPr>
        <w:t xml:space="preserve"> This is also reflected in the proliferation of local court rules in some states which reflect a preference, albeit a local legal cultural preference, for clear rules related to the use of AI in the court. In the EU the ability of MS to enact rules which go beyond the scope of EU AI Act which are not contrary to the act itself reflects the ability to tailor certain local </w:t>
      </w:r>
      <w:r w:rsidR="00D44831" w:rsidRPr="0013615E">
        <w:rPr>
          <w:rFonts w:ascii="Times New Roman" w:hAnsi="Times New Roman" w:cs="Times New Roman"/>
        </w:rPr>
        <w:lastRenderedPageBreak/>
        <w:t xml:space="preserve">preferences which are above the EU standards, but at the same time it places an artificial floor which must be met even if it is above the needs of the local population. </w:t>
      </w:r>
      <w:r w:rsidR="003D605C" w:rsidRPr="0013615E">
        <w:rPr>
          <w:rFonts w:ascii="Times New Roman" w:hAnsi="Times New Roman" w:cs="Times New Roman"/>
        </w:rPr>
        <w:t>This means that “[c]</w:t>
      </w:r>
      <w:proofErr w:type="spellStart"/>
      <w:r w:rsidR="003D605C" w:rsidRPr="0013615E">
        <w:rPr>
          <w:rFonts w:ascii="Times New Roman" w:hAnsi="Times New Roman" w:cs="Times New Roman"/>
        </w:rPr>
        <w:t>ompetition</w:t>
      </w:r>
      <w:proofErr w:type="spellEnd"/>
      <w:r w:rsidR="003D605C" w:rsidRPr="0013615E">
        <w:rPr>
          <w:rFonts w:ascii="Times New Roman" w:hAnsi="Times New Roman" w:cs="Times New Roman"/>
        </w:rPr>
        <w:t xml:space="preserve"> between legal rules will still be possible, but only above a floor of guaranteed minimum rights.”</w:t>
      </w:r>
      <w:r w:rsidR="003D605C" w:rsidRPr="0013615E">
        <w:rPr>
          <w:rStyle w:val="FootnoteReference"/>
          <w:rFonts w:ascii="Times New Roman" w:hAnsi="Times New Roman" w:cs="Times New Roman"/>
        </w:rPr>
        <w:footnoteReference w:id="92"/>
      </w:r>
      <w:r w:rsidR="003D605C" w:rsidRPr="0013615E">
        <w:rPr>
          <w:rFonts w:ascii="Times New Roman" w:hAnsi="Times New Roman" w:cs="Times New Roman"/>
        </w:rPr>
        <w:t xml:space="preserve"> </w:t>
      </w:r>
      <w:r w:rsidR="00D44831" w:rsidRPr="0013615E">
        <w:rPr>
          <w:rFonts w:ascii="Times New Roman" w:hAnsi="Times New Roman" w:cs="Times New Roman"/>
        </w:rPr>
        <w:t xml:space="preserve">It can be noticed that rates of AI usage are different across borders, which might also be tied to rates of </w:t>
      </w:r>
      <w:r w:rsidR="003D605C" w:rsidRPr="0013615E">
        <w:rPr>
          <w:rFonts w:ascii="Times New Roman" w:hAnsi="Times New Roman" w:cs="Times New Roman"/>
        </w:rPr>
        <w:t>technological</w:t>
      </w:r>
      <w:r w:rsidR="00D44831" w:rsidRPr="0013615E">
        <w:rPr>
          <w:rFonts w:ascii="Times New Roman" w:hAnsi="Times New Roman" w:cs="Times New Roman"/>
        </w:rPr>
        <w:t xml:space="preserve"> adoption in society</w:t>
      </w:r>
      <w:r w:rsidR="003D605C" w:rsidRPr="0013615E">
        <w:rPr>
          <w:rFonts w:ascii="Times New Roman" w:hAnsi="Times New Roman" w:cs="Times New Roman"/>
        </w:rPr>
        <w:t>, such as cell phone rates</w:t>
      </w:r>
      <w:r w:rsidR="00D44831" w:rsidRPr="0013615E">
        <w:rPr>
          <w:rFonts w:ascii="Times New Roman" w:hAnsi="Times New Roman" w:cs="Times New Roman"/>
        </w:rPr>
        <w:t>.</w:t>
      </w:r>
      <w:r w:rsidR="00D44831" w:rsidRPr="0013615E">
        <w:rPr>
          <w:rStyle w:val="FootnoteReference"/>
          <w:rFonts w:ascii="Times New Roman" w:hAnsi="Times New Roman" w:cs="Times New Roman"/>
        </w:rPr>
        <w:footnoteReference w:id="93"/>
      </w:r>
      <w:r w:rsidR="00D44831" w:rsidRPr="0013615E">
        <w:rPr>
          <w:rFonts w:ascii="Times New Roman" w:hAnsi="Times New Roman" w:cs="Times New Roman"/>
        </w:rPr>
        <w:t xml:space="preserve"> </w:t>
      </w:r>
      <w:r w:rsidR="003D605C" w:rsidRPr="0013615E">
        <w:rPr>
          <w:rFonts w:ascii="Times New Roman" w:hAnsi="Times New Roman" w:cs="Times New Roman"/>
        </w:rPr>
        <w:t>By comparison, it seems more likely that local preferences for AI regulation will be more fully reflected in the US while local preferences in the EU will only be reflected when the preference is for a higher standard that provided in EU law.</w:t>
      </w:r>
      <w:r w:rsidR="008F772A" w:rsidRPr="0013615E">
        <w:rPr>
          <w:rFonts w:ascii="Times New Roman" w:hAnsi="Times New Roman" w:cs="Times New Roman"/>
        </w:rPr>
        <w:t xml:space="preserve"> Because both the US and EU allow for the free movement of populations within their federal borders, the ability of individuals to “vote with their feet” and move to states which meet their preferences is possible. Firms will also be willing to vote with their feet if they can freely move. The demand for AI regulation and the movement of individuals and firms to take advantage of divergent AI regulation should result in a situation where “demand for legislation will be determined by the people’s preferences and not politically powerful interest groups and bureaucrats” which reflects the benefits of having “competition between legal rules.”</w:t>
      </w:r>
      <w:r w:rsidR="008F772A" w:rsidRPr="0013615E">
        <w:rPr>
          <w:rStyle w:val="FootnoteReference"/>
          <w:rFonts w:ascii="Times New Roman" w:hAnsi="Times New Roman" w:cs="Times New Roman"/>
        </w:rPr>
        <w:footnoteReference w:id="94"/>
      </w:r>
      <w:r w:rsidR="008F772A" w:rsidRPr="0013615E">
        <w:rPr>
          <w:rFonts w:ascii="Times New Roman" w:hAnsi="Times New Roman" w:cs="Times New Roman"/>
        </w:rPr>
        <w:t xml:space="preserve">   </w:t>
      </w:r>
    </w:p>
    <w:p w14:paraId="11B369F3" w14:textId="28E9DAA1" w:rsidR="00536494" w:rsidRPr="0013615E" w:rsidRDefault="009236F5" w:rsidP="00536494">
      <w:pPr>
        <w:spacing w:line="240" w:lineRule="auto"/>
        <w:rPr>
          <w:rFonts w:ascii="Times New Roman" w:hAnsi="Times New Roman" w:cs="Times New Roman"/>
          <w:u w:val="single"/>
        </w:rPr>
      </w:pPr>
      <w:r w:rsidRPr="0013615E">
        <w:rPr>
          <w:rFonts w:ascii="Times New Roman" w:hAnsi="Times New Roman" w:cs="Times New Roman"/>
          <w:u w:val="single"/>
        </w:rPr>
        <w:t xml:space="preserve">5.2.2 </w:t>
      </w:r>
      <w:r w:rsidR="00622565" w:rsidRPr="0013615E">
        <w:rPr>
          <w:rFonts w:ascii="Times New Roman" w:hAnsi="Times New Roman" w:cs="Times New Roman"/>
          <w:u w:val="single"/>
        </w:rPr>
        <w:t>I</w:t>
      </w:r>
      <w:r w:rsidR="00536494" w:rsidRPr="0013615E">
        <w:rPr>
          <w:rFonts w:ascii="Times New Roman" w:hAnsi="Times New Roman" w:cs="Times New Roman"/>
          <w:u w:val="single"/>
        </w:rPr>
        <w:t xml:space="preserve">nformation </w:t>
      </w:r>
      <w:r w:rsidR="00622565" w:rsidRPr="0013615E">
        <w:rPr>
          <w:rFonts w:ascii="Times New Roman" w:hAnsi="Times New Roman" w:cs="Times New Roman"/>
          <w:u w:val="single"/>
        </w:rPr>
        <w:t xml:space="preserve">gathering </w:t>
      </w:r>
      <w:r w:rsidR="00536494" w:rsidRPr="0013615E">
        <w:rPr>
          <w:rFonts w:ascii="Times New Roman" w:hAnsi="Times New Roman" w:cs="Times New Roman"/>
          <w:u w:val="single"/>
        </w:rPr>
        <w:t xml:space="preserve">at lower levels </w:t>
      </w:r>
    </w:p>
    <w:p w14:paraId="095E2653" w14:textId="549DC2FD" w:rsidR="00536494" w:rsidRPr="0013615E" w:rsidRDefault="00536494" w:rsidP="00536494">
      <w:pPr>
        <w:spacing w:line="240" w:lineRule="auto"/>
        <w:rPr>
          <w:rFonts w:ascii="Times New Roman" w:hAnsi="Times New Roman" w:cs="Times New Roman"/>
        </w:rPr>
      </w:pPr>
      <w:r w:rsidRPr="0013615E">
        <w:rPr>
          <w:rFonts w:ascii="Times New Roman" w:hAnsi="Times New Roman" w:cs="Times New Roman"/>
        </w:rPr>
        <w:t xml:space="preserve">According to </w:t>
      </w:r>
      <w:proofErr w:type="spellStart"/>
      <w:r w:rsidRPr="0013615E">
        <w:rPr>
          <w:rFonts w:ascii="Times New Roman" w:hAnsi="Times New Roman" w:cs="Times New Roman"/>
        </w:rPr>
        <w:t>Frostestad</w:t>
      </w:r>
      <w:proofErr w:type="spellEnd"/>
      <w:r w:rsidRPr="0013615E">
        <w:rPr>
          <w:rFonts w:ascii="Times New Roman" w:hAnsi="Times New Roman" w:cs="Times New Roman"/>
        </w:rPr>
        <w:t xml:space="preserve"> “[r]</w:t>
      </w:r>
      <w:proofErr w:type="spellStart"/>
      <w:r w:rsidRPr="0013615E">
        <w:rPr>
          <w:rFonts w:ascii="Times New Roman" w:hAnsi="Times New Roman" w:cs="Times New Roman"/>
        </w:rPr>
        <w:t>egulation</w:t>
      </w:r>
      <w:proofErr w:type="spellEnd"/>
      <w:r w:rsidRPr="0013615E">
        <w:rPr>
          <w:rFonts w:ascii="Times New Roman" w:hAnsi="Times New Roman" w:cs="Times New Roman"/>
        </w:rPr>
        <w:t xml:space="preserve"> is challenging to coordinate for AI production and dissemination into public consumption because it is sometimes public (and governmental in nature) or private (and corporate in nature) and transcends boundaries, so this requires governmental cooperation for trade and investment purposes as well as regular monitoring by the private technology corporations that produce the AI technologies and improve technologies at a rapid pace.”</w:t>
      </w:r>
      <w:r w:rsidRPr="0013615E">
        <w:rPr>
          <w:rStyle w:val="FootnoteReference"/>
          <w:rFonts w:ascii="Times New Roman" w:hAnsi="Times New Roman" w:cs="Times New Roman"/>
        </w:rPr>
        <w:footnoteReference w:id="95"/>
      </w:r>
      <w:r w:rsidRPr="0013615E">
        <w:rPr>
          <w:rFonts w:ascii="Times New Roman" w:hAnsi="Times New Roman" w:cs="Times New Roman"/>
        </w:rPr>
        <w:t xml:space="preserve"> This points to the problem of cross border externalities which Van Den Bergh identifies as one of the justifications for regulation at a centralized level in order to solve a problem which occurs “when the actions of one regulator reduces the value of the action by another rule-maker.”</w:t>
      </w:r>
      <w:r w:rsidRPr="0013615E">
        <w:rPr>
          <w:rStyle w:val="FootnoteReference"/>
          <w:rFonts w:ascii="Times New Roman" w:hAnsi="Times New Roman" w:cs="Times New Roman"/>
        </w:rPr>
        <w:footnoteReference w:id="96"/>
      </w:r>
      <w:r w:rsidRPr="0013615E">
        <w:rPr>
          <w:rFonts w:ascii="Times New Roman" w:hAnsi="Times New Roman" w:cs="Times New Roman"/>
        </w:rPr>
        <w:t xml:space="preserve"> </w:t>
      </w:r>
      <w:r w:rsidR="00767C42" w:rsidRPr="0013615E">
        <w:rPr>
          <w:rFonts w:ascii="Times New Roman" w:hAnsi="Times New Roman" w:cs="Times New Roman"/>
        </w:rPr>
        <w:t>However, t</w:t>
      </w:r>
      <w:r w:rsidRPr="0013615E">
        <w:rPr>
          <w:rFonts w:ascii="Times New Roman" w:hAnsi="Times New Roman" w:cs="Times New Roman"/>
        </w:rPr>
        <w:t>his also relates to a problem related to information production when “the supply of information, will be underprovided because regulators that produce these externalities only account for the effect of their action on themselves.” By centralizing AI regulation for AI uses which have cross border externalities, the impact of negative externalities can be mitigated, and the production of positive externalities can be emphasized</w:t>
      </w:r>
      <w:r w:rsidR="00767C42" w:rsidRPr="0013615E">
        <w:rPr>
          <w:rFonts w:ascii="Times New Roman" w:hAnsi="Times New Roman" w:cs="Times New Roman"/>
        </w:rPr>
        <w:t xml:space="preserve">, but there is a risk that local information which is important to specific states might be ignored. When information gathering is done centrally, it requires a standardization of processes which may not fully </w:t>
      </w:r>
      <w:proofErr w:type="gramStart"/>
      <w:r w:rsidR="00767C42" w:rsidRPr="0013615E">
        <w:rPr>
          <w:rFonts w:ascii="Times New Roman" w:hAnsi="Times New Roman" w:cs="Times New Roman"/>
        </w:rPr>
        <w:t>take into account</w:t>
      </w:r>
      <w:proofErr w:type="gramEnd"/>
      <w:r w:rsidR="00767C42" w:rsidRPr="0013615E">
        <w:rPr>
          <w:rFonts w:ascii="Times New Roman" w:hAnsi="Times New Roman" w:cs="Times New Roman"/>
        </w:rPr>
        <w:t xml:space="preserve"> the local informational needs of the state</w:t>
      </w:r>
      <w:r w:rsidR="00A929C2" w:rsidRPr="0013615E">
        <w:rPr>
          <w:rFonts w:ascii="Times New Roman" w:hAnsi="Times New Roman" w:cs="Times New Roman"/>
        </w:rPr>
        <w:t xml:space="preserve"> related to AI regulation</w:t>
      </w:r>
      <w:r w:rsidR="00767C42" w:rsidRPr="0013615E">
        <w:rPr>
          <w:rFonts w:ascii="Times New Roman" w:hAnsi="Times New Roman" w:cs="Times New Roman"/>
        </w:rPr>
        <w:t>.</w:t>
      </w:r>
      <w:r w:rsidR="00A929C2" w:rsidRPr="0013615E">
        <w:rPr>
          <w:rFonts w:ascii="Times New Roman" w:hAnsi="Times New Roman" w:cs="Times New Roman"/>
        </w:rPr>
        <w:t xml:space="preserve"> Some states might find they need more information about how AI is used within their populations, while other states might have a lower need for such information. By allowing the gathering of information at the lower levels, the risk of overproduction of unimportant information for some states can be mitigated and the states which require more information about the use of AI can </w:t>
      </w:r>
      <w:r w:rsidR="00A929C2" w:rsidRPr="0013615E">
        <w:rPr>
          <w:rFonts w:ascii="Times New Roman" w:hAnsi="Times New Roman" w:cs="Times New Roman"/>
        </w:rPr>
        <w:lastRenderedPageBreak/>
        <w:t xml:space="preserve">invest to gather this information locally. By centralizing the informational gathering related to state populations use of AI, there is a risk that both states that have a deeper integration of AI in their society and states that have a lower integration of AI in their society will have inefficient amounts of information about the AI because the centralization of information gathering about the use of AI is either inadequate or excessive. </w:t>
      </w:r>
    </w:p>
    <w:p w14:paraId="4B28C0FA" w14:textId="3AC1D545" w:rsidR="006B4F4C" w:rsidRPr="0013615E" w:rsidRDefault="006B4F4C" w:rsidP="00536494">
      <w:pPr>
        <w:spacing w:line="240" w:lineRule="auto"/>
        <w:rPr>
          <w:rFonts w:ascii="Times New Roman" w:hAnsi="Times New Roman" w:cs="Times New Roman"/>
        </w:rPr>
      </w:pPr>
      <w:r w:rsidRPr="0013615E">
        <w:rPr>
          <w:rFonts w:ascii="Times New Roman" w:hAnsi="Times New Roman" w:cs="Times New Roman"/>
        </w:rPr>
        <w:t xml:space="preserve">While the US decentralized approach may lead to more complete information being gathered at the state level for uses of AI, there is also a risk that there may be an underproduction of information related to AI use at the state level. In the EU the information gathering requirements of the EU AI Act makes a floor for information gathering standards for MS regulators, which might not be adequate for MS who are more reliant on technology and thus AI applications in their economy. </w:t>
      </w:r>
    </w:p>
    <w:p w14:paraId="08CC5336" w14:textId="5E5FC67D" w:rsidR="00536494" w:rsidRPr="0013615E" w:rsidRDefault="009236F5" w:rsidP="00536494">
      <w:pPr>
        <w:spacing w:line="240" w:lineRule="auto"/>
        <w:rPr>
          <w:rFonts w:ascii="Times New Roman" w:hAnsi="Times New Roman" w:cs="Times New Roman"/>
          <w:u w:val="single"/>
        </w:rPr>
      </w:pPr>
      <w:r w:rsidRPr="0013615E">
        <w:rPr>
          <w:rFonts w:ascii="Times New Roman" w:hAnsi="Times New Roman" w:cs="Times New Roman"/>
          <w:u w:val="single"/>
        </w:rPr>
        <w:t xml:space="preserve">5.2.3 </w:t>
      </w:r>
      <w:r w:rsidR="00622565" w:rsidRPr="0013615E">
        <w:rPr>
          <w:rFonts w:ascii="Times New Roman" w:hAnsi="Times New Roman" w:cs="Times New Roman"/>
          <w:u w:val="single"/>
        </w:rPr>
        <w:t>B</w:t>
      </w:r>
      <w:r w:rsidR="00536494" w:rsidRPr="0013615E">
        <w:rPr>
          <w:rFonts w:ascii="Times New Roman" w:hAnsi="Times New Roman" w:cs="Times New Roman"/>
          <w:u w:val="single"/>
        </w:rPr>
        <w:t xml:space="preserve">eneficial competition </w:t>
      </w:r>
      <w:r w:rsidR="00622565" w:rsidRPr="0013615E">
        <w:rPr>
          <w:rFonts w:ascii="Times New Roman" w:hAnsi="Times New Roman" w:cs="Times New Roman"/>
          <w:u w:val="single"/>
        </w:rPr>
        <w:t>and</w:t>
      </w:r>
      <w:r w:rsidR="00536494" w:rsidRPr="0013615E">
        <w:rPr>
          <w:rFonts w:ascii="Times New Roman" w:hAnsi="Times New Roman" w:cs="Times New Roman"/>
          <w:u w:val="single"/>
        </w:rPr>
        <w:t xml:space="preserve"> efficien</w:t>
      </w:r>
      <w:r w:rsidR="00622565" w:rsidRPr="0013615E">
        <w:rPr>
          <w:rFonts w:ascii="Times New Roman" w:hAnsi="Times New Roman" w:cs="Times New Roman"/>
          <w:u w:val="single"/>
        </w:rPr>
        <w:t>cy</w:t>
      </w:r>
      <w:r w:rsidR="00536494" w:rsidRPr="0013615E">
        <w:rPr>
          <w:rFonts w:ascii="Times New Roman" w:hAnsi="Times New Roman" w:cs="Times New Roman"/>
          <w:u w:val="single"/>
        </w:rPr>
        <w:t xml:space="preserve"> </w:t>
      </w:r>
    </w:p>
    <w:p w14:paraId="49C2E3EA" w14:textId="17630D29" w:rsidR="00B66E6A" w:rsidRPr="0013615E" w:rsidRDefault="00A929C2" w:rsidP="00B66E6A">
      <w:pPr>
        <w:spacing w:line="240" w:lineRule="auto"/>
        <w:rPr>
          <w:rFonts w:ascii="Times New Roman" w:hAnsi="Times New Roman" w:cs="Times New Roman"/>
        </w:rPr>
      </w:pPr>
      <w:proofErr w:type="gramStart"/>
      <w:r w:rsidRPr="0013615E">
        <w:rPr>
          <w:rFonts w:ascii="Times New Roman" w:hAnsi="Times New Roman" w:cs="Times New Roman"/>
        </w:rPr>
        <w:t>AI related</w:t>
      </w:r>
      <w:proofErr w:type="gramEnd"/>
      <w:r w:rsidRPr="0013615E">
        <w:rPr>
          <w:rFonts w:ascii="Times New Roman" w:hAnsi="Times New Roman" w:cs="Times New Roman"/>
        </w:rPr>
        <w:t xml:space="preserve"> risks are not fully identified. It can be argued that risk</w:t>
      </w:r>
      <w:r w:rsidR="008C11A1" w:rsidRPr="0013615E">
        <w:rPr>
          <w:rFonts w:ascii="Times New Roman" w:hAnsi="Times New Roman" w:cs="Times New Roman"/>
        </w:rPr>
        <w:t>s</w:t>
      </w:r>
      <w:r w:rsidRPr="0013615E">
        <w:rPr>
          <w:rFonts w:ascii="Times New Roman" w:hAnsi="Times New Roman" w:cs="Times New Roman"/>
        </w:rPr>
        <w:t xml:space="preserve"> related to the use of AI are </w:t>
      </w:r>
      <w:proofErr w:type="gramStart"/>
      <w:r w:rsidRPr="0013615E">
        <w:rPr>
          <w:rFonts w:ascii="Times New Roman" w:hAnsi="Times New Roman" w:cs="Times New Roman"/>
        </w:rPr>
        <w:t xml:space="preserve">to a </w:t>
      </w:r>
      <w:r w:rsidR="006B4F4C" w:rsidRPr="0013615E">
        <w:rPr>
          <w:rFonts w:ascii="Times New Roman" w:hAnsi="Times New Roman" w:cs="Times New Roman"/>
        </w:rPr>
        <w:t>large</w:t>
      </w:r>
      <w:r w:rsidRPr="0013615E">
        <w:rPr>
          <w:rFonts w:ascii="Times New Roman" w:hAnsi="Times New Roman" w:cs="Times New Roman"/>
        </w:rPr>
        <w:t xml:space="preserve"> extent</w:t>
      </w:r>
      <w:proofErr w:type="gramEnd"/>
      <w:r w:rsidRPr="0013615E">
        <w:rPr>
          <w:rFonts w:ascii="Times New Roman" w:hAnsi="Times New Roman" w:cs="Times New Roman"/>
        </w:rPr>
        <w:t xml:space="preserve"> unknown. </w:t>
      </w:r>
      <w:r w:rsidR="006B4F4C" w:rsidRPr="0013615E">
        <w:rPr>
          <w:rFonts w:ascii="Times New Roman" w:hAnsi="Times New Roman" w:cs="Times New Roman"/>
        </w:rPr>
        <w:t xml:space="preserve">A potential list of </w:t>
      </w:r>
      <w:r w:rsidR="00E92890" w:rsidRPr="0013615E">
        <w:rPr>
          <w:rFonts w:ascii="Times New Roman" w:hAnsi="Times New Roman" w:cs="Times New Roman"/>
        </w:rPr>
        <w:t>risks</w:t>
      </w:r>
      <w:r w:rsidR="006B4F4C" w:rsidRPr="0013615E">
        <w:rPr>
          <w:rFonts w:ascii="Times New Roman" w:hAnsi="Times New Roman" w:cs="Times New Roman"/>
        </w:rPr>
        <w:t xml:space="preserve"> related to AI would be rather extensive and could take up an entire research project itself.</w:t>
      </w:r>
      <w:r w:rsidR="006B4F4C" w:rsidRPr="0013615E">
        <w:rPr>
          <w:rStyle w:val="FootnoteReference"/>
          <w:rFonts w:ascii="Times New Roman" w:hAnsi="Times New Roman" w:cs="Times New Roman"/>
        </w:rPr>
        <w:footnoteReference w:id="97"/>
      </w:r>
      <w:r w:rsidR="006B4F4C" w:rsidRPr="0013615E">
        <w:rPr>
          <w:rFonts w:ascii="Times New Roman" w:hAnsi="Times New Roman" w:cs="Times New Roman"/>
        </w:rPr>
        <w:t xml:space="preserve"> </w:t>
      </w:r>
      <w:r w:rsidRPr="0013615E">
        <w:rPr>
          <w:rFonts w:ascii="Times New Roman" w:hAnsi="Times New Roman" w:cs="Times New Roman"/>
        </w:rPr>
        <w:t xml:space="preserve">This </w:t>
      </w:r>
      <w:r w:rsidR="00E92890" w:rsidRPr="0013615E">
        <w:rPr>
          <w:rFonts w:ascii="Times New Roman" w:hAnsi="Times New Roman" w:cs="Times New Roman"/>
        </w:rPr>
        <w:t xml:space="preserve">laundry list of </w:t>
      </w:r>
      <w:proofErr w:type="gramStart"/>
      <w:r w:rsidR="00E92890" w:rsidRPr="0013615E">
        <w:rPr>
          <w:rFonts w:ascii="Times New Roman" w:hAnsi="Times New Roman" w:cs="Times New Roman"/>
        </w:rPr>
        <w:t>AI related</w:t>
      </w:r>
      <w:proofErr w:type="gramEnd"/>
      <w:r w:rsidR="00E92890" w:rsidRPr="0013615E">
        <w:rPr>
          <w:rFonts w:ascii="Times New Roman" w:hAnsi="Times New Roman" w:cs="Times New Roman"/>
        </w:rPr>
        <w:t xml:space="preserve"> risks </w:t>
      </w:r>
      <w:r w:rsidRPr="0013615E">
        <w:rPr>
          <w:rFonts w:ascii="Times New Roman" w:hAnsi="Times New Roman" w:cs="Times New Roman"/>
        </w:rPr>
        <w:t xml:space="preserve">means that efficient regulatory approaches for these </w:t>
      </w:r>
      <w:r w:rsidR="00E92890" w:rsidRPr="0013615E">
        <w:rPr>
          <w:rFonts w:ascii="Times New Roman" w:hAnsi="Times New Roman" w:cs="Times New Roman"/>
        </w:rPr>
        <w:t xml:space="preserve">risks </w:t>
      </w:r>
      <w:r w:rsidR="008C11A1" w:rsidRPr="0013615E">
        <w:rPr>
          <w:rFonts w:ascii="Times New Roman" w:hAnsi="Times New Roman" w:cs="Times New Roman"/>
        </w:rPr>
        <w:t>are</w:t>
      </w:r>
      <w:r w:rsidR="00E92890" w:rsidRPr="0013615E">
        <w:rPr>
          <w:rFonts w:ascii="Times New Roman" w:hAnsi="Times New Roman" w:cs="Times New Roman"/>
        </w:rPr>
        <w:t xml:space="preserve"> uncertain and for the </w:t>
      </w:r>
      <w:r w:rsidRPr="0013615E">
        <w:rPr>
          <w:rFonts w:ascii="Times New Roman" w:hAnsi="Times New Roman" w:cs="Times New Roman"/>
        </w:rPr>
        <w:t xml:space="preserve">unknown </w:t>
      </w:r>
      <w:r w:rsidR="00E92890" w:rsidRPr="0013615E">
        <w:rPr>
          <w:rFonts w:ascii="Times New Roman" w:hAnsi="Times New Roman" w:cs="Times New Roman"/>
        </w:rPr>
        <w:t xml:space="preserve">AI </w:t>
      </w:r>
      <w:r w:rsidRPr="0013615E">
        <w:rPr>
          <w:rFonts w:ascii="Times New Roman" w:hAnsi="Times New Roman" w:cs="Times New Roman"/>
        </w:rPr>
        <w:t xml:space="preserve">risks are unknown. By allowing local regulation of </w:t>
      </w:r>
      <w:r w:rsidR="00E92890" w:rsidRPr="0013615E">
        <w:rPr>
          <w:rFonts w:ascii="Times New Roman" w:hAnsi="Times New Roman" w:cs="Times New Roman"/>
        </w:rPr>
        <w:t>AI,</w:t>
      </w:r>
      <w:r w:rsidRPr="0013615E">
        <w:rPr>
          <w:rFonts w:ascii="Times New Roman" w:hAnsi="Times New Roman" w:cs="Times New Roman"/>
        </w:rPr>
        <w:t xml:space="preserve"> it is possible that the best practices for dealing with these emerging risks might be identified through a diffused process of trial and error. On</w:t>
      </w:r>
      <w:r w:rsidR="006B4F4C" w:rsidRPr="0013615E">
        <w:rPr>
          <w:rFonts w:ascii="Times New Roman" w:hAnsi="Times New Roman" w:cs="Times New Roman"/>
        </w:rPr>
        <w:t>c</w:t>
      </w:r>
      <w:r w:rsidRPr="0013615E">
        <w:rPr>
          <w:rFonts w:ascii="Times New Roman" w:hAnsi="Times New Roman" w:cs="Times New Roman"/>
        </w:rPr>
        <w:t>e efficient regulatory approaches for AI risk are identified at the local levels, then the process of legal transplantation can take place, where efficient methods from one state in a federal system can be incorporated into another state in the federal system. This evolutionary process allows for the identification of efficient regulation</w:t>
      </w:r>
      <w:r w:rsidR="008F772A" w:rsidRPr="0013615E">
        <w:rPr>
          <w:rFonts w:ascii="Times New Roman" w:hAnsi="Times New Roman" w:cs="Times New Roman"/>
        </w:rPr>
        <w:t xml:space="preserve"> and the discarding of inefficient regulatory approaches</w:t>
      </w:r>
      <w:r w:rsidR="006B4F4C" w:rsidRPr="0013615E">
        <w:rPr>
          <w:rFonts w:ascii="Times New Roman" w:hAnsi="Times New Roman" w:cs="Times New Roman"/>
        </w:rPr>
        <w:t>.</w:t>
      </w:r>
      <w:r w:rsidRPr="0013615E">
        <w:rPr>
          <w:rFonts w:ascii="Times New Roman" w:hAnsi="Times New Roman" w:cs="Times New Roman"/>
        </w:rPr>
        <w:t xml:space="preserve"> </w:t>
      </w:r>
      <w:r w:rsidR="00E92890" w:rsidRPr="0013615E">
        <w:rPr>
          <w:rFonts w:ascii="Times New Roman" w:hAnsi="Times New Roman" w:cs="Times New Roman"/>
        </w:rPr>
        <w:t>The key benefit of having diffused AI regulation given that the best practices are not yet certainly identifiable is that “[d]</w:t>
      </w:r>
      <w:proofErr w:type="spellStart"/>
      <w:r w:rsidR="00E92890" w:rsidRPr="0013615E">
        <w:rPr>
          <w:rFonts w:ascii="Times New Roman" w:hAnsi="Times New Roman" w:cs="Times New Roman"/>
        </w:rPr>
        <w:t>ifferences</w:t>
      </w:r>
      <w:proofErr w:type="spellEnd"/>
      <w:r w:rsidR="00E92890" w:rsidRPr="0013615E">
        <w:rPr>
          <w:rFonts w:ascii="Times New Roman" w:hAnsi="Times New Roman" w:cs="Times New Roman"/>
        </w:rPr>
        <w:t xml:space="preserve"> in rules allow for different experiences and may improve an understanding of the effects of alternative legal solution to similar problems.”</w:t>
      </w:r>
      <w:r w:rsidR="00E92890" w:rsidRPr="0013615E">
        <w:rPr>
          <w:rStyle w:val="FootnoteReference"/>
          <w:rFonts w:ascii="Times New Roman" w:hAnsi="Times New Roman" w:cs="Times New Roman"/>
        </w:rPr>
        <w:footnoteReference w:id="98"/>
      </w:r>
      <w:r w:rsidRPr="0013615E">
        <w:rPr>
          <w:rFonts w:ascii="Times New Roman" w:hAnsi="Times New Roman" w:cs="Times New Roman"/>
        </w:rPr>
        <w:t xml:space="preserve"> </w:t>
      </w:r>
      <w:r w:rsidR="00E92890" w:rsidRPr="0013615E">
        <w:rPr>
          <w:rFonts w:ascii="Times New Roman" w:hAnsi="Times New Roman" w:cs="Times New Roman"/>
        </w:rPr>
        <w:t xml:space="preserve">The US approach of decentralization of AI regulation may lead to the identification of efficient AI regulatory tools as states compete with each other to provide AI regulation. In the EU the possibility of competition in the provision of AI regulation is not completely gone, but it is more limited than in the US. This means that </w:t>
      </w:r>
      <w:r w:rsidR="00782897" w:rsidRPr="0013615E">
        <w:rPr>
          <w:rFonts w:ascii="Times New Roman" w:hAnsi="Times New Roman" w:cs="Times New Roman"/>
        </w:rPr>
        <w:t xml:space="preserve">some potential regulatory approaches which might be efficient may take longer to identify and that the EU may need to look outside itself to identify more innovative and efficient AI regulatory approaches. The EU AI Act limits the ability of MS to develop some types of AI regulation schemes </w:t>
      </w:r>
      <w:proofErr w:type="gramStart"/>
      <w:r w:rsidR="00782897" w:rsidRPr="0013615E">
        <w:rPr>
          <w:rFonts w:ascii="Times New Roman" w:hAnsi="Times New Roman" w:cs="Times New Roman"/>
        </w:rPr>
        <w:t>and also</w:t>
      </w:r>
      <w:proofErr w:type="gramEnd"/>
      <w:r w:rsidR="00782897" w:rsidRPr="0013615E">
        <w:rPr>
          <w:rFonts w:ascii="Times New Roman" w:hAnsi="Times New Roman" w:cs="Times New Roman"/>
        </w:rPr>
        <w:t xml:space="preserve"> </w:t>
      </w:r>
      <w:proofErr w:type="gramStart"/>
      <w:r w:rsidR="00782897" w:rsidRPr="0013615E">
        <w:rPr>
          <w:rFonts w:ascii="Times New Roman" w:hAnsi="Times New Roman" w:cs="Times New Roman"/>
        </w:rPr>
        <w:t>place</w:t>
      </w:r>
      <w:proofErr w:type="gramEnd"/>
      <w:r w:rsidR="00782897" w:rsidRPr="0013615E">
        <w:rPr>
          <w:rFonts w:ascii="Times New Roman" w:hAnsi="Times New Roman" w:cs="Times New Roman"/>
        </w:rPr>
        <w:t xml:space="preserve"> the EU on a path which focuses on risk categorization for AI applications which may be difficult to deviate from in the future.</w:t>
      </w:r>
      <w:r w:rsidR="00782897" w:rsidRPr="0013615E">
        <w:rPr>
          <w:rStyle w:val="FootnoteReference"/>
          <w:rFonts w:ascii="Times New Roman" w:hAnsi="Times New Roman" w:cs="Times New Roman"/>
        </w:rPr>
        <w:footnoteReference w:id="99"/>
      </w:r>
    </w:p>
    <w:p w14:paraId="7D7A9FB0" w14:textId="08F41FC7" w:rsidR="00B66E6A" w:rsidRPr="0013615E" w:rsidRDefault="00622565" w:rsidP="00B66E6A">
      <w:pPr>
        <w:spacing w:line="240" w:lineRule="auto"/>
        <w:rPr>
          <w:rFonts w:ascii="Times New Roman" w:hAnsi="Times New Roman" w:cs="Times New Roman"/>
          <w:b/>
          <w:bCs/>
        </w:rPr>
      </w:pPr>
      <w:r w:rsidRPr="0013615E">
        <w:rPr>
          <w:rFonts w:ascii="Times New Roman" w:hAnsi="Times New Roman" w:cs="Times New Roman"/>
          <w:b/>
          <w:bCs/>
        </w:rPr>
        <w:t xml:space="preserve">5.3 </w:t>
      </w:r>
      <w:r w:rsidR="00B66E6A" w:rsidRPr="0013615E">
        <w:rPr>
          <w:rFonts w:ascii="Times New Roman" w:hAnsi="Times New Roman" w:cs="Times New Roman"/>
          <w:b/>
          <w:bCs/>
        </w:rPr>
        <w:t xml:space="preserve">The Benefits of Centralized AI Regulation in Federal Systems </w:t>
      </w:r>
    </w:p>
    <w:p w14:paraId="13EBDF02" w14:textId="7FBC6000" w:rsidR="00782897" w:rsidRPr="0013615E" w:rsidRDefault="009236F5" w:rsidP="00B66E6A">
      <w:pPr>
        <w:spacing w:line="240" w:lineRule="auto"/>
        <w:rPr>
          <w:rFonts w:ascii="Times New Roman" w:hAnsi="Times New Roman" w:cs="Times New Roman"/>
        </w:rPr>
      </w:pPr>
      <w:r w:rsidRPr="0013615E">
        <w:rPr>
          <w:rFonts w:ascii="Times New Roman" w:hAnsi="Times New Roman" w:cs="Times New Roman"/>
          <w:u w:val="single"/>
        </w:rPr>
        <w:t xml:space="preserve">5.3.1 </w:t>
      </w:r>
      <w:r w:rsidR="00622565" w:rsidRPr="0013615E">
        <w:rPr>
          <w:rFonts w:ascii="Times New Roman" w:hAnsi="Times New Roman" w:cs="Times New Roman"/>
          <w:u w:val="single"/>
        </w:rPr>
        <w:t>Cross Border</w:t>
      </w:r>
      <w:r w:rsidR="00782897" w:rsidRPr="0013615E">
        <w:rPr>
          <w:rFonts w:ascii="Times New Roman" w:hAnsi="Times New Roman" w:cs="Times New Roman"/>
          <w:u w:val="single"/>
        </w:rPr>
        <w:t xml:space="preserve"> externalities </w:t>
      </w:r>
    </w:p>
    <w:p w14:paraId="567B8706" w14:textId="33C9207A" w:rsidR="004174BF" w:rsidRPr="0013615E" w:rsidRDefault="004174BF" w:rsidP="00B66E6A">
      <w:pPr>
        <w:spacing w:line="240" w:lineRule="auto"/>
        <w:rPr>
          <w:rFonts w:ascii="Times New Roman" w:hAnsi="Times New Roman" w:cs="Times New Roman"/>
        </w:rPr>
      </w:pPr>
      <w:r w:rsidRPr="0013615E">
        <w:rPr>
          <w:rFonts w:ascii="Times New Roman" w:hAnsi="Times New Roman" w:cs="Times New Roman"/>
        </w:rPr>
        <w:t xml:space="preserve">The nature of AI, particularly the availability of LLM applications to easily cross borders, means that spillover effects from the regulation of AI are likely highly correlated to the accessibility of </w:t>
      </w:r>
      <w:r w:rsidRPr="0013615E">
        <w:rPr>
          <w:rFonts w:ascii="Times New Roman" w:hAnsi="Times New Roman" w:cs="Times New Roman"/>
        </w:rPr>
        <w:lastRenderedPageBreak/>
        <w:t xml:space="preserve">AI applications on the internet. This “globalization” of AI applications is posed to allow for AI to reach all corners of the world and impact economies and societies far from the location of the operation of AI platforms. Because of the potential for negative externalities emanating from the under regulation of AI, there is a strong incentive for governments to converge towards some standardization in the regulation of AI. The question is then how much standardization is best? </w:t>
      </w:r>
    </w:p>
    <w:p w14:paraId="3AD7283B" w14:textId="42DE28A2" w:rsidR="004174BF" w:rsidRPr="0013615E" w:rsidRDefault="009236F5" w:rsidP="00B66E6A">
      <w:pPr>
        <w:spacing w:line="240" w:lineRule="auto"/>
        <w:rPr>
          <w:rFonts w:ascii="Times New Roman" w:hAnsi="Times New Roman" w:cs="Times New Roman"/>
          <w:u w:val="single"/>
        </w:rPr>
      </w:pPr>
      <w:r w:rsidRPr="0013615E">
        <w:rPr>
          <w:rFonts w:ascii="Times New Roman" w:hAnsi="Times New Roman" w:cs="Times New Roman"/>
          <w:u w:val="single"/>
        </w:rPr>
        <w:t xml:space="preserve">5.3.2 </w:t>
      </w:r>
      <w:r w:rsidR="00622565" w:rsidRPr="0013615E">
        <w:rPr>
          <w:rFonts w:ascii="Times New Roman" w:hAnsi="Times New Roman" w:cs="Times New Roman"/>
          <w:u w:val="single"/>
        </w:rPr>
        <w:t>B</w:t>
      </w:r>
      <w:r w:rsidR="00782897" w:rsidRPr="0013615E">
        <w:rPr>
          <w:rFonts w:ascii="Times New Roman" w:hAnsi="Times New Roman" w:cs="Times New Roman"/>
          <w:u w:val="single"/>
        </w:rPr>
        <w:t xml:space="preserve">enefits </w:t>
      </w:r>
      <w:r w:rsidR="00622565" w:rsidRPr="0013615E">
        <w:rPr>
          <w:rFonts w:ascii="Times New Roman" w:hAnsi="Times New Roman" w:cs="Times New Roman"/>
          <w:u w:val="single"/>
        </w:rPr>
        <w:t>from</w:t>
      </w:r>
      <w:r w:rsidR="00782897" w:rsidRPr="0013615E">
        <w:rPr>
          <w:rFonts w:ascii="Times New Roman" w:hAnsi="Times New Roman" w:cs="Times New Roman"/>
          <w:u w:val="single"/>
        </w:rPr>
        <w:t xml:space="preserve"> </w:t>
      </w:r>
      <w:r w:rsidR="00622565" w:rsidRPr="0013615E">
        <w:rPr>
          <w:rFonts w:ascii="Times New Roman" w:hAnsi="Times New Roman" w:cs="Times New Roman"/>
          <w:u w:val="single"/>
        </w:rPr>
        <w:t>economies of scale</w:t>
      </w:r>
      <w:r w:rsidR="00782897" w:rsidRPr="0013615E">
        <w:rPr>
          <w:rFonts w:ascii="Times New Roman" w:hAnsi="Times New Roman" w:cs="Times New Roman"/>
          <w:u w:val="single"/>
        </w:rPr>
        <w:t xml:space="preserve"> </w:t>
      </w:r>
    </w:p>
    <w:p w14:paraId="1614F3FF" w14:textId="068A9B18" w:rsidR="004174BF" w:rsidRPr="0013615E" w:rsidRDefault="004174BF" w:rsidP="00B66E6A">
      <w:pPr>
        <w:spacing w:line="240" w:lineRule="auto"/>
        <w:rPr>
          <w:rFonts w:ascii="Times New Roman" w:hAnsi="Times New Roman" w:cs="Times New Roman"/>
        </w:rPr>
      </w:pPr>
      <w:r w:rsidRPr="0013615E">
        <w:rPr>
          <w:rFonts w:ascii="Times New Roman" w:hAnsi="Times New Roman" w:cs="Times New Roman"/>
        </w:rPr>
        <w:t xml:space="preserve">AI firms are spending huge amounts on developing AI applications. The potential negative externalities from AI are also huge in terms of the potential economic costs. </w:t>
      </w:r>
      <w:r w:rsidR="009F27E9" w:rsidRPr="0013615E">
        <w:rPr>
          <w:rFonts w:ascii="Times New Roman" w:hAnsi="Times New Roman" w:cs="Times New Roman"/>
        </w:rPr>
        <w:t xml:space="preserve">There is a need for government regulators to develop monitoring AI which is needed to keep track of the developments of private AI firms. This may prove to be a costly endeavor. </w:t>
      </w:r>
      <w:r w:rsidR="008C11A1" w:rsidRPr="0013615E">
        <w:rPr>
          <w:rFonts w:ascii="Times New Roman" w:hAnsi="Times New Roman" w:cs="Times New Roman"/>
        </w:rPr>
        <w:t xml:space="preserve">This task could </w:t>
      </w:r>
      <w:proofErr w:type="gramStart"/>
      <w:r w:rsidR="008C11A1" w:rsidRPr="0013615E">
        <w:rPr>
          <w:rFonts w:ascii="Times New Roman" w:hAnsi="Times New Roman" w:cs="Times New Roman"/>
        </w:rPr>
        <w:t>arguable</w:t>
      </w:r>
      <w:proofErr w:type="gramEnd"/>
      <w:r w:rsidR="008C11A1" w:rsidRPr="0013615E">
        <w:rPr>
          <w:rFonts w:ascii="Times New Roman" w:hAnsi="Times New Roman" w:cs="Times New Roman"/>
        </w:rPr>
        <w:t xml:space="preserve"> benefit from a centralized approach to take advantage of the economies of scale which could be realized in the development of large and sophisticated AI monitoring programs which need to be continually updated and adjusted to </w:t>
      </w:r>
      <w:proofErr w:type="gramStart"/>
      <w:r w:rsidR="008C11A1" w:rsidRPr="0013615E">
        <w:rPr>
          <w:rFonts w:ascii="Times New Roman" w:hAnsi="Times New Roman" w:cs="Times New Roman"/>
        </w:rPr>
        <w:t>take into account</w:t>
      </w:r>
      <w:proofErr w:type="gramEnd"/>
      <w:r w:rsidR="008C11A1" w:rsidRPr="0013615E">
        <w:rPr>
          <w:rFonts w:ascii="Times New Roman" w:hAnsi="Times New Roman" w:cs="Times New Roman"/>
        </w:rPr>
        <w:t xml:space="preserve"> the changes </w:t>
      </w:r>
      <w:r w:rsidR="000E5C5B" w:rsidRPr="0013615E">
        <w:rPr>
          <w:rFonts w:ascii="Times New Roman" w:hAnsi="Times New Roman" w:cs="Times New Roman"/>
        </w:rPr>
        <w:t>in</w:t>
      </w:r>
      <w:r w:rsidR="008C11A1" w:rsidRPr="0013615E">
        <w:rPr>
          <w:rFonts w:ascii="Times New Roman" w:hAnsi="Times New Roman" w:cs="Times New Roman"/>
        </w:rPr>
        <w:t xml:space="preserve"> AI development in the private sector. </w:t>
      </w:r>
    </w:p>
    <w:p w14:paraId="3F10AAF0" w14:textId="2A885688" w:rsidR="00B66E6A" w:rsidRPr="0013615E" w:rsidRDefault="009236F5" w:rsidP="00B66E6A">
      <w:pPr>
        <w:spacing w:line="240" w:lineRule="auto"/>
        <w:rPr>
          <w:rFonts w:ascii="Times New Roman" w:hAnsi="Times New Roman" w:cs="Times New Roman"/>
          <w:b/>
          <w:bCs/>
          <w:u w:val="single"/>
        </w:rPr>
      </w:pPr>
      <w:r w:rsidRPr="0013615E">
        <w:rPr>
          <w:rFonts w:ascii="Times New Roman" w:hAnsi="Times New Roman" w:cs="Times New Roman"/>
          <w:u w:val="single"/>
        </w:rPr>
        <w:t xml:space="preserve">5.2.3 </w:t>
      </w:r>
      <w:r w:rsidR="00622565" w:rsidRPr="0013615E">
        <w:rPr>
          <w:rFonts w:ascii="Times New Roman" w:hAnsi="Times New Roman" w:cs="Times New Roman"/>
          <w:u w:val="single"/>
        </w:rPr>
        <w:t>R</w:t>
      </w:r>
      <w:r w:rsidR="00782897" w:rsidRPr="0013615E">
        <w:rPr>
          <w:rFonts w:ascii="Times New Roman" w:hAnsi="Times New Roman" w:cs="Times New Roman"/>
          <w:u w:val="single"/>
        </w:rPr>
        <w:t xml:space="preserve">egulatory competition </w:t>
      </w:r>
      <w:r w:rsidR="00622565" w:rsidRPr="0013615E">
        <w:rPr>
          <w:rFonts w:ascii="Times New Roman" w:hAnsi="Times New Roman" w:cs="Times New Roman"/>
          <w:u w:val="single"/>
        </w:rPr>
        <w:t>within</w:t>
      </w:r>
      <w:r w:rsidR="00782897" w:rsidRPr="0013615E">
        <w:rPr>
          <w:rFonts w:ascii="Times New Roman" w:hAnsi="Times New Roman" w:cs="Times New Roman"/>
          <w:u w:val="single"/>
        </w:rPr>
        <w:t xml:space="preserve"> federal system</w:t>
      </w:r>
      <w:r w:rsidR="00622565" w:rsidRPr="0013615E">
        <w:rPr>
          <w:rFonts w:ascii="Times New Roman" w:hAnsi="Times New Roman" w:cs="Times New Roman"/>
          <w:u w:val="single"/>
        </w:rPr>
        <w:t>s</w:t>
      </w:r>
    </w:p>
    <w:p w14:paraId="21BAA5B0" w14:textId="77777777" w:rsidR="004174BF" w:rsidRPr="0013615E" w:rsidRDefault="004174BF" w:rsidP="004174BF">
      <w:pPr>
        <w:spacing w:line="240" w:lineRule="auto"/>
        <w:rPr>
          <w:rFonts w:ascii="Times New Roman" w:hAnsi="Times New Roman" w:cs="Times New Roman"/>
        </w:rPr>
      </w:pPr>
      <w:r w:rsidRPr="0013615E">
        <w:rPr>
          <w:rFonts w:ascii="Times New Roman" w:hAnsi="Times New Roman" w:cs="Times New Roman"/>
        </w:rPr>
        <w:t>As mentioned, when there is divergent regulation across borders, governments risk engaging in a destructive form of regulatory competition which lowers the expected benefits of having firms incorporated in the state. When states create specific forms of regulation which are designed to lure the incorporation of firms, they may prompt other states to respond by lowering the regulatory burden they place on firms to lure incorporation of firms in their jurisdiction.</w:t>
      </w:r>
      <w:r w:rsidRPr="0013615E">
        <w:rPr>
          <w:rStyle w:val="FootnoteReference"/>
          <w:rFonts w:ascii="Times New Roman" w:hAnsi="Times New Roman" w:cs="Times New Roman"/>
        </w:rPr>
        <w:footnoteReference w:id="100"/>
      </w:r>
      <w:r w:rsidRPr="0013615E">
        <w:rPr>
          <w:rFonts w:ascii="Times New Roman" w:hAnsi="Times New Roman" w:cs="Times New Roman"/>
        </w:rPr>
        <w:t xml:space="preserve"> Poser identifies how regulatory arbitrage can lead to potentially negative consequences in the form of lower than optimal regulation, or in leading to industry favorable regulation.</w:t>
      </w:r>
      <w:r w:rsidRPr="0013615E">
        <w:rPr>
          <w:rStyle w:val="FootnoteReference"/>
          <w:rFonts w:ascii="Times New Roman" w:hAnsi="Times New Roman" w:cs="Times New Roman"/>
        </w:rPr>
        <w:footnoteReference w:id="101"/>
      </w:r>
      <w:r w:rsidRPr="0013615E">
        <w:rPr>
          <w:rFonts w:ascii="Times New Roman" w:hAnsi="Times New Roman" w:cs="Times New Roman"/>
        </w:rPr>
        <w:t xml:space="preserve"> According to Fleischer, regulatory arbitrage can be thought of as</w:t>
      </w:r>
      <w:r w:rsidRPr="0013615E">
        <w:rPr>
          <w:rFonts w:ascii="Times New Roman" w:eastAsia="TimesNewRoman" w:hAnsi="Times New Roman" w:cs="Times New Roman"/>
          <w:kern w:val="0"/>
        </w:rPr>
        <w:t xml:space="preserve"> </w:t>
      </w:r>
      <w:r w:rsidRPr="0013615E">
        <w:rPr>
          <w:rFonts w:ascii="Times New Roman" w:hAnsi="Times New Roman" w:cs="Times New Roman"/>
        </w:rPr>
        <w:t xml:space="preserve">“a perfectly legal planning technique used to avoid taxes, accounting rules, securities disclosure, and other regulatory costs” which “exploits the gap between the economic substance of a transaction and its legal or regulatory treatment, taking advantage of the legal system’s intrinsically limited ability to attach formal labels that </w:t>
      </w:r>
      <w:r w:rsidRPr="0013615E">
        <w:rPr>
          <w:rFonts w:ascii="Times New Roman" w:hAnsi="Times New Roman" w:cs="Times New Roman"/>
        </w:rPr>
        <w:lastRenderedPageBreak/>
        <w:t>track the economics of transactions with sufficient precision”.</w:t>
      </w:r>
      <w:r w:rsidRPr="0013615E">
        <w:rPr>
          <w:rStyle w:val="FootnoteReference"/>
          <w:rFonts w:ascii="Times New Roman" w:hAnsi="Times New Roman" w:cs="Times New Roman"/>
        </w:rPr>
        <w:footnoteReference w:id="102"/>
      </w:r>
      <w:r w:rsidRPr="0013615E">
        <w:rPr>
          <w:rFonts w:ascii="Times New Roman" w:hAnsi="Times New Roman" w:cs="Times New Roman"/>
        </w:rPr>
        <w:t xml:space="preserve"> When we think about the potential for a divergence in the regulation of AI between nations and within nations, we can see the potential for states to engage in a destructive type of regulatory competition which allows for the risks associated with the use of AI to spill over from one nation or state to another. This potential risk from the regulation of AI appears to be particularly high due to some of the nationless characteristics of the internet of things, which allows for information and the application of software to easily cross borders. </w:t>
      </w:r>
    </w:p>
    <w:p w14:paraId="4470099D" w14:textId="6EE90CEE" w:rsidR="00C04170" w:rsidRPr="0013615E" w:rsidRDefault="00955CAB" w:rsidP="0006766C">
      <w:p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Additional thoughts on Regulatory Competition and AI </w:t>
      </w:r>
    </w:p>
    <w:p w14:paraId="2A8F996A" w14:textId="3462AEA5" w:rsidR="00554C32" w:rsidRPr="0013615E" w:rsidRDefault="0040524C" w:rsidP="009236F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Policy Recommendations</w:t>
      </w:r>
    </w:p>
    <w:p w14:paraId="0CD0C73B" w14:textId="11215232" w:rsidR="005F5681" w:rsidRPr="0013615E" w:rsidRDefault="005F5681" w:rsidP="0006766C">
      <w:pPr>
        <w:spacing w:line="240" w:lineRule="auto"/>
        <w:rPr>
          <w:rFonts w:ascii="Times New Roman" w:hAnsi="Times New Roman" w:cs="Times New Roman"/>
        </w:rPr>
      </w:pPr>
      <w:r w:rsidRPr="0013615E">
        <w:rPr>
          <w:rFonts w:ascii="Times New Roman" w:hAnsi="Times New Roman" w:cs="Times New Roman"/>
        </w:rPr>
        <w:t xml:space="preserve">Perhaps one of the most important problems relating to the regulation of AI </w:t>
      </w:r>
      <w:proofErr w:type="gramStart"/>
      <w:r w:rsidRPr="0013615E">
        <w:rPr>
          <w:rFonts w:ascii="Times New Roman" w:hAnsi="Times New Roman" w:cs="Times New Roman"/>
        </w:rPr>
        <w:t>which</w:t>
      </w:r>
      <w:proofErr w:type="gramEnd"/>
      <w:r w:rsidRPr="0013615E">
        <w:rPr>
          <w:rFonts w:ascii="Times New Roman" w:hAnsi="Times New Roman" w:cs="Times New Roman"/>
        </w:rPr>
        <w:t xml:space="preserve"> the</w:t>
      </w:r>
      <w:r w:rsidR="009F27E9" w:rsidRPr="0013615E">
        <w:rPr>
          <w:rFonts w:ascii="Times New Roman" w:hAnsi="Times New Roman" w:cs="Times New Roman"/>
        </w:rPr>
        <w:t xml:space="preserve"> US and the EU need to recognize </w:t>
      </w:r>
      <w:r w:rsidR="00112EA7" w:rsidRPr="0013615E">
        <w:rPr>
          <w:rFonts w:ascii="Times New Roman" w:hAnsi="Times New Roman" w:cs="Times New Roman"/>
        </w:rPr>
        <w:t>how</w:t>
      </w:r>
      <w:r w:rsidR="009F27E9" w:rsidRPr="0013615E">
        <w:rPr>
          <w:rFonts w:ascii="Times New Roman" w:hAnsi="Times New Roman" w:cs="Times New Roman"/>
        </w:rPr>
        <w:t xml:space="preserve"> the costs and benefits of AI are complex. This complexity also relates to the risk of market failures related to AI. In federal systems such as the US and EU, the economics of federalism need to be </w:t>
      </w:r>
      <w:proofErr w:type="gramStart"/>
      <w:r w:rsidR="009F27E9" w:rsidRPr="0013615E">
        <w:rPr>
          <w:rFonts w:ascii="Times New Roman" w:hAnsi="Times New Roman" w:cs="Times New Roman"/>
        </w:rPr>
        <w:t>taken into account</w:t>
      </w:r>
      <w:proofErr w:type="gramEnd"/>
      <w:r w:rsidR="00155403" w:rsidRPr="0013615E">
        <w:rPr>
          <w:rFonts w:ascii="Times New Roman" w:hAnsi="Times New Roman" w:cs="Times New Roman"/>
        </w:rPr>
        <w:t xml:space="preserve"> by policy makers when</w:t>
      </w:r>
      <w:r w:rsidR="009F27E9" w:rsidRPr="0013615E">
        <w:rPr>
          <w:rFonts w:ascii="Times New Roman" w:hAnsi="Times New Roman" w:cs="Times New Roman"/>
        </w:rPr>
        <w:t xml:space="preserve"> developing AI regulatory schemes</w:t>
      </w:r>
      <w:r w:rsidRPr="0013615E">
        <w:rPr>
          <w:rFonts w:ascii="Times New Roman" w:hAnsi="Times New Roman" w:cs="Times New Roman"/>
        </w:rPr>
        <w:t xml:space="preserve"> to deal with these complex regulatory issues</w:t>
      </w:r>
      <w:r w:rsidR="009F27E9" w:rsidRPr="0013615E">
        <w:rPr>
          <w:rFonts w:ascii="Times New Roman" w:hAnsi="Times New Roman" w:cs="Times New Roman"/>
        </w:rPr>
        <w:t>.</w:t>
      </w:r>
      <w:r w:rsidR="00112EA7" w:rsidRPr="0013615E">
        <w:rPr>
          <w:rFonts w:ascii="Times New Roman" w:hAnsi="Times New Roman" w:cs="Times New Roman"/>
        </w:rPr>
        <w:t xml:space="preserve"> The “appropriate regulatory instrument must… depend on the justification for the intervention” and “regulation should only exist where the unregulated market will fail to reach the desired outcomes.”</w:t>
      </w:r>
      <w:r w:rsidR="00112EA7" w:rsidRPr="0013615E">
        <w:rPr>
          <w:rStyle w:val="FootnoteReference"/>
          <w:rFonts w:ascii="Times New Roman" w:hAnsi="Times New Roman" w:cs="Times New Roman"/>
        </w:rPr>
        <w:footnoteReference w:id="103"/>
      </w:r>
      <w:r w:rsidR="00112EA7" w:rsidRPr="0013615E">
        <w:rPr>
          <w:rFonts w:ascii="Times New Roman" w:hAnsi="Times New Roman" w:cs="Times New Roman"/>
        </w:rPr>
        <w:t xml:space="preserve"> </w:t>
      </w:r>
      <w:r w:rsidR="009F27E9" w:rsidRPr="0013615E">
        <w:rPr>
          <w:rFonts w:ascii="Times New Roman" w:hAnsi="Times New Roman" w:cs="Times New Roman"/>
        </w:rPr>
        <w:t xml:space="preserve"> </w:t>
      </w:r>
      <w:r w:rsidRPr="0013615E">
        <w:rPr>
          <w:rFonts w:ascii="Times New Roman" w:hAnsi="Times New Roman" w:cs="Times New Roman"/>
        </w:rPr>
        <w:t>A static approach is problematic because it fails to account for emerging risks and risk related to increasing complexity.</w:t>
      </w:r>
      <w:r w:rsidR="009F27E9" w:rsidRPr="0013615E">
        <w:rPr>
          <w:rFonts w:ascii="Times New Roman" w:hAnsi="Times New Roman" w:cs="Times New Roman"/>
        </w:rPr>
        <w:t xml:space="preserve"> </w:t>
      </w:r>
      <w:r w:rsidR="00155403" w:rsidRPr="0013615E">
        <w:rPr>
          <w:rFonts w:ascii="Times New Roman" w:hAnsi="Times New Roman" w:cs="Times New Roman"/>
        </w:rPr>
        <w:t xml:space="preserve">It is important that the potential benefits of AI are not fully </w:t>
      </w:r>
      <w:r w:rsidRPr="0013615E">
        <w:rPr>
          <w:rFonts w:ascii="Times New Roman" w:hAnsi="Times New Roman" w:cs="Times New Roman"/>
        </w:rPr>
        <w:t>ignored. Conversely, federal systems should not become myopic by only focusing on</w:t>
      </w:r>
      <w:r w:rsidR="00155403" w:rsidRPr="0013615E">
        <w:rPr>
          <w:rFonts w:ascii="Times New Roman" w:hAnsi="Times New Roman" w:cs="Times New Roman"/>
        </w:rPr>
        <w:t xml:space="preserve"> the potential costs of AI. </w:t>
      </w:r>
      <w:r w:rsidR="00112EA7" w:rsidRPr="0013615E">
        <w:rPr>
          <w:rFonts w:ascii="Times New Roman" w:hAnsi="Times New Roman" w:cs="Times New Roman"/>
        </w:rPr>
        <w:t xml:space="preserve">This means that the benefits of decentralized AI regulation must be recognized alongside the benefits of centralized AI regulation and the need to adjust to </w:t>
      </w:r>
      <w:proofErr w:type="gramStart"/>
      <w:r w:rsidR="00112EA7" w:rsidRPr="0013615E">
        <w:rPr>
          <w:rFonts w:ascii="Times New Roman" w:hAnsi="Times New Roman" w:cs="Times New Roman"/>
        </w:rPr>
        <w:t>take into account</w:t>
      </w:r>
      <w:proofErr w:type="gramEnd"/>
      <w:r w:rsidR="00112EA7" w:rsidRPr="0013615E">
        <w:rPr>
          <w:rFonts w:ascii="Times New Roman" w:hAnsi="Times New Roman" w:cs="Times New Roman"/>
        </w:rPr>
        <w:t xml:space="preserve"> changes in Ai markets</w:t>
      </w:r>
      <w:r w:rsidR="00112EA7" w:rsidRPr="0013615E">
        <w:rPr>
          <w:rFonts w:ascii="Times New Roman" w:hAnsi="Times New Roman" w:cs="Times New Roman"/>
        </w:rPr>
        <w:t xml:space="preserve">. </w:t>
      </w:r>
      <w:r w:rsidR="00155403" w:rsidRPr="0013615E">
        <w:rPr>
          <w:rFonts w:ascii="Times New Roman" w:hAnsi="Times New Roman" w:cs="Times New Roman"/>
        </w:rPr>
        <w:t xml:space="preserve">To paraphrase Coase, AI is not </w:t>
      </w:r>
      <w:proofErr w:type="gramStart"/>
      <w:r w:rsidR="00155403" w:rsidRPr="0013615E">
        <w:rPr>
          <w:rFonts w:ascii="Times New Roman" w:hAnsi="Times New Roman" w:cs="Times New Roman"/>
        </w:rPr>
        <w:t>good</w:t>
      </w:r>
      <w:proofErr w:type="gramEnd"/>
      <w:r w:rsidR="00155403" w:rsidRPr="0013615E">
        <w:rPr>
          <w:rFonts w:ascii="Times New Roman" w:hAnsi="Times New Roman" w:cs="Times New Roman"/>
        </w:rPr>
        <w:t xml:space="preserve"> and AI is not bad, AI is both good and bad.</w:t>
      </w:r>
      <w:r w:rsidR="00112EA7" w:rsidRPr="0013615E">
        <w:rPr>
          <w:rStyle w:val="FootnoteReference"/>
          <w:rFonts w:ascii="Times New Roman" w:hAnsi="Times New Roman" w:cs="Times New Roman"/>
        </w:rPr>
        <w:footnoteReference w:id="104"/>
      </w:r>
      <w:r w:rsidR="00155403" w:rsidRPr="0013615E">
        <w:rPr>
          <w:rFonts w:ascii="Times New Roman" w:hAnsi="Times New Roman" w:cs="Times New Roman"/>
        </w:rPr>
        <w:t xml:space="preserve"> </w:t>
      </w:r>
      <w:r w:rsidRPr="0013615E">
        <w:rPr>
          <w:rFonts w:ascii="Times New Roman" w:hAnsi="Times New Roman" w:cs="Times New Roman"/>
        </w:rPr>
        <w:t xml:space="preserve">The potential </w:t>
      </w:r>
      <w:r w:rsidRPr="0013615E">
        <w:rPr>
          <w:rFonts w:ascii="Times New Roman" w:hAnsi="Times New Roman" w:cs="Times New Roman"/>
        </w:rPr>
        <w:t xml:space="preserve">costs and </w:t>
      </w:r>
      <w:r w:rsidRPr="0013615E">
        <w:rPr>
          <w:rFonts w:ascii="Times New Roman" w:hAnsi="Times New Roman" w:cs="Times New Roman"/>
        </w:rPr>
        <w:t xml:space="preserve">benefits to society from the use of AI cannot be </w:t>
      </w:r>
      <w:proofErr w:type="gramStart"/>
      <w:r w:rsidRPr="0013615E">
        <w:rPr>
          <w:rFonts w:ascii="Times New Roman" w:hAnsi="Times New Roman" w:cs="Times New Roman"/>
        </w:rPr>
        <w:t>ignored</w:t>
      </w:r>
      <w:r w:rsidRPr="0013615E">
        <w:rPr>
          <w:rFonts w:ascii="Times New Roman" w:hAnsi="Times New Roman" w:cs="Times New Roman"/>
        </w:rPr>
        <w:t>,</w:t>
      </w:r>
      <w:proofErr w:type="gramEnd"/>
      <w:r w:rsidRPr="0013615E">
        <w:rPr>
          <w:rFonts w:ascii="Times New Roman" w:hAnsi="Times New Roman" w:cs="Times New Roman"/>
        </w:rPr>
        <w:t xml:space="preserve"> they must both be identified and regulation should develop accordingly. </w:t>
      </w:r>
      <w:r w:rsidR="001E3212" w:rsidRPr="0013615E">
        <w:rPr>
          <w:rFonts w:ascii="Times New Roman" w:hAnsi="Times New Roman" w:cs="Times New Roman"/>
        </w:rPr>
        <w:t>Only when private law remedies are incapable of solving problems associated with AI, should governments intervene with regulation.</w:t>
      </w:r>
      <w:r w:rsidR="001E3212" w:rsidRPr="0013615E">
        <w:rPr>
          <w:rStyle w:val="FootnoteReference"/>
          <w:rFonts w:ascii="Times New Roman" w:hAnsi="Times New Roman" w:cs="Times New Roman"/>
        </w:rPr>
        <w:footnoteReference w:id="105"/>
      </w:r>
      <w:r w:rsidR="001E3212" w:rsidRPr="0013615E">
        <w:rPr>
          <w:rFonts w:ascii="Times New Roman" w:hAnsi="Times New Roman" w:cs="Times New Roman"/>
        </w:rPr>
        <w:t xml:space="preserve"> </w:t>
      </w:r>
      <w:r w:rsidR="00FD4516" w:rsidRPr="0013615E">
        <w:rPr>
          <w:rFonts w:ascii="Times New Roman" w:hAnsi="Times New Roman" w:cs="Times New Roman"/>
        </w:rPr>
        <w:t>The goals of AI regulation should also be clear and relevant to the risks associated with AI.</w:t>
      </w:r>
      <w:r w:rsidR="00FD4516" w:rsidRPr="0013615E">
        <w:rPr>
          <w:rStyle w:val="FootnoteReference"/>
          <w:rFonts w:ascii="Times New Roman" w:hAnsi="Times New Roman" w:cs="Times New Roman"/>
        </w:rPr>
        <w:footnoteReference w:id="106"/>
      </w:r>
    </w:p>
    <w:p w14:paraId="56871BC4" w14:textId="5622F320" w:rsidR="00155403" w:rsidRPr="0013615E" w:rsidRDefault="005F5681" w:rsidP="0006766C">
      <w:pPr>
        <w:spacing w:line="240" w:lineRule="auto"/>
        <w:rPr>
          <w:rFonts w:ascii="Times New Roman" w:hAnsi="Times New Roman" w:cs="Times New Roman"/>
        </w:rPr>
      </w:pPr>
      <w:r w:rsidRPr="0013615E">
        <w:rPr>
          <w:rFonts w:ascii="Times New Roman" w:hAnsi="Times New Roman" w:cs="Times New Roman"/>
        </w:rPr>
        <w:t>T</w:t>
      </w:r>
      <w:r w:rsidRPr="0013615E">
        <w:rPr>
          <w:rFonts w:ascii="Times New Roman" w:hAnsi="Times New Roman" w:cs="Times New Roman"/>
        </w:rPr>
        <w:t>he economics of federalism highlights the need to have a “smart mix” of centralized and decentralized regulation of AI which requires a focus on economic efficiency.</w:t>
      </w:r>
      <w:r w:rsidRPr="0013615E">
        <w:rPr>
          <w:rFonts w:ascii="Times New Roman" w:hAnsi="Times New Roman" w:cs="Times New Roman"/>
        </w:rPr>
        <w:t xml:space="preserve"> </w:t>
      </w:r>
      <w:r w:rsidR="00155403" w:rsidRPr="0013615E">
        <w:rPr>
          <w:rFonts w:ascii="Times New Roman" w:hAnsi="Times New Roman" w:cs="Times New Roman"/>
        </w:rPr>
        <w:t xml:space="preserve">When policy makers use widespread, broad, and untargeted </w:t>
      </w:r>
      <w:r w:rsidRPr="0013615E">
        <w:rPr>
          <w:rFonts w:ascii="Times New Roman" w:hAnsi="Times New Roman" w:cs="Times New Roman"/>
        </w:rPr>
        <w:t>regulations</w:t>
      </w:r>
      <w:r w:rsidR="00155403" w:rsidRPr="0013615E">
        <w:rPr>
          <w:rFonts w:ascii="Times New Roman" w:hAnsi="Times New Roman" w:cs="Times New Roman"/>
        </w:rPr>
        <w:t xml:space="preserve"> to address the risk related to AI, there is a potential this regulation will have unintended consequences. </w:t>
      </w:r>
      <w:r w:rsidRPr="0013615E">
        <w:rPr>
          <w:rFonts w:ascii="Times New Roman" w:hAnsi="Times New Roman" w:cs="Times New Roman"/>
        </w:rPr>
        <w:t xml:space="preserve">Unintended consequences from regulation are generally related to poorly written and implemented laws, which fail to provide </w:t>
      </w:r>
      <w:r w:rsidRPr="0013615E">
        <w:rPr>
          <w:rFonts w:ascii="Times New Roman" w:hAnsi="Times New Roman" w:cs="Times New Roman"/>
        </w:rPr>
        <w:lastRenderedPageBreak/>
        <w:t>dynamic mechanisms to address changes in circumstances given the goals of the regulation.</w:t>
      </w:r>
      <w:r w:rsidR="001E3212" w:rsidRPr="0013615E">
        <w:rPr>
          <w:rStyle w:val="FootnoteReference"/>
          <w:rFonts w:ascii="Times New Roman" w:hAnsi="Times New Roman" w:cs="Times New Roman"/>
        </w:rPr>
        <w:footnoteReference w:id="107"/>
      </w:r>
      <w:r w:rsidRPr="0013615E">
        <w:rPr>
          <w:rFonts w:ascii="Times New Roman" w:hAnsi="Times New Roman" w:cs="Times New Roman"/>
        </w:rPr>
        <w:t xml:space="preserve"> Regulation </w:t>
      </w:r>
      <w:proofErr w:type="gramStart"/>
      <w:r w:rsidRPr="0013615E">
        <w:rPr>
          <w:rFonts w:ascii="Times New Roman" w:hAnsi="Times New Roman" w:cs="Times New Roman"/>
        </w:rPr>
        <w:t>in itself is</w:t>
      </w:r>
      <w:proofErr w:type="gramEnd"/>
      <w:r w:rsidRPr="0013615E">
        <w:rPr>
          <w:rFonts w:ascii="Times New Roman" w:hAnsi="Times New Roman" w:cs="Times New Roman"/>
        </w:rPr>
        <w:t xml:space="preserve"> not a goal, rather regulation should be enacted to promote public welfare when there are market failures. It is market failures related to the use and development of AI which need to be addressed by regulation, not just the use of regulation for AI for regulations sake. </w:t>
      </w:r>
      <w:r w:rsidR="00155403" w:rsidRPr="0013615E">
        <w:rPr>
          <w:rFonts w:ascii="Times New Roman" w:hAnsi="Times New Roman" w:cs="Times New Roman"/>
        </w:rPr>
        <w:t>Overregulation risk</w:t>
      </w:r>
      <w:r w:rsidR="002C5CD9" w:rsidRPr="0013615E">
        <w:rPr>
          <w:rFonts w:ascii="Times New Roman" w:hAnsi="Times New Roman" w:cs="Times New Roman"/>
        </w:rPr>
        <w:t>s</w:t>
      </w:r>
      <w:r w:rsidR="00155403" w:rsidRPr="0013615E">
        <w:rPr>
          <w:rFonts w:ascii="Times New Roman" w:hAnsi="Times New Roman" w:cs="Times New Roman"/>
        </w:rPr>
        <w:t xml:space="preserve"> ignoring the economics principles of efficiency as the costs associated with implementing the regulation by governments may become prohibitively high and likewise the cost of compliance with the regulation may become prohibitively high for firms</w:t>
      </w:r>
      <w:r w:rsidRPr="0013615E">
        <w:rPr>
          <w:rFonts w:ascii="Times New Roman" w:hAnsi="Times New Roman" w:cs="Times New Roman"/>
        </w:rPr>
        <w:t xml:space="preserve"> which </w:t>
      </w:r>
      <w:proofErr w:type="gramStart"/>
      <w:r w:rsidRPr="0013615E">
        <w:rPr>
          <w:rFonts w:ascii="Times New Roman" w:hAnsi="Times New Roman" w:cs="Times New Roman"/>
        </w:rPr>
        <w:t>carries</w:t>
      </w:r>
      <w:proofErr w:type="gramEnd"/>
      <w:r w:rsidRPr="0013615E">
        <w:rPr>
          <w:rFonts w:ascii="Times New Roman" w:hAnsi="Times New Roman" w:cs="Times New Roman"/>
        </w:rPr>
        <w:t xml:space="preserve"> over to impact consumers and society</w:t>
      </w:r>
      <w:r w:rsidR="00155403" w:rsidRPr="0013615E">
        <w:rPr>
          <w:rFonts w:ascii="Times New Roman" w:hAnsi="Times New Roman" w:cs="Times New Roman"/>
        </w:rPr>
        <w:t xml:space="preserve">. </w:t>
      </w:r>
    </w:p>
    <w:p w14:paraId="03A9BDA7" w14:textId="77777777" w:rsidR="00524291" w:rsidRPr="0013615E" w:rsidRDefault="002C5CD9" w:rsidP="0006766C">
      <w:pPr>
        <w:spacing w:line="240" w:lineRule="auto"/>
        <w:rPr>
          <w:rFonts w:ascii="Times New Roman" w:hAnsi="Times New Roman" w:cs="Times New Roman"/>
        </w:rPr>
      </w:pPr>
      <w:r w:rsidRPr="0013615E">
        <w:rPr>
          <w:rFonts w:ascii="Times New Roman" w:hAnsi="Times New Roman" w:cs="Times New Roman"/>
        </w:rPr>
        <w:t xml:space="preserve">The EU should reexamine the EU AI Act and </w:t>
      </w:r>
      <w:r w:rsidR="00E47CD6" w:rsidRPr="0013615E">
        <w:rPr>
          <w:rFonts w:ascii="Times New Roman" w:hAnsi="Times New Roman" w:cs="Times New Roman"/>
        </w:rPr>
        <w:t xml:space="preserve">place </w:t>
      </w:r>
      <w:r w:rsidRPr="0013615E">
        <w:rPr>
          <w:rFonts w:ascii="Times New Roman" w:hAnsi="Times New Roman" w:cs="Times New Roman"/>
        </w:rPr>
        <w:t>additional provisions</w:t>
      </w:r>
      <w:r w:rsidR="00E47CD6" w:rsidRPr="0013615E">
        <w:rPr>
          <w:rFonts w:ascii="Times New Roman" w:hAnsi="Times New Roman" w:cs="Times New Roman"/>
        </w:rPr>
        <w:t>, or remove provision,</w:t>
      </w:r>
      <w:r w:rsidRPr="0013615E">
        <w:rPr>
          <w:rFonts w:ascii="Times New Roman" w:hAnsi="Times New Roman" w:cs="Times New Roman"/>
        </w:rPr>
        <w:t xml:space="preserve"> </w:t>
      </w:r>
      <w:proofErr w:type="gramStart"/>
      <w:r w:rsidR="00E47CD6" w:rsidRPr="0013615E">
        <w:rPr>
          <w:rFonts w:ascii="Times New Roman" w:hAnsi="Times New Roman" w:cs="Times New Roman"/>
        </w:rPr>
        <w:t>in order to</w:t>
      </w:r>
      <w:proofErr w:type="gramEnd"/>
      <w:r w:rsidRPr="0013615E">
        <w:rPr>
          <w:rFonts w:ascii="Times New Roman" w:hAnsi="Times New Roman" w:cs="Times New Roman"/>
        </w:rPr>
        <w:t xml:space="preserve"> enable MS to develop creative solutions for AI regulation</w:t>
      </w:r>
      <w:r w:rsidR="00E47CD6" w:rsidRPr="0013615E">
        <w:rPr>
          <w:rFonts w:ascii="Times New Roman" w:hAnsi="Times New Roman" w:cs="Times New Roman"/>
        </w:rPr>
        <w:t>. The EU should focus on allowing MS to promote social welfare by enabling them to</w:t>
      </w:r>
      <w:r w:rsidRPr="0013615E">
        <w:rPr>
          <w:rFonts w:ascii="Times New Roman" w:hAnsi="Times New Roman" w:cs="Times New Roman"/>
        </w:rPr>
        <w:t xml:space="preserve"> benefit</w:t>
      </w:r>
      <w:r w:rsidR="00E47CD6" w:rsidRPr="0013615E">
        <w:rPr>
          <w:rFonts w:ascii="Times New Roman" w:hAnsi="Times New Roman" w:cs="Times New Roman"/>
        </w:rPr>
        <w:t xml:space="preserve"> from </w:t>
      </w:r>
      <w:r w:rsidRPr="0013615E">
        <w:rPr>
          <w:rFonts w:ascii="Times New Roman" w:hAnsi="Times New Roman" w:cs="Times New Roman"/>
        </w:rPr>
        <w:t xml:space="preserve">competition and innovation, and allow MS to engage in a learning process which can provide positive externalities for other MS. </w:t>
      </w:r>
      <w:r w:rsidR="00E47CD6" w:rsidRPr="0013615E">
        <w:rPr>
          <w:rFonts w:ascii="Times New Roman" w:hAnsi="Times New Roman" w:cs="Times New Roman"/>
        </w:rPr>
        <w:t xml:space="preserve">The current EU AI Act risks forgoing the benefits of competition related to AI. </w:t>
      </w:r>
      <w:r w:rsidRPr="0013615E">
        <w:rPr>
          <w:rFonts w:ascii="Times New Roman" w:hAnsi="Times New Roman" w:cs="Times New Roman"/>
        </w:rPr>
        <w:t xml:space="preserve">Regulators in Brussels have been debating the need to slow the implementation of the EU AI Act as it becomes increasingly clear that the regulatory requirements will have a negative impact on innovation of AI, will place significant regulatory burdens on MS and firms using AI, and will create significant barriers to entry for firms looking to enter into the AI sector. The process of stepping back </w:t>
      </w:r>
      <w:r w:rsidR="00E47CD6" w:rsidRPr="0013615E">
        <w:rPr>
          <w:rFonts w:ascii="Times New Roman" w:hAnsi="Times New Roman" w:cs="Times New Roman"/>
        </w:rPr>
        <w:t>from</w:t>
      </w:r>
      <w:r w:rsidRPr="0013615E">
        <w:rPr>
          <w:rFonts w:ascii="Times New Roman" w:hAnsi="Times New Roman" w:cs="Times New Roman"/>
        </w:rPr>
        <w:t xml:space="preserve"> the provisions of the EU AI Act should be taken seriously and regulation at the EU level should be focused on the most dangerous aspects of AI while providing workable space for MS to develop regulation which reflects the preferences of their </w:t>
      </w:r>
      <w:r w:rsidR="00546604" w:rsidRPr="0013615E">
        <w:rPr>
          <w:rFonts w:ascii="Times New Roman" w:hAnsi="Times New Roman" w:cs="Times New Roman"/>
        </w:rPr>
        <w:t>national citizens</w:t>
      </w:r>
      <w:r w:rsidRPr="0013615E">
        <w:rPr>
          <w:rFonts w:ascii="Times New Roman" w:hAnsi="Times New Roman" w:cs="Times New Roman"/>
        </w:rPr>
        <w:t xml:space="preserve"> and </w:t>
      </w:r>
      <w:r w:rsidR="00E47CD6" w:rsidRPr="0013615E">
        <w:rPr>
          <w:rFonts w:ascii="Times New Roman" w:hAnsi="Times New Roman" w:cs="Times New Roman"/>
        </w:rPr>
        <w:t xml:space="preserve">local </w:t>
      </w:r>
      <w:r w:rsidR="00546604" w:rsidRPr="0013615E">
        <w:rPr>
          <w:rFonts w:ascii="Times New Roman" w:hAnsi="Times New Roman" w:cs="Times New Roman"/>
        </w:rPr>
        <w:t xml:space="preserve">industry. </w:t>
      </w:r>
    </w:p>
    <w:p w14:paraId="3C647950" w14:textId="758ED5B7" w:rsidR="00524291" w:rsidRPr="0013615E" w:rsidRDefault="00546604" w:rsidP="0006766C">
      <w:pPr>
        <w:spacing w:line="240" w:lineRule="auto"/>
        <w:rPr>
          <w:rFonts w:ascii="Times New Roman" w:hAnsi="Times New Roman" w:cs="Times New Roman"/>
        </w:rPr>
      </w:pPr>
      <w:r w:rsidRPr="0013615E">
        <w:rPr>
          <w:rFonts w:ascii="Times New Roman" w:hAnsi="Times New Roman" w:cs="Times New Roman"/>
        </w:rPr>
        <w:t xml:space="preserve">The idea that more regulation will lead to more secure outcomes should be viewed with a healthy amount of skepticism. Overregulation of AI markets ignores the principles of economic efficiency and imposes significant costs on society. A culture of risk aversion from Brussels may not mean that there is more security or less risks, rather it may lead to stagnation, status quo bias, and ossification of AI markets which result in inflexible and undynamic development which inhibits the </w:t>
      </w:r>
      <w:r w:rsidR="00E47CD6" w:rsidRPr="0013615E">
        <w:rPr>
          <w:rFonts w:ascii="Times New Roman" w:hAnsi="Times New Roman" w:cs="Times New Roman"/>
        </w:rPr>
        <w:t>resilience</w:t>
      </w:r>
      <w:r w:rsidRPr="0013615E">
        <w:rPr>
          <w:rFonts w:ascii="Times New Roman" w:hAnsi="Times New Roman" w:cs="Times New Roman"/>
        </w:rPr>
        <w:t xml:space="preserve"> of European markets</w:t>
      </w:r>
      <w:r w:rsidR="00E47CD6" w:rsidRPr="0013615E">
        <w:rPr>
          <w:rFonts w:ascii="Times New Roman" w:hAnsi="Times New Roman" w:cs="Times New Roman"/>
        </w:rPr>
        <w:t xml:space="preserve"> to adapt to the changes which AI will have on society</w:t>
      </w:r>
      <w:r w:rsidRPr="0013615E">
        <w:rPr>
          <w:rFonts w:ascii="Times New Roman" w:hAnsi="Times New Roman" w:cs="Times New Roman"/>
        </w:rPr>
        <w:t xml:space="preserve">. The EU AI Act and the embracing of the precautionary principle, which can be considered as a form of cultural resistance </w:t>
      </w:r>
      <w:r w:rsidR="00E47CD6" w:rsidRPr="0013615E">
        <w:rPr>
          <w:rFonts w:ascii="Times New Roman" w:hAnsi="Times New Roman" w:cs="Times New Roman"/>
        </w:rPr>
        <w:t xml:space="preserve">to change </w:t>
      </w:r>
      <w:r w:rsidRPr="0013615E">
        <w:rPr>
          <w:rFonts w:ascii="Times New Roman" w:hAnsi="Times New Roman" w:cs="Times New Roman"/>
        </w:rPr>
        <w:t xml:space="preserve">from EU institutions, may lead to a decline in business dynamism, an increase in market concentration dominated by few firms, and a decrease in AI entrepreneurship. While complexity in </w:t>
      </w:r>
      <w:proofErr w:type="gramStart"/>
      <w:r w:rsidRPr="0013615E">
        <w:rPr>
          <w:rFonts w:ascii="Times New Roman" w:hAnsi="Times New Roman" w:cs="Times New Roman"/>
        </w:rPr>
        <w:t>AI markets</w:t>
      </w:r>
      <w:proofErr w:type="gramEnd"/>
      <w:r w:rsidRPr="0013615E">
        <w:rPr>
          <w:rFonts w:ascii="Times New Roman" w:hAnsi="Times New Roman" w:cs="Times New Roman"/>
        </w:rPr>
        <w:t xml:space="preserve"> itself represents a type of risk, the inhibiting of market forces which could lead to the development of </w:t>
      </w:r>
      <w:r w:rsidR="005C370C" w:rsidRPr="0013615E">
        <w:rPr>
          <w:rFonts w:ascii="Times New Roman" w:hAnsi="Times New Roman" w:cs="Times New Roman"/>
        </w:rPr>
        <w:t>large-scale</w:t>
      </w:r>
      <w:r w:rsidRPr="0013615E">
        <w:rPr>
          <w:rFonts w:ascii="Times New Roman" w:hAnsi="Times New Roman" w:cs="Times New Roman"/>
        </w:rPr>
        <w:t xml:space="preserve"> positive externalities should also be recognized as a risk. </w:t>
      </w:r>
      <w:r w:rsidR="005C370C" w:rsidRPr="0013615E">
        <w:rPr>
          <w:rFonts w:ascii="Times New Roman" w:hAnsi="Times New Roman" w:cs="Times New Roman"/>
        </w:rPr>
        <w:t>There is a risk that by being overly reluctant to</w:t>
      </w:r>
      <w:r w:rsidRPr="0013615E">
        <w:rPr>
          <w:rFonts w:ascii="Times New Roman" w:hAnsi="Times New Roman" w:cs="Times New Roman"/>
        </w:rPr>
        <w:t xml:space="preserve"> embrace </w:t>
      </w:r>
      <w:r w:rsidR="005C370C" w:rsidRPr="0013615E">
        <w:rPr>
          <w:rFonts w:ascii="Times New Roman" w:hAnsi="Times New Roman" w:cs="Times New Roman"/>
        </w:rPr>
        <w:t xml:space="preserve">policies which promote </w:t>
      </w:r>
      <w:r w:rsidRPr="0013615E">
        <w:rPr>
          <w:rFonts w:ascii="Times New Roman" w:hAnsi="Times New Roman" w:cs="Times New Roman"/>
        </w:rPr>
        <w:t>AI innovation, the EU may be setting up a situation where job market stagnation and economic inequality increase</w:t>
      </w:r>
      <w:r w:rsidR="005C370C" w:rsidRPr="0013615E">
        <w:rPr>
          <w:rFonts w:ascii="Times New Roman" w:hAnsi="Times New Roman" w:cs="Times New Roman"/>
        </w:rPr>
        <w:t>.</w:t>
      </w:r>
      <w:r w:rsidRPr="0013615E">
        <w:rPr>
          <w:rFonts w:ascii="Times New Roman" w:hAnsi="Times New Roman" w:cs="Times New Roman"/>
        </w:rPr>
        <w:t xml:space="preserve"> </w:t>
      </w:r>
      <w:r w:rsidR="005C370C" w:rsidRPr="0013615E">
        <w:rPr>
          <w:rFonts w:ascii="Times New Roman" w:hAnsi="Times New Roman" w:cs="Times New Roman"/>
        </w:rPr>
        <w:t xml:space="preserve">Policy makers in the EU need to rethink how regulation can be used to avoid the most dangerous tail risks associated with AI while seeking ways to ensure the positive externalities associated with innovation from AI will benefit society. The old saying that you should not throw the baby out with the bath water might be applicable to describe the overemphasis on the precautionary principle in the regulation of AI within the EU. </w:t>
      </w:r>
    </w:p>
    <w:p w14:paraId="7A960B07" w14:textId="70E8F9E2" w:rsidR="00524291" w:rsidRPr="0013615E" w:rsidRDefault="001F4928" w:rsidP="0006766C">
      <w:pPr>
        <w:spacing w:line="240" w:lineRule="auto"/>
        <w:rPr>
          <w:rFonts w:ascii="Times New Roman" w:hAnsi="Times New Roman" w:cs="Times New Roman"/>
        </w:rPr>
      </w:pPr>
      <w:r w:rsidRPr="0013615E">
        <w:rPr>
          <w:rFonts w:ascii="Times New Roman" w:hAnsi="Times New Roman" w:cs="Times New Roman"/>
        </w:rPr>
        <w:t xml:space="preserve">The EU should also allow for private law to help identify the best practices and legal rules to use for AI, as the flow of disputes involving AI into courts provides society with an important information source. </w:t>
      </w:r>
      <w:r w:rsidR="00524291" w:rsidRPr="0013615E">
        <w:rPr>
          <w:rFonts w:ascii="Times New Roman" w:hAnsi="Times New Roman" w:cs="Times New Roman"/>
        </w:rPr>
        <w:t xml:space="preserve">This requires enabling individuals and firms within MS to play a larger role </w:t>
      </w:r>
      <w:r w:rsidR="00524291" w:rsidRPr="0013615E">
        <w:rPr>
          <w:rFonts w:ascii="Times New Roman" w:hAnsi="Times New Roman" w:cs="Times New Roman"/>
        </w:rPr>
        <w:lastRenderedPageBreak/>
        <w:t xml:space="preserve">in developing private legal mechanisms for AI markets. By enabling private individuals, who have better access to private information and knowledge of individual preferences, to influence the development of legal norms related to AI, the EU can allow for free market development of the best practices for distributing risk related to AI. MS can play a role by helping enable individuals and firms </w:t>
      </w:r>
      <w:r w:rsidR="00FD4516" w:rsidRPr="0013615E">
        <w:rPr>
          <w:rFonts w:ascii="Times New Roman" w:hAnsi="Times New Roman" w:cs="Times New Roman"/>
        </w:rPr>
        <w:t xml:space="preserve">to </w:t>
      </w:r>
      <w:r w:rsidR="00524291" w:rsidRPr="0013615E">
        <w:rPr>
          <w:rFonts w:ascii="Times New Roman" w:hAnsi="Times New Roman" w:cs="Times New Roman"/>
        </w:rPr>
        <w:t xml:space="preserve">have access to the necessary information they need to </w:t>
      </w:r>
      <w:proofErr w:type="gramStart"/>
      <w:r w:rsidR="00524291" w:rsidRPr="0013615E">
        <w:rPr>
          <w:rFonts w:ascii="Times New Roman" w:hAnsi="Times New Roman" w:cs="Times New Roman"/>
        </w:rPr>
        <w:t>enter into</w:t>
      </w:r>
      <w:proofErr w:type="gramEnd"/>
      <w:r w:rsidR="00524291" w:rsidRPr="0013615E">
        <w:rPr>
          <w:rFonts w:ascii="Times New Roman" w:hAnsi="Times New Roman" w:cs="Times New Roman"/>
        </w:rPr>
        <w:t xml:space="preserve"> welfare enhancing contracts concerning AI. Mandatory disclosure rules may play a role in enabling free markets to successfully develop efficient approaches to allocating the risk associated with AI. </w:t>
      </w:r>
      <w:r w:rsidR="00FD4516" w:rsidRPr="0013615E">
        <w:rPr>
          <w:rFonts w:ascii="Times New Roman" w:hAnsi="Times New Roman" w:cs="Times New Roman"/>
        </w:rPr>
        <w:t>When compared with the US, there is an increased likelihood of the EU judicial systems will be able to identify the conflicts in private law which develop related to AI and the EU should embrace the benefits of private law providing information which benefits all society.</w:t>
      </w:r>
    </w:p>
    <w:p w14:paraId="37FBA835" w14:textId="1A25EF9A" w:rsidR="002C5CD9" w:rsidRPr="0013615E" w:rsidRDefault="00BA2EE7" w:rsidP="0006766C">
      <w:pPr>
        <w:spacing w:line="240" w:lineRule="auto"/>
        <w:rPr>
          <w:rFonts w:ascii="Times New Roman" w:hAnsi="Times New Roman" w:cs="Times New Roman"/>
        </w:rPr>
      </w:pPr>
      <w:r w:rsidRPr="0013615E">
        <w:rPr>
          <w:rFonts w:ascii="Times New Roman" w:hAnsi="Times New Roman" w:cs="Times New Roman"/>
        </w:rPr>
        <w:t>The EU AI Act may be too ambitious, as it seeks to regulate risks which are not yet fully known</w:t>
      </w:r>
      <w:r w:rsidR="00FD4516" w:rsidRPr="0013615E">
        <w:rPr>
          <w:rFonts w:ascii="Times New Roman" w:hAnsi="Times New Roman" w:cs="Times New Roman"/>
        </w:rPr>
        <w:t>. This is undoubtedly a</w:t>
      </w:r>
      <w:r w:rsidRPr="0013615E">
        <w:rPr>
          <w:rFonts w:ascii="Times New Roman" w:hAnsi="Times New Roman" w:cs="Times New Roman"/>
        </w:rPr>
        <w:t xml:space="preserve"> reflect</w:t>
      </w:r>
      <w:r w:rsidR="00FD4516" w:rsidRPr="0013615E">
        <w:rPr>
          <w:rFonts w:ascii="Times New Roman" w:hAnsi="Times New Roman" w:cs="Times New Roman"/>
        </w:rPr>
        <w:t>ion of risk preference and</w:t>
      </w:r>
      <w:r w:rsidRPr="0013615E">
        <w:rPr>
          <w:rFonts w:ascii="Times New Roman" w:hAnsi="Times New Roman" w:cs="Times New Roman"/>
        </w:rPr>
        <w:t xml:space="preserve"> the role of the precautionary principle in EU regulation. The precautionary principle should be viewed with a healthy amount of skepticism</w:t>
      </w:r>
      <w:r w:rsidR="00FD4516" w:rsidRPr="0013615E">
        <w:rPr>
          <w:rFonts w:ascii="Times New Roman" w:hAnsi="Times New Roman" w:cs="Times New Roman"/>
        </w:rPr>
        <w:t>. K</w:t>
      </w:r>
      <w:r w:rsidRPr="0013615E">
        <w:rPr>
          <w:rFonts w:ascii="Times New Roman" w:hAnsi="Times New Roman" w:cs="Times New Roman"/>
        </w:rPr>
        <w:t>nown risks</w:t>
      </w:r>
      <w:r w:rsidR="00FD4516" w:rsidRPr="0013615E">
        <w:rPr>
          <w:rFonts w:ascii="Times New Roman" w:hAnsi="Times New Roman" w:cs="Times New Roman"/>
        </w:rPr>
        <w:t xml:space="preserve"> related to AI</w:t>
      </w:r>
      <w:r w:rsidRPr="0013615E">
        <w:rPr>
          <w:rFonts w:ascii="Times New Roman" w:hAnsi="Times New Roman" w:cs="Times New Roman"/>
        </w:rPr>
        <w:t xml:space="preserve"> which have been identified should be the focus of regulation, while speculative risks which may never materialize should be monitored. </w:t>
      </w:r>
      <w:r w:rsidR="00FD4516" w:rsidRPr="0013615E">
        <w:rPr>
          <w:rFonts w:ascii="Times New Roman" w:hAnsi="Times New Roman" w:cs="Times New Roman"/>
        </w:rPr>
        <w:t xml:space="preserve">The precautionary principle could be better applied not to regulation directly, but through the approach to adjusting regulation. By </w:t>
      </w:r>
      <w:proofErr w:type="gramStart"/>
      <w:r w:rsidR="00FD4516" w:rsidRPr="0013615E">
        <w:rPr>
          <w:rFonts w:ascii="Times New Roman" w:hAnsi="Times New Roman" w:cs="Times New Roman"/>
        </w:rPr>
        <w:t>making adjustments to</w:t>
      </w:r>
      <w:proofErr w:type="gramEnd"/>
      <w:r w:rsidR="00FD4516" w:rsidRPr="0013615E">
        <w:rPr>
          <w:rFonts w:ascii="Times New Roman" w:hAnsi="Times New Roman" w:cs="Times New Roman"/>
        </w:rPr>
        <w:t xml:space="preserve"> </w:t>
      </w:r>
      <w:proofErr w:type="gramStart"/>
      <w:r w:rsidR="00FD4516" w:rsidRPr="0013615E">
        <w:rPr>
          <w:rFonts w:ascii="Times New Roman" w:hAnsi="Times New Roman" w:cs="Times New Roman"/>
        </w:rPr>
        <w:t>regulation</w:t>
      </w:r>
      <w:proofErr w:type="gramEnd"/>
      <w:r w:rsidR="00FD4516" w:rsidRPr="0013615E">
        <w:rPr>
          <w:rFonts w:ascii="Times New Roman" w:hAnsi="Times New Roman" w:cs="Times New Roman"/>
        </w:rPr>
        <w:t xml:space="preserve"> in a more dynamic manner, changes in circumstances can be better accounted for and stagnation in regulation can be mitigated. </w:t>
      </w:r>
      <w:r w:rsidRPr="0013615E">
        <w:rPr>
          <w:rFonts w:ascii="Times New Roman" w:hAnsi="Times New Roman" w:cs="Times New Roman"/>
        </w:rPr>
        <w:t xml:space="preserve">By placing high burdens on MS and firms through the enactment of the EU AI Act, the EU may be ensuring that AI development in Europe is hindered and that other markets will continue to lead in AI innovation. </w:t>
      </w:r>
    </w:p>
    <w:p w14:paraId="6DC32EBA" w14:textId="3063B071" w:rsidR="005C370C" w:rsidRPr="0013615E" w:rsidRDefault="005C370C" w:rsidP="0006766C">
      <w:pPr>
        <w:spacing w:line="240" w:lineRule="auto"/>
        <w:rPr>
          <w:rFonts w:ascii="Times New Roman" w:hAnsi="Times New Roman" w:cs="Times New Roman"/>
        </w:rPr>
      </w:pPr>
      <w:r w:rsidRPr="0013615E">
        <w:rPr>
          <w:rFonts w:ascii="Times New Roman" w:hAnsi="Times New Roman" w:cs="Times New Roman"/>
        </w:rPr>
        <w:t xml:space="preserve">The US approach to </w:t>
      </w:r>
      <w:r w:rsidR="001F4928" w:rsidRPr="0013615E">
        <w:rPr>
          <w:rFonts w:ascii="Times New Roman" w:hAnsi="Times New Roman" w:cs="Times New Roman"/>
        </w:rPr>
        <w:t>decentralized</w:t>
      </w:r>
      <w:r w:rsidRPr="0013615E">
        <w:rPr>
          <w:rFonts w:ascii="Times New Roman" w:hAnsi="Times New Roman" w:cs="Times New Roman"/>
        </w:rPr>
        <w:t xml:space="preserve"> AI regulation may undoubtably lead to serious problems related to cross border externalities, a failure to realize economies of scale which may prove costly for </w:t>
      </w:r>
      <w:proofErr w:type="gramStart"/>
      <w:r w:rsidRPr="0013615E">
        <w:rPr>
          <w:rFonts w:ascii="Times New Roman" w:hAnsi="Times New Roman" w:cs="Times New Roman"/>
        </w:rPr>
        <w:t>society, and</w:t>
      </w:r>
      <w:proofErr w:type="gramEnd"/>
      <w:r w:rsidRPr="0013615E">
        <w:rPr>
          <w:rFonts w:ascii="Times New Roman" w:hAnsi="Times New Roman" w:cs="Times New Roman"/>
        </w:rPr>
        <w:t xml:space="preserve"> may allow for destructive forms of competition between states to develop. However, the decentralized approach of the US will also mean that many positive externalities will be realized when compared with the EU. The decentralized approach </w:t>
      </w:r>
      <w:r w:rsidR="001F4928" w:rsidRPr="0013615E">
        <w:rPr>
          <w:rFonts w:ascii="Times New Roman" w:hAnsi="Times New Roman" w:cs="Times New Roman"/>
        </w:rPr>
        <w:t xml:space="preserve">promotes AI innovation, the potential for learning effects to materialize, the benefits of competition to sharpen and guide AI </w:t>
      </w:r>
      <w:proofErr w:type="gramStart"/>
      <w:r w:rsidR="001F4928" w:rsidRPr="0013615E">
        <w:rPr>
          <w:rFonts w:ascii="Times New Roman" w:hAnsi="Times New Roman" w:cs="Times New Roman"/>
        </w:rPr>
        <w:t>development, and</w:t>
      </w:r>
      <w:proofErr w:type="gramEnd"/>
      <w:r w:rsidR="001F4928" w:rsidRPr="0013615E">
        <w:rPr>
          <w:rFonts w:ascii="Times New Roman" w:hAnsi="Times New Roman" w:cs="Times New Roman"/>
        </w:rPr>
        <w:t xml:space="preserve"> will provide the citizens of the units of the federal system, the states, an opportunity to have their preferences in AI be reflected in the regulation of AI. These benefits will likely mean that the US will continue to be more advanced in AI development, information production, and regulatory innovation when compared to the EU. At the same time the tail risks associated with AI will likely be higher than compared with the EU. The potential for AI to lead to serious and </w:t>
      </w:r>
      <w:proofErr w:type="gramStart"/>
      <w:r w:rsidR="001F4928" w:rsidRPr="0013615E">
        <w:rPr>
          <w:rFonts w:ascii="Times New Roman" w:hAnsi="Times New Roman" w:cs="Times New Roman"/>
        </w:rPr>
        <w:t>costly  unintended</w:t>
      </w:r>
      <w:proofErr w:type="gramEnd"/>
      <w:r w:rsidR="001F4928" w:rsidRPr="0013615E">
        <w:rPr>
          <w:rFonts w:ascii="Times New Roman" w:hAnsi="Times New Roman" w:cs="Times New Roman"/>
        </w:rPr>
        <w:t xml:space="preserve"> consequences in society may be higher in the US and federal regulation may be needed to address the most serious risk associated with AI. While it </w:t>
      </w:r>
      <w:proofErr w:type="gramStart"/>
      <w:r w:rsidR="001F4928" w:rsidRPr="0013615E">
        <w:rPr>
          <w:rFonts w:ascii="Times New Roman" w:hAnsi="Times New Roman" w:cs="Times New Roman"/>
        </w:rPr>
        <w:t>possible</w:t>
      </w:r>
      <w:proofErr w:type="gramEnd"/>
      <w:r w:rsidR="001F4928" w:rsidRPr="0013615E">
        <w:rPr>
          <w:rFonts w:ascii="Times New Roman" w:hAnsi="Times New Roman" w:cs="Times New Roman"/>
        </w:rPr>
        <w:t xml:space="preserve"> that existing regulation at the US federal level may be adequate to address these tail risks, there is a need to keep a close watch and react to the emergence of tail risk in a timely manner. The US risks allowing for a </w:t>
      </w:r>
      <w:proofErr w:type="gramStart"/>
      <w:r w:rsidR="001F4928" w:rsidRPr="0013615E">
        <w:rPr>
          <w:rFonts w:ascii="Times New Roman" w:hAnsi="Times New Roman" w:cs="Times New Roman"/>
        </w:rPr>
        <w:t>large scale</w:t>
      </w:r>
      <w:proofErr w:type="gramEnd"/>
      <w:r w:rsidR="001F4928" w:rsidRPr="0013615E">
        <w:rPr>
          <w:rFonts w:ascii="Times New Roman" w:hAnsi="Times New Roman" w:cs="Times New Roman"/>
        </w:rPr>
        <w:t xml:space="preserve"> negative </w:t>
      </w:r>
      <w:proofErr w:type="gramStart"/>
      <w:r w:rsidR="001F4928" w:rsidRPr="0013615E">
        <w:rPr>
          <w:rFonts w:ascii="Times New Roman" w:hAnsi="Times New Roman" w:cs="Times New Roman"/>
        </w:rPr>
        <w:t>event</w:t>
      </w:r>
      <w:proofErr w:type="gramEnd"/>
      <w:r w:rsidR="001F4928" w:rsidRPr="0013615E">
        <w:rPr>
          <w:rFonts w:ascii="Times New Roman" w:hAnsi="Times New Roman" w:cs="Times New Roman"/>
        </w:rPr>
        <w:t xml:space="preserve"> occurring in AI markets if there is not adequate attention given to the possibilities of </w:t>
      </w:r>
      <w:proofErr w:type="gramStart"/>
      <w:r w:rsidR="001F4928" w:rsidRPr="0013615E">
        <w:rPr>
          <w:rFonts w:ascii="Times New Roman" w:hAnsi="Times New Roman" w:cs="Times New Roman"/>
        </w:rPr>
        <w:t>large scale</w:t>
      </w:r>
      <w:proofErr w:type="gramEnd"/>
      <w:r w:rsidR="001F4928" w:rsidRPr="0013615E">
        <w:rPr>
          <w:rFonts w:ascii="Times New Roman" w:hAnsi="Times New Roman" w:cs="Times New Roman"/>
        </w:rPr>
        <w:t xml:space="preserve"> negative externalities crossing state border. This also relates to the possibility of negative </w:t>
      </w:r>
      <w:r w:rsidR="00EC6484" w:rsidRPr="0013615E">
        <w:rPr>
          <w:rFonts w:ascii="Times New Roman" w:hAnsi="Times New Roman" w:cs="Times New Roman"/>
        </w:rPr>
        <w:t xml:space="preserve">and costly regulatory competition allowing the benefits of AI innovation to be siphoned away at the state level if under regulation of AI becomes widespread. The US federal level can address the potential for a “race to the bottom” in AI regulation by implementing some minimized harmonization of AI regulation which does not interfere with the benefits of decentralization. This might be in the form of enabling and promoting industry standards or promoting the enforcement of private rights against AI firms. By allowing the widespread use of arbitration in AI related private contracting, the US is risking that </w:t>
      </w:r>
      <w:r w:rsidR="00EC6484" w:rsidRPr="0013615E">
        <w:rPr>
          <w:rFonts w:ascii="Times New Roman" w:hAnsi="Times New Roman" w:cs="Times New Roman"/>
        </w:rPr>
        <w:lastRenderedPageBreak/>
        <w:t xml:space="preserve">the judicial system will be unable to develop the law in reaction to emerging risks associated with AI. By promoting the creative continuity of the law in addressing new AI related accidents and legal disputes, the US common law may prove to be capable of providing efficient private regulation of AI markets. The US should </w:t>
      </w:r>
      <w:proofErr w:type="gramStart"/>
      <w:r w:rsidR="00EC6484" w:rsidRPr="0013615E">
        <w:rPr>
          <w:rFonts w:ascii="Times New Roman" w:hAnsi="Times New Roman" w:cs="Times New Roman"/>
        </w:rPr>
        <w:t>take into account</w:t>
      </w:r>
      <w:proofErr w:type="gramEnd"/>
      <w:r w:rsidR="00EC6484" w:rsidRPr="0013615E">
        <w:rPr>
          <w:rFonts w:ascii="Times New Roman" w:hAnsi="Times New Roman" w:cs="Times New Roman"/>
        </w:rPr>
        <w:t xml:space="preserve"> the benefits of centralization while still embracing the benefits of decentralization and respond to the most dangerous risks associated with AI by providing federal regulation to ensure that benefits of AI are not cleared out by a few </w:t>
      </w:r>
      <w:proofErr w:type="gramStart"/>
      <w:r w:rsidR="00EC6484" w:rsidRPr="0013615E">
        <w:rPr>
          <w:rFonts w:ascii="Times New Roman" w:hAnsi="Times New Roman" w:cs="Times New Roman"/>
        </w:rPr>
        <w:t>large scale</w:t>
      </w:r>
      <w:proofErr w:type="gramEnd"/>
      <w:r w:rsidR="00EC6484" w:rsidRPr="0013615E">
        <w:rPr>
          <w:rFonts w:ascii="Times New Roman" w:hAnsi="Times New Roman" w:cs="Times New Roman"/>
        </w:rPr>
        <w:t xml:space="preserve"> events.   </w:t>
      </w:r>
    </w:p>
    <w:p w14:paraId="1862DB01" w14:textId="3E56A2F2" w:rsidR="009F27E9" w:rsidRPr="0013615E" w:rsidRDefault="00155403" w:rsidP="0006766C">
      <w:pPr>
        <w:spacing w:line="240" w:lineRule="auto"/>
        <w:rPr>
          <w:rFonts w:ascii="Times New Roman" w:hAnsi="Times New Roman" w:cs="Times New Roman"/>
        </w:rPr>
      </w:pPr>
      <w:r w:rsidRPr="0013615E">
        <w:rPr>
          <w:rFonts w:ascii="Times New Roman" w:hAnsi="Times New Roman" w:cs="Times New Roman"/>
        </w:rPr>
        <w:t xml:space="preserve">Risk aversion is potentially costly. Embracing risk is also potentially costly. The economics of regulation suggest that </w:t>
      </w:r>
      <w:r w:rsidR="00EC6484" w:rsidRPr="0013615E">
        <w:rPr>
          <w:rFonts w:ascii="Times New Roman" w:hAnsi="Times New Roman" w:cs="Times New Roman"/>
        </w:rPr>
        <w:t xml:space="preserve">both the EU and US federal systems </w:t>
      </w:r>
      <w:r w:rsidRPr="0013615E">
        <w:rPr>
          <w:rFonts w:ascii="Times New Roman" w:hAnsi="Times New Roman" w:cs="Times New Roman"/>
        </w:rPr>
        <w:t>should take a risk neutral approach to regulation.</w:t>
      </w:r>
      <w:r w:rsidR="008B7FAA" w:rsidRPr="0013615E">
        <w:rPr>
          <w:rStyle w:val="FootnoteReference"/>
          <w:rFonts w:ascii="Times New Roman" w:hAnsi="Times New Roman" w:cs="Times New Roman"/>
        </w:rPr>
        <w:footnoteReference w:id="108"/>
      </w:r>
      <w:r w:rsidRPr="0013615E">
        <w:rPr>
          <w:rFonts w:ascii="Times New Roman" w:hAnsi="Times New Roman" w:cs="Times New Roman"/>
        </w:rPr>
        <w:t xml:space="preserve">  </w:t>
      </w:r>
      <w:r w:rsidR="00EC6484" w:rsidRPr="0013615E">
        <w:rPr>
          <w:rFonts w:ascii="Times New Roman" w:hAnsi="Times New Roman" w:cs="Times New Roman"/>
        </w:rPr>
        <w:t xml:space="preserve">By </w:t>
      </w:r>
      <w:r w:rsidR="00EC6484" w:rsidRPr="0013615E">
        <w:rPr>
          <w:rFonts w:ascii="Times New Roman" w:hAnsi="Times New Roman" w:cs="Times New Roman"/>
        </w:rPr>
        <w:t>embrac</w:t>
      </w:r>
      <w:r w:rsidR="00EC6484" w:rsidRPr="0013615E">
        <w:rPr>
          <w:rFonts w:ascii="Times New Roman" w:hAnsi="Times New Roman" w:cs="Times New Roman"/>
        </w:rPr>
        <w:t>ing</w:t>
      </w:r>
      <w:r w:rsidR="00EC6484" w:rsidRPr="0013615E">
        <w:rPr>
          <w:rFonts w:ascii="Times New Roman" w:hAnsi="Times New Roman" w:cs="Times New Roman"/>
        </w:rPr>
        <w:t xml:space="preserve"> a “smart mix” of centralized a decentralized AI regulation</w:t>
      </w:r>
      <w:r w:rsidR="00EC6484" w:rsidRPr="0013615E">
        <w:rPr>
          <w:rFonts w:ascii="Times New Roman" w:hAnsi="Times New Roman" w:cs="Times New Roman"/>
        </w:rPr>
        <w:t xml:space="preserve">, federal systems can take advantage of the positive externalities created by allowing free markets to function and regulatory competition to </w:t>
      </w:r>
      <w:r w:rsidR="00BA2EE7" w:rsidRPr="0013615E">
        <w:rPr>
          <w:rFonts w:ascii="Times New Roman" w:hAnsi="Times New Roman" w:cs="Times New Roman"/>
        </w:rPr>
        <w:t xml:space="preserve">identify efficient regulatory schemes, while still avoiding the costly negative externalities which may emerge from a fully decentralized regulatory scheme. If the economics of federalism are ignored in AI regulation, the EU and the US risk on the one side avoiding the potential benefits for society from the use of AI and on the other side </w:t>
      </w:r>
      <w:proofErr w:type="gramStart"/>
      <w:r w:rsidR="00BA2EE7" w:rsidRPr="0013615E">
        <w:rPr>
          <w:rFonts w:ascii="Times New Roman" w:hAnsi="Times New Roman" w:cs="Times New Roman"/>
        </w:rPr>
        <w:t>permitting for</w:t>
      </w:r>
      <w:proofErr w:type="gramEnd"/>
      <w:r w:rsidR="00BA2EE7" w:rsidRPr="0013615E">
        <w:rPr>
          <w:rFonts w:ascii="Times New Roman" w:hAnsi="Times New Roman" w:cs="Times New Roman"/>
        </w:rPr>
        <w:t xml:space="preserve"> the potential costs on society to be fully felt by allowing AI to develop unchecked. A “smart mix” of centralized and decentralized regulation represents a risk neutral approach which allows federal systems to best benefit from the potential of AI and avoid the most dangerous risks associated with AI. </w:t>
      </w:r>
    </w:p>
    <w:p w14:paraId="5BD0B9B4" w14:textId="5835651E" w:rsidR="0040524C" w:rsidRPr="0013615E" w:rsidRDefault="0040524C" w:rsidP="009236F5">
      <w:pPr>
        <w:pStyle w:val="ListParagraph"/>
        <w:numPr>
          <w:ilvl w:val="0"/>
          <w:numId w:val="12"/>
        </w:numPr>
        <w:spacing w:line="240" w:lineRule="auto"/>
        <w:rPr>
          <w:rFonts w:ascii="Times New Roman" w:hAnsi="Times New Roman" w:cs="Times New Roman"/>
          <w:b/>
          <w:bCs/>
          <w:u w:val="single"/>
        </w:rPr>
      </w:pPr>
      <w:r w:rsidRPr="0013615E">
        <w:rPr>
          <w:rFonts w:ascii="Times New Roman" w:hAnsi="Times New Roman" w:cs="Times New Roman"/>
          <w:b/>
          <w:bCs/>
          <w:u w:val="single"/>
        </w:rPr>
        <w:t xml:space="preserve">Conclusion </w:t>
      </w:r>
    </w:p>
    <w:p w14:paraId="656A49E3" w14:textId="2CEC1EEF" w:rsidR="004174BF" w:rsidRPr="0013615E" w:rsidRDefault="004174BF" w:rsidP="004174BF">
      <w:pPr>
        <w:spacing w:line="240" w:lineRule="auto"/>
        <w:rPr>
          <w:rFonts w:ascii="Times New Roman" w:hAnsi="Times New Roman" w:cs="Times New Roman"/>
        </w:rPr>
      </w:pPr>
      <w:r w:rsidRPr="0013615E">
        <w:rPr>
          <w:rFonts w:ascii="Times New Roman" w:hAnsi="Times New Roman" w:cs="Times New Roman"/>
        </w:rPr>
        <w:t xml:space="preserve">When we consider AI regulation </w:t>
      </w:r>
      <w:r w:rsidR="009236F5" w:rsidRPr="0013615E">
        <w:rPr>
          <w:rFonts w:ascii="Times New Roman" w:hAnsi="Times New Roman" w:cs="Times New Roman"/>
        </w:rPr>
        <w:t>in federal systems using the framework of the economics of federalism</w:t>
      </w:r>
      <w:r w:rsidRPr="0013615E">
        <w:rPr>
          <w:rFonts w:ascii="Times New Roman" w:hAnsi="Times New Roman" w:cs="Times New Roman"/>
        </w:rPr>
        <w:t xml:space="preserve"> proposed by Van den Bergh</w:t>
      </w:r>
      <w:r w:rsidR="009236F5" w:rsidRPr="0013615E">
        <w:rPr>
          <w:rFonts w:ascii="Times New Roman" w:hAnsi="Times New Roman" w:cs="Times New Roman"/>
        </w:rPr>
        <w:t>. We identify</w:t>
      </w:r>
      <w:r w:rsidRPr="0013615E">
        <w:rPr>
          <w:rFonts w:ascii="Times New Roman" w:hAnsi="Times New Roman" w:cs="Times New Roman"/>
        </w:rPr>
        <w:t xml:space="preserve"> a need to use </w:t>
      </w:r>
      <w:r w:rsidR="00156162" w:rsidRPr="0013615E">
        <w:rPr>
          <w:rFonts w:ascii="Times New Roman" w:hAnsi="Times New Roman" w:cs="Times New Roman"/>
        </w:rPr>
        <w:t>“</w:t>
      </w:r>
      <w:r w:rsidRPr="0013615E">
        <w:rPr>
          <w:rFonts w:ascii="Times New Roman" w:hAnsi="Times New Roman" w:cs="Times New Roman"/>
        </w:rPr>
        <w:t>smart mixes</w:t>
      </w:r>
      <w:r w:rsidR="00156162" w:rsidRPr="0013615E">
        <w:rPr>
          <w:rFonts w:ascii="Times New Roman" w:hAnsi="Times New Roman" w:cs="Times New Roman"/>
        </w:rPr>
        <w:t>”</w:t>
      </w:r>
      <w:r w:rsidRPr="0013615E">
        <w:rPr>
          <w:rFonts w:ascii="Times New Roman" w:hAnsi="Times New Roman" w:cs="Times New Roman"/>
        </w:rPr>
        <w:t xml:space="preserve"> of centralized and decentralized AI regulation in federal systems. This requires </w:t>
      </w:r>
      <w:r w:rsidR="009236F5" w:rsidRPr="0013615E">
        <w:rPr>
          <w:rFonts w:ascii="Times New Roman" w:hAnsi="Times New Roman" w:cs="Times New Roman"/>
        </w:rPr>
        <w:t>recognizing</w:t>
      </w:r>
      <w:r w:rsidRPr="0013615E">
        <w:rPr>
          <w:rFonts w:ascii="Times New Roman" w:hAnsi="Times New Roman" w:cs="Times New Roman"/>
        </w:rPr>
        <w:t xml:space="preserve"> </w:t>
      </w:r>
      <w:r w:rsidR="009236F5" w:rsidRPr="0013615E">
        <w:rPr>
          <w:rFonts w:ascii="Times New Roman" w:hAnsi="Times New Roman" w:cs="Times New Roman"/>
        </w:rPr>
        <w:t xml:space="preserve">how some aspects of AI </w:t>
      </w:r>
      <w:r w:rsidRPr="0013615E">
        <w:rPr>
          <w:rFonts w:ascii="Times New Roman" w:hAnsi="Times New Roman" w:cs="Times New Roman"/>
        </w:rPr>
        <w:t xml:space="preserve">regulation are best implemented at a centralized federal level and </w:t>
      </w:r>
      <w:r w:rsidR="009236F5" w:rsidRPr="0013615E">
        <w:rPr>
          <w:rFonts w:ascii="Times New Roman" w:hAnsi="Times New Roman" w:cs="Times New Roman"/>
        </w:rPr>
        <w:t>other aspects are</w:t>
      </w:r>
      <w:r w:rsidRPr="0013615E">
        <w:rPr>
          <w:rFonts w:ascii="Times New Roman" w:hAnsi="Times New Roman" w:cs="Times New Roman"/>
        </w:rPr>
        <w:t xml:space="preserve"> best implemented at the state </w:t>
      </w:r>
      <w:r w:rsidR="009236F5" w:rsidRPr="0013615E">
        <w:rPr>
          <w:rFonts w:ascii="Times New Roman" w:hAnsi="Times New Roman" w:cs="Times New Roman"/>
        </w:rPr>
        <w:t xml:space="preserve">or </w:t>
      </w:r>
      <w:r w:rsidRPr="0013615E">
        <w:rPr>
          <w:rFonts w:ascii="Times New Roman" w:hAnsi="Times New Roman" w:cs="Times New Roman"/>
        </w:rPr>
        <w:t xml:space="preserve">decentralized level. An important aspect of the regulation of AI is that it is still in its developmental stage, and the best practice is yet to be identified. </w:t>
      </w:r>
      <w:r w:rsidR="00156162" w:rsidRPr="0013615E">
        <w:rPr>
          <w:rFonts w:ascii="Times New Roman" w:hAnsi="Times New Roman" w:cs="Times New Roman"/>
        </w:rPr>
        <w:t xml:space="preserve">There is a potential for private law to provide some clarity about how to best regulate AI, through the enforcement of private rights in civil claims, but this process will take time as civil claims work their way into court systems. </w:t>
      </w:r>
      <w:r w:rsidRPr="0013615E">
        <w:rPr>
          <w:rFonts w:ascii="Times New Roman" w:hAnsi="Times New Roman" w:cs="Times New Roman"/>
        </w:rPr>
        <w:t xml:space="preserve">By placing an overemphasis on a centralized regulatory scheme there is a risk this will stifle innovation which might help to identify the actual best practice for AI regulation, prevent local populations from having their needs fully met, and may lead to situations where the relevant information needed to adequately regulate AI is underproduced. By overemphasizing the decentralized regulation of AI regulation, there is a risk that externalities caused by AI will continue to cross borders leading to costs for human society, that the costs of regulating AI will grow to excessive levels and lead to unnecessary and redundant costs associated with regulation and lead to destructive forms of competition which result in cross border externalities. </w:t>
      </w:r>
      <w:r w:rsidR="00156162" w:rsidRPr="0013615E">
        <w:rPr>
          <w:rFonts w:ascii="Times New Roman" w:hAnsi="Times New Roman" w:cs="Times New Roman"/>
        </w:rPr>
        <w:t xml:space="preserve">The EU’s centralized approach towards AI regulation may prove to be both unworkable and counterproductive. As AI markets are still emerging, the EU may need to adjust their scheme to place a larger emphasis on decentralized regulation at the MS </w:t>
      </w:r>
      <w:proofErr w:type="gramStart"/>
      <w:r w:rsidR="00156162" w:rsidRPr="0013615E">
        <w:rPr>
          <w:rFonts w:ascii="Times New Roman" w:hAnsi="Times New Roman" w:cs="Times New Roman"/>
        </w:rPr>
        <w:t>in order to</w:t>
      </w:r>
      <w:proofErr w:type="gramEnd"/>
      <w:r w:rsidR="00156162" w:rsidRPr="0013615E">
        <w:rPr>
          <w:rFonts w:ascii="Times New Roman" w:hAnsi="Times New Roman" w:cs="Times New Roman"/>
        </w:rPr>
        <w:t xml:space="preserve"> ensure that all but the most dangerous uses of AI are accounted for centrally. By enabling MS to take the </w:t>
      </w:r>
      <w:r w:rsidR="00156162" w:rsidRPr="0013615E">
        <w:rPr>
          <w:rFonts w:ascii="Times New Roman" w:hAnsi="Times New Roman" w:cs="Times New Roman"/>
        </w:rPr>
        <w:lastRenderedPageBreak/>
        <w:t xml:space="preserve">lead in AI regulation, the benefits of competition, information production (learning effects), accountability for risk taking, and innovation are more likely to lead to economic benefits for society. The US emphasis on promoting innovation with </w:t>
      </w:r>
      <w:proofErr w:type="gramStart"/>
      <w:r w:rsidR="00156162" w:rsidRPr="0013615E">
        <w:rPr>
          <w:rFonts w:ascii="Times New Roman" w:hAnsi="Times New Roman" w:cs="Times New Roman"/>
        </w:rPr>
        <w:t>a over</w:t>
      </w:r>
      <w:proofErr w:type="gramEnd"/>
      <w:r w:rsidR="00156162" w:rsidRPr="0013615E">
        <w:rPr>
          <w:rFonts w:ascii="Times New Roman" w:hAnsi="Times New Roman" w:cs="Times New Roman"/>
        </w:rPr>
        <w:t xml:space="preserve"> emphasis on decentralized regulation may provide the benefits which the EU approach is likely to </w:t>
      </w:r>
      <w:r w:rsidR="002C5CD9" w:rsidRPr="0013615E">
        <w:rPr>
          <w:rFonts w:ascii="Times New Roman" w:hAnsi="Times New Roman" w:cs="Times New Roman"/>
        </w:rPr>
        <w:t xml:space="preserve">inhibit, but the US also risks the costs of the most dangerous uses of AI causing significant costs for society. Roadblocks to private enforcement of rights against AI firms are also limited in the US due to the widespread use of arbitration in private AI contracts, which has the effect of limiting the ability of courts to develop creative solutions for the new types of harm which AI causes. The US may benefit from the embracing </w:t>
      </w:r>
      <w:proofErr w:type="spellStart"/>
      <w:proofErr w:type="gramStart"/>
      <w:r w:rsidR="002C5CD9" w:rsidRPr="0013615E">
        <w:rPr>
          <w:rFonts w:ascii="Times New Roman" w:hAnsi="Times New Roman" w:cs="Times New Roman"/>
        </w:rPr>
        <w:t>a</w:t>
      </w:r>
      <w:proofErr w:type="spellEnd"/>
      <w:proofErr w:type="gramEnd"/>
      <w:r w:rsidR="002C5CD9" w:rsidRPr="0013615E">
        <w:rPr>
          <w:rFonts w:ascii="Times New Roman" w:hAnsi="Times New Roman" w:cs="Times New Roman"/>
        </w:rPr>
        <w:t xml:space="preserve"> environment favorable to innovation, while the EU may benefit from avoiding the most dangerous externalities caused from AI, however both the US and EU approach fully fail to </w:t>
      </w:r>
      <w:proofErr w:type="gramStart"/>
      <w:r w:rsidR="002C5CD9" w:rsidRPr="0013615E">
        <w:rPr>
          <w:rFonts w:ascii="Times New Roman" w:hAnsi="Times New Roman" w:cs="Times New Roman"/>
        </w:rPr>
        <w:t>take into account</w:t>
      </w:r>
      <w:proofErr w:type="gramEnd"/>
      <w:r w:rsidR="002C5CD9" w:rsidRPr="0013615E">
        <w:rPr>
          <w:rFonts w:ascii="Times New Roman" w:hAnsi="Times New Roman" w:cs="Times New Roman"/>
        </w:rPr>
        <w:t xml:space="preserve"> the need for “smart mixes” of centralized and decentralized AI regulation. </w:t>
      </w:r>
      <w:r w:rsidRPr="0013615E">
        <w:rPr>
          <w:rFonts w:ascii="Times New Roman" w:hAnsi="Times New Roman" w:cs="Times New Roman"/>
        </w:rPr>
        <w:t xml:space="preserve">The EU and US </w:t>
      </w:r>
      <w:r w:rsidR="002C5CD9" w:rsidRPr="0013615E">
        <w:rPr>
          <w:rFonts w:ascii="Times New Roman" w:hAnsi="Times New Roman" w:cs="Times New Roman"/>
        </w:rPr>
        <w:t>need</w:t>
      </w:r>
      <w:r w:rsidRPr="0013615E">
        <w:rPr>
          <w:rFonts w:ascii="Times New Roman" w:hAnsi="Times New Roman" w:cs="Times New Roman"/>
        </w:rPr>
        <w:t xml:space="preserve"> </w:t>
      </w:r>
      <w:proofErr w:type="gramStart"/>
      <w:r w:rsidRPr="0013615E">
        <w:rPr>
          <w:rFonts w:ascii="Times New Roman" w:hAnsi="Times New Roman" w:cs="Times New Roman"/>
        </w:rPr>
        <w:t>take</w:t>
      </w:r>
      <w:proofErr w:type="gramEnd"/>
      <w:r w:rsidRPr="0013615E">
        <w:rPr>
          <w:rFonts w:ascii="Times New Roman" w:hAnsi="Times New Roman" w:cs="Times New Roman"/>
        </w:rPr>
        <w:t xml:space="preserve"> the economics of federalism into account as they develop regulatory approaches for the risks associated with AI. It is also important that federal systems recognize that AI is not good or bad, it is both good and bad, and this should be reflected in how AI is regulated.</w:t>
      </w:r>
    </w:p>
    <w:p w14:paraId="4B329704" w14:textId="391F8505" w:rsidR="006F7D1B" w:rsidRPr="0013615E" w:rsidRDefault="006F7D1B">
      <w:pPr>
        <w:rPr>
          <w:rFonts w:ascii="Times New Roman" w:hAnsi="Times New Roman" w:cs="Times New Roman"/>
          <w:u w:val="single"/>
        </w:rPr>
      </w:pPr>
    </w:p>
    <w:sectPr w:rsidR="006F7D1B" w:rsidRPr="0013615E" w:rsidSect="000676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A27C5" w14:textId="77777777" w:rsidR="005D3427" w:rsidRDefault="005D3427" w:rsidP="00564D9E">
      <w:pPr>
        <w:spacing w:after="0" w:line="240" w:lineRule="auto"/>
      </w:pPr>
      <w:r>
        <w:separator/>
      </w:r>
    </w:p>
  </w:endnote>
  <w:endnote w:type="continuationSeparator" w:id="0">
    <w:p w14:paraId="71A6F78D" w14:textId="77777777" w:rsidR="005D3427" w:rsidRDefault="005D3427" w:rsidP="00564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B6A7" w14:textId="77777777" w:rsidR="0080664B" w:rsidRDefault="008066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B1DA6" w14:textId="77777777" w:rsidR="0080664B" w:rsidRDefault="008066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5BB2E" w14:textId="77777777" w:rsidR="0080664B" w:rsidRDefault="00806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42D7B" w14:textId="77777777" w:rsidR="005D3427" w:rsidRDefault="005D3427" w:rsidP="00564D9E">
      <w:pPr>
        <w:spacing w:after="0" w:line="240" w:lineRule="auto"/>
      </w:pPr>
      <w:r>
        <w:separator/>
      </w:r>
    </w:p>
  </w:footnote>
  <w:footnote w:type="continuationSeparator" w:id="0">
    <w:p w14:paraId="72EEE1A1" w14:textId="77777777" w:rsidR="005D3427" w:rsidRDefault="005D3427" w:rsidP="00564D9E">
      <w:pPr>
        <w:spacing w:after="0" w:line="240" w:lineRule="auto"/>
      </w:pPr>
      <w:r>
        <w:continuationSeparator/>
      </w:r>
    </w:p>
  </w:footnote>
  <w:footnote w:id="1">
    <w:p w14:paraId="41ED2D16" w14:textId="2CC294E1" w:rsidR="00AF4144" w:rsidRDefault="00AF4144">
      <w:pPr>
        <w:pStyle w:val="FootnoteText"/>
      </w:pPr>
      <w:r>
        <w:rPr>
          <w:rStyle w:val="FootnoteReference"/>
        </w:rPr>
        <w:footnoteRef/>
      </w:r>
      <w:r>
        <w:t xml:space="preserve"> </w:t>
      </w:r>
      <w:r w:rsidRPr="00AF4144">
        <w:t>Dr. Paul Aubrecht. University of Passau, Researcher at the Chair of Common Law</w:t>
      </w:r>
      <w:r>
        <w:t>, Faculty of Law</w:t>
      </w:r>
      <w:r w:rsidRPr="00AF4144">
        <w:t>.</w:t>
      </w:r>
    </w:p>
  </w:footnote>
  <w:footnote w:id="2">
    <w:p w14:paraId="697FB95F" w14:textId="41391C00" w:rsidR="00AF4144" w:rsidRDefault="00AF4144">
      <w:pPr>
        <w:pStyle w:val="FootnoteText"/>
      </w:pPr>
      <w:r>
        <w:rPr>
          <w:rStyle w:val="FootnoteReference"/>
        </w:rPr>
        <w:footnoteRef/>
      </w:r>
      <w:r>
        <w:t xml:space="preserve"> Professor Dr. Mitja Kovač. University of Ljubljana, </w:t>
      </w:r>
      <w:r w:rsidRPr="00AF4144">
        <w:t>School of Economics and Business</w:t>
      </w:r>
      <w:r>
        <w:t>.</w:t>
      </w:r>
    </w:p>
  </w:footnote>
  <w:footnote w:id="3">
    <w:p w14:paraId="0E87A560" w14:textId="0CD9FE40" w:rsidR="00395B2E" w:rsidRDefault="00395B2E" w:rsidP="00395B2E">
      <w:pPr>
        <w:pStyle w:val="FootnoteText"/>
      </w:pPr>
      <w:r>
        <w:rPr>
          <w:rStyle w:val="FootnoteReference"/>
        </w:rPr>
        <w:footnoteRef/>
      </w:r>
      <w:r>
        <w:t xml:space="preserve"> According to Cornell Legal Information Institute, “Federalism is a system of government in which the same territory is controlled by two levels of government” where “an overarching national government is responsible for broader governance of larger territorial areas, while the smaller subdivisions, states, and cities govern the issues of local concern.” </w:t>
      </w:r>
      <w:r w:rsidRPr="00395B2E">
        <w:t>https://www.law.cornell.edu/wex/federalism</w:t>
      </w:r>
    </w:p>
  </w:footnote>
  <w:footnote w:id="4">
    <w:p w14:paraId="5FEEFDEA" w14:textId="7063C4FB" w:rsidR="00253279" w:rsidRDefault="00253279">
      <w:pPr>
        <w:pStyle w:val="FootnoteText"/>
      </w:pPr>
      <w:r>
        <w:rPr>
          <w:rStyle w:val="FootnoteReference"/>
        </w:rPr>
        <w:footnoteRef/>
      </w:r>
      <w:r>
        <w:t xml:space="preserve"> </w:t>
      </w:r>
      <w:r w:rsidR="00C50206">
        <w:t>Under art 5(2) TEU, “</w:t>
      </w:r>
      <w:r w:rsidR="00C50206" w:rsidRPr="00C50206">
        <w:t>Under the principle of conferral, the Union shall act only within the limits of the competences conferred upon it by the Member States in the Treaties to attain the objectives set out therein. Competences not conferred upon the Union in the Treaties remain with the Member States.</w:t>
      </w:r>
      <w:r w:rsidR="00C50206">
        <w:t xml:space="preserve">” </w:t>
      </w:r>
    </w:p>
  </w:footnote>
  <w:footnote w:id="5">
    <w:p w14:paraId="0DF1A9E4" w14:textId="1BFE7155" w:rsidR="00C81789" w:rsidRPr="00C81789" w:rsidRDefault="00C81789">
      <w:pPr>
        <w:pStyle w:val="FootnoteText"/>
      </w:pPr>
      <w:r>
        <w:rPr>
          <w:rStyle w:val="FootnoteReference"/>
        </w:rPr>
        <w:footnoteRef/>
      </w:r>
      <w:r w:rsidRPr="00C81789">
        <w:t xml:space="preserve"> US Constitution, 10th Amendment a</w:t>
      </w:r>
      <w:r>
        <w:t xml:space="preserve">nd Commerce Clause. </w:t>
      </w:r>
      <w:r w:rsidRPr="00C81789">
        <w:t>The text of the 10</w:t>
      </w:r>
      <w:r w:rsidRPr="00C81789">
        <w:rPr>
          <w:vertAlign w:val="superscript"/>
        </w:rPr>
        <w:t>th</w:t>
      </w:r>
      <w:r>
        <w:t xml:space="preserve"> Amendment reads “</w:t>
      </w:r>
      <w:r w:rsidRPr="00C81789">
        <w:t>The powers not delegated to the United States by the Constitution, nor prohibited by it to the states, are reserved to the states respectively, or to the people.</w:t>
      </w:r>
      <w:r>
        <w:t xml:space="preserve">” The Commerce Clause, Article </w:t>
      </w:r>
      <w:r w:rsidR="00253279">
        <w:t>I</w:t>
      </w:r>
      <w:r>
        <w:t>, Section 8, Clause 3, give the US Congress the expressed power “to regulate commerce with foreign nations, among states, an</w:t>
      </w:r>
      <w:r w:rsidR="00253279">
        <w:t>d</w:t>
      </w:r>
      <w:r>
        <w:t xml:space="preserve"> with the Indian tribes.” Additionally, the </w:t>
      </w:r>
      <w:r w:rsidR="00253279">
        <w:t xml:space="preserve">Supremacy Clause of the US Constitution Article VI, Clause 2, provides that “This Constitution, and the Laws of the United States which shall be made in Pursuance thereof; and all Treaties made, or which shall be made, under the Authority of the United States, shall be the supreme Law of the Land; and the Judges in every State shall be bound thereby, and Thing in the Constitution or Laws of any State to the Contrary notwithstanding.”  </w:t>
      </w:r>
    </w:p>
  </w:footnote>
  <w:footnote w:id="6">
    <w:p w14:paraId="30D353F9" w14:textId="2EA48017" w:rsidR="00B73137" w:rsidRDefault="00B73137">
      <w:pPr>
        <w:pStyle w:val="FootnoteText"/>
      </w:pPr>
      <w:r>
        <w:rPr>
          <w:rStyle w:val="FootnoteReference"/>
        </w:rPr>
        <w:footnoteRef/>
      </w:r>
      <w:r>
        <w:t xml:space="preserve"> The EU market was estimated to have a GDP of </w:t>
      </w:r>
      <w:r w:rsidR="005B216A">
        <w:t xml:space="preserve">19.4 trillion USD and the US at 29.1 trillion USD according to  the World Bank’s latest available data. According to the World Bank the total value of the worlds economies was 111.3 trillion. This means the combined EU and US GDP is at 48.5 trillion USD representing nearly 44% of the worlds GDP. </w:t>
      </w:r>
      <w:r w:rsidR="005B216A" w:rsidRPr="005B216A">
        <w:t>https://data.worldbank.org/indicator/NY.GDP.MKTP.CD</w:t>
      </w:r>
    </w:p>
  </w:footnote>
  <w:footnote w:id="7">
    <w:p w14:paraId="1B5A080E" w14:textId="4551A4BA" w:rsidR="001E3212" w:rsidRDefault="001E3212">
      <w:pPr>
        <w:pStyle w:val="FootnoteText"/>
      </w:pPr>
      <w:r>
        <w:rPr>
          <w:rStyle w:val="FootnoteReference"/>
        </w:rPr>
        <w:footnoteRef/>
      </w:r>
      <w:r>
        <w:t xml:space="preserve"> </w:t>
      </w:r>
      <w:r w:rsidRPr="001E3212">
        <w:t>Ogus, Anthony. "Regulatory institutions and structures." </w:t>
      </w:r>
      <w:r w:rsidRPr="001E3212">
        <w:rPr>
          <w:i/>
          <w:iCs/>
        </w:rPr>
        <w:t>Annals of Public and Cooperative Economics</w:t>
      </w:r>
      <w:r w:rsidRPr="001E3212">
        <w:t> 73.4 (2002):</w:t>
      </w:r>
      <w:r>
        <w:t xml:space="preserve"> p. 631. </w:t>
      </w:r>
    </w:p>
  </w:footnote>
  <w:footnote w:id="8">
    <w:p w14:paraId="1D15AB58" w14:textId="08003AF8" w:rsidR="00C50206" w:rsidRPr="00C50206" w:rsidRDefault="00C50206">
      <w:pPr>
        <w:pStyle w:val="FootnoteText"/>
      </w:pPr>
      <w:r>
        <w:rPr>
          <w:rStyle w:val="FootnoteReference"/>
        </w:rPr>
        <w:footnoteRef/>
      </w:r>
      <w:r w:rsidRPr="00C50206">
        <w:t xml:space="preserve"> EU AI ACT, Colorado A</w:t>
      </w:r>
      <w:r>
        <w:t xml:space="preserve">I Act. </w:t>
      </w:r>
    </w:p>
  </w:footnote>
  <w:footnote w:id="9">
    <w:p w14:paraId="60EC4E53" w14:textId="5EFF5C9B" w:rsidR="00C50206" w:rsidRPr="00C50206" w:rsidRDefault="00C50206">
      <w:pPr>
        <w:pStyle w:val="FootnoteText"/>
      </w:pPr>
      <w:r>
        <w:rPr>
          <w:rStyle w:val="FootnoteReference"/>
        </w:rPr>
        <w:footnoteRef/>
      </w:r>
      <w:r w:rsidRPr="00C50206">
        <w:t xml:space="preserve"> One prominent example is t</w:t>
      </w:r>
      <w:r>
        <w:t xml:space="preserve">he risk associated with the use of AI in High Frequency Trading </w:t>
      </w:r>
      <w:r w:rsidR="00FF0B3E">
        <w:t xml:space="preserve">(HFT) in financial markets </w:t>
      </w:r>
      <w:r>
        <w:t>and the possibility of a flash crash created by the convergence of AI enable</w:t>
      </w:r>
      <w:r w:rsidR="00FF0B3E">
        <w:t>d</w:t>
      </w:r>
      <w:r>
        <w:t xml:space="preserve"> trading strategies to </w:t>
      </w:r>
      <w:r w:rsidR="000639E0">
        <w:t>adopt a “sell” strategy, which when it reaches a critical mass leads to severe swings in financial markets. This can be seen flash crash</w:t>
      </w:r>
      <w:r w:rsidR="00CC6E2E">
        <w:t>es</w:t>
      </w:r>
      <w:r w:rsidR="000639E0">
        <w:t xml:space="preserve"> in markets which w</w:t>
      </w:r>
      <w:r w:rsidR="00CC6E2E">
        <w:t>ere</w:t>
      </w:r>
      <w:r w:rsidR="000639E0">
        <w:t xml:space="preserve"> </w:t>
      </w:r>
      <w:r w:rsidR="00FF0B3E">
        <w:t>amplified</w:t>
      </w:r>
      <w:r w:rsidR="000639E0">
        <w:t xml:space="preserve"> by AI empowered trading strategies which resulted in </w:t>
      </w:r>
      <w:r w:rsidR="00FF0B3E">
        <w:t>feedback loop which caused AI trading algorithms to sell, contributing to the crash</w:t>
      </w:r>
      <w:r w:rsidR="000639E0">
        <w:t>.</w:t>
      </w:r>
      <w:r w:rsidR="00FF0B3E">
        <w:t xml:space="preserve"> </w:t>
      </w:r>
      <w:r w:rsidR="00CC6E2E">
        <w:t xml:space="preserve">See: </w:t>
      </w:r>
      <w:r w:rsidR="00CC6E2E" w:rsidRPr="00CC6E2E">
        <w:t>Mahajan, Yashica and Mahajan, Yashica, The Impact of Artificial Intelligence Advancements on the Frequency and Severity of Flash Crashes in Financial Markets (October 23, 2025). Available at SSRN: </w:t>
      </w:r>
      <w:hyperlink r:id="rId1" w:tgtFrame="_blank" w:history="1">
        <w:r w:rsidR="00CC6E2E" w:rsidRPr="00CC6E2E">
          <w:rPr>
            <w:rStyle w:val="Hyperlink"/>
          </w:rPr>
          <w:t>https://ssrn.com/abstract=5650011</w:t>
        </w:r>
      </w:hyperlink>
      <w:r w:rsidR="00CC6E2E" w:rsidRPr="00CC6E2E">
        <w:t> or </w:t>
      </w:r>
      <w:hyperlink r:id="rId2" w:tgtFrame="_blank" w:history="1">
        <w:r w:rsidR="00CC6E2E" w:rsidRPr="00CC6E2E">
          <w:rPr>
            <w:rStyle w:val="Hyperlink"/>
          </w:rPr>
          <w:t>http://dx.doi.org/10.2139/ssrn.5650011</w:t>
        </w:r>
      </w:hyperlink>
      <w:r w:rsidR="000639E0">
        <w:t xml:space="preserve"> </w:t>
      </w:r>
    </w:p>
  </w:footnote>
  <w:footnote w:id="10">
    <w:p w14:paraId="43EF7006" w14:textId="2ED1ED29" w:rsidR="00526CA6" w:rsidRDefault="00526CA6">
      <w:pPr>
        <w:pStyle w:val="FootnoteText"/>
      </w:pPr>
      <w:r>
        <w:rPr>
          <w:rStyle w:val="FootnoteReference"/>
        </w:rPr>
        <w:footnoteRef/>
      </w:r>
      <w:r>
        <w:t xml:space="preserve"> </w:t>
      </w:r>
      <w:r w:rsidRPr="00526CA6">
        <w:t>Piris, Jean-Claude. "The European Union: Towards a New Form of Federalism." Patterns of Regionalism and Federalism: Lessons for the UK, Oxford: Hart (2006): 69-87.</w:t>
      </w:r>
    </w:p>
  </w:footnote>
  <w:footnote w:id="11">
    <w:p w14:paraId="12E374BC" w14:textId="62E0C6F2" w:rsidR="004567AF" w:rsidRDefault="004567AF">
      <w:pPr>
        <w:pStyle w:val="FootnoteText"/>
      </w:pPr>
      <w:r>
        <w:rPr>
          <w:rStyle w:val="FootnoteReference"/>
        </w:rPr>
        <w:footnoteRef/>
      </w:r>
      <w:r>
        <w:t xml:space="preserve"> </w:t>
      </w:r>
      <w:r w:rsidRPr="004567AF">
        <w:t>Kovac, Mitja. "Autonomous Artificial Intelligence and Uncontemplated Hazards: Towards the Optimal Regulatory Framework." European Journal of Risk Regulation 13.1 (2022): 9</w:t>
      </w:r>
      <w:r>
        <w:t>4-95</w:t>
      </w:r>
      <w:r w:rsidRPr="004567AF">
        <w:t>.</w:t>
      </w:r>
    </w:p>
  </w:footnote>
  <w:footnote w:id="12">
    <w:p w14:paraId="0E99C5E8" w14:textId="249FA8C9" w:rsidR="00526CA6" w:rsidRDefault="00526CA6">
      <w:pPr>
        <w:pStyle w:val="FootnoteText"/>
      </w:pPr>
      <w:r>
        <w:rPr>
          <w:rStyle w:val="FootnoteReference"/>
        </w:rPr>
        <w:footnoteRef/>
      </w:r>
      <w:r>
        <w:t xml:space="preserve"> </w:t>
      </w:r>
      <w:r w:rsidRPr="00526CA6">
        <w:t xml:space="preserve">Li, Shu, Michael Faure, and Katri Havu. "Liability rules for AI-related harm: Law and economics lessons for a European approach." European Journal of Risk Regulation 13.4 (2022): </w:t>
      </w:r>
      <w:r>
        <w:t xml:space="preserve">p. 618. </w:t>
      </w:r>
    </w:p>
  </w:footnote>
  <w:footnote w:id="13">
    <w:p w14:paraId="0E3C5DC1" w14:textId="7380B06C" w:rsidR="0010166C" w:rsidRDefault="007A3F06" w:rsidP="0010166C">
      <w:pPr>
        <w:pStyle w:val="FootnoteText"/>
      </w:pPr>
      <w:r>
        <w:rPr>
          <w:rStyle w:val="FootnoteReference"/>
        </w:rPr>
        <w:footnoteRef/>
      </w:r>
      <w:r>
        <w:t xml:space="preserve"> </w:t>
      </w:r>
      <w:r w:rsidR="0010166C">
        <w:t>According to Virilio, “To invent the sailing ship or the steamer is to invent the shipwreck. To invent</w:t>
      </w:r>
    </w:p>
    <w:p w14:paraId="1F9E5A10" w14:textId="622DB590" w:rsidR="007A3F06" w:rsidRDefault="0010166C" w:rsidP="0010166C">
      <w:pPr>
        <w:pStyle w:val="FootnoteText"/>
      </w:pPr>
      <w:r>
        <w:t xml:space="preserve">the train is to invent the rail accident of derailment. To invent the family automobile is to produce the pile-up on the highway.” </w:t>
      </w:r>
      <w:r w:rsidRPr="0010166C">
        <w:t>Virilio, Paul. The original accident. Polity, 2007.</w:t>
      </w:r>
    </w:p>
  </w:footnote>
  <w:footnote w:id="14">
    <w:p w14:paraId="7EB4E1F7" w14:textId="163080B9" w:rsidR="009E68DA" w:rsidRDefault="009E68DA">
      <w:pPr>
        <w:pStyle w:val="FootnoteText"/>
      </w:pPr>
      <w:r>
        <w:rPr>
          <w:rStyle w:val="FootnoteReference"/>
        </w:rPr>
        <w:footnoteRef/>
      </w:r>
      <w:r>
        <w:t xml:space="preserve"> See: </w:t>
      </w:r>
      <w:r w:rsidRPr="009E68DA">
        <w:t xml:space="preserve">Hudson, Andrew Dana, Ed Finn, and Ruth Wylie. "What can science fiction tell us about the future of artificial intelligence </w:t>
      </w:r>
      <w:proofErr w:type="gramStart"/>
      <w:r w:rsidRPr="009E68DA">
        <w:t>policy?.</w:t>
      </w:r>
      <w:proofErr w:type="gramEnd"/>
      <w:r w:rsidRPr="009E68DA">
        <w:t>" </w:t>
      </w:r>
      <w:r w:rsidRPr="009E68DA">
        <w:rPr>
          <w:i/>
          <w:iCs/>
        </w:rPr>
        <w:t>AI &amp; SOCIETY</w:t>
      </w:r>
      <w:r w:rsidRPr="009E68DA">
        <w:t> 38.1 (2023): 197-211</w:t>
      </w:r>
      <w:r>
        <w:t xml:space="preserve">; </w:t>
      </w:r>
      <w:r w:rsidRPr="009E68DA">
        <w:t>Osawa, Hirotaka, et al. "Visions of Artificial Intelligence and Robots in Science Fiction: a computational analysis." </w:t>
      </w:r>
      <w:r w:rsidRPr="009E68DA">
        <w:rPr>
          <w:i/>
          <w:iCs/>
        </w:rPr>
        <w:t>International Journal of Social Robotics</w:t>
      </w:r>
      <w:r w:rsidRPr="009E68DA">
        <w:t> 14.10 (2022): 2123-2133</w:t>
      </w:r>
      <w:r>
        <w:t xml:space="preserve">; </w:t>
      </w:r>
      <w:r w:rsidRPr="009E68DA">
        <w:t>Hermann, Isabella. "Artificial intelligence in fiction: between narratives and metaphors." </w:t>
      </w:r>
      <w:r w:rsidRPr="009E68DA">
        <w:rPr>
          <w:i/>
          <w:iCs/>
        </w:rPr>
        <w:t>AI &amp; society</w:t>
      </w:r>
      <w:r w:rsidRPr="009E68DA">
        <w:t> 38.1 (2023): 319-329.</w:t>
      </w:r>
    </w:p>
  </w:footnote>
  <w:footnote w:id="15">
    <w:p w14:paraId="44AFA728" w14:textId="77777777" w:rsidR="00F23189" w:rsidRDefault="00F23189" w:rsidP="00F23189">
      <w:pPr>
        <w:pStyle w:val="FootnoteText"/>
      </w:pPr>
      <w:r>
        <w:rPr>
          <w:rStyle w:val="FootnoteReference"/>
        </w:rPr>
        <w:footnoteRef/>
      </w:r>
      <w:r>
        <w:t xml:space="preserve"> </w:t>
      </w:r>
      <w:bookmarkStart w:id="0" w:name="_Hlk214301679"/>
      <w:r w:rsidRPr="002D082A">
        <w:t>See Schafer for a discussion on Rules v Standards. Schäfer, Hans-Bernd. "Legal rules and standards." </w:t>
      </w:r>
      <w:r w:rsidRPr="002D082A">
        <w:rPr>
          <w:i/>
          <w:iCs/>
        </w:rPr>
        <w:t>The Encyclopedia of Public Choice</w:t>
      </w:r>
      <w:r w:rsidRPr="002D082A">
        <w:t>. Boston, MA: Springer US, 2004. 671-674.</w:t>
      </w:r>
      <w:bookmarkEnd w:id="0"/>
    </w:p>
    <w:p w14:paraId="21AC88FE" w14:textId="77777777" w:rsidR="00F23189" w:rsidRPr="002D082A" w:rsidRDefault="00F23189" w:rsidP="00F23189">
      <w:pPr>
        <w:pStyle w:val="FootnoteText"/>
        <w:rPr>
          <w:highlight w:val="yellow"/>
        </w:rPr>
      </w:pPr>
      <w:r w:rsidRPr="002D082A">
        <w:t>See Van Dam on uncertainty aversion and legal culture. Van Dam, C. C. "European tort law and the many cultures of Europe." Thomas Wilhelmsson (ed.), Private Law and the Cultures of Europe, pp. 53–76. 2007, Kluwer Law International BV, The Netherlands</w:t>
      </w:r>
      <w:r>
        <w:t>.</w:t>
      </w:r>
    </w:p>
  </w:footnote>
  <w:footnote w:id="16">
    <w:p w14:paraId="73103B7B" w14:textId="77777777" w:rsidR="00F23189" w:rsidRDefault="00F23189" w:rsidP="00F23189">
      <w:pPr>
        <w:pStyle w:val="FootnoteText"/>
      </w:pPr>
      <w:r>
        <w:rPr>
          <w:rStyle w:val="FootnoteReference"/>
        </w:rPr>
        <w:footnoteRef/>
      </w:r>
      <w:r>
        <w:t xml:space="preserve"> </w:t>
      </w:r>
      <w:r w:rsidRPr="002D082A">
        <w:t>See Schafer for a discussion on Rules v Standards. Schäfer, Hans-Bernd. "Legal rules and standards." </w:t>
      </w:r>
      <w:r w:rsidRPr="002D082A">
        <w:rPr>
          <w:i/>
          <w:iCs/>
        </w:rPr>
        <w:t>The Encyclopedia of Public Choice</w:t>
      </w:r>
      <w:r w:rsidRPr="002D082A">
        <w:t>. Boston, MA: Springer US, 2004. 671-674</w:t>
      </w:r>
    </w:p>
    <w:p w14:paraId="50C6DB43" w14:textId="77777777" w:rsidR="00F23189" w:rsidRDefault="00F23189" w:rsidP="00F23189">
      <w:pPr>
        <w:pStyle w:val="FootnoteText"/>
      </w:pPr>
      <w:r w:rsidRPr="002D082A">
        <w:t xml:space="preserve">See Van Dam on </w:t>
      </w:r>
      <w:r>
        <w:t>uncertainty</w:t>
      </w:r>
      <w:r w:rsidRPr="002D082A">
        <w:t xml:space="preserve"> aversion and legal culture. Van Dam, C. C. "European tort law and the many cultures of Europe." Thomas Wilhelmsson (ed.), Private Law and the Cultures of Europe, pp. 53–76. 2007, Kluwer Law International BV, The Netherlands</w:t>
      </w:r>
      <w:r>
        <w:t>.</w:t>
      </w:r>
    </w:p>
  </w:footnote>
  <w:footnote w:id="17">
    <w:p w14:paraId="7EEF59CF" w14:textId="68B5D08A" w:rsidR="004567AF" w:rsidRDefault="004567AF">
      <w:pPr>
        <w:pStyle w:val="FootnoteText"/>
      </w:pPr>
      <w:r>
        <w:rPr>
          <w:rStyle w:val="FootnoteReference"/>
        </w:rPr>
        <w:footnoteRef/>
      </w:r>
      <w:r>
        <w:t xml:space="preserve"> </w:t>
      </w:r>
      <w:r w:rsidRPr="004567AF">
        <w:t>Kovac, Mitja. "Autonomous Artificial Intelligence and Uncontemplated Hazards: Towards the Optimal Regulatory Framework." European Journal of Risk Regulation 13.1 (2022): 94-113.</w:t>
      </w:r>
      <w:r>
        <w:t xml:space="preserve"> Citing to: </w:t>
      </w:r>
      <w:r w:rsidRPr="004567AF">
        <w:t>S Shavell, “Liability for harm versus regulation of safety” (1984) 13(2) Journal of Legal Studies 357–74.</w:t>
      </w:r>
    </w:p>
  </w:footnote>
  <w:footnote w:id="18">
    <w:p w14:paraId="63D13837" w14:textId="5104107F" w:rsidR="008C7261" w:rsidRDefault="008C7261">
      <w:pPr>
        <w:pStyle w:val="FootnoteText"/>
      </w:pPr>
      <w:r>
        <w:rPr>
          <w:rStyle w:val="FootnoteReference"/>
        </w:rPr>
        <w:footnoteRef/>
      </w:r>
      <w:r>
        <w:t xml:space="preserve"> </w:t>
      </w:r>
      <w:r w:rsidRPr="008C7261">
        <w:t>Ogus, Anthony. "Regulatory institutions and structures." Annals of Public and Cooperative Economics 73.4 (2002): 627-648.</w:t>
      </w:r>
    </w:p>
  </w:footnote>
  <w:footnote w:id="19">
    <w:p w14:paraId="4B62870E" w14:textId="2C1F3654" w:rsidR="008C7261" w:rsidRDefault="008C7261">
      <w:pPr>
        <w:pStyle w:val="FootnoteText"/>
      </w:pPr>
      <w:r>
        <w:rPr>
          <w:rStyle w:val="FootnoteReference"/>
        </w:rPr>
        <w:footnoteRef/>
      </w:r>
      <w:r>
        <w:t xml:space="preserve"> According to Ogus “private law remedies exist, capable of solving the problem” of economic and non-economic market failures. However, “[t]he chief problem afflicting private law is that of transaction costs. Rationally, individuals and firms will only seek to enforce rights where the expected benefits exceed the expected costs, which include not only legal expenses but also time and trouble.” </w:t>
      </w:r>
      <w:r w:rsidRPr="008C7261">
        <w:t>Ogus, Anthony. "Regulatory institutions and structures." Annals of Public and Cooperative Economics 73.4 (2002): 627-648.</w:t>
      </w:r>
    </w:p>
  </w:footnote>
  <w:footnote w:id="20">
    <w:p w14:paraId="52F73EF4" w14:textId="250673BA" w:rsidR="00677B42" w:rsidRDefault="00677B42">
      <w:pPr>
        <w:pStyle w:val="FootnoteText"/>
      </w:pPr>
      <w:r>
        <w:rPr>
          <w:rStyle w:val="FootnoteReference"/>
        </w:rPr>
        <w:footnoteRef/>
      </w:r>
      <w:r>
        <w:t xml:space="preserve"> </w:t>
      </w:r>
      <w:r w:rsidR="009E68DA">
        <w:t xml:space="preserve">See: </w:t>
      </w:r>
      <w:r w:rsidR="009E68DA" w:rsidRPr="009E68DA">
        <w:t>Gladwin, Oscar. "Regulating AI-Driven Markets: Antitrust Strategies for Tackling Data Monopolies." (2024).</w:t>
      </w:r>
    </w:p>
  </w:footnote>
  <w:footnote w:id="21">
    <w:p w14:paraId="5ABC1CD7" w14:textId="1E45A8F9" w:rsidR="00677B42" w:rsidRDefault="00677B42">
      <w:pPr>
        <w:pStyle w:val="FootnoteText"/>
      </w:pPr>
      <w:r>
        <w:rPr>
          <w:rStyle w:val="FootnoteReference"/>
        </w:rPr>
        <w:footnoteRef/>
      </w:r>
      <w:r>
        <w:t xml:space="preserve"> </w:t>
      </w:r>
      <w:r w:rsidR="009E68DA">
        <w:t xml:space="preserve">See: </w:t>
      </w:r>
      <w:proofErr w:type="spellStart"/>
      <w:r w:rsidR="009E68DA" w:rsidRPr="00114240">
        <w:t>Marwala</w:t>
      </w:r>
      <w:proofErr w:type="spellEnd"/>
      <w:r w:rsidR="009E68DA" w:rsidRPr="00114240">
        <w:t>, Tshilidzi, and Evan Hurwitz. "Information asymmetry." </w:t>
      </w:r>
      <w:r w:rsidR="009E68DA" w:rsidRPr="00114240">
        <w:rPr>
          <w:i/>
          <w:iCs/>
        </w:rPr>
        <w:t>Artificial Intelligence and Economic Theory: Skynet in the Market</w:t>
      </w:r>
      <w:r w:rsidR="009E68DA" w:rsidRPr="00114240">
        <w:t>. Cham: Springer International Publishing, 2017. 63-74.</w:t>
      </w:r>
    </w:p>
  </w:footnote>
  <w:footnote w:id="22">
    <w:p w14:paraId="6DA21644" w14:textId="3EA5EE53" w:rsidR="00677B42" w:rsidRDefault="00677B42">
      <w:pPr>
        <w:pStyle w:val="FootnoteText"/>
      </w:pPr>
      <w:r>
        <w:rPr>
          <w:rStyle w:val="FootnoteReference"/>
        </w:rPr>
        <w:footnoteRef/>
      </w:r>
      <w:r>
        <w:t xml:space="preserve"> </w:t>
      </w:r>
      <w:r w:rsidR="00E1269F">
        <w:t>See:</w:t>
      </w:r>
      <w:r w:rsidR="00E1269F" w:rsidRPr="00E1269F">
        <w:rPr>
          <w:rFonts w:ascii="Arial" w:hAnsi="Arial" w:cs="Arial"/>
          <w:color w:val="222222"/>
          <w:shd w:val="clear" w:color="auto" w:fill="FFFFFF"/>
        </w:rPr>
        <w:t xml:space="preserve"> </w:t>
      </w:r>
      <w:r w:rsidR="00E1269F" w:rsidRPr="00E1269F">
        <w:t>Sunstein, Cass R. "AI, reducing internalities and externalities." (2024)</w:t>
      </w:r>
      <w:r w:rsidR="00E1269F">
        <w:t xml:space="preserve">; </w:t>
      </w:r>
      <w:r w:rsidR="00E1269F" w:rsidRPr="00E1269F">
        <w:t>Acemoglu, Daron. </w:t>
      </w:r>
      <w:r w:rsidR="00E1269F" w:rsidRPr="00E1269F">
        <w:rPr>
          <w:i/>
          <w:iCs/>
        </w:rPr>
        <w:t>Harms of AI</w:t>
      </w:r>
      <w:r w:rsidR="00E1269F" w:rsidRPr="00E1269F">
        <w:t>. No. w29247. National Bureau of Economic Research, 2021.</w:t>
      </w:r>
    </w:p>
  </w:footnote>
  <w:footnote w:id="23">
    <w:p w14:paraId="0EC406B8" w14:textId="2A06202D" w:rsidR="00677B42" w:rsidRDefault="00677B42">
      <w:pPr>
        <w:pStyle w:val="FootnoteText"/>
      </w:pPr>
      <w:r>
        <w:rPr>
          <w:rStyle w:val="FootnoteReference"/>
        </w:rPr>
        <w:footnoteRef/>
      </w:r>
      <w:r>
        <w:t xml:space="preserve"> </w:t>
      </w:r>
      <w:r w:rsidR="00114240">
        <w:t>See:</w:t>
      </w:r>
      <w:r w:rsidR="00114240" w:rsidRPr="00114240">
        <w:rPr>
          <w:rFonts w:ascii="Arial" w:hAnsi="Arial" w:cs="Arial"/>
          <w:color w:val="222222"/>
          <w:shd w:val="clear" w:color="auto" w:fill="FFFFFF"/>
        </w:rPr>
        <w:t xml:space="preserve"> </w:t>
      </w:r>
      <w:proofErr w:type="spellStart"/>
      <w:r w:rsidR="00114240" w:rsidRPr="00114240">
        <w:t>Borgogno</w:t>
      </w:r>
      <w:proofErr w:type="spellEnd"/>
      <w:r w:rsidR="00114240" w:rsidRPr="00114240">
        <w:t>, Oscar, and Alessandra Perrazzelli. "From principles to practice: The case for coordinated international LLMs supervision." </w:t>
      </w:r>
      <w:r w:rsidR="00114240" w:rsidRPr="00114240">
        <w:rPr>
          <w:i/>
          <w:iCs/>
        </w:rPr>
        <w:t>Cambridge Forum on AI: Law and Governance</w:t>
      </w:r>
      <w:r w:rsidR="00114240" w:rsidRPr="00114240">
        <w:t>. Vol. 1. Cambridge University Press, 2025.</w:t>
      </w:r>
      <w:r w:rsidR="00114240">
        <w:t xml:space="preserve"> </w:t>
      </w:r>
      <w:r>
        <w:t xml:space="preserve"> </w:t>
      </w:r>
    </w:p>
  </w:footnote>
  <w:footnote w:id="24">
    <w:p w14:paraId="19A4BDA2" w14:textId="1145364D" w:rsidR="00114240" w:rsidRDefault="00677B42" w:rsidP="00677B42">
      <w:pPr>
        <w:pStyle w:val="FootnoteText"/>
      </w:pPr>
      <w:r>
        <w:rPr>
          <w:rStyle w:val="FootnoteReference"/>
        </w:rPr>
        <w:footnoteRef/>
      </w:r>
      <w:r>
        <w:t xml:space="preserve"> </w:t>
      </w:r>
      <w:r w:rsidR="00AF4144">
        <w:t>For a comparative law and economic analysis of the use of arbitration for tort claims in the US and EU, s</w:t>
      </w:r>
      <w:r w:rsidR="00114240">
        <w:t xml:space="preserve">ee: </w:t>
      </w:r>
      <w:r w:rsidR="00114240" w:rsidRPr="00114240">
        <w:t>Aubrecht, Paul Daniel. </w:t>
      </w:r>
      <w:r w:rsidR="00114240" w:rsidRPr="00114240">
        <w:rPr>
          <w:i/>
          <w:iCs/>
        </w:rPr>
        <w:t>Ex ante Contracts to Arbitrate Tort Claims A law and economics perspective</w:t>
      </w:r>
      <w:r w:rsidR="00114240" w:rsidRPr="00114240">
        <w:t xml:space="preserve">. Diss. Staats-und </w:t>
      </w:r>
      <w:proofErr w:type="spellStart"/>
      <w:r w:rsidR="00114240" w:rsidRPr="00114240">
        <w:t>Universitätsbibliothek</w:t>
      </w:r>
      <w:proofErr w:type="spellEnd"/>
      <w:r w:rsidR="00114240" w:rsidRPr="00114240">
        <w:t xml:space="preserve"> Hamburg Carl von Ossietzky, 2024.</w:t>
      </w:r>
    </w:p>
    <w:p w14:paraId="7CB14DA5" w14:textId="77777777" w:rsidR="00AF4144" w:rsidRDefault="00AF4144" w:rsidP="00677B42">
      <w:pPr>
        <w:pStyle w:val="FootnoteText"/>
      </w:pPr>
    </w:p>
    <w:p w14:paraId="7F362DFB" w14:textId="2740D17C" w:rsidR="00114240" w:rsidRDefault="00114240" w:rsidP="00677B42">
      <w:pPr>
        <w:pStyle w:val="FootnoteText"/>
      </w:pPr>
      <w:r>
        <w:t xml:space="preserve">OpenAI Arbitration Agreement: </w:t>
      </w:r>
      <w:r w:rsidR="00677B42">
        <w:t xml:space="preserve">The following agreement is found in chatGPT’s terms of service. </w:t>
      </w:r>
    </w:p>
    <w:p w14:paraId="1904C7CB" w14:textId="7F83D2AD" w:rsidR="00677B42" w:rsidRPr="00677B42" w:rsidRDefault="00677B42" w:rsidP="00677B42">
      <w:pPr>
        <w:pStyle w:val="FootnoteText"/>
        <w:rPr>
          <w:b/>
          <w:bCs/>
        </w:rPr>
      </w:pPr>
      <w:r>
        <w:t>“</w:t>
      </w:r>
      <w:r w:rsidRPr="00677B42">
        <w:rPr>
          <w:b/>
          <w:bCs/>
        </w:rPr>
        <w:t>Dispute Resolution / Arbitration Clause</w:t>
      </w:r>
    </w:p>
    <w:p w14:paraId="67716B32" w14:textId="77777777" w:rsidR="00677B42" w:rsidRPr="00677B42" w:rsidRDefault="00677B42" w:rsidP="00114240">
      <w:pPr>
        <w:pStyle w:val="FootnoteText"/>
        <w:ind w:left="720" w:right="720"/>
      </w:pPr>
      <w:r w:rsidRPr="00677B42">
        <w:t>You and OpenAI agree to the following mandatory arbitration and class action waiver provisions:</w:t>
      </w:r>
    </w:p>
    <w:p w14:paraId="052A3CB4" w14:textId="77777777" w:rsidR="00677B42" w:rsidRPr="00677B42" w:rsidRDefault="00677B42" w:rsidP="00114240">
      <w:pPr>
        <w:pStyle w:val="FootnoteText"/>
        <w:numPr>
          <w:ilvl w:val="0"/>
          <w:numId w:val="10"/>
        </w:numPr>
        <w:ind w:right="720"/>
      </w:pPr>
      <w:r w:rsidRPr="00677B42">
        <w:rPr>
          <w:b/>
          <w:bCs/>
        </w:rPr>
        <w:t>Mandatory Arbitration.</w:t>
      </w:r>
      <w:r w:rsidRPr="00677B42">
        <w:t xml:space="preserve"> You and OpenAI agree to resolve any claims arising out of or relating to these Terms or our Services, regardless of when the claim arose, even if it was before these Terms existed (a “Dispute”), through final and binding arbitration. </w:t>
      </w:r>
      <w:hyperlink r:id="rId3" w:tgtFrame="_blank" w:history="1">
        <w:r w:rsidRPr="00677B42">
          <w:rPr>
            <w:rStyle w:val="Hyperlink"/>
          </w:rPr>
          <w:t>OpenAI</w:t>
        </w:r>
      </w:hyperlink>
    </w:p>
    <w:p w14:paraId="40676935" w14:textId="77777777" w:rsidR="00677B42" w:rsidRPr="00677B42" w:rsidRDefault="00677B42" w:rsidP="00114240">
      <w:pPr>
        <w:pStyle w:val="FootnoteText"/>
        <w:numPr>
          <w:ilvl w:val="0"/>
          <w:numId w:val="10"/>
        </w:numPr>
        <w:ind w:right="720"/>
      </w:pPr>
      <w:r w:rsidRPr="00677B42">
        <w:rPr>
          <w:b/>
          <w:bCs/>
        </w:rPr>
        <w:t>Opt-out.</w:t>
      </w:r>
      <w:r w:rsidRPr="00677B42">
        <w:t xml:space="preserve"> You may opt out of arbitration within 30 days of account creation or of any updates to these arbitration terms within 30 days after the update has taken effect by filling out an opt-out form. </w:t>
      </w:r>
      <w:hyperlink r:id="rId4" w:tgtFrame="_blank" w:history="1">
        <w:r w:rsidRPr="00677B42">
          <w:rPr>
            <w:rStyle w:val="Hyperlink"/>
          </w:rPr>
          <w:t>OpenAI</w:t>
        </w:r>
      </w:hyperlink>
    </w:p>
    <w:p w14:paraId="5A3BE959" w14:textId="77777777" w:rsidR="00677B42" w:rsidRPr="00677B42" w:rsidRDefault="00677B42" w:rsidP="00114240">
      <w:pPr>
        <w:pStyle w:val="FootnoteText"/>
        <w:numPr>
          <w:ilvl w:val="0"/>
          <w:numId w:val="10"/>
        </w:numPr>
        <w:ind w:right="720"/>
      </w:pPr>
      <w:r w:rsidRPr="00677B42">
        <w:rPr>
          <w:b/>
          <w:bCs/>
        </w:rPr>
        <w:t>Informal Dispute Resolution.</w:t>
      </w:r>
      <w:r w:rsidRPr="00677B42">
        <w:t xml:space="preserve"> Before either party files a claim, they agree to try to resolve it informally: You must send notice through the provided form. OpenAI will send notice to your account email address. If no resolution in 60 days, either party may initiate arbitration. </w:t>
      </w:r>
      <w:hyperlink r:id="rId5" w:tgtFrame="_blank" w:history="1">
        <w:r w:rsidRPr="00677B42">
          <w:rPr>
            <w:rStyle w:val="Hyperlink"/>
          </w:rPr>
          <w:t>OpenAI</w:t>
        </w:r>
      </w:hyperlink>
    </w:p>
    <w:p w14:paraId="4773E608" w14:textId="77777777" w:rsidR="00677B42" w:rsidRPr="00677B42" w:rsidRDefault="00677B42" w:rsidP="00114240">
      <w:pPr>
        <w:pStyle w:val="FootnoteText"/>
        <w:numPr>
          <w:ilvl w:val="0"/>
          <w:numId w:val="10"/>
        </w:numPr>
        <w:ind w:right="720"/>
      </w:pPr>
      <w:r w:rsidRPr="00677B42">
        <w:rPr>
          <w:b/>
          <w:bCs/>
        </w:rPr>
        <w:t>Arbitration Forum &amp; Process.</w:t>
      </w:r>
      <w:r w:rsidRPr="00677B42">
        <w:t xml:space="preserve"> Arbitration will be conducted with National Arbitration and Mediation (“NAM”) under its rules. The arbitrator is generally a retired judge or attorney licensed in California. The arbitration will be via videoconference unless an in-person hearing is required in the county where you reside or as determined by the arbitrator. </w:t>
      </w:r>
      <w:hyperlink r:id="rId6" w:tgtFrame="_blank" w:history="1">
        <w:r w:rsidRPr="00677B42">
          <w:rPr>
            <w:rStyle w:val="Hyperlink"/>
          </w:rPr>
          <w:t>OpenAI</w:t>
        </w:r>
      </w:hyperlink>
    </w:p>
    <w:p w14:paraId="444C8D8F" w14:textId="77777777" w:rsidR="00677B42" w:rsidRPr="00677B42" w:rsidRDefault="00677B42" w:rsidP="00114240">
      <w:pPr>
        <w:pStyle w:val="FootnoteText"/>
        <w:numPr>
          <w:ilvl w:val="0"/>
          <w:numId w:val="10"/>
        </w:numPr>
        <w:ind w:right="720"/>
      </w:pPr>
      <w:r w:rsidRPr="00677B42">
        <w:rPr>
          <w:b/>
          <w:bCs/>
        </w:rPr>
        <w:t>No Class Actions / Batch Arbitration.</w:t>
      </w:r>
    </w:p>
    <w:p w14:paraId="47DF79D2" w14:textId="77777777" w:rsidR="00677B42" w:rsidRPr="00677B42" w:rsidRDefault="00677B42" w:rsidP="00114240">
      <w:pPr>
        <w:pStyle w:val="FootnoteText"/>
        <w:numPr>
          <w:ilvl w:val="1"/>
          <w:numId w:val="10"/>
        </w:numPr>
        <w:ind w:left="720" w:right="720"/>
      </w:pPr>
      <w:r w:rsidRPr="00677B42">
        <w:t xml:space="preserve">Disputes must be brought on an individual basis only. You and OpenAI waive any right to trial by jury in any action, proceeding or counterclaim. </w:t>
      </w:r>
      <w:hyperlink r:id="rId7" w:tgtFrame="_blank" w:history="1">
        <w:r w:rsidRPr="00677B42">
          <w:rPr>
            <w:rStyle w:val="Hyperlink"/>
          </w:rPr>
          <w:t>OpenAI</w:t>
        </w:r>
      </w:hyperlink>
    </w:p>
    <w:p w14:paraId="63514315" w14:textId="77777777" w:rsidR="00677B42" w:rsidRPr="00677B42" w:rsidRDefault="00677B42" w:rsidP="00114240">
      <w:pPr>
        <w:pStyle w:val="FootnoteText"/>
        <w:numPr>
          <w:ilvl w:val="1"/>
          <w:numId w:val="10"/>
        </w:numPr>
        <w:ind w:left="720" w:right="720"/>
      </w:pPr>
      <w:r w:rsidRPr="00677B42">
        <w:t xml:space="preserve">If 25 or more claimants with similar claims file arbitration demands within 90 days, NAM will administer them in “Batches” of up to 50 claimants, with one arbitrator and one hearing by videoconference or another location as the arbitrator decides. </w:t>
      </w:r>
      <w:hyperlink r:id="rId8" w:tgtFrame="_blank" w:history="1">
        <w:r w:rsidRPr="00677B42">
          <w:rPr>
            <w:rStyle w:val="Hyperlink"/>
          </w:rPr>
          <w:t>OpenAI</w:t>
        </w:r>
      </w:hyperlink>
    </w:p>
    <w:p w14:paraId="3F1BAB22" w14:textId="570B178C" w:rsidR="00677B42" w:rsidRDefault="00677B42" w:rsidP="00114240">
      <w:pPr>
        <w:pStyle w:val="FootnoteText"/>
        <w:numPr>
          <w:ilvl w:val="0"/>
          <w:numId w:val="10"/>
        </w:numPr>
        <w:ind w:right="720"/>
      </w:pPr>
      <w:r w:rsidRPr="00677B42">
        <w:rPr>
          <w:b/>
          <w:bCs/>
        </w:rPr>
        <w:t>Severability.</w:t>
      </w:r>
      <w:r w:rsidRPr="00677B42">
        <w:t xml:space="preserve"> If any part of the arbitration terms is found to be illegal or unenforceable, the rest shall remain in effect — except if the invalidity would allow class or representative arbitration, then the entire dispute resolution section becomes unenforceable.</w:t>
      </w:r>
      <w:r>
        <w:t>”</w:t>
      </w:r>
      <w:r w:rsidRPr="00677B42">
        <w:t xml:space="preserve"> </w:t>
      </w:r>
    </w:p>
  </w:footnote>
  <w:footnote w:id="25">
    <w:p w14:paraId="0A9DCC2B" w14:textId="1A192C85" w:rsidR="007A3F06" w:rsidRDefault="007A3F06">
      <w:pPr>
        <w:pStyle w:val="FootnoteText"/>
      </w:pPr>
      <w:r>
        <w:rPr>
          <w:rStyle w:val="FootnoteReference"/>
        </w:rPr>
        <w:footnoteRef/>
      </w:r>
      <w:r>
        <w:t xml:space="preserve"> </w:t>
      </w:r>
      <w:r w:rsidRPr="007A3F06">
        <w:t>Weiser, Philip J. "Regulatory Challenges and Models of Regulation." J. on Telecomm. &amp; High Tech. L. 2 (2003): 1.</w:t>
      </w:r>
    </w:p>
  </w:footnote>
  <w:footnote w:id="26">
    <w:p w14:paraId="03753A71" w14:textId="5211CC17" w:rsidR="007A3F06" w:rsidRDefault="007A3F06">
      <w:pPr>
        <w:pStyle w:val="FootnoteText"/>
      </w:pPr>
      <w:r>
        <w:rPr>
          <w:rStyle w:val="FootnoteReference"/>
        </w:rPr>
        <w:footnoteRef/>
      </w:r>
      <w:r>
        <w:t xml:space="preserve"> </w:t>
      </w:r>
      <w:r w:rsidRPr="007A3F06">
        <w:t xml:space="preserve">Weiser, Philip J. "Regulatory Challenges and Models of Regulation." J. on Telecomm. &amp; High Tech. L. 2 (2003): </w:t>
      </w:r>
      <w:r>
        <w:t>2.</w:t>
      </w:r>
    </w:p>
  </w:footnote>
  <w:footnote w:id="27">
    <w:p w14:paraId="6E135F26" w14:textId="7876B2BD" w:rsidR="007A3F06" w:rsidRDefault="007A3F06">
      <w:pPr>
        <w:pStyle w:val="FootnoteText"/>
      </w:pPr>
      <w:r>
        <w:rPr>
          <w:rStyle w:val="FootnoteReference"/>
        </w:rPr>
        <w:footnoteRef/>
      </w:r>
      <w:r>
        <w:t xml:space="preserve"> </w:t>
      </w:r>
      <w:r w:rsidRPr="007A3F06">
        <w:t xml:space="preserve">Weiser, Philip J. "Regulatory Challenges and Models of Regulation." J. on Telecomm. &amp; High Tech. L. 2 (2003): </w:t>
      </w:r>
      <w:r>
        <w:t xml:space="preserve">2. </w:t>
      </w:r>
    </w:p>
  </w:footnote>
  <w:footnote w:id="28">
    <w:p w14:paraId="21990E33" w14:textId="787FC670" w:rsidR="007A3F06" w:rsidRDefault="007A3F06">
      <w:pPr>
        <w:pStyle w:val="FootnoteText"/>
      </w:pPr>
      <w:r>
        <w:rPr>
          <w:rStyle w:val="FootnoteReference"/>
        </w:rPr>
        <w:footnoteRef/>
      </w:r>
      <w:r>
        <w:t xml:space="preserve"> </w:t>
      </w:r>
      <w:r w:rsidRPr="007A3F06">
        <w:t xml:space="preserve">Weiser, Philip J. "Regulatory Challenges and Models of Regulation." J. on Telecomm. &amp; High Tech. L. 2 (2003): </w:t>
      </w:r>
      <w:r>
        <w:t>2.</w:t>
      </w:r>
    </w:p>
  </w:footnote>
  <w:footnote w:id="29">
    <w:p w14:paraId="37997A69" w14:textId="66F8947B" w:rsidR="00C34730" w:rsidRDefault="00C34730">
      <w:pPr>
        <w:pStyle w:val="FootnoteText"/>
      </w:pPr>
      <w:r>
        <w:rPr>
          <w:rStyle w:val="FootnoteReference"/>
        </w:rPr>
        <w:footnoteRef/>
      </w:r>
      <w:r>
        <w:t xml:space="preserve"> </w:t>
      </w:r>
      <w:r w:rsidRPr="00C34730">
        <w:t xml:space="preserve">Weiser, Philip J. "Regulatory Challenges and Models of Regulation." J. on Telecomm. &amp; High Tech. L. 2 (2003): </w:t>
      </w:r>
      <w:r>
        <w:t xml:space="preserve">2. </w:t>
      </w:r>
    </w:p>
  </w:footnote>
  <w:footnote w:id="30">
    <w:p w14:paraId="7A20DE04" w14:textId="3F470D58" w:rsidR="00C34730" w:rsidRDefault="00C34730">
      <w:pPr>
        <w:pStyle w:val="FootnoteText"/>
      </w:pPr>
      <w:r>
        <w:rPr>
          <w:rStyle w:val="FootnoteReference"/>
        </w:rPr>
        <w:footnoteRef/>
      </w:r>
      <w:r>
        <w:t xml:space="preserve"> </w:t>
      </w:r>
    </w:p>
  </w:footnote>
  <w:footnote w:id="31">
    <w:p w14:paraId="2DC32041" w14:textId="279B3D59" w:rsidR="00997C39" w:rsidRDefault="00997C39">
      <w:pPr>
        <w:pStyle w:val="FootnoteText"/>
      </w:pPr>
      <w:r>
        <w:rPr>
          <w:rStyle w:val="FootnoteReference"/>
        </w:rPr>
        <w:footnoteRef/>
      </w:r>
      <w:r>
        <w:t xml:space="preserve"> </w:t>
      </w:r>
      <w:r w:rsidRPr="00997C39">
        <w:t>15 U.S.C.A. § 9401</w:t>
      </w:r>
    </w:p>
  </w:footnote>
  <w:footnote w:id="32">
    <w:p w14:paraId="10C6E329" w14:textId="042D6285" w:rsidR="00662D60" w:rsidRDefault="00662D60" w:rsidP="00662D60">
      <w:pPr>
        <w:pStyle w:val="FootnoteText"/>
      </w:pPr>
      <w:r>
        <w:rPr>
          <w:rStyle w:val="FootnoteReference"/>
        </w:rPr>
        <w:footnoteRef/>
      </w:r>
      <w:r>
        <w:t xml:space="preserve"> </w:t>
      </w:r>
      <w:bookmarkStart w:id="2" w:name="_Hlk212051556"/>
      <w:r>
        <w:t>“Regulating Artificial Intelligence: U.S. and International Approaches and Considerations for Congress” Congressional Research Service, Laurie Harris, June 4, 2025.</w:t>
      </w:r>
      <w:bookmarkEnd w:id="2"/>
      <w:r w:rsidR="00661C89">
        <w:t xml:space="preserve"> P. 4. </w:t>
      </w:r>
    </w:p>
  </w:footnote>
  <w:footnote w:id="33">
    <w:p w14:paraId="740D56D2" w14:textId="51B8D5E7" w:rsidR="00662D60" w:rsidRDefault="00662D60">
      <w:pPr>
        <w:pStyle w:val="FootnoteText"/>
      </w:pPr>
      <w:r>
        <w:rPr>
          <w:rStyle w:val="FootnoteReference"/>
        </w:rPr>
        <w:footnoteRef/>
      </w:r>
      <w:r>
        <w:t xml:space="preserve"> </w:t>
      </w:r>
      <w:r w:rsidRPr="00662D60">
        <w:t>15 U.S.C.A. § 9411</w:t>
      </w:r>
    </w:p>
  </w:footnote>
  <w:footnote w:id="34">
    <w:p w14:paraId="2638379D" w14:textId="25821D70" w:rsidR="00601F9F" w:rsidRDefault="00601F9F" w:rsidP="00601F9F">
      <w:pPr>
        <w:pStyle w:val="FootnoteText"/>
      </w:pPr>
      <w:r>
        <w:rPr>
          <w:rStyle w:val="FootnoteReference"/>
        </w:rPr>
        <w:footnoteRef/>
      </w:r>
      <w:r>
        <w:t xml:space="preserve"> Under the NAIIA the President  “shall carry out activities” including:  “(1) Sustained and consistent support for artificial intelligence research and development through grants, cooperative agreements, testbeds, and access to data and computing resources. (2) Support for K-12 education and postsecondary educational programs, including workforce training and career and technical education programs, and informal education programs to prepare the American workforce and the general public to be able to create, use, and interact with artificial intelligence systems. (3) Support for interdisciplinary research, education, and workforce training programs for students and researchers that promote learning in the methods and systems used in artificial intelligence and foster interdisciplinary perspectives and collaborations among subject matter experts in relevant fields, including computer science, mathematics, statistics, engineering, social sciences, health, psychology, behavioral science, ethics, security, legal scholarship, and other disciplines that will be necessary to advance artificial intelligence research and development responsibly. (4) Interagency planning and coordination of Federal artificial intelligence research, development, demonstration, standards engagement, and other activities under the Initiative, as appropriate. (5) Outreach to diverse stakeholders, including citizen groups, industry, and civil rights and disability rights organizations, to ensure public input is taken into account in the activities of the Initiative. (6) Leveraging existing Federal investments to advance objectives of the Initiative. (7) Support for a network of interdisciplinary artificial intelligence research institutes, as described in section 9431(b)(7)(B) of this title. (8) Support opportunities for international cooperation with strategic allies, as appropriate, on the research and development, assessment, and resources for trustworthy artificial intelligence systems.” 15 U.S.C.A. § 9411. </w:t>
      </w:r>
    </w:p>
  </w:footnote>
  <w:footnote w:id="35">
    <w:p w14:paraId="07D16EB8" w14:textId="565612E6" w:rsidR="00661C89" w:rsidRDefault="00661C89">
      <w:pPr>
        <w:pStyle w:val="FootnoteText"/>
      </w:pPr>
      <w:r>
        <w:rPr>
          <w:rStyle w:val="FootnoteReference"/>
        </w:rPr>
        <w:footnoteRef/>
      </w:r>
      <w:r>
        <w:t xml:space="preserve"> </w:t>
      </w:r>
      <w:r w:rsidRPr="00661C89">
        <w:t>“Regulating Artificial Intelligence: U.S. and International Approaches and Considerations for Congress” Congressional Research Service, Laurie Harris, June 4, 2025.</w:t>
      </w:r>
      <w:r>
        <w:t xml:space="preserve"> P. 5. </w:t>
      </w:r>
    </w:p>
  </w:footnote>
  <w:footnote w:id="36">
    <w:p w14:paraId="4702BD95" w14:textId="61BD6831" w:rsidR="00814565" w:rsidRDefault="00814565" w:rsidP="00814565">
      <w:pPr>
        <w:pStyle w:val="FootnoteText"/>
      </w:pPr>
      <w:r>
        <w:rPr>
          <w:rStyle w:val="FootnoteReference"/>
        </w:rPr>
        <w:footnoteRef/>
      </w:r>
      <w:r>
        <w:t xml:space="preserve"> Exec. Order No. 13859, Maintaining American Leadership in Artificial Intelligence, 84 FR 3967 (2019).</w:t>
      </w:r>
    </w:p>
  </w:footnote>
  <w:footnote w:id="37">
    <w:p w14:paraId="2CDA9FF4" w14:textId="7BE73B00" w:rsidR="00814565" w:rsidRDefault="00814565" w:rsidP="00814565">
      <w:pPr>
        <w:pStyle w:val="FootnoteText"/>
      </w:pPr>
      <w:r>
        <w:rPr>
          <w:rStyle w:val="FootnoteReference"/>
        </w:rPr>
        <w:footnoteRef/>
      </w:r>
      <w:r>
        <w:t xml:space="preserve"> </w:t>
      </w:r>
      <w:r w:rsidRPr="00814565">
        <w:t xml:space="preserve">Exec. Order No. </w:t>
      </w:r>
      <w:r>
        <w:t xml:space="preserve">13960, Promoting the Use of Trustworthy Artificial Intelligence in the Federal Government, 85 FR 78939 (2020). </w:t>
      </w:r>
    </w:p>
  </w:footnote>
  <w:footnote w:id="38">
    <w:p w14:paraId="31C70183" w14:textId="57779D69" w:rsidR="00593E60" w:rsidRDefault="00593E60" w:rsidP="00593E60">
      <w:pPr>
        <w:pStyle w:val="FootnoteText"/>
      </w:pPr>
      <w:r>
        <w:rPr>
          <w:rStyle w:val="FootnoteReference"/>
        </w:rPr>
        <w:footnoteRef/>
      </w:r>
      <w:r>
        <w:t xml:space="preserve"> Exec. Order No. 14110, Safe, Secure, and Trustworthy Development and Use of Artificial Intelligence, </w:t>
      </w:r>
      <w:r w:rsidRPr="00593E60">
        <w:t>88 FR 75191</w:t>
      </w:r>
      <w:r>
        <w:t xml:space="preserve"> (2023). Revoked by Exec. Order No. 14148, Initial Rescissions of Harmful Executive Orders and Actions</w:t>
      </w:r>
      <w:r w:rsidR="00703F0A">
        <w:t xml:space="preserve">, </w:t>
      </w:r>
      <w:r w:rsidRPr="00593E60">
        <w:t xml:space="preserve">90 FR 8237, </w:t>
      </w:r>
      <w:r>
        <w:t>(</w:t>
      </w:r>
      <w:r w:rsidRPr="00593E60">
        <w:t>2025</w:t>
      </w:r>
      <w:r>
        <w:t xml:space="preserve">). </w:t>
      </w:r>
    </w:p>
  </w:footnote>
  <w:footnote w:id="39">
    <w:p w14:paraId="58C1CEFC" w14:textId="626194FF" w:rsidR="00703F0A" w:rsidRDefault="00703F0A" w:rsidP="00703F0A">
      <w:pPr>
        <w:pStyle w:val="FootnoteText"/>
      </w:pPr>
      <w:r>
        <w:rPr>
          <w:rStyle w:val="FootnoteReference"/>
        </w:rPr>
        <w:footnoteRef/>
      </w:r>
      <w:r>
        <w:t xml:space="preserve"> The following statement was made with the enactment of the Recissions E.O. “Purpose and Policy. The previous administration has embedded deeply unpopular, inflationary, illegal, and radical practices within every agency and office of the Federal Government. The injection of “diversity, equity, and inclusion” (DEI) into our institutions has corrupted them by replacing hard work, merit, and equality with a divisive and dangerous preferential hierarchy. Orders to open the borders have endangered the American people and dissolved Federal, State, and local resources that should be used to benefit the American people. Climate extremism has exploded inflation and overburdened businesses with regulation. To commence the policies that will make our Nation united, fair, safe, and prosperous again, it is the policy of the United States to restore common sense to the Federal Government and unleash the potential of the American citizen. The revocations within this order will be the first of many steps the United States Federal Government will take to repair our institutions and our economy.” Exec. Order No. 14148, Initial Rescissions of Harmful Executive Orders and Actions, 90 FR 8237, (2025).</w:t>
      </w:r>
    </w:p>
  </w:footnote>
  <w:footnote w:id="40">
    <w:p w14:paraId="60C63EAB" w14:textId="4F12D788" w:rsidR="00160A33" w:rsidRDefault="00160A33" w:rsidP="00160A33">
      <w:pPr>
        <w:pStyle w:val="FootnoteText"/>
      </w:pPr>
      <w:r>
        <w:rPr>
          <w:rStyle w:val="FootnoteReference"/>
        </w:rPr>
        <w:footnoteRef/>
      </w:r>
      <w:r>
        <w:t xml:space="preserve"> Exec. Order No. 14179, Removing Barriers to American Leadership in Artificial Intelligence, </w:t>
      </w:r>
      <w:r w:rsidRPr="00160A33">
        <w:t xml:space="preserve">90 FR 8741, </w:t>
      </w:r>
      <w:r>
        <w:t>(</w:t>
      </w:r>
      <w:r w:rsidRPr="00160A33">
        <w:t>2025</w:t>
      </w:r>
      <w:r>
        <w:t xml:space="preserve">). </w:t>
      </w:r>
    </w:p>
  </w:footnote>
  <w:footnote w:id="41">
    <w:p w14:paraId="167207B8" w14:textId="2D75B052" w:rsidR="0025029F" w:rsidRDefault="0025029F">
      <w:pPr>
        <w:pStyle w:val="FootnoteText"/>
      </w:pPr>
      <w:r>
        <w:rPr>
          <w:rStyle w:val="FootnoteReference"/>
        </w:rPr>
        <w:footnoteRef/>
      </w:r>
      <w:r>
        <w:t xml:space="preserve"> </w:t>
      </w:r>
      <w:r w:rsidR="00E41C9E">
        <w:t xml:space="preserve">“Blueprint for an AI Bill of Rights: Making Automated Systems Work for the American People” </w:t>
      </w:r>
      <w:r w:rsidR="00F71374">
        <w:t xml:space="preserve">White House Office of Science and Technology Policy, October 2022. </w:t>
      </w:r>
      <w:r w:rsidR="0006766C" w:rsidRPr="0006766C">
        <w:t>https://bidenwhitehouse.archives.gov/wp-content/uploads/2022/10/Blueprint-for-an-AI-Bill-of-Rights.pdf</w:t>
      </w:r>
    </w:p>
  </w:footnote>
  <w:footnote w:id="42">
    <w:p w14:paraId="23B1F61E" w14:textId="192855E9" w:rsidR="00271462" w:rsidRDefault="00271462">
      <w:pPr>
        <w:pStyle w:val="FootnoteText"/>
      </w:pPr>
      <w:r>
        <w:rPr>
          <w:rStyle w:val="FootnoteReference"/>
        </w:rPr>
        <w:footnoteRef/>
      </w:r>
      <w:r>
        <w:t xml:space="preserve"> </w:t>
      </w:r>
      <w:r w:rsidRPr="00271462">
        <w:t>Frostestad, Heidi L. "AI Regulation in a ChatGPT Era: Cross-border Cooperation and Hope in a Sudden Storm." Indiana Journal of Global Legal Studies 32.1 (2024): p 1</w:t>
      </w:r>
      <w:r>
        <w:t>7.</w:t>
      </w:r>
    </w:p>
  </w:footnote>
  <w:footnote w:id="43">
    <w:p w14:paraId="0217276D" w14:textId="7A044750" w:rsidR="00554623" w:rsidRDefault="00554623">
      <w:pPr>
        <w:pStyle w:val="FootnoteText"/>
      </w:pPr>
      <w:r>
        <w:rPr>
          <w:rStyle w:val="FootnoteReference"/>
        </w:rPr>
        <w:footnoteRef/>
      </w:r>
      <w:r>
        <w:t xml:space="preserve"> Iafolla, Robert “Trump Seeks Lasting Deregulation by Disavowing Agency Authority.” Bloomberg Law, August 25, 2025. </w:t>
      </w:r>
      <w:r w:rsidRPr="00554623">
        <w:t>https://news.bloomberglaw.com/daily-labor-report/trump-seeks-lasting-deregulation-by-disavowing-agency-authority</w:t>
      </w:r>
      <w:r>
        <w:t>.</w:t>
      </w:r>
    </w:p>
  </w:footnote>
  <w:footnote w:id="44">
    <w:p w14:paraId="1552038B" w14:textId="7B4C8CA6" w:rsidR="00554623" w:rsidRDefault="00554623">
      <w:pPr>
        <w:pStyle w:val="FootnoteText"/>
      </w:pPr>
      <w:r>
        <w:rPr>
          <w:rStyle w:val="FootnoteReference"/>
        </w:rPr>
        <w:footnoteRef/>
      </w:r>
      <w:r>
        <w:t xml:space="preserve"> Mackowski, Martin and Pablo Carrillo and Julia Jacobson. “Trump’s AI Policy Shift Promotes US Dominane and Deregulation.” Bloomberg Law, February 26, 2025. </w:t>
      </w:r>
      <w:r w:rsidRPr="00554623">
        <w:t>https://news.bloomberglaw.com/us-law-week/trumps-ai-policy-shift-promotes-us-dominance-and-deregulation</w:t>
      </w:r>
    </w:p>
  </w:footnote>
  <w:footnote w:id="45">
    <w:p w14:paraId="5A29008C" w14:textId="6A4C95BB" w:rsidR="00554623" w:rsidRDefault="00554623">
      <w:pPr>
        <w:pStyle w:val="FootnoteText"/>
      </w:pPr>
      <w:r>
        <w:rPr>
          <w:rStyle w:val="FootnoteReference"/>
        </w:rPr>
        <w:footnoteRef/>
      </w:r>
      <w:r>
        <w:t xml:space="preserve"> </w:t>
      </w:r>
      <w:r w:rsidR="001405D7">
        <w:t>According to President Trump “</w:t>
      </w:r>
      <w:r w:rsidR="001405D7" w:rsidRPr="001405D7">
        <w:t xml:space="preserve">We also have to have a single federal standard, not 50 different states regulating this industry of the future," </w:t>
      </w:r>
      <w:r w:rsidR="001405D7">
        <w:t>and</w:t>
      </w:r>
      <w:r w:rsidR="001405D7" w:rsidRPr="001405D7">
        <w:t xml:space="preserve"> "We need one common-sense federal standard that supersedes all states, supersedes everybody, so you don't end up in litigation with 43 states at one time."</w:t>
      </w:r>
      <w:r w:rsidR="001405D7">
        <w:t xml:space="preserve"> </w:t>
      </w:r>
      <w:r w:rsidR="00F06E22" w:rsidRPr="00F06E22">
        <w:t>Shivaram, D. (2025, July 24). Trump says fewer regulations needed to win the AI race. NPR. https://www.npr.org/2025/07/23/nx-s1-5213904/trump-ai-regulations</w:t>
      </w:r>
      <w:r w:rsidR="00F06E22">
        <w:t>.</w:t>
      </w:r>
    </w:p>
  </w:footnote>
  <w:footnote w:id="46">
    <w:p w14:paraId="1777F489" w14:textId="6F732F66" w:rsidR="00882759" w:rsidRDefault="00882759" w:rsidP="00882759">
      <w:pPr>
        <w:pStyle w:val="FootnoteText"/>
      </w:pPr>
      <w:r>
        <w:rPr>
          <w:rStyle w:val="FootnoteReference"/>
        </w:rPr>
        <w:footnoteRef/>
      </w:r>
      <w:r>
        <w:t xml:space="preserve"> The unenacted draft provides that “SEC. 43201. ARTIFICIAL INTELLIGENCE AND INFORMATION TECHNOLOGY MODERNIZATION INITIATIVE.  (c) Moratorium. (1) In general.--Except as provided in paragraph (2), no State or political subdivision thereof may enforce any law or regulation regulating artificial intelligence models, artificial intelligence systems, or automated decision systems during the 10-year period beginning on the date of the enactment of this Act. (2) Rule of construction.--Paragraph (1) may not be construed to prohibit the enforcement of any law or regulation that (A) the primary purpose and effect of which is to                  remove legal impediments to, or facilitate the deployment or operation of, an artificial intelligence                 model, artificial intelligence system, or automated decision system; (B) the primary purpose and effect of which is to streamline licensing, permitting, routing, zoning, procurement, or reporting procedures in a manner that facilitates the adoption of artificial intelligence models, artificial intelligence systems, or automated decision systems; (C) does not impose any substantive design, performance, data-handling, documentation, civil liability, taxation, fee, or other requirement on artificial intelligence models, artificial intelligence systems, or automated decision systems unless such requirement (i) is imposed under Federal law; or (ii) in the case of a requirement imposed under a generally applicable law, is imposed in the same manner on models and systems, other than artificial intelligence models, artificial intelligence systems, and automated decision systems, that provide comparable functions to artificial intelligence models, artificial                         intelligence systems, or automated decision systems; and (D) does not impose a fee or bond unless (i) such fee or bond is reasonable and cost-based; and (ii) under such fee or bond, artificial intelligence models, artificial intelligence systems, and automated decision systems are treated in the same manner as other models and systems that perform comparable functions.”</w:t>
      </w:r>
    </w:p>
  </w:footnote>
  <w:footnote w:id="47">
    <w:p w14:paraId="264B0A44" w14:textId="137DFBB4" w:rsidR="003D33B5" w:rsidRDefault="003D33B5">
      <w:pPr>
        <w:pStyle w:val="FootnoteText"/>
      </w:pPr>
      <w:r>
        <w:rPr>
          <w:rStyle w:val="FootnoteReference"/>
        </w:rPr>
        <w:footnoteRef/>
      </w:r>
      <w:r>
        <w:t xml:space="preserve"> </w:t>
      </w:r>
      <w:r w:rsidRPr="003D33B5">
        <w:t xml:space="preserve">“Regulating Artificial Intelligence: U.S. and International Approaches and Considerations for Congress” Congressional Research Service, Laurie Harris, June 4, 2025. P. </w:t>
      </w:r>
      <w:r w:rsidR="002174D3">
        <w:t xml:space="preserve">10. </w:t>
      </w:r>
    </w:p>
  </w:footnote>
  <w:footnote w:id="48">
    <w:p w14:paraId="7D7D7E30" w14:textId="22BE9820" w:rsidR="00236D89" w:rsidRDefault="00236D89">
      <w:pPr>
        <w:pStyle w:val="FootnoteText"/>
      </w:pPr>
      <w:r>
        <w:rPr>
          <w:rStyle w:val="FootnoteReference"/>
        </w:rPr>
        <w:footnoteRef/>
      </w:r>
      <w:r>
        <w:t xml:space="preserve"> </w:t>
      </w:r>
      <w:r w:rsidR="007C5B95" w:rsidRPr="007C5B95">
        <w:t xml:space="preserve">Frostestad, Heidi L. "AI Regulation in a ChatGPT Era: Cross-border Cooperation and Hope in a Sudden Storm." Indiana Journal of Global Legal Studies 32.1 (2024): </w:t>
      </w:r>
      <w:r w:rsidR="00D51FF7">
        <w:t xml:space="preserve">p 18. </w:t>
      </w:r>
    </w:p>
  </w:footnote>
  <w:footnote w:id="49">
    <w:p w14:paraId="0DDC6AC9" w14:textId="6AB7238A" w:rsidR="00527CD0" w:rsidRDefault="00527CD0">
      <w:pPr>
        <w:pStyle w:val="FootnoteText"/>
      </w:pPr>
      <w:r>
        <w:rPr>
          <w:rStyle w:val="FootnoteReference"/>
        </w:rPr>
        <w:footnoteRef/>
      </w:r>
      <w:r>
        <w:t xml:space="preserve"> </w:t>
      </w:r>
      <w:r w:rsidRPr="00527CD0">
        <w:t>Wondracek, J., &amp; Wondracek, J. (2025, August 10). Coming soon: The interactive GenAI Legal Hallucination Tracker — Sneak Peek Today! - AI Law Librarians. AI Law Librarians - All Things AI Law Librarian-ish, Generative AI, and Legal Research/Education/Technology. https://www.ailawlibrarians.com/2025/08/10/coming-soon-the-interactive-genai-legal-hallucination-tracker-sneak-peek-today/</w:t>
      </w:r>
    </w:p>
  </w:footnote>
  <w:footnote w:id="50">
    <w:p w14:paraId="58B362FA" w14:textId="5315228F" w:rsidR="00527CD0" w:rsidRDefault="00527CD0" w:rsidP="001B0CD8">
      <w:pPr>
        <w:pStyle w:val="FootnoteText"/>
      </w:pPr>
      <w:r>
        <w:rPr>
          <w:rStyle w:val="FootnoteReference"/>
        </w:rPr>
        <w:footnoteRef/>
      </w:r>
      <w:r>
        <w:t xml:space="preserve"> Bloomberg Law publishes a “practical guidance”  for Federal Court Judicial Standing Orders on Artificial Intelligence. </w:t>
      </w:r>
      <w:hyperlink r:id="rId9" w:history="1">
        <w:r w:rsidR="001F6025" w:rsidRPr="007D05CD">
          <w:rPr>
            <w:rStyle w:val="Hyperlink"/>
          </w:rPr>
          <w:t>https://www.bloomberglaw.com/external/document/XCN3LDG000000/litigation-comparison-table-federal-court-judicial-standing-orde</w:t>
        </w:r>
      </w:hyperlink>
      <w:r w:rsidR="001F6025">
        <w:t xml:space="preserve">. </w:t>
      </w:r>
      <w:bookmarkStart w:id="3" w:name="_Hlk214232817"/>
      <w:r w:rsidR="006F7D1B">
        <w:t xml:space="preserve">See </w:t>
      </w:r>
      <w:bookmarkStart w:id="4" w:name="_Hlk214233439"/>
      <w:r w:rsidR="006F7D1B">
        <w:t xml:space="preserve">Appendix 1: State and Federal Court Rules Regulating the use of AI in the Legal practice. </w:t>
      </w:r>
    </w:p>
    <w:bookmarkEnd w:id="3"/>
    <w:bookmarkEnd w:id="4"/>
  </w:footnote>
  <w:footnote w:id="51">
    <w:p w14:paraId="6FB1E1AB" w14:textId="12935E01" w:rsidR="00CA7808" w:rsidRDefault="00CA7808">
      <w:pPr>
        <w:pStyle w:val="FootnoteText"/>
      </w:pPr>
      <w:r>
        <w:rPr>
          <w:rStyle w:val="FootnoteReference"/>
        </w:rPr>
        <w:footnoteRef/>
      </w:r>
      <w:r>
        <w:t xml:space="preserve"> </w:t>
      </w:r>
      <w:r w:rsidR="00142F74" w:rsidRPr="00114240">
        <w:t xml:space="preserve">California AI </w:t>
      </w:r>
      <w:r w:rsidR="00291B54" w:rsidRPr="00114240">
        <w:t>Transparency</w:t>
      </w:r>
      <w:r w:rsidR="00142F74" w:rsidRPr="00114240">
        <w:t xml:space="preserve"> Act</w:t>
      </w:r>
      <w:r w:rsidR="00291B54" w:rsidRPr="00114240">
        <w:t>, 8 Ch. 25 § 22757 et seq.</w:t>
      </w:r>
      <w:r w:rsidR="00291B54">
        <w:t xml:space="preserve"> </w:t>
      </w:r>
    </w:p>
  </w:footnote>
  <w:footnote w:id="52">
    <w:p w14:paraId="1747E79C" w14:textId="51E19778" w:rsidR="00291B54" w:rsidRDefault="00291B54">
      <w:pPr>
        <w:pStyle w:val="FootnoteText"/>
      </w:pPr>
      <w:r>
        <w:rPr>
          <w:rStyle w:val="FootnoteReference"/>
        </w:rPr>
        <w:footnoteRef/>
      </w:r>
      <w:r>
        <w:t xml:space="preserve"> § 22757.1</w:t>
      </w:r>
    </w:p>
  </w:footnote>
  <w:footnote w:id="53">
    <w:p w14:paraId="26393F79" w14:textId="792CA074" w:rsidR="004A257D" w:rsidRDefault="004A257D">
      <w:pPr>
        <w:pStyle w:val="FootnoteText"/>
      </w:pPr>
      <w:r>
        <w:rPr>
          <w:rStyle w:val="FootnoteReference"/>
        </w:rPr>
        <w:footnoteRef/>
      </w:r>
      <w:r>
        <w:t xml:space="preserve"> § 22757.1 (b), (c), (i).</w:t>
      </w:r>
    </w:p>
  </w:footnote>
  <w:footnote w:id="54">
    <w:p w14:paraId="5C25B85C" w14:textId="6B1E643C" w:rsidR="009B05AC" w:rsidRDefault="009B05AC">
      <w:pPr>
        <w:pStyle w:val="FootnoteText"/>
      </w:pPr>
      <w:r>
        <w:rPr>
          <w:rStyle w:val="FootnoteReference"/>
        </w:rPr>
        <w:footnoteRef/>
      </w:r>
      <w:r>
        <w:t xml:space="preserve"> § 22757.2 (a)</w:t>
      </w:r>
      <w:r w:rsidR="007362AA">
        <w:t xml:space="preserve">, (a)(1). </w:t>
      </w:r>
    </w:p>
  </w:footnote>
  <w:footnote w:id="55">
    <w:p w14:paraId="46DE33DA" w14:textId="476DD97D" w:rsidR="006F064F" w:rsidRDefault="006F064F">
      <w:pPr>
        <w:pStyle w:val="FootnoteText"/>
      </w:pPr>
      <w:r>
        <w:rPr>
          <w:rStyle w:val="FootnoteReference"/>
        </w:rPr>
        <w:footnoteRef/>
      </w:r>
      <w:r>
        <w:t xml:space="preserve"> § 22757</w:t>
      </w:r>
      <w:r w:rsidR="00AD6194">
        <w:t>.3, § 22757.4</w:t>
      </w:r>
    </w:p>
  </w:footnote>
  <w:footnote w:id="56">
    <w:p w14:paraId="04B32BFD" w14:textId="39BBFEC0" w:rsidR="00BB433A" w:rsidRDefault="00BB433A">
      <w:pPr>
        <w:pStyle w:val="FootnoteText"/>
      </w:pPr>
      <w:r>
        <w:rPr>
          <w:rStyle w:val="FootnoteReference"/>
        </w:rPr>
        <w:footnoteRef/>
      </w:r>
      <w:r>
        <w:t xml:space="preserve"> § 33548</w:t>
      </w:r>
    </w:p>
  </w:footnote>
  <w:footnote w:id="57">
    <w:p w14:paraId="4F4E35D2" w14:textId="65BDA5FE" w:rsidR="007473C6" w:rsidRDefault="007473C6">
      <w:pPr>
        <w:pStyle w:val="FootnoteText"/>
      </w:pPr>
      <w:r>
        <w:rPr>
          <w:rStyle w:val="FootnoteReference"/>
        </w:rPr>
        <w:footnoteRef/>
      </w:r>
      <w:r>
        <w:t xml:space="preserve"> § 11549.63</w:t>
      </w:r>
      <w:r w:rsidR="006D4351">
        <w:t>, § 11549.65, § 11549.66</w:t>
      </w:r>
    </w:p>
  </w:footnote>
  <w:footnote w:id="58">
    <w:p w14:paraId="50A10ED0" w14:textId="269F3371" w:rsidR="00B67295" w:rsidRDefault="00B67295">
      <w:pPr>
        <w:pStyle w:val="FootnoteText"/>
      </w:pPr>
      <w:r>
        <w:rPr>
          <w:rStyle w:val="FootnoteReference"/>
        </w:rPr>
        <w:footnoteRef/>
      </w:r>
      <w:r>
        <w:t xml:space="preserve"> § 84504</w:t>
      </w:r>
      <w:r w:rsidR="00276CAE">
        <w:t>, § 84514</w:t>
      </w:r>
    </w:p>
  </w:footnote>
  <w:footnote w:id="59">
    <w:p w14:paraId="2AF3740B" w14:textId="28ED6D06" w:rsidR="00555A10" w:rsidRDefault="00555A10">
      <w:pPr>
        <w:pStyle w:val="FootnoteText"/>
      </w:pPr>
      <w:r>
        <w:rPr>
          <w:rStyle w:val="FootnoteReference"/>
        </w:rPr>
        <w:footnoteRef/>
      </w:r>
      <w:r>
        <w:t xml:space="preserve"> § 1339.75</w:t>
      </w:r>
    </w:p>
  </w:footnote>
  <w:footnote w:id="60">
    <w:p w14:paraId="69F2C687" w14:textId="721225E1" w:rsidR="00555A10" w:rsidRDefault="00555A10">
      <w:pPr>
        <w:pStyle w:val="FootnoteText"/>
      </w:pPr>
      <w:r>
        <w:rPr>
          <w:rStyle w:val="FootnoteReference"/>
        </w:rPr>
        <w:footnoteRef/>
      </w:r>
      <w:r>
        <w:t xml:space="preserve"> </w:t>
      </w:r>
      <w:r w:rsidR="00991ABC">
        <w:t xml:space="preserve">CA Penal Code </w:t>
      </w:r>
      <w:r>
        <w:t>§ 3</w:t>
      </w:r>
      <w:r w:rsidR="00991ABC">
        <w:t>11.1</w:t>
      </w:r>
      <w:r w:rsidR="00A86432">
        <w:t>, § 311.11</w:t>
      </w:r>
    </w:p>
  </w:footnote>
  <w:footnote w:id="61">
    <w:p w14:paraId="5296D854" w14:textId="635CB1A3" w:rsidR="001B45BD" w:rsidRDefault="001B45BD" w:rsidP="001B45BD">
      <w:pPr>
        <w:pStyle w:val="FootnoteText"/>
      </w:pPr>
      <w:r>
        <w:rPr>
          <w:rStyle w:val="FootnoteReference"/>
        </w:rPr>
        <w:footnoteRef/>
      </w:r>
      <w:r>
        <w:t xml:space="preserve"> </w:t>
      </w:r>
      <w:bookmarkStart w:id="5" w:name="_Hlk212219835"/>
      <w:r>
        <w:t>CA ST JUDICIAL ADMIN RULES Rule 10.430</w:t>
      </w:r>
      <w:bookmarkEnd w:id="5"/>
    </w:p>
  </w:footnote>
  <w:footnote w:id="62">
    <w:p w14:paraId="029509F2" w14:textId="5CB74E6F" w:rsidR="001B45BD" w:rsidRDefault="001B45BD">
      <w:pPr>
        <w:pStyle w:val="FootnoteText"/>
      </w:pPr>
      <w:r>
        <w:rPr>
          <w:rStyle w:val="FootnoteReference"/>
        </w:rPr>
        <w:footnoteRef/>
      </w:r>
      <w:r>
        <w:t xml:space="preserve"> </w:t>
      </w:r>
      <w:r w:rsidRPr="001B45BD">
        <w:t>CA ST JUDICIAL ADMIN RULES Rule 10.430</w:t>
      </w:r>
      <w:r>
        <w:t xml:space="preserve"> (b)</w:t>
      </w:r>
    </w:p>
  </w:footnote>
  <w:footnote w:id="63">
    <w:p w14:paraId="5DB3D4A1" w14:textId="77777777" w:rsidR="007415E9" w:rsidRDefault="007415E9" w:rsidP="007415E9">
      <w:pPr>
        <w:pStyle w:val="FootnoteText"/>
      </w:pPr>
      <w:r>
        <w:rPr>
          <w:rStyle w:val="FootnoteReference"/>
        </w:rPr>
        <w:footnoteRef/>
      </w:r>
      <w:r>
        <w:t xml:space="preserve"> </w:t>
      </w:r>
      <w:r w:rsidRPr="001B45BD">
        <w:t>CA ST JUDICIAL ADMIN RULES Rule 10.430</w:t>
      </w:r>
      <w:r>
        <w:t xml:space="preserve"> (d)(1)</w:t>
      </w:r>
    </w:p>
  </w:footnote>
  <w:footnote w:id="64">
    <w:p w14:paraId="56F0FFE6" w14:textId="77777777" w:rsidR="007415E9" w:rsidRDefault="007415E9" w:rsidP="007415E9">
      <w:pPr>
        <w:pStyle w:val="FootnoteText"/>
      </w:pPr>
      <w:r>
        <w:rPr>
          <w:rStyle w:val="FootnoteReference"/>
        </w:rPr>
        <w:footnoteRef/>
      </w:r>
      <w:r>
        <w:t xml:space="preserve"> </w:t>
      </w:r>
      <w:r w:rsidRPr="001B45BD">
        <w:t>CA ST JUDICIAL ADMIN RULES Rule 10.430 (d)(</w:t>
      </w:r>
      <w:r>
        <w:t>2</w:t>
      </w:r>
      <w:r w:rsidRPr="001B45BD">
        <w:t>)</w:t>
      </w:r>
    </w:p>
  </w:footnote>
  <w:footnote w:id="65">
    <w:p w14:paraId="76960B78" w14:textId="77777777" w:rsidR="007415E9" w:rsidRDefault="007415E9" w:rsidP="007415E9">
      <w:pPr>
        <w:pStyle w:val="FootnoteText"/>
      </w:pPr>
      <w:r>
        <w:rPr>
          <w:rStyle w:val="FootnoteReference"/>
        </w:rPr>
        <w:footnoteRef/>
      </w:r>
      <w:r>
        <w:t xml:space="preserve"> </w:t>
      </w:r>
      <w:r w:rsidRPr="001B45BD">
        <w:t>CA ST JUDICIAL ADMIN RULES Rule 10.430 (d)(</w:t>
      </w:r>
      <w:r>
        <w:t>3)</w:t>
      </w:r>
    </w:p>
  </w:footnote>
  <w:footnote w:id="66">
    <w:p w14:paraId="7542F087" w14:textId="77777777" w:rsidR="007415E9" w:rsidRDefault="007415E9" w:rsidP="007415E9">
      <w:pPr>
        <w:pStyle w:val="FootnoteText"/>
      </w:pPr>
      <w:r>
        <w:rPr>
          <w:rStyle w:val="FootnoteReference"/>
        </w:rPr>
        <w:footnoteRef/>
      </w:r>
      <w:r>
        <w:t xml:space="preserve"> </w:t>
      </w:r>
      <w:r w:rsidRPr="001B45BD">
        <w:t>CA ST JUDICIAL ADMIN RULES Rule 10.430 (d)(</w:t>
      </w:r>
      <w:r>
        <w:t>4)</w:t>
      </w:r>
    </w:p>
  </w:footnote>
  <w:footnote w:id="67">
    <w:p w14:paraId="241267A7" w14:textId="77777777" w:rsidR="007415E9" w:rsidRDefault="007415E9" w:rsidP="007415E9">
      <w:pPr>
        <w:pStyle w:val="FootnoteText"/>
      </w:pPr>
      <w:r>
        <w:rPr>
          <w:rStyle w:val="FootnoteReference"/>
        </w:rPr>
        <w:footnoteRef/>
      </w:r>
      <w:r>
        <w:t xml:space="preserve"> </w:t>
      </w:r>
      <w:r w:rsidRPr="001B45BD">
        <w:t>CA ST JUDICIAL ADMIN RULES Rule 10.430 (d)(</w:t>
      </w:r>
      <w:r>
        <w:t>5)</w:t>
      </w:r>
    </w:p>
  </w:footnote>
  <w:footnote w:id="68">
    <w:p w14:paraId="6F438D15" w14:textId="3194C692" w:rsidR="002E0142" w:rsidRDefault="002E0142" w:rsidP="002E0142">
      <w:pPr>
        <w:pStyle w:val="FootnoteText"/>
      </w:pPr>
      <w:r>
        <w:rPr>
          <w:rStyle w:val="FootnoteReference"/>
        </w:rPr>
        <w:footnoteRef/>
      </w:r>
      <w:r>
        <w:t xml:space="preserve"> </w:t>
      </w:r>
      <w:r w:rsidRPr="002E0142">
        <w:t>CA ST JUDICIAL ADMIN RULES Rule 10.</w:t>
      </w:r>
      <w:r>
        <w:t>430, Advisory Committee Comment (d)</w:t>
      </w:r>
    </w:p>
  </w:footnote>
  <w:footnote w:id="69">
    <w:p w14:paraId="38E52C13" w14:textId="5AAECF4D" w:rsidR="0013615E" w:rsidRDefault="0013615E">
      <w:pPr>
        <w:pStyle w:val="FootnoteText"/>
      </w:pPr>
      <w:r>
        <w:rPr>
          <w:rStyle w:val="FootnoteReference"/>
        </w:rPr>
        <w:footnoteRef/>
      </w:r>
      <w:r>
        <w:t xml:space="preserve"> </w:t>
      </w:r>
      <w:r w:rsidRPr="0013615E">
        <w:t>Colo. Rev. Stat. Ann. § 6-1-1702</w:t>
      </w:r>
      <w:r>
        <w:t>.</w:t>
      </w:r>
    </w:p>
  </w:footnote>
  <w:footnote w:id="70">
    <w:p w14:paraId="681F0FBA" w14:textId="21B106DB" w:rsidR="0013615E" w:rsidRPr="0013615E" w:rsidRDefault="0013615E" w:rsidP="0013615E">
      <w:pPr>
        <w:pStyle w:val="FootnoteText"/>
      </w:pPr>
      <w:r>
        <w:rPr>
          <w:rStyle w:val="FootnoteReference"/>
        </w:rPr>
        <w:footnoteRef/>
      </w:r>
      <w:r>
        <w:t xml:space="preserve"> </w:t>
      </w:r>
      <w:r w:rsidRPr="0013615E">
        <w:t>Colo. Rev. Stat. Ann. § 6-1-1702</w:t>
      </w:r>
      <w:r>
        <w:t>.</w:t>
      </w:r>
    </w:p>
    <w:p w14:paraId="72FEF1CE" w14:textId="0AAB3BFF" w:rsidR="0013615E" w:rsidRDefault="0013615E">
      <w:pPr>
        <w:pStyle w:val="FootnoteText"/>
      </w:pPr>
    </w:p>
  </w:footnote>
  <w:footnote w:id="71">
    <w:p w14:paraId="41959E69" w14:textId="35DF7471" w:rsidR="0013615E" w:rsidRDefault="0013615E">
      <w:pPr>
        <w:pStyle w:val="FootnoteText"/>
      </w:pPr>
      <w:r>
        <w:rPr>
          <w:rStyle w:val="FootnoteReference"/>
        </w:rPr>
        <w:footnoteRef/>
      </w:r>
      <w:r>
        <w:t xml:space="preserve"> </w:t>
      </w:r>
      <w:r w:rsidRPr="0013615E">
        <w:t>Colo. Rev. Stat. Ann. § 6-1-1703</w:t>
      </w:r>
      <w:r>
        <w:t>.</w:t>
      </w:r>
    </w:p>
  </w:footnote>
  <w:footnote w:id="72">
    <w:p w14:paraId="25B912D0" w14:textId="4707F8D1" w:rsidR="0013615E" w:rsidRDefault="0013615E">
      <w:pPr>
        <w:pStyle w:val="FootnoteText"/>
      </w:pPr>
      <w:r>
        <w:rPr>
          <w:rStyle w:val="FootnoteReference"/>
        </w:rPr>
        <w:footnoteRef/>
      </w:r>
      <w:r>
        <w:t xml:space="preserve"> </w:t>
      </w:r>
      <w:r w:rsidRPr="0013615E">
        <w:t>Colo. Rev. Stat. Ann. § 6-1-170</w:t>
      </w:r>
      <w:r>
        <w:t>4.</w:t>
      </w:r>
    </w:p>
  </w:footnote>
  <w:footnote w:id="73">
    <w:p w14:paraId="0B7021BD" w14:textId="0EA976C3" w:rsidR="0032665D" w:rsidRDefault="0032665D">
      <w:pPr>
        <w:pStyle w:val="FootnoteText"/>
      </w:pPr>
      <w:r>
        <w:rPr>
          <w:rStyle w:val="FootnoteReference"/>
        </w:rPr>
        <w:footnoteRef/>
      </w:r>
      <w:r>
        <w:t xml:space="preserve"> </w:t>
      </w:r>
      <w:r w:rsidRPr="0032665D">
        <w:t xml:space="preserve">Tex. Bus. &amp; Com. Code Ann. tit. 11, </w:t>
      </w:r>
      <w:proofErr w:type="spellStart"/>
      <w:r w:rsidRPr="0032665D">
        <w:t>Subt</w:t>
      </w:r>
      <w:proofErr w:type="spellEnd"/>
      <w:r w:rsidRPr="0032665D">
        <w:t>. D, Ch. 553</w:t>
      </w:r>
      <w:r w:rsidRPr="0032665D">
        <w:t>.</w:t>
      </w:r>
    </w:p>
  </w:footnote>
  <w:footnote w:id="74">
    <w:p w14:paraId="5C791BB2" w14:textId="563CA3CF" w:rsidR="0032665D" w:rsidRDefault="0032665D">
      <w:pPr>
        <w:pStyle w:val="FootnoteText"/>
      </w:pPr>
      <w:r>
        <w:rPr>
          <w:rStyle w:val="FootnoteReference"/>
        </w:rPr>
        <w:footnoteRef/>
      </w:r>
      <w:r>
        <w:t xml:space="preserve"> </w:t>
      </w:r>
      <w:proofErr w:type="spellStart"/>
      <w:r w:rsidRPr="0032665D">
        <w:t>Bajowala</w:t>
      </w:r>
      <w:proofErr w:type="spellEnd"/>
      <w:r w:rsidRPr="0032665D">
        <w:t>, R. R. (2025, June 23). TRAIGA: Key provisions of Texas’ new Artificial Intelligence Governance Act. </w:t>
      </w:r>
      <w:r w:rsidRPr="0032665D">
        <w:rPr>
          <w:i/>
          <w:iCs/>
        </w:rPr>
        <w:t>The National Law Review</w:t>
      </w:r>
      <w:r w:rsidRPr="0032665D">
        <w:t>. https://natlawreview.com/article/traiga-key-provisions-texas-new-artificial-intelligence-governance-act</w:t>
      </w:r>
    </w:p>
  </w:footnote>
  <w:footnote w:id="75">
    <w:p w14:paraId="5557AFE2" w14:textId="3F9E6A8B" w:rsidR="0032665D" w:rsidRDefault="0032665D">
      <w:pPr>
        <w:pStyle w:val="FootnoteText"/>
      </w:pPr>
      <w:r>
        <w:rPr>
          <w:rStyle w:val="FootnoteReference"/>
        </w:rPr>
        <w:footnoteRef/>
      </w:r>
      <w:r>
        <w:t xml:space="preserve"> </w:t>
      </w:r>
      <w:r w:rsidRPr="0032665D">
        <w:t>Tex. Bus. &amp; Com. Code Ann. § 552.051</w:t>
      </w:r>
      <w:r>
        <w:t>.</w:t>
      </w:r>
    </w:p>
  </w:footnote>
  <w:footnote w:id="76">
    <w:p w14:paraId="12728867" w14:textId="740767E8" w:rsidR="0032665D" w:rsidRDefault="0032665D">
      <w:pPr>
        <w:pStyle w:val="FootnoteText"/>
      </w:pPr>
      <w:r>
        <w:rPr>
          <w:rStyle w:val="FootnoteReference"/>
        </w:rPr>
        <w:footnoteRef/>
      </w:r>
      <w:r>
        <w:t xml:space="preserve"> </w:t>
      </w:r>
      <w:r w:rsidRPr="0032665D">
        <w:t>Tex. Bus. &amp; Com. Code Ann. § 552.05</w:t>
      </w:r>
      <w:r>
        <w:t>3.</w:t>
      </w:r>
    </w:p>
  </w:footnote>
  <w:footnote w:id="77">
    <w:p w14:paraId="2831853F" w14:textId="5302163C" w:rsidR="002B4290" w:rsidRDefault="002B4290" w:rsidP="002B4290">
      <w:pPr>
        <w:pStyle w:val="FootnoteText"/>
      </w:pPr>
      <w:r>
        <w:rPr>
          <w:rStyle w:val="FootnoteReference"/>
        </w:rPr>
        <w:footnoteRef/>
      </w:r>
      <w:r>
        <w:t xml:space="preserve"> “</w:t>
      </w:r>
      <w:r>
        <w:t>A governmental entity may not develop or deploy an artificial intelligence system for the purpose of uniquely identifying a specific individual using biometric data or the targeted or untargeted gathering of images or other media from the Internet or any other publicly available source without the individual's consent</w:t>
      </w:r>
      <w:r>
        <w:t xml:space="preserve">.” </w:t>
      </w:r>
      <w:r>
        <w:t>Tex. Bus. &amp; Com. Code Ann. § 552.054</w:t>
      </w:r>
      <w:r>
        <w:t>.</w:t>
      </w:r>
    </w:p>
  </w:footnote>
  <w:footnote w:id="78">
    <w:p w14:paraId="1152F7CF" w14:textId="77777777" w:rsidR="002B4290" w:rsidRPr="002B4290" w:rsidRDefault="002B4290" w:rsidP="002B4290">
      <w:pPr>
        <w:pStyle w:val="FootnoteText"/>
      </w:pPr>
      <w:r>
        <w:rPr>
          <w:rStyle w:val="FootnoteReference"/>
        </w:rPr>
        <w:footnoteRef/>
      </w:r>
      <w:r>
        <w:t xml:space="preserve"> </w:t>
      </w:r>
      <w:r w:rsidRPr="002B4290">
        <w:rPr>
          <w:i/>
          <w:iCs/>
        </w:rPr>
        <w:t>Utah becomes first state to enact AI-Centric consumer Protection Law</w:t>
      </w:r>
      <w:r w:rsidRPr="002B4290">
        <w:t>. (2024, April 5). Insights | Skadden, Arps, Slate, Meagher &amp; Flom LLP. https://www.skadden.com/insights/publications/2024/04/utah-becomes-first-state</w:t>
      </w:r>
    </w:p>
    <w:p w14:paraId="121257CC" w14:textId="36F97985" w:rsidR="002B4290" w:rsidRDefault="002B4290">
      <w:pPr>
        <w:pStyle w:val="FootnoteText"/>
      </w:pPr>
    </w:p>
  </w:footnote>
  <w:footnote w:id="79">
    <w:p w14:paraId="4A100021" w14:textId="06D8D753" w:rsidR="00C04170" w:rsidRPr="00A23700" w:rsidRDefault="00C04170">
      <w:pPr>
        <w:pStyle w:val="FootnoteText"/>
        <w:rPr>
          <w:lang w:val="de-AT"/>
        </w:rPr>
      </w:pPr>
      <w:r>
        <w:rPr>
          <w:rStyle w:val="FootnoteReference"/>
        </w:rPr>
        <w:footnoteRef/>
      </w:r>
      <w:r w:rsidRPr="00A23700">
        <w:rPr>
          <w:lang w:val="de-AT"/>
        </w:rPr>
        <w:t xml:space="preserve"> </w:t>
      </w:r>
      <w:r w:rsidRPr="00A23700">
        <w:rPr>
          <w:lang w:val="de-AT"/>
        </w:rPr>
        <w:t>Van Den Bergh, Farwell Utopia</w:t>
      </w:r>
    </w:p>
  </w:footnote>
  <w:footnote w:id="80">
    <w:p w14:paraId="1889EC2E" w14:textId="72C274FF" w:rsidR="00AA401B" w:rsidRPr="00A23700" w:rsidRDefault="00AA401B">
      <w:pPr>
        <w:pStyle w:val="FootnoteText"/>
        <w:rPr>
          <w:lang w:val="de-AT"/>
        </w:rPr>
      </w:pPr>
      <w:r>
        <w:rPr>
          <w:rStyle w:val="FootnoteReference"/>
        </w:rPr>
        <w:footnoteRef/>
      </w:r>
      <w:r w:rsidRPr="00A23700">
        <w:rPr>
          <w:lang w:val="de-AT"/>
        </w:rPr>
        <w:t xml:space="preserve"> Liebig, Laura, et al. </w:t>
      </w:r>
      <w:r w:rsidRPr="00AA401B">
        <w:t xml:space="preserve">"Subnational AI policy: shaping AI in a multi-level governance system." </w:t>
      </w:r>
      <w:r w:rsidRPr="00A23700">
        <w:rPr>
          <w:lang w:val="de-AT"/>
        </w:rPr>
        <w:t xml:space="preserve">AI &amp; society 39.3 (2024): 1479. </w:t>
      </w:r>
    </w:p>
  </w:footnote>
  <w:footnote w:id="81">
    <w:p w14:paraId="0708EA83" w14:textId="2416F0A8" w:rsidR="00167BF1" w:rsidRPr="00A23700" w:rsidRDefault="00167BF1">
      <w:pPr>
        <w:pStyle w:val="FootnoteText"/>
        <w:rPr>
          <w:lang w:val="de-AT"/>
        </w:rPr>
      </w:pPr>
      <w:r>
        <w:rPr>
          <w:rStyle w:val="FootnoteReference"/>
        </w:rPr>
        <w:footnoteRef/>
      </w:r>
      <w:r w:rsidRPr="00A23700">
        <w:rPr>
          <w:lang w:val="de-AT"/>
        </w:rPr>
        <w:t xml:space="preserve"> Van Den Bergh 938</w:t>
      </w:r>
    </w:p>
  </w:footnote>
  <w:footnote w:id="82">
    <w:p w14:paraId="145FE862" w14:textId="03B85272" w:rsidR="00167BF1" w:rsidRPr="00A23700" w:rsidRDefault="00167BF1">
      <w:pPr>
        <w:pStyle w:val="FootnoteText"/>
        <w:rPr>
          <w:lang w:val="de-AT"/>
        </w:rPr>
      </w:pPr>
      <w:r>
        <w:rPr>
          <w:rStyle w:val="FootnoteReference"/>
        </w:rPr>
        <w:footnoteRef/>
      </w:r>
      <w:r w:rsidRPr="00A23700">
        <w:rPr>
          <w:lang w:val="de-AT"/>
        </w:rPr>
        <w:t xml:space="preserve"> Van Den Bergh 938. </w:t>
      </w:r>
    </w:p>
  </w:footnote>
  <w:footnote w:id="83">
    <w:p w14:paraId="55946472" w14:textId="7B14EE43" w:rsidR="006A06E7" w:rsidRPr="00A23700" w:rsidRDefault="006A06E7">
      <w:pPr>
        <w:pStyle w:val="FootnoteText"/>
        <w:rPr>
          <w:lang w:val="de-AT"/>
        </w:rPr>
      </w:pPr>
      <w:r>
        <w:rPr>
          <w:rStyle w:val="FootnoteReference"/>
        </w:rPr>
        <w:footnoteRef/>
      </w:r>
      <w:r w:rsidRPr="00A23700">
        <w:rPr>
          <w:lang w:val="de-AT"/>
        </w:rPr>
        <w:t xml:space="preserve"> Van den Bergh 944. </w:t>
      </w:r>
    </w:p>
  </w:footnote>
  <w:footnote w:id="84">
    <w:p w14:paraId="5C2190DB" w14:textId="77777777" w:rsidR="00B66E6A" w:rsidRPr="005E0939" w:rsidRDefault="00B66E6A" w:rsidP="00B66E6A">
      <w:pPr>
        <w:pStyle w:val="FootnoteText"/>
        <w:rPr>
          <w:lang w:val="nl-NL"/>
        </w:rPr>
      </w:pPr>
      <w:r>
        <w:rPr>
          <w:rStyle w:val="FootnoteReference"/>
        </w:rPr>
        <w:footnoteRef/>
      </w:r>
      <w:r>
        <w:t xml:space="preserve"> </w:t>
      </w:r>
      <w:r w:rsidRPr="005E0939">
        <w:t xml:space="preserve">Van den Bergh, The Roundabouts of European Law and Economics. </w:t>
      </w:r>
      <w:r w:rsidRPr="005E0939">
        <w:rPr>
          <w:lang w:val="nl-NL"/>
        </w:rPr>
        <w:t xml:space="preserve">2018.  </w:t>
      </w:r>
    </w:p>
  </w:footnote>
  <w:footnote w:id="85">
    <w:p w14:paraId="0EBEFC86" w14:textId="26A54520" w:rsidR="00B66E6A" w:rsidRPr="00797242" w:rsidRDefault="00B66E6A" w:rsidP="00B66E6A">
      <w:pPr>
        <w:pStyle w:val="FootnoteText"/>
        <w:rPr>
          <w:lang w:val="nl-NL"/>
        </w:rPr>
      </w:pPr>
      <w:r>
        <w:rPr>
          <w:rStyle w:val="FootnoteReference"/>
        </w:rPr>
        <w:footnoteRef/>
      </w:r>
      <w:r w:rsidRPr="00797242">
        <w:rPr>
          <w:lang w:val="nl-NL"/>
        </w:rPr>
        <w:t xml:space="preserve"> Van den bergh, Farewell Utopia? </w:t>
      </w:r>
      <w:r w:rsidRPr="00797242">
        <w:t xml:space="preserve">Why the European Union should take the </w:t>
      </w:r>
      <w:r w:rsidR="008B7FAA">
        <w:t>e</w:t>
      </w:r>
      <w:r w:rsidRPr="00797242">
        <w:t xml:space="preserve">conomics of federalism seriously.” </w:t>
      </w:r>
      <w:r w:rsidRPr="00797242">
        <w:rPr>
          <w:lang w:val="nl-NL"/>
        </w:rPr>
        <w:t>(2016).</w:t>
      </w:r>
    </w:p>
  </w:footnote>
  <w:footnote w:id="86">
    <w:p w14:paraId="4FEA67C9" w14:textId="172CA43C" w:rsidR="00B66E6A" w:rsidRPr="005E0939" w:rsidRDefault="00B66E6A" w:rsidP="00B66E6A">
      <w:pPr>
        <w:pStyle w:val="FootnoteText"/>
      </w:pPr>
      <w:r>
        <w:rPr>
          <w:rStyle w:val="FootnoteReference"/>
        </w:rPr>
        <w:footnoteRef/>
      </w:r>
      <w:r w:rsidRPr="005E0939">
        <w:rPr>
          <w:lang w:val="nl-NL"/>
        </w:rPr>
        <w:t xml:space="preserve"> Van den bergh, Fare</w:t>
      </w:r>
      <w:r>
        <w:rPr>
          <w:lang w:val="nl-NL"/>
        </w:rPr>
        <w:t xml:space="preserve">well Utopia? </w:t>
      </w:r>
      <w:r w:rsidRPr="005E0939">
        <w:t>Why the European Union s</w:t>
      </w:r>
      <w:r>
        <w:t xml:space="preserve">hould take the </w:t>
      </w:r>
      <w:r w:rsidR="008B7FAA">
        <w:t>e</w:t>
      </w:r>
      <w:r>
        <w:t xml:space="preserve">conomics of federalism seriously.” (2016). </w:t>
      </w:r>
    </w:p>
  </w:footnote>
  <w:footnote w:id="87">
    <w:p w14:paraId="6E9C7251" w14:textId="77777777" w:rsidR="00B66E6A" w:rsidRPr="00866551" w:rsidRDefault="00B66E6A" w:rsidP="00B66E6A">
      <w:pPr>
        <w:pStyle w:val="FootnoteText"/>
      </w:pPr>
      <w:r>
        <w:rPr>
          <w:rStyle w:val="FootnoteReference"/>
        </w:rPr>
        <w:footnoteRef/>
      </w:r>
      <w:r w:rsidRPr="00866551">
        <w:t xml:space="preserve"> Van den Bergh 2016. </w:t>
      </w:r>
    </w:p>
  </w:footnote>
  <w:footnote w:id="88">
    <w:p w14:paraId="02DA87A3" w14:textId="10B2E8CA" w:rsidR="00B66E6A" w:rsidRPr="00866551" w:rsidRDefault="00B66E6A" w:rsidP="00B66E6A">
      <w:pPr>
        <w:pStyle w:val="FootnoteText"/>
      </w:pPr>
      <w:r>
        <w:rPr>
          <w:rStyle w:val="FootnoteReference"/>
        </w:rPr>
        <w:footnoteRef/>
      </w:r>
      <w:r w:rsidRPr="00866551">
        <w:t xml:space="preserve"> </w:t>
      </w:r>
      <w:r>
        <w:t xml:space="preserve">Chart comparing Van Den Berg’s analysis of the benefits of centralization and decentralization in federal systems. </w:t>
      </w:r>
      <w:r w:rsidRPr="00866551">
        <w:t>From Aubrecht et al. 2022.</w:t>
      </w:r>
    </w:p>
  </w:footnote>
  <w:footnote w:id="89">
    <w:p w14:paraId="34F5A9BF" w14:textId="77777777" w:rsidR="00536494" w:rsidRDefault="00536494" w:rsidP="00536494">
      <w:pPr>
        <w:pStyle w:val="FootnoteText"/>
      </w:pPr>
      <w:r>
        <w:rPr>
          <w:rStyle w:val="FootnoteReference"/>
        </w:rPr>
        <w:footnoteRef/>
      </w:r>
      <w:r>
        <w:t xml:space="preserve"> </w:t>
      </w:r>
      <w:bookmarkStart w:id="8" w:name="_Hlk214285168"/>
      <w:r w:rsidRPr="00AA401B">
        <w:t>Liebig, Laura, et al. "Subnational AI policy: shaping AI in a multi-level governance system." AI &amp; society 39.3 (2024):</w:t>
      </w:r>
      <w:r>
        <w:t xml:space="preserve"> 1486</w:t>
      </w:r>
      <w:bookmarkEnd w:id="8"/>
      <w:r>
        <w:t>.</w:t>
      </w:r>
    </w:p>
  </w:footnote>
  <w:footnote w:id="90">
    <w:p w14:paraId="3EC1E5DA" w14:textId="52E9781C" w:rsidR="00D44831" w:rsidRDefault="00D44831">
      <w:pPr>
        <w:pStyle w:val="FootnoteText"/>
      </w:pPr>
      <w:r>
        <w:rPr>
          <w:rStyle w:val="FootnoteReference"/>
        </w:rPr>
        <w:footnoteRef/>
      </w:r>
      <w:r>
        <w:t xml:space="preserve"> </w:t>
      </w:r>
      <w:r w:rsidRPr="00D44831">
        <w:t>§ 22757.1 (b), (c), (</w:t>
      </w:r>
      <w:proofErr w:type="spellStart"/>
      <w:r w:rsidRPr="00D44831">
        <w:t>i</w:t>
      </w:r>
      <w:proofErr w:type="spellEnd"/>
      <w:r w:rsidRPr="00D44831">
        <w:t>).</w:t>
      </w:r>
    </w:p>
  </w:footnote>
  <w:footnote w:id="91">
    <w:p w14:paraId="207F38A7" w14:textId="7DF0AF8B" w:rsidR="003D605C" w:rsidRDefault="003D605C">
      <w:pPr>
        <w:pStyle w:val="FootnoteText"/>
      </w:pPr>
      <w:r>
        <w:rPr>
          <w:rStyle w:val="FootnoteReference"/>
        </w:rPr>
        <w:footnoteRef/>
      </w:r>
      <w:r>
        <w:t xml:space="preserve"> US States- Ranking by Population 2025. </w:t>
      </w:r>
      <w:r w:rsidRPr="003D605C">
        <w:t>https://worldpopulationreview.com/states</w:t>
      </w:r>
    </w:p>
  </w:footnote>
  <w:footnote w:id="92">
    <w:p w14:paraId="28568CA4" w14:textId="41AF5FB1" w:rsidR="003D605C" w:rsidRDefault="003D605C">
      <w:pPr>
        <w:pStyle w:val="FootnoteText"/>
      </w:pPr>
      <w:r>
        <w:rPr>
          <w:rStyle w:val="FootnoteReference"/>
        </w:rPr>
        <w:footnoteRef/>
      </w:r>
      <w:r>
        <w:t xml:space="preserve"> Van Den Bergh 944</w:t>
      </w:r>
    </w:p>
  </w:footnote>
  <w:footnote w:id="93">
    <w:p w14:paraId="09C13317" w14:textId="2BA1EF25" w:rsidR="00D44831" w:rsidRDefault="00D44831">
      <w:pPr>
        <w:pStyle w:val="FootnoteText"/>
      </w:pPr>
      <w:r>
        <w:rPr>
          <w:rStyle w:val="FootnoteReference"/>
        </w:rPr>
        <w:footnoteRef/>
      </w:r>
      <w:r>
        <w:t xml:space="preserve"> According to the World Population Review Belgium has a cellphone rate per 100 is 101, while in </w:t>
      </w:r>
      <w:r w:rsidR="003D605C">
        <w:t>Poland</w:t>
      </w:r>
      <w:r>
        <w:t xml:space="preserve"> the rate is </w:t>
      </w:r>
      <w:r w:rsidR="003D605C">
        <w:t xml:space="preserve">136. </w:t>
      </w:r>
      <w:r w:rsidR="003D605C" w:rsidRPr="003D605C">
        <w:t>https://worldpopulationreview.com/country-rankings/cell-phones-by-country</w:t>
      </w:r>
    </w:p>
  </w:footnote>
  <w:footnote w:id="94">
    <w:p w14:paraId="712323F8" w14:textId="6D052B99" w:rsidR="008F772A" w:rsidRDefault="008F772A">
      <w:pPr>
        <w:pStyle w:val="FootnoteText"/>
      </w:pPr>
      <w:r>
        <w:rPr>
          <w:rStyle w:val="FootnoteReference"/>
        </w:rPr>
        <w:footnoteRef/>
      </w:r>
      <w:r>
        <w:t xml:space="preserve"> Van Den Bergh 941, 940. </w:t>
      </w:r>
    </w:p>
  </w:footnote>
  <w:footnote w:id="95">
    <w:p w14:paraId="67F0A273" w14:textId="77777777" w:rsidR="00536494" w:rsidRDefault="00536494" w:rsidP="00536494">
      <w:pPr>
        <w:pStyle w:val="FootnoteText"/>
      </w:pPr>
      <w:r>
        <w:rPr>
          <w:rStyle w:val="FootnoteReference"/>
        </w:rPr>
        <w:footnoteRef/>
      </w:r>
      <w:r>
        <w:t xml:space="preserve"> </w:t>
      </w:r>
      <w:proofErr w:type="spellStart"/>
      <w:r w:rsidRPr="002C155F">
        <w:t>Frostestad</w:t>
      </w:r>
      <w:proofErr w:type="spellEnd"/>
      <w:r w:rsidRPr="002C155F">
        <w:t xml:space="preserve">, Heidi L. "AI Regulation in a ChatGPT Era: Cross-border Cooperation and Hope in a Sudden Storm." Indiana Journal of Global Legal Studies 32.1 (2024): </w:t>
      </w:r>
      <w:r>
        <w:t xml:space="preserve">9. Citing to: </w:t>
      </w:r>
      <w:r w:rsidRPr="002C155F">
        <w:t xml:space="preserve">Miriam C. Buiten, Towards Intelligent Regulation of Artificial Intelligence, 10 EUR. J. RISK REG. 41 (2019); </w:t>
      </w:r>
      <w:r>
        <w:t>and</w:t>
      </w:r>
      <w:r w:rsidRPr="002C155F">
        <w:t xml:space="preserve"> Frank H. Easterbrook, Cyberspace and the Law of the Horse, 1996 U. CHI. LEGAL F. 207 (1996)</w:t>
      </w:r>
    </w:p>
  </w:footnote>
  <w:footnote w:id="96">
    <w:p w14:paraId="1594F504" w14:textId="77777777" w:rsidR="00536494" w:rsidRDefault="00536494" w:rsidP="00536494">
      <w:pPr>
        <w:pStyle w:val="FootnoteText"/>
      </w:pPr>
      <w:r>
        <w:rPr>
          <w:rStyle w:val="FootnoteReference"/>
        </w:rPr>
        <w:footnoteRef/>
      </w:r>
      <w:r>
        <w:t xml:space="preserve"> Van Den Bergh 942. </w:t>
      </w:r>
    </w:p>
  </w:footnote>
  <w:footnote w:id="97">
    <w:p w14:paraId="783D1188" w14:textId="068191A3" w:rsidR="006B4F4C" w:rsidRDefault="006B4F4C">
      <w:pPr>
        <w:pStyle w:val="FootnoteText"/>
      </w:pPr>
      <w:r>
        <w:rPr>
          <w:rStyle w:val="FootnoteReference"/>
        </w:rPr>
        <w:footnoteRef/>
      </w:r>
      <w:r>
        <w:t xml:space="preserve"> A partial list of AI related risk can be found in Appendix 2. </w:t>
      </w:r>
    </w:p>
  </w:footnote>
  <w:footnote w:id="98">
    <w:p w14:paraId="67B6779F" w14:textId="2FFB8FA5" w:rsidR="00E92890" w:rsidRDefault="00E92890">
      <w:pPr>
        <w:pStyle w:val="FootnoteText"/>
      </w:pPr>
      <w:r>
        <w:rPr>
          <w:rStyle w:val="FootnoteReference"/>
        </w:rPr>
        <w:footnoteRef/>
      </w:r>
      <w:r>
        <w:t xml:space="preserve"> Van Den Bergh 941. </w:t>
      </w:r>
    </w:p>
  </w:footnote>
  <w:footnote w:id="99">
    <w:p w14:paraId="618FFAFC" w14:textId="70FCF829" w:rsidR="00782897" w:rsidRDefault="00782897">
      <w:pPr>
        <w:pStyle w:val="FootnoteText"/>
      </w:pPr>
      <w:r>
        <w:rPr>
          <w:rStyle w:val="FootnoteReference"/>
        </w:rPr>
        <w:footnoteRef/>
      </w:r>
      <w:r>
        <w:t xml:space="preserve"> Th</w:t>
      </w:r>
      <w:r w:rsidR="008C11A1">
        <w:t>is</w:t>
      </w:r>
      <w:r>
        <w:t xml:space="preserve"> bring ups the question of whether the enactment of the EU AI Act means the EU is set into a “path dependency” concerning AI regulation, which may </w:t>
      </w:r>
      <w:proofErr w:type="gramStart"/>
      <w:r>
        <w:t>at a later time</w:t>
      </w:r>
      <w:proofErr w:type="gramEnd"/>
      <w:r>
        <w:t xml:space="preserve"> prove to lead to inefficient outcomes as it becomes more difficult to deviate from the risk categorization model when other regulatory models may be shown to be more efficient. </w:t>
      </w:r>
    </w:p>
  </w:footnote>
  <w:footnote w:id="100">
    <w:p w14:paraId="03C9C5F7" w14:textId="77777777" w:rsidR="000E5C5B" w:rsidRDefault="004174BF" w:rsidP="004174BF">
      <w:pPr>
        <w:pStyle w:val="FootnoteText"/>
      </w:pPr>
      <w:r>
        <w:rPr>
          <w:rStyle w:val="FootnoteReference"/>
        </w:rPr>
        <w:footnoteRef/>
      </w:r>
      <w:r>
        <w:t xml:space="preserve"> Fleischer identifies how regulatory competition can have both positive and negative implications. </w:t>
      </w:r>
    </w:p>
    <w:p w14:paraId="459B8869" w14:textId="77777777" w:rsidR="000E5C5B" w:rsidRDefault="000E5C5B" w:rsidP="000E5C5B">
      <w:pPr>
        <w:pStyle w:val="FootnoteText"/>
        <w:ind w:left="720" w:right="720"/>
      </w:pPr>
      <w:r>
        <w:t>“</w:t>
      </w:r>
      <w:r w:rsidR="004174BF" w:rsidRPr="00866551">
        <w:t>The literature on regulatory competition routinely assumes that parties choose</w:t>
      </w:r>
      <w:r w:rsidR="004174BF">
        <w:t xml:space="preserve"> </w:t>
      </w:r>
      <w:r w:rsidR="004174BF" w:rsidRPr="00866551">
        <w:t xml:space="preserve">regulatory regimes </w:t>
      </w:r>
      <w:proofErr w:type="gramStart"/>
      <w:r w:rsidR="004174BF" w:rsidRPr="00866551">
        <w:t>in order to</w:t>
      </w:r>
      <w:proofErr w:type="gramEnd"/>
      <w:r w:rsidR="004174BF" w:rsidRPr="00866551">
        <w:t xml:space="preserve"> minimize transaction costs, which, in turn, is sometimes said to create a</w:t>
      </w:r>
      <w:r>
        <w:t xml:space="preserve"> “</w:t>
      </w:r>
      <w:r w:rsidR="004174BF" w:rsidRPr="00866551">
        <w:t>race to the</w:t>
      </w:r>
      <w:r w:rsidR="004174BF">
        <w:t xml:space="preserve"> </w:t>
      </w:r>
      <w:r w:rsidR="004174BF" w:rsidRPr="00866551">
        <w:t>top</w:t>
      </w:r>
      <w:r>
        <w:t>”</w:t>
      </w:r>
      <w:r w:rsidR="004174BF" w:rsidRPr="00866551">
        <w:t xml:space="preserve"> as regulators adopt more efficient laws</w:t>
      </w:r>
      <w:r w:rsidR="004174BF" w:rsidRPr="00866551">
        <w:rPr>
          <w:b/>
          <w:bCs/>
        </w:rPr>
        <w:t xml:space="preserve">. </w:t>
      </w:r>
      <w:r w:rsidR="004174BF" w:rsidRPr="00866551">
        <w:t>But the presence of regulatory arbitrage distorts the process, leading to</w:t>
      </w:r>
      <w:r w:rsidR="004174BF">
        <w:t xml:space="preserve"> </w:t>
      </w:r>
      <w:r w:rsidR="004174BF" w:rsidRPr="00866551">
        <w:t>results that are inefficient in the short run and indeterminate in the long run. Because parties may choose to adopt a</w:t>
      </w:r>
      <w:r w:rsidR="004174BF">
        <w:t xml:space="preserve"> </w:t>
      </w:r>
      <w:r w:rsidR="004174BF" w:rsidRPr="00866551">
        <w:t>legal form either because it minimizes transaction costs or because it minimizes regulatory costs, or some combination</w:t>
      </w:r>
      <w:r w:rsidR="004174BF">
        <w:t xml:space="preserve"> </w:t>
      </w:r>
      <w:r w:rsidR="004174BF" w:rsidRPr="00866551">
        <w:t>of both, it</w:t>
      </w:r>
      <w:r w:rsidR="004174BF">
        <w:t>’</w:t>
      </w:r>
      <w:r w:rsidR="004174BF" w:rsidRPr="00866551">
        <w:t>s difficult to know whether new legal forms increase or decrease the overall efficiency of the system. When</w:t>
      </w:r>
      <w:r w:rsidR="004174BF">
        <w:t xml:space="preserve"> </w:t>
      </w:r>
      <w:r w:rsidR="004174BF" w:rsidRPr="00866551">
        <w:t>new forms are chosen because they reduce transaction costs, legal innovation presumptively increases efficiency. But</w:t>
      </w:r>
      <w:r w:rsidR="004174BF">
        <w:t xml:space="preserve"> </w:t>
      </w:r>
      <w:r w:rsidR="004174BF" w:rsidRPr="00866551">
        <w:t>when new forms are chosen because they reduce regulatory costs and increase transaction costs compared to the old</w:t>
      </w:r>
      <w:r w:rsidR="004174BF">
        <w:t xml:space="preserve"> </w:t>
      </w:r>
      <w:r w:rsidR="004174BF" w:rsidRPr="00866551">
        <w:t>structure, we lose twice: efficiency is reduced by the increase in transaction costs, and the regulatory burden is shifted</w:t>
      </w:r>
      <w:r w:rsidR="004174BF">
        <w:t xml:space="preserve"> </w:t>
      </w:r>
      <w:r w:rsidR="004174BF" w:rsidRPr="00866551">
        <w:t>onto those who cannot engage in arbitrage.</w:t>
      </w:r>
      <w:r w:rsidR="004174BF">
        <w:t>”</w:t>
      </w:r>
      <w:r w:rsidR="004174BF" w:rsidRPr="00866551">
        <w:t xml:space="preserve"> </w:t>
      </w:r>
    </w:p>
    <w:p w14:paraId="10731041" w14:textId="6EBC371F" w:rsidR="004174BF" w:rsidRDefault="004174BF" w:rsidP="004174BF">
      <w:pPr>
        <w:pStyle w:val="FootnoteText"/>
      </w:pPr>
      <w:r w:rsidRPr="00866551">
        <w:t>FLEISCHER 2010, pp. 274-275.</w:t>
      </w:r>
    </w:p>
  </w:footnote>
  <w:footnote w:id="101">
    <w:p w14:paraId="294353BF" w14:textId="77777777" w:rsidR="004174BF" w:rsidRDefault="004174BF" w:rsidP="004174BF">
      <w:pPr>
        <w:pStyle w:val="FootnoteText"/>
      </w:pPr>
      <w:r>
        <w:rPr>
          <w:rStyle w:val="FootnoteReference"/>
        </w:rPr>
        <w:footnoteRef/>
      </w:r>
      <w:r>
        <w:t xml:space="preserve"> Regulatory arbitrage, According to Posner “refers to the practice of firms’ configuring their business in such a way as to bring them within the regulatory jurisdiction of an agency likely to favor the firm, perhaps because the agency is supported by fees of the firms it regulates and therefore, to increase its budget, seeks to entice firms by an implicit promise of lighter regulation.” POSNER 2014, p. 856.</w:t>
      </w:r>
    </w:p>
  </w:footnote>
  <w:footnote w:id="102">
    <w:p w14:paraId="16F0A0D4" w14:textId="77777777" w:rsidR="004174BF" w:rsidRDefault="004174BF" w:rsidP="004174BF">
      <w:pPr>
        <w:pStyle w:val="FootnoteText"/>
      </w:pPr>
      <w:r>
        <w:rPr>
          <w:rStyle w:val="FootnoteReference"/>
        </w:rPr>
        <w:footnoteRef/>
      </w:r>
      <w:r>
        <w:t xml:space="preserve"> FLEISCHER 2010, p. 229.</w:t>
      </w:r>
    </w:p>
  </w:footnote>
  <w:footnote w:id="103">
    <w:p w14:paraId="523F51B5" w14:textId="79691428" w:rsidR="00112EA7" w:rsidRDefault="00112EA7">
      <w:pPr>
        <w:pStyle w:val="FootnoteText"/>
      </w:pPr>
      <w:r>
        <w:rPr>
          <w:rStyle w:val="FootnoteReference"/>
        </w:rPr>
        <w:footnoteRef/>
      </w:r>
      <w:r>
        <w:t xml:space="preserve"> </w:t>
      </w:r>
      <w:r w:rsidRPr="00112EA7">
        <w:t>Ogus, Anthony. "Regulatory institutions and structures." </w:t>
      </w:r>
      <w:r w:rsidRPr="00112EA7">
        <w:rPr>
          <w:i/>
          <w:iCs/>
        </w:rPr>
        <w:t>Annals of Public and Cooperative Economics</w:t>
      </w:r>
      <w:r w:rsidRPr="00112EA7">
        <w:t xml:space="preserve"> 73.4 (2002): </w:t>
      </w:r>
      <w:r>
        <w:t xml:space="preserve">p. 629. </w:t>
      </w:r>
    </w:p>
  </w:footnote>
  <w:footnote w:id="104">
    <w:p w14:paraId="711760CB" w14:textId="77777777" w:rsidR="00112EA7" w:rsidRDefault="00112EA7" w:rsidP="00112EA7">
      <w:pPr>
        <w:pStyle w:val="FootnoteText"/>
      </w:pPr>
      <w:r>
        <w:rPr>
          <w:rStyle w:val="FootnoteReference"/>
        </w:rPr>
        <w:footnoteRef/>
      </w:r>
      <w:r>
        <w:t xml:space="preserve"> </w:t>
      </w:r>
      <w:r>
        <w:t>COASE 1960. R.H. Coase, "The Problem of Social Cost" (1960) The Journal of Law and</w:t>
      </w:r>
    </w:p>
    <w:p w14:paraId="51563B21" w14:textId="28E94EB9" w:rsidR="00112EA7" w:rsidRDefault="00112EA7" w:rsidP="00112EA7">
      <w:pPr>
        <w:pStyle w:val="FootnoteText"/>
      </w:pPr>
      <w:r>
        <w:t>Economics, 3, no. (</w:t>
      </w:r>
      <w:proofErr w:type="gramStart"/>
      <w:r>
        <w:t>Oct.,</w:t>
      </w:r>
      <w:proofErr w:type="gramEnd"/>
      <w:r>
        <w:t xml:space="preserve"> 1960), pp. 1-44.</w:t>
      </w:r>
    </w:p>
  </w:footnote>
  <w:footnote w:id="105">
    <w:p w14:paraId="465AFF89" w14:textId="22753BE6" w:rsidR="001E3212" w:rsidRDefault="001E3212">
      <w:pPr>
        <w:pStyle w:val="FootnoteText"/>
      </w:pPr>
      <w:r>
        <w:rPr>
          <w:rStyle w:val="FootnoteReference"/>
        </w:rPr>
        <w:footnoteRef/>
      </w:r>
      <w:r>
        <w:t xml:space="preserve"> According to Ogus, “private solutions should take priority because they allow those adversely affected to have their grievances addressed directly, without the heavy hand of state intervention.” </w:t>
      </w:r>
      <w:proofErr w:type="gramStart"/>
      <w:r w:rsidRPr="001E3212">
        <w:t>Ogus</w:t>
      </w:r>
      <w:proofErr w:type="gramEnd"/>
      <w:r w:rsidRPr="001E3212">
        <w:t>, Anthony. "Regulatory institutions and structures." </w:t>
      </w:r>
      <w:r w:rsidRPr="001E3212">
        <w:rPr>
          <w:i/>
          <w:iCs/>
        </w:rPr>
        <w:t>Annals of Public and Cooperative Economics</w:t>
      </w:r>
      <w:r w:rsidRPr="001E3212">
        <w:t> 73.4 (2002):</w:t>
      </w:r>
      <w:r>
        <w:t xml:space="preserve"> p. 630. </w:t>
      </w:r>
    </w:p>
  </w:footnote>
  <w:footnote w:id="106">
    <w:p w14:paraId="04E91080" w14:textId="69C15F3B" w:rsidR="00FD4516" w:rsidRDefault="00FD4516">
      <w:pPr>
        <w:pStyle w:val="FootnoteText"/>
      </w:pPr>
      <w:r>
        <w:rPr>
          <w:rStyle w:val="FootnoteReference"/>
        </w:rPr>
        <w:footnoteRef/>
      </w:r>
      <w:r>
        <w:t xml:space="preserve"> According to Ogus, good regulation has two distinct dimensions, the first being it “should be appropriate in light of the economic and social justifications for intervention and of the predicted impact on the regulated community” and second “</w:t>
      </w:r>
      <w:r w:rsidR="00112EA7">
        <w:t xml:space="preserve">procedures or processes by which the instruments are formulated and applied” must ensure that “expertise, transparency, and accountability” promote “legitimacy within the community it serves.” </w:t>
      </w:r>
      <w:r w:rsidR="00112EA7" w:rsidRPr="00112EA7">
        <w:t xml:space="preserve">Ogus, Anthony. "Regulatory institutions and structures." Annals of Public and Cooperative Economics 73.4 (2002): </w:t>
      </w:r>
      <w:r w:rsidR="00112EA7">
        <w:t xml:space="preserve">p. 628. </w:t>
      </w:r>
    </w:p>
  </w:footnote>
  <w:footnote w:id="107">
    <w:p w14:paraId="15D5FB9A" w14:textId="5CF131DF" w:rsidR="001E3212" w:rsidRDefault="001E3212" w:rsidP="001E3212">
      <w:pPr>
        <w:pStyle w:val="FootnoteText"/>
      </w:pPr>
      <w:r>
        <w:rPr>
          <w:rStyle w:val="FootnoteReference"/>
        </w:rPr>
        <w:footnoteRef/>
      </w:r>
      <w:r>
        <w:t xml:space="preserve"> For a discussion of unintended consequences in the law see: </w:t>
      </w:r>
      <w:r w:rsidRPr="001E3212">
        <w:t xml:space="preserve">SIEBERT 2001. H. Siebert, </w:t>
      </w:r>
      <w:r w:rsidRPr="001E3212">
        <w:rPr>
          <w:i/>
          <w:iCs/>
        </w:rPr>
        <w:t>Der Kobra-</w:t>
      </w:r>
      <w:proofErr w:type="spellStart"/>
      <w:r w:rsidRPr="001E3212">
        <w:rPr>
          <w:i/>
          <w:iCs/>
        </w:rPr>
        <w:t>Effekt</w:t>
      </w:r>
      <w:proofErr w:type="spellEnd"/>
      <w:r w:rsidRPr="001E3212">
        <w:rPr>
          <w:i/>
          <w:iCs/>
        </w:rPr>
        <w:t xml:space="preserve">: Wie man </w:t>
      </w:r>
      <w:proofErr w:type="spellStart"/>
      <w:r w:rsidRPr="001E3212">
        <w:rPr>
          <w:i/>
          <w:iCs/>
        </w:rPr>
        <w:t>Irrwege</w:t>
      </w:r>
      <w:proofErr w:type="spellEnd"/>
      <w:r w:rsidRPr="001E3212">
        <w:rPr>
          <w:i/>
          <w:iCs/>
        </w:rPr>
        <w:t xml:space="preserve"> der </w:t>
      </w:r>
      <w:proofErr w:type="spellStart"/>
      <w:r w:rsidRPr="001E3212">
        <w:rPr>
          <w:i/>
          <w:iCs/>
        </w:rPr>
        <w:t>Wirtschaftspolitik</w:t>
      </w:r>
      <w:proofErr w:type="spellEnd"/>
      <w:r>
        <w:rPr>
          <w:i/>
          <w:iCs/>
        </w:rPr>
        <w:t xml:space="preserve"> </w:t>
      </w:r>
      <w:proofErr w:type="spellStart"/>
      <w:r w:rsidRPr="001E3212">
        <w:rPr>
          <w:i/>
          <w:iCs/>
        </w:rPr>
        <w:t>vermeidet</w:t>
      </w:r>
      <w:proofErr w:type="spellEnd"/>
      <w:r w:rsidRPr="001E3212">
        <w:t>. (2001) Dt. Verlag-</w:t>
      </w:r>
      <w:proofErr w:type="spellStart"/>
      <w:r w:rsidRPr="001E3212">
        <w:t>Anst</w:t>
      </w:r>
      <w:proofErr w:type="spellEnd"/>
      <w:r w:rsidRPr="001E3212">
        <w:t>.</w:t>
      </w:r>
    </w:p>
  </w:footnote>
  <w:footnote w:id="108">
    <w:p w14:paraId="58FC08A0" w14:textId="47E879AD" w:rsidR="008B7FAA" w:rsidRDefault="008B7FAA" w:rsidP="008B7FAA">
      <w:pPr>
        <w:pStyle w:val="FootnoteText"/>
      </w:pPr>
      <w:r>
        <w:rPr>
          <w:rStyle w:val="FootnoteReference"/>
        </w:rPr>
        <w:footnoteRef/>
      </w:r>
      <w:r>
        <w:t xml:space="preserve"> Individuals are often unable to accurately account for risks due to behavioral bias which tends toward risk aversion. According to Ogus “</w:t>
      </w:r>
      <w:r>
        <w:t>The ‘bounded rationality’ of individuals may constitute a</w:t>
      </w:r>
    </w:p>
    <w:p w14:paraId="2B71E562" w14:textId="2BE72181" w:rsidR="008B7FAA" w:rsidRDefault="008B7FAA" w:rsidP="008B7FAA">
      <w:pPr>
        <w:pStyle w:val="FootnoteText"/>
      </w:pPr>
      <w:r>
        <w:t>further obstacle: there is evidence that individuals tend to</w:t>
      </w:r>
      <w:r>
        <w:t xml:space="preserve"> </w:t>
      </w:r>
      <w:r>
        <w:t>overestimate risks associated with low-probability events and</w:t>
      </w:r>
      <w:r>
        <w:t xml:space="preserve"> </w:t>
      </w:r>
      <w:r>
        <w:t>underestimate those arising from higher-probability events.</w:t>
      </w:r>
      <w:r>
        <w:t>”</w:t>
      </w:r>
      <w:r w:rsidRPr="008B7FAA">
        <w:rPr>
          <w:sz w:val="24"/>
          <w:szCs w:val="24"/>
        </w:rPr>
        <w:t xml:space="preserve"> </w:t>
      </w:r>
      <w:r w:rsidRPr="008B7FAA">
        <w:t>OGUS, p 634.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72F2F5" w14:textId="2E2A7F6A" w:rsidR="0080664B" w:rsidRDefault="00000000">
    <w:pPr>
      <w:pStyle w:val="Header"/>
    </w:pPr>
    <w:r>
      <w:rPr>
        <w:noProof/>
      </w:rPr>
      <w:pict w14:anchorId="53819B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554251" o:spid="_x0000_s1026" type="#_x0000_t136" style="position:absolute;margin-left:0;margin-top:0;width:518.4pt;height:141.35pt;rotation:315;z-index:-251655168;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374B1" w14:textId="706F22EB" w:rsidR="0080664B" w:rsidRDefault="00000000">
    <w:pPr>
      <w:pStyle w:val="Header"/>
    </w:pPr>
    <w:r>
      <w:rPr>
        <w:noProof/>
      </w:rPr>
      <w:pict w14:anchorId="5F7D99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554252" o:spid="_x0000_s1027" type="#_x0000_t136" style="position:absolute;margin-left:0;margin-top:0;width:518.4pt;height:141.35pt;rotation:315;z-index:-251653120;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AEF1" w14:textId="0D203D94" w:rsidR="0080664B" w:rsidRDefault="00000000">
    <w:pPr>
      <w:pStyle w:val="Header"/>
    </w:pPr>
    <w:r>
      <w:rPr>
        <w:noProof/>
      </w:rPr>
      <w:pict w14:anchorId="4A67D9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5554250" o:spid="_x0000_s1025" type="#_x0000_t136" style="position:absolute;margin-left:0;margin-top:0;width:518.4pt;height:141.35pt;rotation:315;z-index:-251657216;mso-position-horizontal:center;mso-position-horizontal-relative:margin;mso-position-vertical:center;mso-position-vertical-relative:margin" o:allowincell="f" fillcolor="silver" stroked="f">
          <v:fill opacity=".5"/>
          <v:textpath style="font-family:&quot;Calibri&quot;;font-size:1pt" string="working pape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F3D61"/>
    <w:multiLevelType w:val="hybridMultilevel"/>
    <w:tmpl w:val="C878385C"/>
    <w:lvl w:ilvl="0" w:tplc="BE323D9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E9917BA"/>
    <w:multiLevelType w:val="hybridMultilevel"/>
    <w:tmpl w:val="224AD978"/>
    <w:lvl w:ilvl="0" w:tplc="F10870E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25F53A1"/>
    <w:multiLevelType w:val="hybridMultilevel"/>
    <w:tmpl w:val="FF60CBA8"/>
    <w:lvl w:ilvl="0" w:tplc="04D0EC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9B002DE"/>
    <w:multiLevelType w:val="hybridMultilevel"/>
    <w:tmpl w:val="0E1EEB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743015"/>
    <w:multiLevelType w:val="multilevel"/>
    <w:tmpl w:val="A350E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EAB5C1A"/>
    <w:multiLevelType w:val="hybridMultilevel"/>
    <w:tmpl w:val="3F840FC2"/>
    <w:lvl w:ilvl="0" w:tplc="45568636">
      <w:start w:val="2"/>
      <w:numFmt w:val="bullet"/>
      <w:lvlText w:val="-"/>
      <w:lvlJc w:val="left"/>
      <w:pPr>
        <w:ind w:left="1080" w:hanging="360"/>
      </w:pPr>
      <w:rPr>
        <w:rFonts w:ascii="Aptos" w:eastAsiaTheme="minorEastAsia" w:hAnsi="Apto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DE33CC0"/>
    <w:multiLevelType w:val="hybridMultilevel"/>
    <w:tmpl w:val="FFEC94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9327BE"/>
    <w:multiLevelType w:val="hybridMultilevel"/>
    <w:tmpl w:val="C59ECD16"/>
    <w:lvl w:ilvl="0" w:tplc="ACE0A3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F5546E6"/>
    <w:multiLevelType w:val="hybridMultilevel"/>
    <w:tmpl w:val="F518305A"/>
    <w:lvl w:ilvl="0" w:tplc="CC3005D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06878D3"/>
    <w:multiLevelType w:val="hybridMultilevel"/>
    <w:tmpl w:val="E67EF512"/>
    <w:lvl w:ilvl="0" w:tplc="4D0053D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4A55F3D"/>
    <w:multiLevelType w:val="hybridMultilevel"/>
    <w:tmpl w:val="6242F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179CF"/>
    <w:multiLevelType w:val="hybridMultilevel"/>
    <w:tmpl w:val="498E26E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4440398">
    <w:abstractNumId w:val="3"/>
  </w:num>
  <w:num w:numId="2" w16cid:durableId="289438191">
    <w:abstractNumId w:val="11"/>
  </w:num>
  <w:num w:numId="3" w16cid:durableId="465896884">
    <w:abstractNumId w:val="1"/>
  </w:num>
  <w:num w:numId="4" w16cid:durableId="1251742257">
    <w:abstractNumId w:val="2"/>
  </w:num>
  <w:num w:numId="5" w16cid:durableId="678774100">
    <w:abstractNumId w:val="0"/>
  </w:num>
  <w:num w:numId="6" w16cid:durableId="1300840969">
    <w:abstractNumId w:val="9"/>
  </w:num>
  <w:num w:numId="7" w16cid:durableId="81487661">
    <w:abstractNumId w:val="8"/>
  </w:num>
  <w:num w:numId="8" w16cid:durableId="1068112782">
    <w:abstractNumId w:val="7"/>
  </w:num>
  <w:num w:numId="9" w16cid:durableId="445001473">
    <w:abstractNumId w:val="6"/>
  </w:num>
  <w:num w:numId="10" w16cid:durableId="68431718">
    <w:abstractNumId w:val="4"/>
  </w:num>
  <w:num w:numId="11" w16cid:durableId="916473794">
    <w:abstractNumId w:val="5"/>
  </w:num>
  <w:num w:numId="12" w16cid:durableId="19674717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3CA"/>
    <w:rsid w:val="000045EB"/>
    <w:rsid w:val="0002053B"/>
    <w:rsid w:val="00031738"/>
    <w:rsid w:val="00046E7B"/>
    <w:rsid w:val="000545B9"/>
    <w:rsid w:val="000557C8"/>
    <w:rsid w:val="00055AE9"/>
    <w:rsid w:val="000639E0"/>
    <w:rsid w:val="0006766C"/>
    <w:rsid w:val="00093C68"/>
    <w:rsid w:val="00094E06"/>
    <w:rsid w:val="00095063"/>
    <w:rsid w:val="000A4BE7"/>
    <w:rsid w:val="000C194E"/>
    <w:rsid w:val="000C2B16"/>
    <w:rsid w:val="000C6EAF"/>
    <w:rsid w:val="000C6ED5"/>
    <w:rsid w:val="000E09B8"/>
    <w:rsid w:val="000E5C5B"/>
    <w:rsid w:val="0010166C"/>
    <w:rsid w:val="0010178B"/>
    <w:rsid w:val="00102B5C"/>
    <w:rsid w:val="00112EA7"/>
    <w:rsid w:val="00114240"/>
    <w:rsid w:val="001206C2"/>
    <w:rsid w:val="00131F82"/>
    <w:rsid w:val="0013615E"/>
    <w:rsid w:val="001405D7"/>
    <w:rsid w:val="00142F74"/>
    <w:rsid w:val="00143470"/>
    <w:rsid w:val="00155403"/>
    <w:rsid w:val="00156162"/>
    <w:rsid w:val="00160809"/>
    <w:rsid w:val="00160A33"/>
    <w:rsid w:val="00167BF1"/>
    <w:rsid w:val="00194759"/>
    <w:rsid w:val="001A180F"/>
    <w:rsid w:val="001A3294"/>
    <w:rsid w:val="001B0274"/>
    <w:rsid w:val="001B0CD8"/>
    <w:rsid w:val="001B2026"/>
    <w:rsid w:val="001B45BD"/>
    <w:rsid w:val="001C414F"/>
    <w:rsid w:val="001E3212"/>
    <w:rsid w:val="001F4928"/>
    <w:rsid w:val="001F6025"/>
    <w:rsid w:val="002174D3"/>
    <w:rsid w:val="00236D89"/>
    <w:rsid w:val="002404BC"/>
    <w:rsid w:val="0025029F"/>
    <w:rsid w:val="00253279"/>
    <w:rsid w:val="00271462"/>
    <w:rsid w:val="00276CAE"/>
    <w:rsid w:val="002835A8"/>
    <w:rsid w:val="00291B54"/>
    <w:rsid w:val="002B4290"/>
    <w:rsid w:val="002C155F"/>
    <w:rsid w:val="002C363C"/>
    <w:rsid w:val="002C539D"/>
    <w:rsid w:val="002C5CD9"/>
    <w:rsid w:val="002D082A"/>
    <w:rsid w:val="002E0142"/>
    <w:rsid w:val="002E2FBF"/>
    <w:rsid w:val="002F3492"/>
    <w:rsid w:val="0031005F"/>
    <w:rsid w:val="00325C2D"/>
    <w:rsid w:val="0032665D"/>
    <w:rsid w:val="0033252D"/>
    <w:rsid w:val="00350A5D"/>
    <w:rsid w:val="003515C0"/>
    <w:rsid w:val="003618A9"/>
    <w:rsid w:val="00367859"/>
    <w:rsid w:val="003846EF"/>
    <w:rsid w:val="003873CA"/>
    <w:rsid w:val="00395B2E"/>
    <w:rsid w:val="003D33B5"/>
    <w:rsid w:val="003D605C"/>
    <w:rsid w:val="003F352E"/>
    <w:rsid w:val="003F4319"/>
    <w:rsid w:val="0040524C"/>
    <w:rsid w:val="00415345"/>
    <w:rsid w:val="004174BF"/>
    <w:rsid w:val="0042165C"/>
    <w:rsid w:val="00434112"/>
    <w:rsid w:val="004567AF"/>
    <w:rsid w:val="004569D4"/>
    <w:rsid w:val="0048567D"/>
    <w:rsid w:val="004A257D"/>
    <w:rsid w:val="004E6869"/>
    <w:rsid w:val="004F3FD0"/>
    <w:rsid w:val="00500EE2"/>
    <w:rsid w:val="00511085"/>
    <w:rsid w:val="00524291"/>
    <w:rsid w:val="00526CA6"/>
    <w:rsid w:val="00527CD0"/>
    <w:rsid w:val="00536494"/>
    <w:rsid w:val="005452FB"/>
    <w:rsid w:val="00546604"/>
    <w:rsid w:val="00546F90"/>
    <w:rsid w:val="00554623"/>
    <w:rsid w:val="00554C32"/>
    <w:rsid w:val="00555A10"/>
    <w:rsid w:val="00562217"/>
    <w:rsid w:val="00564D9E"/>
    <w:rsid w:val="00565A1D"/>
    <w:rsid w:val="00570823"/>
    <w:rsid w:val="00583760"/>
    <w:rsid w:val="005857AF"/>
    <w:rsid w:val="00593E60"/>
    <w:rsid w:val="005B1819"/>
    <w:rsid w:val="005B216A"/>
    <w:rsid w:val="005C370C"/>
    <w:rsid w:val="005D0A89"/>
    <w:rsid w:val="005D3427"/>
    <w:rsid w:val="005E0939"/>
    <w:rsid w:val="005F5681"/>
    <w:rsid w:val="00601F9F"/>
    <w:rsid w:val="00613C80"/>
    <w:rsid w:val="00622565"/>
    <w:rsid w:val="0062384E"/>
    <w:rsid w:val="00635BA1"/>
    <w:rsid w:val="00647C2B"/>
    <w:rsid w:val="00650A0B"/>
    <w:rsid w:val="00661C89"/>
    <w:rsid w:val="00662D60"/>
    <w:rsid w:val="006669A7"/>
    <w:rsid w:val="00670363"/>
    <w:rsid w:val="00677B42"/>
    <w:rsid w:val="00691686"/>
    <w:rsid w:val="006A06E7"/>
    <w:rsid w:val="006B4F4C"/>
    <w:rsid w:val="006D2042"/>
    <w:rsid w:val="006D4351"/>
    <w:rsid w:val="006D43E5"/>
    <w:rsid w:val="006E1BA1"/>
    <w:rsid w:val="006F064F"/>
    <w:rsid w:val="006F7D1B"/>
    <w:rsid w:val="00703F0A"/>
    <w:rsid w:val="00706BC9"/>
    <w:rsid w:val="0071403E"/>
    <w:rsid w:val="00714417"/>
    <w:rsid w:val="00726846"/>
    <w:rsid w:val="007362AA"/>
    <w:rsid w:val="00737183"/>
    <w:rsid w:val="007415E9"/>
    <w:rsid w:val="007455F3"/>
    <w:rsid w:val="007473C6"/>
    <w:rsid w:val="00760E7F"/>
    <w:rsid w:val="00767C42"/>
    <w:rsid w:val="00770E6D"/>
    <w:rsid w:val="00782897"/>
    <w:rsid w:val="007845AF"/>
    <w:rsid w:val="00797242"/>
    <w:rsid w:val="007A3F06"/>
    <w:rsid w:val="007B1B25"/>
    <w:rsid w:val="007B76E8"/>
    <w:rsid w:val="007C3A3B"/>
    <w:rsid w:val="007C5B95"/>
    <w:rsid w:val="007D4C1C"/>
    <w:rsid w:val="007E1B63"/>
    <w:rsid w:val="007E5B62"/>
    <w:rsid w:val="0080664B"/>
    <w:rsid w:val="00814565"/>
    <w:rsid w:val="008401DD"/>
    <w:rsid w:val="00846664"/>
    <w:rsid w:val="00846CEF"/>
    <w:rsid w:val="008507E6"/>
    <w:rsid w:val="00851418"/>
    <w:rsid w:val="00856B24"/>
    <w:rsid w:val="00866551"/>
    <w:rsid w:val="0088037B"/>
    <w:rsid w:val="00882759"/>
    <w:rsid w:val="008A1B3B"/>
    <w:rsid w:val="008B7FAA"/>
    <w:rsid w:val="008C11A1"/>
    <w:rsid w:val="008C7261"/>
    <w:rsid w:val="008E79FA"/>
    <w:rsid w:val="008F772A"/>
    <w:rsid w:val="00904728"/>
    <w:rsid w:val="009236F5"/>
    <w:rsid w:val="00930147"/>
    <w:rsid w:val="00943DC0"/>
    <w:rsid w:val="00955CAB"/>
    <w:rsid w:val="0098027C"/>
    <w:rsid w:val="00991ABC"/>
    <w:rsid w:val="00997C39"/>
    <w:rsid w:val="009A3913"/>
    <w:rsid w:val="009B05AC"/>
    <w:rsid w:val="009B723B"/>
    <w:rsid w:val="009D5C0F"/>
    <w:rsid w:val="009E68DA"/>
    <w:rsid w:val="009E7155"/>
    <w:rsid w:val="009F27E9"/>
    <w:rsid w:val="00A02423"/>
    <w:rsid w:val="00A0737F"/>
    <w:rsid w:val="00A21AB6"/>
    <w:rsid w:val="00A2340E"/>
    <w:rsid w:val="00A23700"/>
    <w:rsid w:val="00A56740"/>
    <w:rsid w:val="00A65646"/>
    <w:rsid w:val="00A86432"/>
    <w:rsid w:val="00A929C2"/>
    <w:rsid w:val="00AA401B"/>
    <w:rsid w:val="00AA76BA"/>
    <w:rsid w:val="00AD6194"/>
    <w:rsid w:val="00AD7ADB"/>
    <w:rsid w:val="00AE7D6E"/>
    <w:rsid w:val="00AF367B"/>
    <w:rsid w:val="00AF4144"/>
    <w:rsid w:val="00B13E3B"/>
    <w:rsid w:val="00B3204C"/>
    <w:rsid w:val="00B52ABC"/>
    <w:rsid w:val="00B66E6A"/>
    <w:rsid w:val="00B67295"/>
    <w:rsid w:val="00B73137"/>
    <w:rsid w:val="00B7343A"/>
    <w:rsid w:val="00B80FAE"/>
    <w:rsid w:val="00B92425"/>
    <w:rsid w:val="00B948F7"/>
    <w:rsid w:val="00BA2EE7"/>
    <w:rsid w:val="00BB1B8A"/>
    <w:rsid w:val="00BB2650"/>
    <w:rsid w:val="00BB433A"/>
    <w:rsid w:val="00BB7236"/>
    <w:rsid w:val="00BC05FA"/>
    <w:rsid w:val="00BD709E"/>
    <w:rsid w:val="00BD7891"/>
    <w:rsid w:val="00BE7A1B"/>
    <w:rsid w:val="00C04170"/>
    <w:rsid w:val="00C32F52"/>
    <w:rsid w:val="00C34730"/>
    <w:rsid w:val="00C37394"/>
    <w:rsid w:val="00C47663"/>
    <w:rsid w:val="00C50206"/>
    <w:rsid w:val="00C81789"/>
    <w:rsid w:val="00C872C3"/>
    <w:rsid w:val="00C93217"/>
    <w:rsid w:val="00CA7808"/>
    <w:rsid w:val="00CB67ED"/>
    <w:rsid w:val="00CB7D01"/>
    <w:rsid w:val="00CC6E2E"/>
    <w:rsid w:val="00CC7385"/>
    <w:rsid w:val="00CD40C7"/>
    <w:rsid w:val="00CE0726"/>
    <w:rsid w:val="00CE0905"/>
    <w:rsid w:val="00D00C85"/>
    <w:rsid w:val="00D258FD"/>
    <w:rsid w:val="00D44831"/>
    <w:rsid w:val="00D51FF7"/>
    <w:rsid w:val="00D563E1"/>
    <w:rsid w:val="00D614EA"/>
    <w:rsid w:val="00D63E8C"/>
    <w:rsid w:val="00D736E2"/>
    <w:rsid w:val="00D75E71"/>
    <w:rsid w:val="00D8003F"/>
    <w:rsid w:val="00D834BE"/>
    <w:rsid w:val="00DA0189"/>
    <w:rsid w:val="00DC5C4E"/>
    <w:rsid w:val="00DD580F"/>
    <w:rsid w:val="00DE5E0A"/>
    <w:rsid w:val="00E1269F"/>
    <w:rsid w:val="00E26974"/>
    <w:rsid w:val="00E31F92"/>
    <w:rsid w:val="00E41C9E"/>
    <w:rsid w:val="00E47CD6"/>
    <w:rsid w:val="00E55B29"/>
    <w:rsid w:val="00E55C49"/>
    <w:rsid w:val="00E743F6"/>
    <w:rsid w:val="00E80B6D"/>
    <w:rsid w:val="00E84718"/>
    <w:rsid w:val="00E86DFD"/>
    <w:rsid w:val="00E92890"/>
    <w:rsid w:val="00E9335B"/>
    <w:rsid w:val="00EB4902"/>
    <w:rsid w:val="00EC1042"/>
    <w:rsid w:val="00EC3D2D"/>
    <w:rsid w:val="00EC6484"/>
    <w:rsid w:val="00EC73D8"/>
    <w:rsid w:val="00ED0C4C"/>
    <w:rsid w:val="00EF5A22"/>
    <w:rsid w:val="00F02EB0"/>
    <w:rsid w:val="00F06E22"/>
    <w:rsid w:val="00F11B5A"/>
    <w:rsid w:val="00F23189"/>
    <w:rsid w:val="00F272CD"/>
    <w:rsid w:val="00F42560"/>
    <w:rsid w:val="00F44AD7"/>
    <w:rsid w:val="00F52443"/>
    <w:rsid w:val="00F66962"/>
    <w:rsid w:val="00F71374"/>
    <w:rsid w:val="00FB733D"/>
    <w:rsid w:val="00FD27C3"/>
    <w:rsid w:val="00FD4516"/>
    <w:rsid w:val="00FF0B3E"/>
    <w:rsid w:val="00FF2135"/>
    <w:rsid w:val="00FF6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1EC71"/>
  <w15:chartTrackingRefBased/>
  <w15:docId w15:val="{6B303FFB-8980-46A9-9925-36B4DF3B8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7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3CA"/>
    <w:rPr>
      <w:rFonts w:eastAsiaTheme="majorEastAsia" w:cstheme="majorBidi"/>
      <w:color w:val="272727" w:themeColor="text1" w:themeTint="D8"/>
    </w:rPr>
  </w:style>
  <w:style w:type="paragraph" w:styleId="Title">
    <w:name w:val="Title"/>
    <w:basedOn w:val="Normal"/>
    <w:next w:val="Normal"/>
    <w:link w:val="TitleChar"/>
    <w:uiPriority w:val="10"/>
    <w:qFormat/>
    <w:rsid w:val="00387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3CA"/>
    <w:pPr>
      <w:spacing w:before="160"/>
      <w:jc w:val="center"/>
    </w:pPr>
    <w:rPr>
      <w:i/>
      <w:iCs/>
      <w:color w:val="404040" w:themeColor="text1" w:themeTint="BF"/>
    </w:rPr>
  </w:style>
  <w:style w:type="character" w:customStyle="1" w:styleId="QuoteChar">
    <w:name w:val="Quote Char"/>
    <w:basedOn w:val="DefaultParagraphFont"/>
    <w:link w:val="Quote"/>
    <w:uiPriority w:val="29"/>
    <w:rsid w:val="003873CA"/>
    <w:rPr>
      <w:i/>
      <w:iCs/>
      <w:color w:val="404040" w:themeColor="text1" w:themeTint="BF"/>
    </w:rPr>
  </w:style>
  <w:style w:type="paragraph" w:styleId="ListParagraph">
    <w:name w:val="List Paragraph"/>
    <w:basedOn w:val="Normal"/>
    <w:uiPriority w:val="34"/>
    <w:qFormat/>
    <w:rsid w:val="003873CA"/>
    <w:pPr>
      <w:ind w:left="720"/>
      <w:contextualSpacing/>
    </w:pPr>
  </w:style>
  <w:style w:type="character" w:styleId="IntenseEmphasis">
    <w:name w:val="Intense Emphasis"/>
    <w:basedOn w:val="DefaultParagraphFont"/>
    <w:uiPriority w:val="21"/>
    <w:qFormat/>
    <w:rsid w:val="003873CA"/>
    <w:rPr>
      <w:i/>
      <w:iCs/>
      <w:color w:val="0F4761" w:themeColor="accent1" w:themeShade="BF"/>
    </w:rPr>
  </w:style>
  <w:style w:type="paragraph" w:styleId="IntenseQuote">
    <w:name w:val="Intense Quote"/>
    <w:basedOn w:val="Normal"/>
    <w:next w:val="Normal"/>
    <w:link w:val="IntenseQuoteChar"/>
    <w:uiPriority w:val="30"/>
    <w:qFormat/>
    <w:rsid w:val="00387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3CA"/>
    <w:rPr>
      <w:i/>
      <w:iCs/>
      <w:color w:val="0F4761" w:themeColor="accent1" w:themeShade="BF"/>
    </w:rPr>
  </w:style>
  <w:style w:type="character" w:styleId="IntenseReference">
    <w:name w:val="Intense Reference"/>
    <w:basedOn w:val="DefaultParagraphFont"/>
    <w:uiPriority w:val="32"/>
    <w:qFormat/>
    <w:rsid w:val="003873CA"/>
    <w:rPr>
      <w:b/>
      <w:bCs/>
      <w:smallCaps/>
      <w:color w:val="0F4761" w:themeColor="accent1" w:themeShade="BF"/>
      <w:spacing w:val="5"/>
    </w:rPr>
  </w:style>
  <w:style w:type="paragraph" w:styleId="FootnoteText">
    <w:name w:val="footnote text"/>
    <w:basedOn w:val="Normal"/>
    <w:link w:val="FootnoteTextChar"/>
    <w:uiPriority w:val="99"/>
    <w:unhideWhenUsed/>
    <w:rsid w:val="00564D9E"/>
    <w:pPr>
      <w:spacing w:after="0" w:line="240" w:lineRule="auto"/>
    </w:pPr>
    <w:rPr>
      <w:sz w:val="20"/>
      <w:szCs w:val="20"/>
    </w:rPr>
  </w:style>
  <w:style w:type="character" w:customStyle="1" w:styleId="FootnoteTextChar">
    <w:name w:val="Footnote Text Char"/>
    <w:basedOn w:val="DefaultParagraphFont"/>
    <w:link w:val="FootnoteText"/>
    <w:uiPriority w:val="99"/>
    <w:rsid w:val="00564D9E"/>
    <w:rPr>
      <w:sz w:val="20"/>
      <w:szCs w:val="20"/>
    </w:rPr>
  </w:style>
  <w:style w:type="character" w:styleId="FootnoteReference">
    <w:name w:val="footnote reference"/>
    <w:basedOn w:val="DefaultParagraphFont"/>
    <w:uiPriority w:val="99"/>
    <w:semiHidden/>
    <w:unhideWhenUsed/>
    <w:rsid w:val="00564D9E"/>
    <w:rPr>
      <w:vertAlign w:val="superscript"/>
    </w:rPr>
  </w:style>
  <w:style w:type="paragraph" w:styleId="Header">
    <w:name w:val="header"/>
    <w:basedOn w:val="Normal"/>
    <w:link w:val="HeaderChar"/>
    <w:uiPriority w:val="99"/>
    <w:unhideWhenUsed/>
    <w:rsid w:val="008066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64B"/>
  </w:style>
  <w:style w:type="paragraph" w:styleId="Footer">
    <w:name w:val="footer"/>
    <w:basedOn w:val="Normal"/>
    <w:link w:val="FooterChar"/>
    <w:uiPriority w:val="99"/>
    <w:unhideWhenUsed/>
    <w:rsid w:val="008066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64B"/>
  </w:style>
  <w:style w:type="character" w:styleId="Hyperlink">
    <w:name w:val="Hyperlink"/>
    <w:basedOn w:val="DefaultParagraphFont"/>
    <w:uiPriority w:val="99"/>
    <w:unhideWhenUsed/>
    <w:rsid w:val="00677B42"/>
    <w:rPr>
      <w:color w:val="467886" w:themeColor="hyperlink"/>
      <w:u w:val="single"/>
    </w:rPr>
  </w:style>
  <w:style w:type="character" w:styleId="UnresolvedMention">
    <w:name w:val="Unresolved Mention"/>
    <w:basedOn w:val="DefaultParagraphFont"/>
    <w:uiPriority w:val="99"/>
    <w:semiHidden/>
    <w:unhideWhenUsed/>
    <w:rsid w:val="0067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ai.com/policies/terms-of-use/?utm_source=chatgpt.com" TargetMode="External"/><Relationship Id="rId3" Type="http://schemas.openxmlformats.org/officeDocument/2006/relationships/hyperlink" Target="https://openai.com/policies/terms-of-use/?utm_source=chatgpt.com" TargetMode="External"/><Relationship Id="rId7" Type="http://schemas.openxmlformats.org/officeDocument/2006/relationships/hyperlink" Target="https://openai.com/policies/terms-of-use/?utm_source=chatgpt.com" TargetMode="External"/><Relationship Id="rId2" Type="http://schemas.openxmlformats.org/officeDocument/2006/relationships/hyperlink" Target="https://dx.doi.org/10.2139/ssrn.5650011" TargetMode="External"/><Relationship Id="rId1" Type="http://schemas.openxmlformats.org/officeDocument/2006/relationships/hyperlink" Target="https://ssrn.com/abstract=5650011" TargetMode="External"/><Relationship Id="rId6" Type="http://schemas.openxmlformats.org/officeDocument/2006/relationships/hyperlink" Target="https://openai.com/policies/terms-of-use/?utm_source=chatgpt.com" TargetMode="External"/><Relationship Id="rId5" Type="http://schemas.openxmlformats.org/officeDocument/2006/relationships/hyperlink" Target="https://openai.com/policies/terms-of-use/?utm_source=chatgpt.com" TargetMode="External"/><Relationship Id="rId4" Type="http://schemas.openxmlformats.org/officeDocument/2006/relationships/hyperlink" Target="https://openai.com/policies/terms-of-use/?utm_source=chatgpt.com" TargetMode="External"/><Relationship Id="rId9" Type="http://schemas.openxmlformats.org/officeDocument/2006/relationships/hyperlink" Target="https://www.bloomberglaw.com/external/document/XCN3LDG000000/litigation-comparison-table-federal-court-judicial-standing-or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400A9B-7A94-43E2-86E0-ADA8AC44F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11673</Words>
  <Characters>66542</Characters>
  <Application>Microsoft Office Word</Application>
  <DocSecurity>0</DocSecurity>
  <Lines>554</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Aubrecht</dc:creator>
  <cp:keywords/>
  <dc:description/>
  <cp:lastModifiedBy>Paul Aubrecht</cp:lastModifiedBy>
  <cp:revision>2</cp:revision>
  <cp:lastPrinted>2025-11-24T16:37:00Z</cp:lastPrinted>
  <dcterms:created xsi:type="dcterms:W3CDTF">2025-11-29T23:54:00Z</dcterms:created>
  <dcterms:modified xsi:type="dcterms:W3CDTF">2025-11-29T23:54:00Z</dcterms:modified>
</cp:coreProperties>
</file>