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8B65" w14:textId="54542A4C" w:rsidR="00220E85" w:rsidRDefault="00220E85" w:rsidP="00220E85">
      <w:pPr>
        <w:jc w:val="center"/>
      </w:pPr>
      <w:r>
        <w:t>***Working Paper- Not for Citation***</w:t>
      </w:r>
    </w:p>
    <w:p w14:paraId="5DA0B16F" w14:textId="74341DDD" w:rsidR="009947A2" w:rsidRPr="00367FFA" w:rsidRDefault="009947A2" w:rsidP="009947A2">
      <w:r w:rsidRPr="00367FFA">
        <w:t>Large Language Models, IP Infringement, and the Cost of Doing Business</w:t>
      </w:r>
      <w:r w:rsidR="00F01D62" w:rsidRPr="00367FFA">
        <w:t xml:space="preserve"> Across Borders</w:t>
      </w:r>
      <w:r w:rsidRPr="00367FFA">
        <w:t xml:space="preserve">: A Multidisciplinary approach </w:t>
      </w:r>
      <w:r w:rsidR="004162C3">
        <w:t>for the</w:t>
      </w:r>
      <w:r w:rsidRPr="00367FFA">
        <w:t xml:space="preserve"> use of copyright protected material in the market for artificial intelligence development. </w:t>
      </w:r>
    </w:p>
    <w:p w14:paraId="7537696E" w14:textId="4F58247E" w:rsidR="009947A2" w:rsidRPr="00367FFA" w:rsidRDefault="009947A2" w:rsidP="009947A2">
      <w:r w:rsidRPr="00367FFA">
        <w:t xml:space="preserve">Paul Aubrecht, Steffen Herbold and </w:t>
      </w:r>
      <w:bookmarkStart w:id="0" w:name="_Hlk207475092"/>
      <w:r w:rsidRPr="00367FFA">
        <w:t xml:space="preserve">Anamaria </w:t>
      </w:r>
      <w:bookmarkEnd w:id="0"/>
      <w:r w:rsidRPr="00367FFA">
        <w:t>Mojica Hanke</w:t>
      </w:r>
    </w:p>
    <w:p w14:paraId="1CF06A1C" w14:textId="084DA815" w:rsidR="001E51CC" w:rsidRPr="001E51CC" w:rsidRDefault="001E51CC" w:rsidP="009947A2">
      <w:pPr>
        <w:rPr>
          <w:u w:val="single"/>
        </w:rPr>
      </w:pPr>
      <w:r w:rsidRPr="001E51CC">
        <w:rPr>
          <w:u w:val="single"/>
        </w:rPr>
        <w:t>Introduction</w:t>
      </w:r>
    </w:p>
    <w:p w14:paraId="2F90A3E9" w14:textId="77777777" w:rsidR="00A70DBE" w:rsidRDefault="009947A2" w:rsidP="009947A2">
      <w:r w:rsidRPr="00367FFA">
        <w:t>Large Language Models (LLMs) have been documented to infringe on copyright protected intellectual property by memorizing training data</w:t>
      </w:r>
      <w:r w:rsidR="00503321">
        <w:t xml:space="preserve"> sourced from the internet and other electronic sources, </w:t>
      </w:r>
      <w:proofErr w:type="gramStart"/>
      <w:r w:rsidR="00503321">
        <w:t>including:</w:t>
      </w:r>
      <w:proofErr w:type="gramEnd"/>
      <w:r w:rsidR="00503321">
        <w:t xml:space="preserve"> news articles, books, social media forums, music, and code</w:t>
      </w:r>
      <w:r w:rsidRPr="00367FFA">
        <w:t>. This occurrence is well-supported by scientific literature and is related to an increasingly common claim in civil litigation cases for copyright infringement by firms developing LLMs.</w:t>
      </w:r>
      <w:r w:rsidR="00503321">
        <w:rPr>
          <w:rStyle w:val="FootnoteReference"/>
        </w:rPr>
        <w:footnoteReference w:id="1"/>
      </w:r>
      <w:r w:rsidRPr="00367FFA">
        <w:t xml:space="preserve"> Depending on how common (number of occurrences) and severe (scope of occurrence) these infringements are, the costs arising from litigation and fines for LLM providers may vary within a large range of potential sanctions. This variation can also be seen in a divergence of IP related cases for copyright infringement by LLM providers across borders. </w:t>
      </w:r>
      <w:r w:rsidR="00503321">
        <w:t xml:space="preserve">Potential defenses against copyright infringement claims also vary across states (nations). </w:t>
      </w:r>
      <w:r w:rsidRPr="00367FFA">
        <w:t>Since training LLMs in a way that avoids infringement (e.g., by buying licenses or cleaning data) also incurs costs, this raises the question: are the costs</w:t>
      </w:r>
      <w:r w:rsidR="00503321">
        <w:t xml:space="preserve"> of infringement</w:t>
      </w:r>
      <w:r w:rsidRPr="00367FFA">
        <w:t xml:space="preserve"> (</w:t>
      </w:r>
      <w:r w:rsidR="00503321">
        <w:t xml:space="preserve">possible </w:t>
      </w:r>
      <w:r w:rsidRPr="00367FFA">
        <w:t xml:space="preserve">fines or liability) for copyright violations just </w:t>
      </w:r>
      <w:r w:rsidR="00503321">
        <w:t xml:space="preserve">the </w:t>
      </w:r>
      <w:r w:rsidRPr="00367FFA">
        <w:t xml:space="preserve">“costs of </w:t>
      </w:r>
      <w:r w:rsidR="00503321">
        <w:t xml:space="preserve">doing </w:t>
      </w:r>
      <w:r w:rsidRPr="00367FFA">
        <w:t>business” which firms must account for, or should firms seek to completely avoid instances of infringement</w:t>
      </w:r>
      <w:r w:rsidR="00503321">
        <w:t xml:space="preserve"> through securing licenses, cleaning their data or completely avoiding copyright protected data</w:t>
      </w:r>
      <w:r w:rsidRPr="00367FFA">
        <w:t xml:space="preserve">? This </w:t>
      </w:r>
      <w:r w:rsidR="00503321">
        <w:t xml:space="preserve">also </w:t>
      </w:r>
      <w:r w:rsidRPr="00367FFA">
        <w:t>relates to the ability of regulation to effectively and efficiently enforce copyright law. Given the variation of regulation for IP infringements by LLM providers across borders, this problem can also be examined within a regulatory competition context</w:t>
      </w:r>
      <w:r w:rsidR="00503321">
        <w:t xml:space="preserve"> where states compete for the provision of regulation to lure the incorporation of firms</w:t>
      </w:r>
      <w:r w:rsidRPr="00367FFA">
        <w:t xml:space="preserve">. </w:t>
      </w:r>
    </w:p>
    <w:p w14:paraId="20D1183D" w14:textId="1D3B933E" w:rsidR="000C1822" w:rsidRDefault="000269E1" w:rsidP="009947A2">
      <w:r w:rsidRPr="00367FFA">
        <w:t xml:space="preserve">The growth of Artificial Intelligence (AI) programs and providers has been significant over the past </w:t>
      </w:r>
      <w:r w:rsidR="00B303DB">
        <w:t>five</w:t>
      </w:r>
      <w:r w:rsidRPr="00367FFA">
        <w:t xml:space="preserve"> years. With widespread implications for society, economies, cultures, and nearly every aspect of human life, the dawn of AI has challenged </w:t>
      </w:r>
      <w:r w:rsidR="003A6274" w:rsidRPr="00367FFA">
        <w:t>many aspects of the law</w:t>
      </w:r>
      <w:r w:rsidR="00503321">
        <w:t>, including the ability of intellectual property rights to protect rights holders from unlawful use by third parties</w:t>
      </w:r>
      <w:r w:rsidRPr="00367FFA">
        <w:t>. Th</w:t>
      </w:r>
      <w:r w:rsidR="00503321">
        <w:t>e</w:t>
      </w:r>
      <w:r w:rsidRPr="00367FFA">
        <w:t xml:space="preserve"> growth in the use and availability of </w:t>
      </w:r>
      <w:r w:rsidR="00503321">
        <w:t>AI</w:t>
      </w:r>
      <w:r w:rsidRPr="00367FFA">
        <w:t xml:space="preserve"> has been deeply tied to the specific type of AI </w:t>
      </w:r>
      <w:r w:rsidR="003A6274" w:rsidRPr="00367FFA">
        <w:t>known</w:t>
      </w:r>
      <w:r w:rsidRPr="00367FFA">
        <w:t xml:space="preserve"> as a large language model (LLM).</w:t>
      </w:r>
      <w:r w:rsidR="003A6274" w:rsidRPr="00367FFA">
        <w:t xml:space="preserve"> LLMs (</w:t>
      </w:r>
      <w:r w:rsidR="003A6274" w:rsidRPr="00322881">
        <w:rPr>
          <w:highlight w:val="yellow"/>
        </w:rPr>
        <w:t>Definition</w:t>
      </w:r>
      <w:r w:rsidR="003A6274" w:rsidRPr="00367FFA">
        <w:t xml:space="preserve">). AI developers need to provide large sets of data to enable the LLM to make better predictions about the next word which will appear in a sequence of words which is a response to a prompt given to the AI. In compiling these data sets which train LLMs, copyrighted material is often incorporated into the data set. This poses a specific type of problem for developers of LLMs, copyright holders, and regulators. When should the use of copyrighted material be allowed? More specifically, under what circumstances are uses of copyright protected materials by LLMs permissible, and when </w:t>
      </w:r>
      <w:r w:rsidR="00DE11C7">
        <w:t xml:space="preserve">it </w:t>
      </w:r>
      <w:r w:rsidR="00DE11C7" w:rsidRPr="00367FFA">
        <w:t>is</w:t>
      </w:r>
      <w:r w:rsidR="003A6274" w:rsidRPr="00367FFA">
        <w:t xml:space="preserve"> not permissible. To understand this specific problem, we look at the potential for copyrighted material to be used by an LLM, </w:t>
      </w:r>
      <w:r w:rsidR="009658EC" w:rsidRPr="00367FFA">
        <w:t xml:space="preserve">and </w:t>
      </w:r>
      <w:r w:rsidR="003A6274" w:rsidRPr="00367FFA">
        <w:t xml:space="preserve">the potential costs of using the copyrighted material by the LLM (this includes licensing fees, </w:t>
      </w:r>
      <w:r w:rsidR="009658EC" w:rsidRPr="00367FFA">
        <w:t>fines for copyright violations, and criminal penalties for copyright violations). I</w:t>
      </w:r>
      <w:r w:rsidR="00503321">
        <w:t>n</w:t>
      </w:r>
      <w:r w:rsidR="009658EC" w:rsidRPr="00367FFA">
        <w:t xml:space="preserve"> addition to the potential for costs which LLMs face from using or misusing copyrighted material, we also look at the variations across borders in the civil and criminal enforcement of copyright </w:t>
      </w:r>
      <w:r w:rsidR="009658EC" w:rsidRPr="00367FFA">
        <w:lastRenderedPageBreak/>
        <w:t xml:space="preserve">law. Using a comparative legal methodology, we identify how variation in the enforcement of copyrights against LLMs </w:t>
      </w:r>
      <w:r w:rsidR="00503321" w:rsidRPr="00367FFA">
        <w:t>impacts</w:t>
      </w:r>
      <w:r w:rsidR="009658EC" w:rsidRPr="00367FFA">
        <w:t xml:space="preserve"> the market for LLMs and regulation of LLMs. </w:t>
      </w:r>
      <w:r w:rsidR="00B303DB">
        <w:t>This analysis shows how the interaction of the role of innovation, the protection of IP rights, the availability of enforcement mechanisms for violation of IP rights, and the economics of compliance with IP law</w:t>
      </w:r>
      <w:r w:rsidR="00322881">
        <w:t>,</w:t>
      </w:r>
      <w:r w:rsidR="00B303DB">
        <w:t xml:space="preserve"> has created an </w:t>
      </w:r>
      <w:r w:rsidR="00322881">
        <w:t>environment in</w:t>
      </w:r>
      <w:r w:rsidR="00B303DB">
        <w:t xml:space="preserve"> which LLMs using copyright protected material </w:t>
      </w:r>
      <w:r w:rsidR="006E682D">
        <w:t>is widespread</w:t>
      </w:r>
      <w:r w:rsidR="009F73EC">
        <w:t xml:space="preserve"> and which reflects a divergence in </w:t>
      </w:r>
      <w:r w:rsidR="00DE11C7">
        <w:t>copyright enforcement across borders</w:t>
      </w:r>
      <w:r w:rsidR="006E682D">
        <w:t>.</w:t>
      </w:r>
      <w:r w:rsidR="00DE11C7">
        <w:t xml:space="preserve"> Computer modeling is also used to evaluate the </w:t>
      </w:r>
      <w:r w:rsidR="00322881">
        <w:t>decision-making</w:t>
      </w:r>
      <w:r w:rsidR="00DE11C7">
        <w:t xml:space="preserve"> process of the individual LLM when deciding when and how to use copyright protected material, and when to </w:t>
      </w:r>
      <w:r w:rsidR="00512BD9">
        <w:t xml:space="preserve">move jurisdiction </w:t>
      </w:r>
      <w:proofErr w:type="gramStart"/>
      <w:r w:rsidR="00512BD9">
        <w:t>in order to</w:t>
      </w:r>
      <w:proofErr w:type="gramEnd"/>
      <w:r w:rsidR="00512BD9">
        <w:t xml:space="preserve"> benefit from the divergent approaches between states. </w:t>
      </w:r>
    </w:p>
    <w:p w14:paraId="297855DB" w14:textId="77777777" w:rsidR="000C1822" w:rsidRDefault="000C1822" w:rsidP="000C1822">
      <w:r>
        <w:t>In this analysis</w:t>
      </w:r>
      <w:r w:rsidRPr="00367FFA">
        <w:t>, we provide a framework to estimate the expected legal costs due to copyright violations in several states. This framework accounts for various parameters including (1) the likelihood of infringement, (2) the severity of the infringement (</w:t>
      </w:r>
      <w:r>
        <w:t xml:space="preserve">based on </w:t>
      </w:r>
      <w:r w:rsidRPr="00367FFA">
        <w:t>number and scope), (3) the average costs associated with infringement, and (4) the variations in the average costs for infringement across borders. We use a multidisciplinary methodology using insights from law, economics, data science, and computer engineering to demonstrate how these parameters can be described within the framework of a cyclical process and regulatory competition to further demonstrate the need to develop new and innovative approaches to regulation for the novel challenges created by LLMs ongoing infringement of copyright.</w:t>
      </w:r>
    </w:p>
    <w:p w14:paraId="5E0F888E" w14:textId="15959E5B" w:rsidR="000269E1" w:rsidRDefault="00A96D46" w:rsidP="009947A2">
      <w:r>
        <w:t xml:space="preserve">We use a </w:t>
      </w:r>
      <w:r w:rsidRPr="00A96D46">
        <w:t xml:space="preserve">mathematical model of the costs associated with copyright </w:t>
      </w:r>
      <w:r w:rsidR="00CB4A3C">
        <w:t>to consider the hypothetical behavior of LLMs given a variation in copyright enforcement and transaction costs</w:t>
      </w:r>
      <w:r w:rsidRPr="00A96D46">
        <w:t xml:space="preserve">. We </w:t>
      </w:r>
      <w:r w:rsidR="008A52FE">
        <w:t>use</w:t>
      </w:r>
      <w:r w:rsidRPr="00A96D46">
        <w:t xml:space="preserve"> continuous variables </w:t>
      </w:r>
      <w:r w:rsidR="008A52FE">
        <w:t xml:space="preserve">in our model to </w:t>
      </w:r>
      <w:r w:rsidRPr="00A96D46">
        <w:t xml:space="preserve">simulate the outcome under different conditions by initializing variables. We initialize each value with random variables that model the expected distribution of outputs, e.g., expected costs for copyright violations. We </w:t>
      </w:r>
      <w:r w:rsidR="008A52FE">
        <w:t>then</w:t>
      </w:r>
      <w:r w:rsidRPr="00A96D46">
        <w:t xml:space="preserve"> estimate the distribution of the expected total costs using Monte Carlo simulation.</w:t>
      </w:r>
      <w:r w:rsidR="00170447">
        <w:t xml:space="preserve"> By combining methodologies from law, economics and computer engineering, we provide a robust evaluation of the current situation concerning the use of copyright protected material by LLMs. This contributes to the literature concerning how AI technology has place</w:t>
      </w:r>
      <w:r w:rsidR="000C1822">
        <w:t>d</w:t>
      </w:r>
      <w:r w:rsidR="00170447">
        <w:t xml:space="preserve"> stress on existing legal frameworks for copyright. </w:t>
      </w:r>
    </w:p>
    <w:p w14:paraId="5D32B9C4" w14:textId="00B35BA9" w:rsidR="004346B6" w:rsidRDefault="004346B6" w:rsidP="004346B6">
      <w:r>
        <w:rPr>
          <w:u w:val="single"/>
        </w:rPr>
        <w:t xml:space="preserve">1. </w:t>
      </w:r>
      <w:r w:rsidRPr="00367FFA">
        <w:rPr>
          <w:u w:val="single"/>
        </w:rPr>
        <w:t>A technical breakdown of how LLMs use Data</w:t>
      </w:r>
      <w:r w:rsidRPr="00367FFA">
        <w:t xml:space="preserve">. </w:t>
      </w:r>
    </w:p>
    <w:p w14:paraId="7E0D84AB" w14:textId="6CDB6130" w:rsidR="004346B6" w:rsidRDefault="004346B6" w:rsidP="004346B6">
      <w:r>
        <w:t xml:space="preserve">The creation of LLMs is based on machine learning, a type of algorithm where a </w:t>
      </w:r>
      <w:r w:rsidR="00322881">
        <w:t>model is</w:t>
      </w:r>
      <w:r>
        <w:t xml:space="preserve"> trained by estimating its model parameters such that this model performs well for a certain objective. In our case, the model is a large neural network, the model parameters are the weights of this network, and the objective is to predict the next word based for a given, incomplete, text. The optimization algorithms that are used to train such a neural network require several </w:t>
      </w:r>
      <w:r w:rsidR="00322881">
        <w:t>billion</w:t>
      </w:r>
      <w:r>
        <w:t xml:space="preserve"> words that are predicted to achieve the performance we observe in modern LLMs. The massive amounts of data for this training are sourced from different locations, most notably, the internet, but also by scanning books. These data collection activities fall under data scraping and are, in principle, </w:t>
      </w:r>
      <w:proofErr w:type="gramStart"/>
      <w:r>
        <w:t>similar to</w:t>
      </w:r>
      <w:proofErr w:type="gramEnd"/>
      <w:r>
        <w:t xml:space="preserve"> what search engines do, just for a different use case. </w:t>
      </w:r>
    </w:p>
    <w:p w14:paraId="67A7869C" w14:textId="77777777" w:rsidR="004346B6" w:rsidRDefault="004346B6" w:rsidP="004346B6">
      <w:r>
        <w:t xml:space="preserve">Since the objective of the model training is to correctly predict the next word of a text, there is a certain incentive for the models to not learn the structure of language and facts, but rather directly memorize texts instead. This is especially likely, if certain content appears often in the training data. While this is unproblematic for common, non-copyrightable phrases (“How are you doing?”), such memorization can also lead to undesired side effects, including the repetition of memorized, copyrightable content or of protected personal data. </w:t>
      </w:r>
    </w:p>
    <w:p w14:paraId="20E3FD7E" w14:textId="625FBDC7" w:rsidR="004346B6" w:rsidRDefault="004346B6" w:rsidP="004346B6">
      <w:r>
        <w:lastRenderedPageBreak/>
        <w:t xml:space="preserve">Since the possibility of such problems is </w:t>
      </w:r>
      <w:r w:rsidR="00322881">
        <w:t>well known</w:t>
      </w:r>
      <w:r>
        <w:t xml:space="preserve">, there is also a growing body of work with respect to potential mitigation measures. For copyright, one such mitigation is to avoid copyrighted material, e.g., by using data from the public domain. In such a case, memorization could not infringe </w:t>
      </w:r>
      <w:r w:rsidR="00322881">
        <w:t xml:space="preserve">on </w:t>
      </w:r>
      <w:proofErr w:type="gramStart"/>
      <w:r w:rsidR="00322881">
        <w:t xml:space="preserve">a </w:t>
      </w:r>
      <w:r>
        <w:t>copyright</w:t>
      </w:r>
      <w:proofErr w:type="gramEnd"/>
      <w:r>
        <w:t xml:space="preserve">. A weaker approach is to avoid certain kinds of licenses (e.g., copy-left licenses and proprietary licenses) and only use materials with a permissive license that allows re-use for training – though this approach still faces possible legal issues due to attribution requirements of permissive licenses. </w:t>
      </w:r>
    </w:p>
    <w:p w14:paraId="6580970C" w14:textId="392A0E0E" w:rsidR="004346B6" w:rsidRDefault="004346B6" w:rsidP="004346B6">
      <w:r>
        <w:t>Since avoiding copyrighted material reduces the volume and diversity of the data, an alternative is to use memorization mitigation methods. Such methods try to control memorized data in a manner that avoids harmful memorization</w:t>
      </w:r>
      <w:r w:rsidR="00322881">
        <w:t xml:space="preserve">, i.e. memorization which infringes on </w:t>
      </w:r>
      <w:proofErr w:type="gramStart"/>
      <w:r w:rsidR="00322881">
        <w:t>a copyright</w:t>
      </w:r>
      <w:proofErr w:type="gramEnd"/>
      <w:r>
        <w:t>. A relatively simple, yet effective method is to avoid duplicate training data. Due to the nature of the optimization problem that is used to train LLMs, the incentive for memorization is strong, when the same text appears multiple times. A common mitigation method for the memorization of personal data is data cleaning, e.g., replacing personal data like names and birth days with randomized data or by fully blinding them. Such methods have the drawback that they alter the data</w:t>
      </w:r>
      <w:r w:rsidR="00322881">
        <w:t>,</w:t>
      </w:r>
      <w:r>
        <w:t xml:space="preserve"> possibly reducing model performance and at the same time possibly not even solving the problem: For example, if a name or data is replaced, there is a chance that this just becomes the personal data of a different person. </w:t>
      </w:r>
    </w:p>
    <w:p w14:paraId="112FA41E" w14:textId="77777777" w:rsidR="004346B6" w:rsidRDefault="004346B6" w:rsidP="004346B6">
      <w:r>
        <w:t xml:space="preserve">A stronger method from a technical method is to use modified optimization algorithms that try to achieve so-called differential privacy when training models: such models have guarantees against “membership inference”, which means that it becomes hard to extract training data from the model. In turn, this also means that it is hard for the model to inadvertently output training data, i.e., output memorized content. The drawback of such methods is that they increase computational requirements and that strict privacy requirements lead to performance drops of the LLMs. </w:t>
      </w:r>
    </w:p>
    <w:p w14:paraId="6BB7D6EE" w14:textId="4DB8C8B8" w:rsidR="004346B6" w:rsidRDefault="004346B6" w:rsidP="004346B6">
      <w:r>
        <w:t xml:space="preserve">Moreover, we can also </w:t>
      </w:r>
      <w:r w:rsidR="00322881">
        <w:t>use the fact</w:t>
      </w:r>
      <w:r>
        <w:t xml:space="preserve"> that modern LLMs are trained in different phases. The prediction of the next word based on massive amounts of data is only the first phase of this training, referred to as pre-training. This is followed by post-training methods like </w:t>
      </w:r>
      <w:r w:rsidR="00322881">
        <w:t>Reinforcement</w:t>
      </w:r>
      <w:r>
        <w:t xml:space="preserve"> Learning from Human Feedback (RLHF) and Direct Preference Optimization (DPO). The goal of these methods is to “align” the output that the LLMs generate with human preferences of what constitutes a good output. This is an important step that, e.g., makes answers with a high linguistic quality more likely, but that is also used to give the model incentives to generate answers without negatives biases (e.g., racism). This is effectively achieved by shifting the probability distribution that the model learned from the large amount of data in the pre-training towards these preferable answers. This shift of the probability distribution reduces the likelihood that unpreferable memorized data is </w:t>
      </w:r>
      <w:r w:rsidR="00322881">
        <w:t>generated but</w:t>
      </w:r>
      <w:r>
        <w:t xml:space="preserve"> cannot solve the memorization problem in general. </w:t>
      </w:r>
    </w:p>
    <w:p w14:paraId="06BD65F8" w14:textId="1AB43811" w:rsidR="004346B6" w:rsidRDefault="004346B6" w:rsidP="004346B6">
      <w:r>
        <w:t xml:space="preserve">Another important aspect is what data rights owners can </w:t>
      </w:r>
      <w:r w:rsidR="00322881">
        <w:t>do</w:t>
      </w:r>
      <w:r>
        <w:t xml:space="preserve"> when they observe that their content is memorized and repeated by LLMs to avoid future problems. In case the data rights owner </w:t>
      </w:r>
      <w:r w:rsidR="00322881">
        <w:t>requires</w:t>
      </w:r>
      <w:r>
        <w:t xml:space="preserve"> that model providers make the production of the memorized content impossible, this requires a change of the model itself. Machine unlearning methods are being developed to make the model forget memorized information like names or texts. However, these methods are still in development and the current state-of-the-art cannot unlearn facts or texts without also affecting other model capabilities. The alternative is that the model must be retrained from scratch without the memorized data. However, this is usually prohibitively expensive. </w:t>
      </w:r>
    </w:p>
    <w:p w14:paraId="3AFE9F41" w14:textId="678BD6E0" w:rsidR="0068421D" w:rsidRDefault="004346B6" w:rsidP="009947A2">
      <w:r>
        <w:lastRenderedPageBreak/>
        <w:t xml:space="preserve">Finally, when LLMs are offered as a </w:t>
      </w:r>
      <w:proofErr w:type="gramStart"/>
      <w:r>
        <w:t>services</w:t>
      </w:r>
      <w:proofErr w:type="gramEnd"/>
      <w:r>
        <w:t xml:space="preserve">, e.g., through a Web interface, the provider of this service can post-process the generated outputs. Such post-processing can be used to filter undesired outputs and is, e.g., used to prevent generation of personal data as part of settlements. Such filters could also be extended to check outputs for memorization, similarity to copyrighted material, and possibly even add required attribution information. However, to the best of our knowledge, no current LLM provider employs such copyright content filters </w:t>
      </w:r>
      <w:proofErr w:type="gramStart"/>
      <w:r>
        <w:t>at this time</w:t>
      </w:r>
      <w:proofErr w:type="gramEnd"/>
      <w:r>
        <w:t xml:space="preserve">. </w:t>
      </w:r>
    </w:p>
    <w:p w14:paraId="1F3711B6" w14:textId="215E9D3F" w:rsidR="009658EC" w:rsidRPr="00367FFA" w:rsidRDefault="001E51CC" w:rsidP="009947A2">
      <w:pPr>
        <w:rPr>
          <w:u w:val="single"/>
        </w:rPr>
      </w:pPr>
      <w:r>
        <w:rPr>
          <w:u w:val="single"/>
        </w:rPr>
        <w:t xml:space="preserve">2. </w:t>
      </w:r>
      <w:r w:rsidR="00972E02">
        <w:rPr>
          <w:u w:val="single"/>
        </w:rPr>
        <w:t>Goals and Economic Functions of</w:t>
      </w:r>
      <w:r w:rsidR="009658EC" w:rsidRPr="00367FFA">
        <w:rPr>
          <w:u w:val="single"/>
        </w:rPr>
        <w:t xml:space="preserve"> Copyright Law</w:t>
      </w:r>
      <w:r w:rsidR="005320F1" w:rsidRPr="00367FFA">
        <w:rPr>
          <w:u w:val="single"/>
        </w:rPr>
        <w:t>.</w:t>
      </w:r>
    </w:p>
    <w:p w14:paraId="0A298ABF" w14:textId="74F25962" w:rsidR="00972E02" w:rsidRDefault="00972E02" w:rsidP="009947A2">
      <w:r w:rsidRPr="00972E02">
        <w:t xml:space="preserve">Intellectual property protections are seen in the law and economics literature as promoting investment in developing new information and technologies. </w:t>
      </w:r>
      <w:r w:rsidR="00215AED">
        <w:t xml:space="preserve">It can also be </w:t>
      </w:r>
      <w:r w:rsidR="00CB35EE">
        <w:t>thought</w:t>
      </w:r>
      <w:r w:rsidR="00215AED">
        <w:t xml:space="preserve"> of in terms of allocating property rights so that </w:t>
      </w:r>
      <w:r w:rsidR="00CB35EE">
        <w:t>transaction costs are minimized.</w:t>
      </w:r>
      <w:r w:rsidR="00CB35EE">
        <w:rPr>
          <w:rStyle w:val="FootnoteReference"/>
        </w:rPr>
        <w:footnoteReference w:id="2"/>
      </w:r>
      <w:r w:rsidR="00CB35EE">
        <w:t xml:space="preserve"> </w:t>
      </w:r>
      <w:r w:rsidR="001D5C0E">
        <w:t>There is a need to provide protection for intellectual property</w:t>
      </w:r>
      <w:r w:rsidR="00BE0273">
        <w:t>, like copyright protected works,</w:t>
      </w:r>
      <w:r w:rsidR="001D5C0E">
        <w:t xml:space="preserve"> because it may face a problem similar to </w:t>
      </w:r>
      <w:r w:rsidR="00DF2CBE">
        <w:t>“</w:t>
      </w:r>
      <w:r w:rsidR="001D5C0E">
        <w:t>public goods”, a risk of underproduction.</w:t>
      </w:r>
      <w:r w:rsidR="009005CC">
        <w:rPr>
          <w:rStyle w:val="FootnoteReference"/>
        </w:rPr>
        <w:footnoteReference w:id="3"/>
      </w:r>
      <w:r w:rsidR="001D5C0E">
        <w:t xml:space="preserve"> </w:t>
      </w:r>
      <w:r w:rsidR="00152239">
        <w:t>Through</w:t>
      </w:r>
      <w:r w:rsidR="00CB35EE">
        <w:t xml:space="preserve"> allowing creators a property </w:t>
      </w:r>
      <w:r w:rsidR="00152239">
        <w:t>rights</w:t>
      </w:r>
      <w:r w:rsidR="00DE045D">
        <w:t xml:space="preserve"> in intellectual creations</w:t>
      </w:r>
      <w:r w:rsidR="00152239">
        <w:t>,</w:t>
      </w:r>
      <w:r w:rsidR="00CB35EE">
        <w:t xml:space="preserve"> it incentivizes the </w:t>
      </w:r>
      <w:r w:rsidR="003C64EA">
        <w:t xml:space="preserve">continued </w:t>
      </w:r>
      <w:r w:rsidR="00CB35EE">
        <w:t xml:space="preserve">creation of original works. </w:t>
      </w:r>
      <w:r w:rsidR="001D5C0E">
        <w:t>According to Landes and Posner, “[c]</w:t>
      </w:r>
      <w:proofErr w:type="spellStart"/>
      <w:r w:rsidR="001D5C0E">
        <w:t>opyright</w:t>
      </w:r>
      <w:proofErr w:type="spellEnd"/>
      <w:r w:rsidR="001D5C0E">
        <w:t xml:space="preserve"> protection… trades off the costs of limiting access to a work against the benefits of providing incentives to create the work in the first place.”</w:t>
      </w:r>
      <w:r w:rsidR="001D5C0E">
        <w:rPr>
          <w:rStyle w:val="FootnoteReference"/>
        </w:rPr>
        <w:footnoteReference w:id="4"/>
      </w:r>
      <w:r w:rsidR="001D5C0E">
        <w:t xml:space="preserve"> Furthermore, “[w]</w:t>
      </w:r>
      <w:proofErr w:type="spellStart"/>
      <w:r w:rsidR="001D5C0E">
        <w:t>hile</w:t>
      </w:r>
      <w:proofErr w:type="spellEnd"/>
      <w:r w:rsidR="001D5C0E">
        <w:t xml:space="preserve"> the cost of creating a work subject to copyright protection… is often high, the cost of reproducing the work… is often inexpensive.”</w:t>
      </w:r>
      <w:r w:rsidR="001D5C0E">
        <w:rPr>
          <w:rStyle w:val="FootnoteReference"/>
        </w:rPr>
        <w:footnoteReference w:id="5"/>
      </w:r>
      <w:r w:rsidR="002C086B">
        <w:t xml:space="preserve"> The </w:t>
      </w:r>
      <w:r w:rsidR="000D5305">
        <w:t xml:space="preserve">recognition of legal property  rights in written creations enables the continued </w:t>
      </w:r>
      <w:r w:rsidR="00DA01B6">
        <w:t xml:space="preserve">investments necessary to make new works, without which there would be an underproduction of </w:t>
      </w:r>
      <w:r w:rsidR="00E72B82">
        <w:t xml:space="preserve">new works given the high </w:t>
      </w:r>
      <w:r w:rsidR="00AD5D0D">
        <w:t>upfront costs of creation</w:t>
      </w:r>
      <w:r w:rsidR="00DA01B6">
        <w:t xml:space="preserve">. </w:t>
      </w:r>
    </w:p>
    <w:p w14:paraId="19A6159E" w14:textId="241BAAE5" w:rsidR="00BE0273" w:rsidRDefault="00BE0273" w:rsidP="009947A2">
      <w:r>
        <w:t xml:space="preserve">Another key finding </w:t>
      </w:r>
      <w:r w:rsidR="00215AED">
        <w:t>in</w:t>
      </w:r>
      <w:r>
        <w:t xml:space="preserve"> law and economics concerning the use of copyrighted material by LLMs deals with the distinction between property rules and liability rules. Calabresi and Melmed addressed how transaction costs in bargaining over entitlement rights</w:t>
      </w:r>
      <w:r w:rsidR="00215AED">
        <w:t xml:space="preserve"> has implications for liability rules</w:t>
      </w:r>
      <w:r>
        <w:t>.</w:t>
      </w:r>
      <w:r>
        <w:rPr>
          <w:rStyle w:val="FootnoteReference"/>
        </w:rPr>
        <w:footnoteReference w:id="6"/>
      </w:r>
      <w:r w:rsidR="007F2BEB">
        <w:t xml:space="preserve"> </w:t>
      </w:r>
      <w:r w:rsidR="000F5389">
        <w:t>According to Calabresi and Melmed, when considering the framework of criminal sanctions for “crimes against property and bodily integrity” it is important to ask “[</w:t>
      </w:r>
      <w:proofErr w:type="spellStart"/>
      <w:r w:rsidR="000F5389">
        <w:t>i</w:t>
      </w:r>
      <w:proofErr w:type="spellEnd"/>
      <w:r w:rsidR="000F5389">
        <w:t>]f it is worth more to the robber than the owner</w:t>
      </w:r>
      <w:r w:rsidR="00393F02">
        <w:t>, is not economic efficiency served” through having the</w:t>
      </w:r>
      <w:r w:rsidR="00215AED">
        <w:t xml:space="preserve"> “</w:t>
      </w:r>
      <w:r w:rsidR="00393F02">
        <w:t>ro</w:t>
      </w:r>
      <w:r w:rsidR="00215AED">
        <w:t>b</w:t>
      </w:r>
      <w:r w:rsidR="00393F02">
        <w:t>ber be simply charged with the value of the thing robbed”?</w:t>
      </w:r>
      <w:r w:rsidR="00393F02">
        <w:rPr>
          <w:rStyle w:val="FootnoteReference"/>
        </w:rPr>
        <w:footnoteReference w:id="7"/>
      </w:r>
      <w:r w:rsidR="00393F02">
        <w:t xml:space="preserve"> Their answer incorporates reasons why the law does “not convert all property r</w:t>
      </w:r>
      <w:r w:rsidR="00215AED">
        <w:t>u</w:t>
      </w:r>
      <w:r w:rsidR="00393F02">
        <w:t>les into liability rules.”</w:t>
      </w:r>
      <w:r w:rsidR="00393F02">
        <w:rPr>
          <w:rStyle w:val="FootnoteReference"/>
        </w:rPr>
        <w:footnoteReference w:id="8"/>
      </w:r>
      <w:r w:rsidR="00393F02">
        <w:t xml:space="preserve"> They find that “[l]</w:t>
      </w:r>
      <w:proofErr w:type="spellStart"/>
      <w:r w:rsidR="00393F02">
        <w:t>iability</w:t>
      </w:r>
      <w:proofErr w:type="spellEnd"/>
      <w:r w:rsidR="00393F02">
        <w:t xml:space="preserve"> rules represent o</w:t>
      </w:r>
      <w:r w:rsidR="00215AED">
        <w:t>n</w:t>
      </w:r>
      <w:r w:rsidR="00393F02">
        <w:t xml:space="preserve">ly an approximation of the value of the object to its original </w:t>
      </w:r>
      <w:r w:rsidR="00215AED">
        <w:t>o</w:t>
      </w:r>
      <w:r w:rsidR="00393F02">
        <w:t>wn</w:t>
      </w:r>
      <w:r w:rsidR="00215AED">
        <w:t>e</w:t>
      </w:r>
      <w:r w:rsidR="00393F02">
        <w:t xml:space="preserve">r and willingness to pay such an approximate value is no indication that it is worth more to the </w:t>
      </w:r>
      <w:r w:rsidR="00393F02">
        <w:lastRenderedPageBreak/>
        <w:t xml:space="preserve">thief than the owner” and </w:t>
      </w:r>
      <w:r w:rsidR="00215AED">
        <w:t>this relates to why</w:t>
      </w:r>
      <w:r w:rsidR="00393F02">
        <w:t xml:space="preserve"> “we impose criminal sanctions as a means of deterring future attempts to convert property rules into liability rules.”</w:t>
      </w:r>
      <w:r w:rsidR="00393F02">
        <w:rPr>
          <w:rStyle w:val="FootnoteReference"/>
        </w:rPr>
        <w:footnoteReference w:id="9"/>
      </w:r>
      <w:r w:rsidR="00393F02">
        <w:t xml:space="preserve"> This reasons </w:t>
      </w:r>
      <w:r w:rsidR="00215AED">
        <w:t xml:space="preserve">reflects </w:t>
      </w:r>
      <w:r w:rsidR="00304858">
        <w:t xml:space="preserve">how </w:t>
      </w:r>
      <w:r w:rsidR="00215AED">
        <w:t xml:space="preserve">the law </w:t>
      </w:r>
      <w:r w:rsidR="00393F02">
        <w:t>“cannot be sure of the economic efficiency of the transfer by theft</w:t>
      </w:r>
      <w:r w:rsidR="00215AED">
        <w:t>” which means that</w:t>
      </w:r>
      <w:r w:rsidR="00393F02">
        <w:t xml:space="preserve"> </w:t>
      </w:r>
      <w:r w:rsidR="00215AED">
        <w:t>“</w:t>
      </w:r>
      <w:r w:rsidR="00393F02">
        <w:t xml:space="preserve">we must add </w:t>
      </w:r>
      <w:r w:rsidR="00215AED">
        <w:t>t</w:t>
      </w:r>
      <w:r w:rsidR="00393F02">
        <w:t>o each case an undefinable kicker</w:t>
      </w:r>
      <w:r w:rsidR="0073200F">
        <w:t>,”</w:t>
      </w:r>
      <w:r w:rsidR="00393F02">
        <w:t xml:space="preserve"> which </w:t>
      </w:r>
      <w:r w:rsidR="000C4A62">
        <w:t>can be thought of in terms of the Becker model of crime</w:t>
      </w:r>
      <w:r w:rsidR="0073200F">
        <w:t xml:space="preserve"> </w:t>
      </w:r>
      <w:r w:rsidR="005D77B2">
        <w:t xml:space="preserve">which identifies how </w:t>
      </w:r>
      <w:r w:rsidR="0073200F">
        <w:t>changing the sanction while not changing the level of detection</w:t>
      </w:r>
      <w:r w:rsidR="005D77B2">
        <w:t xml:space="preserve"> may lead to an loss in utility for criminals, thus affecting the crime rate</w:t>
      </w:r>
      <w:r w:rsidR="000C4A62">
        <w:t>.</w:t>
      </w:r>
      <w:r w:rsidR="000C4A62">
        <w:rPr>
          <w:rStyle w:val="FootnoteReference"/>
        </w:rPr>
        <w:footnoteReference w:id="10"/>
      </w:r>
    </w:p>
    <w:p w14:paraId="17EF22E2" w14:textId="096BB90F" w:rsidR="00B0329D" w:rsidRPr="00B0329D" w:rsidRDefault="00B0329D" w:rsidP="009947A2">
      <w:pPr>
        <w:rPr>
          <w:u w:val="single"/>
        </w:rPr>
      </w:pPr>
      <w:r w:rsidRPr="00B0329D">
        <w:rPr>
          <w:u w:val="single"/>
        </w:rPr>
        <w:t>Coordination and Transaction Costs</w:t>
      </w:r>
    </w:p>
    <w:p w14:paraId="4CC92A54" w14:textId="77872DA6" w:rsidR="00AE57A5" w:rsidRDefault="00AE57A5" w:rsidP="009947A2">
      <w:r>
        <w:t xml:space="preserve">Transfer of legal rights to use IP between LLMs and IP holders may face a coordination problem which is characterized by high transaction costs. The purchase of IP licensing rights may be considered within a framework of collective bargaining. If LLMs are using large amounts of </w:t>
      </w:r>
      <w:proofErr w:type="gramStart"/>
      <w:r>
        <w:t>data</w:t>
      </w:r>
      <w:proofErr w:type="gramEnd"/>
      <w:r>
        <w:t xml:space="preserve"> they need to have licensing agreements with </w:t>
      </w:r>
      <w:proofErr w:type="gramStart"/>
      <w:r>
        <w:t>a large number of</w:t>
      </w:r>
      <w:proofErr w:type="gramEnd"/>
      <w:r>
        <w:t xml:space="preserve"> rights holders. As IP can be characterized as diffused, where individual rights holders only own a limited number of rights, LMMs need to coordinate with </w:t>
      </w:r>
      <w:proofErr w:type="gramStart"/>
      <w:r>
        <w:t>a large number of</w:t>
      </w:r>
      <w:proofErr w:type="gramEnd"/>
      <w:r>
        <w:t xml:space="preserve"> rights holders. This changes when rights holders coordinate to sell a collective set of rights under a larger </w:t>
      </w:r>
      <w:r w:rsidR="00304858">
        <w:t xml:space="preserve">use </w:t>
      </w:r>
      <w:r>
        <w:t xml:space="preserve">license. This could occur through a type of trade group which represents </w:t>
      </w:r>
      <w:proofErr w:type="gramStart"/>
      <w:r>
        <w:t>a large number of</w:t>
      </w:r>
      <w:proofErr w:type="gramEnd"/>
      <w:r>
        <w:t xml:space="preserve"> rights holders and coordinates through the single trade group to license the collective rights to LLMs. There may also be another problem where many LLMs coordinate to obtain licenses to use IP rights. However, the number of LLM firms is lower than the number of copyright holders, so the coordination costs between LLMs </w:t>
      </w:r>
      <w:r w:rsidR="00304858">
        <w:t>are</w:t>
      </w:r>
      <w:r>
        <w:t xml:space="preserve"> lower. We can think of this under two categories, individual licensing and collective licensing. </w:t>
      </w:r>
    </w:p>
    <w:p w14:paraId="3AEA52F8" w14:textId="098A261E" w:rsidR="00814EE9" w:rsidRDefault="00814EE9" w:rsidP="009947A2">
      <w:r>
        <w:t>Figure 1. Transaction Costs for Negotiation of IP Licensing Rights between LLMs and Rights Holders</w:t>
      </w:r>
    </w:p>
    <w:tbl>
      <w:tblPr>
        <w:tblStyle w:val="TableGrid"/>
        <w:tblW w:w="0" w:type="auto"/>
        <w:tblLook w:val="04A0" w:firstRow="1" w:lastRow="0" w:firstColumn="1" w:lastColumn="0" w:noHBand="0" w:noVBand="1"/>
      </w:tblPr>
      <w:tblGrid>
        <w:gridCol w:w="3020"/>
        <w:gridCol w:w="3021"/>
        <w:gridCol w:w="3021"/>
      </w:tblGrid>
      <w:tr w:rsidR="00AE57A5" w14:paraId="3EFF2DD9" w14:textId="77777777" w:rsidTr="00AE57A5">
        <w:tc>
          <w:tcPr>
            <w:tcW w:w="3020" w:type="dxa"/>
          </w:tcPr>
          <w:p w14:paraId="23FB2CCB" w14:textId="77777777" w:rsidR="00AE57A5" w:rsidRDefault="00AE57A5" w:rsidP="009947A2"/>
        </w:tc>
        <w:tc>
          <w:tcPr>
            <w:tcW w:w="3021" w:type="dxa"/>
          </w:tcPr>
          <w:p w14:paraId="75F21B12" w14:textId="488F4EF2" w:rsidR="00AE57A5" w:rsidRDefault="00AE57A5" w:rsidP="009947A2">
            <w:r>
              <w:t>Collective of Individual LLM Firms</w:t>
            </w:r>
          </w:p>
        </w:tc>
        <w:tc>
          <w:tcPr>
            <w:tcW w:w="3021" w:type="dxa"/>
          </w:tcPr>
          <w:p w14:paraId="64056BA3" w14:textId="05A2F035" w:rsidR="00AE57A5" w:rsidRDefault="00AE57A5" w:rsidP="009947A2">
            <w:r>
              <w:t>Individual LLM Firm</w:t>
            </w:r>
          </w:p>
        </w:tc>
      </w:tr>
      <w:tr w:rsidR="00AE57A5" w14:paraId="01098082" w14:textId="77777777" w:rsidTr="00AE57A5">
        <w:tc>
          <w:tcPr>
            <w:tcW w:w="3020" w:type="dxa"/>
          </w:tcPr>
          <w:p w14:paraId="5E8EAB4E" w14:textId="64082C66" w:rsidR="00AE57A5" w:rsidRDefault="00AE57A5" w:rsidP="009947A2">
            <w:r>
              <w:t xml:space="preserve">Collective of </w:t>
            </w:r>
            <w:r w:rsidR="00A8625A">
              <w:t>I</w:t>
            </w:r>
            <w:r>
              <w:t xml:space="preserve">ndividual IP </w:t>
            </w:r>
            <w:r w:rsidR="00A8625A">
              <w:t>H</w:t>
            </w:r>
            <w:r>
              <w:t xml:space="preserve">olders </w:t>
            </w:r>
          </w:p>
        </w:tc>
        <w:tc>
          <w:tcPr>
            <w:tcW w:w="3021" w:type="dxa"/>
          </w:tcPr>
          <w:p w14:paraId="224EC87F" w14:textId="0952E677" w:rsidR="00AE57A5" w:rsidRDefault="00A8625A" w:rsidP="009947A2">
            <w:r>
              <w:t xml:space="preserve">Low Transaction Costs </w:t>
            </w:r>
          </w:p>
        </w:tc>
        <w:tc>
          <w:tcPr>
            <w:tcW w:w="3021" w:type="dxa"/>
          </w:tcPr>
          <w:p w14:paraId="436E7EF6" w14:textId="4C6027DD" w:rsidR="00AE57A5" w:rsidRDefault="00A8625A" w:rsidP="009947A2">
            <w:r w:rsidRPr="00A8625A">
              <w:t xml:space="preserve">Medium Transaction Costs </w:t>
            </w:r>
          </w:p>
        </w:tc>
      </w:tr>
      <w:tr w:rsidR="00AE57A5" w14:paraId="28F0AA6B" w14:textId="77777777" w:rsidTr="00AE57A5">
        <w:tc>
          <w:tcPr>
            <w:tcW w:w="3020" w:type="dxa"/>
          </w:tcPr>
          <w:p w14:paraId="6493A63C" w14:textId="21488F05" w:rsidR="00AE57A5" w:rsidRDefault="00AE57A5" w:rsidP="009947A2">
            <w:r>
              <w:t xml:space="preserve">Individual IP Holder </w:t>
            </w:r>
          </w:p>
        </w:tc>
        <w:tc>
          <w:tcPr>
            <w:tcW w:w="3021" w:type="dxa"/>
          </w:tcPr>
          <w:p w14:paraId="0F5D2FAE" w14:textId="5D11BAF3" w:rsidR="00AE57A5" w:rsidRDefault="00A8625A" w:rsidP="009947A2">
            <w:r>
              <w:t xml:space="preserve">Medium Transaction Costs </w:t>
            </w:r>
          </w:p>
        </w:tc>
        <w:tc>
          <w:tcPr>
            <w:tcW w:w="3021" w:type="dxa"/>
          </w:tcPr>
          <w:p w14:paraId="04FAEA06" w14:textId="1FE631D0" w:rsidR="00AE57A5" w:rsidRDefault="00A8625A" w:rsidP="009947A2">
            <w:r>
              <w:t>High</w:t>
            </w:r>
            <w:r w:rsidRPr="00A8625A">
              <w:t xml:space="preserve"> Transaction Costs </w:t>
            </w:r>
          </w:p>
        </w:tc>
      </w:tr>
    </w:tbl>
    <w:p w14:paraId="7628DC58" w14:textId="77777777" w:rsidR="00AE57A5" w:rsidRDefault="00AE57A5" w:rsidP="009947A2"/>
    <w:p w14:paraId="779EA90C" w14:textId="2ABA8681" w:rsidR="00A8625A" w:rsidRDefault="00304858" w:rsidP="009947A2">
      <w:r>
        <w:t>In economic terms, it is likely that</w:t>
      </w:r>
      <w:r w:rsidR="00A8625A">
        <w:t xml:space="preserve"> the transaction costs associated with licensing IP between many individual IP Holders and many Individual LLM Firms will be </w:t>
      </w:r>
      <w:r w:rsidR="00A8625A" w:rsidRPr="00561DFF">
        <w:t xml:space="preserve">higher </w:t>
      </w:r>
      <w:r w:rsidRPr="00561DFF">
        <w:t xml:space="preserve">than a Collective of Individual IP Holders and many Individual LLM Firms, which is higher </w:t>
      </w:r>
      <w:r w:rsidR="00A8625A" w:rsidRPr="00561DFF">
        <w:t>than the transaction costs between Individual IP Holders and a Collective of Individual LLM Firms</w:t>
      </w:r>
      <w:r w:rsidR="00A8625A">
        <w:t xml:space="preserve">, which is higher than </w:t>
      </w:r>
      <w:r>
        <w:t xml:space="preserve">a collective of </w:t>
      </w:r>
      <w:r w:rsidR="00A8625A">
        <w:t xml:space="preserve">many Individual IP holders and </w:t>
      </w:r>
      <w:r>
        <w:t xml:space="preserve">a collective of </w:t>
      </w:r>
      <w:r w:rsidR="00A8625A">
        <w:t>many Individual LLM Firms. This has to do with the costs of coordination. When individual IP Holders and Individual LLM Firms work under a collective, they lower transaction costs because th</w:t>
      </w:r>
      <w:r w:rsidR="007F79D4">
        <w:t>is</w:t>
      </w:r>
      <w:r w:rsidR="00A8625A">
        <w:t xml:space="preserve"> lower</w:t>
      </w:r>
      <w:r w:rsidR="007F79D4">
        <w:t>s</w:t>
      </w:r>
      <w:r w:rsidR="00A8625A">
        <w:t xml:space="preserve"> the </w:t>
      </w:r>
      <w:proofErr w:type="gramStart"/>
      <w:r w:rsidR="00A8625A">
        <w:t>number</w:t>
      </w:r>
      <w:proofErr w:type="gramEnd"/>
      <w:r w:rsidR="00A8625A">
        <w:t xml:space="preserve"> agreements which </w:t>
      </w:r>
      <w:proofErr w:type="gramStart"/>
      <w:r w:rsidR="00A8625A">
        <w:t>have to</w:t>
      </w:r>
      <w:proofErr w:type="gramEnd"/>
      <w:r w:rsidR="00A8625A">
        <w:t xml:space="preserve"> be made between rights holders and LLM firms. Many copyrights holders work together through trade groups, such as the German </w:t>
      </w:r>
      <w:r w:rsidR="007F79D4" w:rsidRPr="007F79D4">
        <w:rPr>
          <w:i/>
          <w:iCs/>
        </w:rPr>
        <w:t xml:space="preserve">Gesellschaft für </w:t>
      </w:r>
      <w:proofErr w:type="spellStart"/>
      <w:r w:rsidR="007F79D4" w:rsidRPr="007F79D4">
        <w:rPr>
          <w:i/>
          <w:iCs/>
        </w:rPr>
        <w:t>musikalische</w:t>
      </w:r>
      <w:proofErr w:type="spellEnd"/>
      <w:r w:rsidR="007F79D4" w:rsidRPr="007F79D4">
        <w:rPr>
          <w:i/>
          <w:iCs/>
        </w:rPr>
        <w:t xml:space="preserve"> </w:t>
      </w:r>
      <w:proofErr w:type="spellStart"/>
      <w:r w:rsidR="007F79D4" w:rsidRPr="007F79D4">
        <w:rPr>
          <w:i/>
          <w:iCs/>
        </w:rPr>
        <w:t>Aufführungs</w:t>
      </w:r>
      <w:proofErr w:type="spellEnd"/>
      <w:r w:rsidR="007F79D4" w:rsidRPr="007F79D4">
        <w:t xml:space="preserve"> </w:t>
      </w:r>
      <w:r w:rsidR="007F79D4">
        <w:t>(</w:t>
      </w:r>
      <w:r w:rsidR="00A8625A">
        <w:t>GEMA</w:t>
      </w:r>
      <w:r w:rsidR="007F79D4">
        <w:t>)</w:t>
      </w:r>
      <w:r w:rsidR="00A8625A">
        <w:t xml:space="preserve">. The trade group can centralize the licensing of the collective rights holders and bundle the sales of their rights for licensing. This creates a type of market power through centralizing the licensing of rights. While this increases the negotiation leverage the collective group has, it also decreases the transaction costs between the IP rights holders and the LLM rights users. The same can apply for LLMs, however </w:t>
      </w:r>
      <w:r w:rsidR="00CF601D">
        <w:t xml:space="preserve">due to competition between LLMs and the emergence of </w:t>
      </w:r>
      <w:r w:rsidR="00CF601D">
        <w:lastRenderedPageBreak/>
        <w:t xml:space="preserve">several large firms with market power there is </w:t>
      </w:r>
      <w:r>
        <w:t xml:space="preserve">possibly </w:t>
      </w:r>
      <w:r w:rsidR="00CF601D">
        <w:t xml:space="preserve">less coordination between LLMs than between IP rights holders. There are some collective licensing </w:t>
      </w:r>
      <w:r w:rsidR="008D5422">
        <w:t>platforms which</w:t>
      </w:r>
      <w:r w:rsidR="00CF601D">
        <w:t xml:space="preserve"> do engage in marketing and selling collective licensing rights. Th</w:t>
      </w:r>
      <w:r w:rsidR="00027170">
        <w:t>e</w:t>
      </w:r>
      <w:r w:rsidR="00CF601D">
        <w:t xml:space="preserve">se include groups such as GEMA, the Copyright Licensing Agency (CLA), the Authors’ Licensing and Collecting Society (ALCS), the Publishers’ Licensing Service (PLS), The Copyright Clearance Center (CCC), Created By Humans, the </w:t>
      </w:r>
      <w:r w:rsidR="00745A9A">
        <w:t>(</w:t>
      </w:r>
      <w:r w:rsidR="00CF601D">
        <w:t>ADAGP</w:t>
      </w:r>
      <w:r w:rsidR="00745A9A">
        <w:t>)</w:t>
      </w:r>
      <w:r w:rsidR="00CF601D">
        <w:t xml:space="preserve">, </w:t>
      </w:r>
      <w:r w:rsidR="007F79D4" w:rsidRPr="007F79D4">
        <w:t>Societies’ Council for the Collective Management of Performers’ Rights</w:t>
      </w:r>
      <w:r w:rsidR="007F79D4" w:rsidRPr="007F79D4">
        <w:t xml:space="preserve"> </w:t>
      </w:r>
      <w:r w:rsidR="00745A9A">
        <w:t>(</w:t>
      </w:r>
      <w:r w:rsidR="00CF601D">
        <w:t>SAC</w:t>
      </w:r>
      <w:r w:rsidR="007F79D4">
        <w:t>P</w:t>
      </w:r>
      <w:r w:rsidR="00CF601D">
        <w:t>R</w:t>
      </w:r>
      <w:r w:rsidR="00745A9A">
        <w:t>)</w:t>
      </w:r>
      <w:r w:rsidR="00CF601D">
        <w:t xml:space="preserve">, </w:t>
      </w:r>
      <w:r w:rsidR="007F79D4" w:rsidRPr="000923AA">
        <w:rPr>
          <w:i/>
          <w:iCs/>
        </w:rPr>
        <w:t xml:space="preserve">La Société civile des Auteurs </w:t>
      </w:r>
      <w:proofErr w:type="spellStart"/>
      <w:r w:rsidR="007F79D4" w:rsidRPr="000923AA">
        <w:rPr>
          <w:i/>
          <w:iCs/>
        </w:rPr>
        <w:t>Réalisateurs</w:t>
      </w:r>
      <w:proofErr w:type="spellEnd"/>
      <w:r w:rsidR="007F79D4" w:rsidRPr="000923AA">
        <w:rPr>
          <w:i/>
          <w:iCs/>
        </w:rPr>
        <w:t xml:space="preserve"> et </w:t>
      </w:r>
      <w:proofErr w:type="spellStart"/>
      <w:r w:rsidR="007F79D4" w:rsidRPr="000923AA">
        <w:rPr>
          <w:i/>
          <w:iCs/>
        </w:rPr>
        <w:t>Producteurs</w:t>
      </w:r>
      <w:proofErr w:type="spellEnd"/>
      <w:r w:rsidR="007F79D4" w:rsidRPr="007F79D4">
        <w:t xml:space="preserve"> </w:t>
      </w:r>
      <w:r w:rsidR="00745A9A">
        <w:t>(</w:t>
      </w:r>
      <w:r w:rsidR="00CF601D">
        <w:t>L’ARP</w:t>
      </w:r>
      <w:r w:rsidR="00745A9A">
        <w:t>)</w:t>
      </w:r>
      <w:r w:rsidR="00CF601D">
        <w:t xml:space="preserve">, </w:t>
      </w:r>
      <w:r w:rsidR="007F79D4" w:rsidRPr="000923AA">
        <w:rPr>
          <w:i/>
          <w:iCs/>
        </w:rPr>
        <w:t xml:space="preserve">Bureau International de </w:t>
      </w:r>
      <w:proofErr w:type="spellStart"/>
      <w:r w:rsidR="007F79D4" w:rsidRPr="000923AA">
        <w:rPr>
          <w:i/>
          <w:iCs/>
        </w:rPr>
        <w:t>l'Edition</w:t>
      </w:r>
      <w:proofErr w:type="spellEnd"/>
      <w:r w:rsidR="007F79D4" w:rsidRPr="000923AA">
        <w:rPr>
          <w:i/>
          <w:iCs/>
        </w:rPr>
        <w:t xml:space="preserve"> </w:t>
      </w:r>
      <w:proofErr w:type="spellStart"/>
      <w:r w:rsidR="007F79D4" w:rsidRPr="000923AA">
        <w:rPr>
          <w:i/>
          <w:iCs/>
        </w:rPr>
        <w:t>Mécanique</w:t>
      </w:r>
      <w:proofErr w:type="spellEnd"/>
      <w:r w:rsidR="007F79D4" w:rsidRPr="007F79D4">
        <w:t xml:space="preserve"> </w:t>
      </w:r>
      <w:r w:rsidR="00745A9A">
        <w:t>(</w:t>
      </w:r>
      <w:r w:rsidR="00CF601D">
        <w:t>BIEM</w:t>
      </w:r>
      <w:r w:rsidR="00745A9A">
        <w:t>)</w:t>
      </w:r>
      <w:r w:rsidR="00CF601D">
        <w:t xml:space="preserve">, </w:t>
      </w:r>
      <w:proofErr w:type="spellStart"/>
      <w:r w:rsidR="007F79D4" w:rsidRPr="000923AA">
        <w:rPr>
          <w:i/>
          <w:iCs/>
        </w:rPr>
        <w:t>Syndicat</w:t>
      </w:r>
      <w:proofErr w:type="spellEnd"/>
      <w:r w:rsidR="007F79D4" w:rsidRPr="000923AA">
        <w:rPr>
          <w:i/>
          <w:iCs/>
        </w:rPr>
        <w:t xml:space="preserve"> national de </w:t>
      </w:r>
      <w:proofErr w:type="spellStart"/>
      <w:r w:rsidR="007F79D4" w:rsidRPr="000923AA">
        <w:rPr>
          <w:i/>
          <w:iCs/>
        </w:rPr>
        <w:t>l'édition</w:t>
      </w:r>
      <w:proofErr w:type="spellEnd"/>
      <w:r w:rsidR="007F79D4" w:rsidRPr="007F79D4">
        <w:t xml:space="preserve"> </w:t>
      </w:r>
      <w:r w:rsidR="00745A9A">
        <w:t>(</w:t>
      </w:r>
      <w:r w:rsidR="00CF601D" w:rsidRPr="000923AA">
        <w:rPr>
          <w:i/>
          <w:iCs/>
        </w:rPr>
        <w:t>SNE</w:t>
      </w:r>
      <w:r w:rsidR="00745A9A" w:rsidRPr="000923AA">
        <w:rPr>
          <w:i/>
          <w:iCs/>
        </w:rPr>
        <w:t>)</w:t>
      </w:r>
      <w:r w:rsidR="00CF601D" w:rsidRPr="000923AA">
        <w:rPr>
          <w:i/>
          <w:iCs/>
        </w:rPr>
        <w:t xml:space="preserve">, </w:t>
      </w:r>
      <w:proofErr w:type="spellStart"/>
      <w:r w:rsidR="000923AA" w:rsidRPr="000923AA">
        <w:rPr>
          <w:i/>
          <w:iCs/>
        </w:rPr>
        <w:t>Syndicat</w:t>
      </w:r>
      <w:proofErr w:type="spellEnd"/>
      <w:r w:rsidR="000923AA" w:rsidRPr="000923AA">
        <w:rPr>
          <w:i/>
          <w:iCs/>
        </w:rPr>
        <w:t xml:space="preserve"> national des auteurs et des </w:t>
      </w:r>
      <w:proofErr w:type="spellStart"/>
      <w:r w:rsidR="000923AA" w:rsidRPr="000923AA">
        <w:rPr>
          <w:i/>
          <w:iCs/>
        </w:rPr>
        <w:t>compositeurs</w:t>
      </w:r>
      <w:proofErr w:type="spellEnd"/>
      <w:r w:rsidR="000923AA" w:rsidRPr="000923AA">
        <w:t xml:space="preserve"> </w:t>
      </w:r>
      <w:r w:rsidR="00745A9A">
        <w:t>(</w:t>
      </w:r>
      <w:r w:rsidR="00CF601D">
        <w:t>SNAC</w:t>
      </w:r>
      <w:r w:rsidR="00745A9A">
        <w:t>)</w:t>
      </w:r>
      <w:r w:rsidR="00CF601D">
        <w:t xml:space="preserve">, </w:t>
      </w:r>
      <w:r w:rsidR="000923AA" w:rsidRPr="000923AA">
        <w:rPr>
          <w:i/>
          <w:iCs/>
        </w:rPr>
        <w:t>Société des Gens de Lettres</w:t>
      </w:r>
      <w:r w:rsidR="000923AA" w:rsidRPr="000923AA">
        <w:t xml:space="preserve"> </w:t>
      </w:r>
      <w:r w:rsidR="00745A9A">
        <w:t>(</w:t>
      </w:r>
      <w:r w:rsidR="00CF601D">
        <w:t>SGDL</w:t>
      </w:r>
      <w:r w:rsidR="00745A9A">
        <w:t>)</w:t>
      </w:r>
      <w:r w:rsidR="00CF601D">
        <w:t xml:space="preserve">, </w:t>
      </w:r>
      <w:proofErr w:type="spellStart"/>
      <w:r w:rsidR="000923AA" w:rsidRPr="000923AA">
        <w:rPr>
          <w:i/>
          <w:iCs/>
        </w:rPr>
        <w:t>Verwertungsgesellschaft</w:t>
      </w:r>
      <w:proofErr w:type="spellEnd"/>
      <w:r w:rsidR="000923AA" w:rsidRPr="000923AA">
        <w:rPr>
          <w:i/>
          <w:iCs/>
        </w:rPr>
        <w:t xml:space="preserve"> Wort</w:t>
      </w:r>
      <w:r w:rsidR="000923AA" w:rsidRPr="000923AA">
        <w:t xml:space="preserve"> </w:t>
      </w:r>
      <w:r w:rsidR="00745A9A">
        <w:t>(</w:t>
      </w:r>
      <w:r w:rsidR="00027170">
        <w:t>VG Wort</w:t>
      </w:r>
      <w:r w:rsidR="00745A9A">
        <w:t>)</w:t>
      </w:r>
      <w:r w:rsidR="00027170">
        <w:t xml:space="preserve">, </w:t>
      </w:r>
      <w:r w:rsidR="000923AA" w:rsidRPr="000923AA">
        <w:rPr>
          <w:i/>
          <w:iCs/>
        </w:rPr>
        <w:t>Vereniging Buma</w:t>
      </w:r>
      <w:r w:rsidR="000923AA" w:rsidRPr="000923AA">
        <w:t xml:space="preserve"> </w:t>
      </w:r>
      <w:r w:rsidR="00745A9A">
        <w:t>(</w:t>
      </w:r>
      <w:r w:rsidR="00027170">
        <w:t>BUMA</w:t>
      </w:r>
      <w:r w:rsidR="00745A9A">
        <w:t>)</w:t>
      </w:r>
      <w:r w:rsidR="00027170">
        <w:t xml:space="preserve">, </w:t>
      </w:r>
      <w:proofErr w:type="spellStart"/>
      <w:r w:rsidR="000923AA" w:rsidRPr="000923AA">
        <w:rPr>
          <w:i/>
          <w:iCs/>
        </w:rPr>
        <w:t>Stichting</w:t>
      </w:r>
      <w:proofErr w:type="spellEnd"/>
      <w:r w:rsidR="000923AA" w:rsidRPr="000923AA">
        <w:rPr>
          <w:i/>
          <w:iCs/>
        </w:rPr>
        <w:t xml:space="preserve"> </w:t>
      </w:r>
      <w:proofErr w:type="spellStart"/>
      <w:r w:rsidR="000923AA" w:rsidRPr="000923AA">
        <w:rPr>
          <w:i/>
          <w:iCs/>
        </w:rPr>
        <w:t>Stemra</w:t>
      </w:r>
      <w:proofErr w:type="spellEnd"/>
      <w:r w:rsidR="000923AA" w:rsidRPr="000923AA">
        <w:t xml:space="preserve"> </w:t>
      </w:r>
      <w:r w:rsidR="00745A9A">
        <w:t>(</w:t>
      </w:r>
      <w:r w:rsidR="00027170">
        <w:t>STEMRA</w:t>
      </w:r>
      <w:r w:rsidR="00745A9A">
        <w:t>)</w:t>
      </w:r>
      <w:r w:rsidR="00027170">
        <w:t xml:space="preserve">, and others. </w:t>
      </w:r>
      <w:r w:rsidR="003056E0" w:rsidRPr="003056E0">
        <w:t xml:space="preserve">Note that coordination </w:t>
      </w:r>
      <w:r w:rsidR="003056E0">
        <w:t xml:space="preserve">among firms </w:t>
      </w:r>
      <w:r w:rsidR="003056E0" w:rsidRPr="003056E0">
        <w:t xml:space="preserve">brings up other regulatory issues beyond the scope of the paper </w:t>
      </w:r>
      <w:r w:rsidR="0089450B">
        <w:t>concerning</w:t>
      </w:r>
      <w:r w:rsidR="003056E0" w:rsidRPr="003056E0">
        <w:t xml:space="preserve"> how antitrust and competition laws </w:t>
      </w:r>
      <w:r w:rsidR="0089450B">
        <w:t>apply</w:t>
      </w:r>
      <w:r w:rsidR="0043174C">
        <w:t xml:space="preserve"> to </w:t>
      </w:r>
      <w:r w:rsidR="0043174C" w:rsidRPr="003056E0">
        <w:t>firms’</w:t>
      </w:r>
      <w:r w:rsidR="003056E0" w:rsidRPr="003056E0">
        <w:t xml:space="preserve"> coordinat</w:t>
      </w:r>
      <w:r w:rsidR="0043174C">
        <w:t>ion</w:t>
      </w:r>
      <w:r w:rsidR="003056E0" w:rsidRPr="003056E0">
        <w:t xml:space="preserve"> with each other in the markets for copyright licensing. Another key issue which should be considered in the context of competition law</w:t>
      </w:r>
      <w:r w:rsidR="00B0329D">
        <w:t xml:space="preserve">, </w:t>
      </w:r>
      <w:r w:rsidR="000923AA" w:rsidRPr="003056E0">
        <w:t>is</w:t>
      </w:r>
      <w:r w:rsidR="003056E0" w:rsidRPr="003056E0">
        <w:t xml:space="preserve"> the prospect of LLM firms </w:t>
      </w:r>
      <w:r w:rsidR="005E6565">
        <w:t>using AI</w:t>
      </w:r>
      <w:r w:rsidR="003056E0" w:rsidRPr="003056E0">
        <w:t xml:space="preserve"> to facilitate coordination in the market for copyright licenses</w:t>
      </w:r>
      <w:r w:rsidR="000923AA">
        <w:t>,</w:t>
      </w:r>
      <w:r w:rsidR="000923AA" w:rsidRPr="000923AA">
        <w:t xml:space="preserve"> </w:t>
      </w:r>
      <w:r w:rsidR="000923AA">
        <w:t>however this</w:t>
      </w:r>
      <w:r w:rsidR="000923AA" w:rsidRPr="000923AA">
        <w:t xml:space="preserve"> is beyond the scope of </w:t>
      </w:r>
      <w:r w:rsidR="000923AA">
        <w:t>our</w:t>
      </w:r>
      <w:r w:rsidR="000923AA" w:rsidRPr="000923AA">
        <w:t xml:space="preserve"> </w:t>
      </w:r>
      <w:proofErr w:type="gramStart"/>
      <w:r w:rsidR="000923AA" w:rsidRPr="000923AA">
        <w:t>analysis,</w:t>
      </w:r>
      <w:r w:rsidR="003056E0" w:rsidRPr="003056E0">
        <w:t>.</w:t>
      </w:r>
      <w:proofErr w:type="gramEnd"/>
    </w:p>
    <w:p w14:paraId="14E5E597" w14:textId="0EEFCFFB" w:rsidR="00304858" w:rsidRDefault="00CB35EE" w:rsidP="009947A2">
      <w:r>
        <w:t xml:space="preserve">Within the context of LLMs, having a rigid copyrights system might need to be balanced with the need for society to develop new tools, such as LLMs, which may benefit society. If we assume some of the output of LLMs is beneficial to society, then creating too high a barrier for LLMs to access copyright protected work could harm society. On the other hand, if no </w:t>
      </w:r>
      <w:r w:rsidR="00B0329D">
        <w:t>protection is</w:t>
      </w:r>
      <w:r>
        <w:t xml:space="preserve"> given to creators</w:t>
      </w:r>
      <w:r w:rsidR="008D5422">
        <w:t>,</w:t>
      </w:r>
      <w:r>
        <w:t xml:space="preserve"> then there is a lack of incentive to create new works. In such a scenario, where AI developers face high transaction costs for use of copyrighted material and owners exert rigid and excessive control over their works, a problem associated with what has been termed an “</w:t>
      </w:r>
      <w:proofErr w:type="spellStart"/>
      <w:r>
        <w:t>anticommons</w:t>
      </w:r>
      <w:proofErr w:type="spellEnd"/>
      <w:r>
        <w:t xml:space="preserve">” might develop, where both “goods” developed by creators and by LLMs are created at inefficient levels due to </w:t>
      </w:r>
      <w:r w:rsidR="007174C4">
        <w:t>high transaction costs which probit the dissemination of copyrighted materials.</w:t>
      </w:r>
      <w:r w:rsidR="007174C4">
        <w:rPr>
          <w:rStyle w:val="FootnoteReference"/>
        </w:rPr>
        <w:footnoteReference w:id="11"/>
      </w:r>
      <w:r w:rsidR="007174C4">
        <w:t xml:space="preserve"> Conversely, if there are too lenient sanctions for copyright violations then creators will have a weak incentive to continue creating, leading to an underproduction of creative works and an overproduction of works created by LLMs. </w:t>
      </w:r>
    </w:p>
    <w:p w14:paraId="0F435C1C" w14:textId="4CAB5FBD" w:rsidR="00CB35EE" w:rsidRDefault="007174C4" w:rsidP="009947A2">
      <w:r>
        <w:t xml:space="preserve">If legal uncertainty and information asymmetry are present in the interaction between copyright holders and LLMS, then society might be harmed. For instance, if the owners of copyright protected works are unable to identify when LLMs infringe on their rights, or if the transaction costs associated with </w:t>
      </w:r>
      <w:r w:rsidR="00E14D64">
        <w:t>pursuing</w:t>
      </w:r>
      <w:r>
        <w:t xml:space="preserve"> legal claims for a violation of the copyright are </w:t>
      </w:r>
      <w:r w:rsidR="00304858">
        <w:t>so</w:t>
      </w:r>
      <w:r>
        <w:t xml:space="preserve"> high</w:t>
      </w:r>
      <w:r w:rsidR="00304858">
        <w:t xml:space="preserve"> that</w:t>
      </w:r>
      <w:r>
        <w:t xml:space="preserve"> claims remain negative in value, then there is an increased risk that LLM</w:t>
      </w:r>
      <w:r w:rsidR="00304858">
        <w:t>s</w:t>
      </w:r>
      <w:r>
        <w:t xml:space="preserve"> will </w:t>
      </w:r>
      <w:r w:rsidR="00B0329D">
        <w:t xml:space="preserve">successfully </w:t>
      </w:r>
      <w:r>
        <w:t>free rid</w:t>
      </w:r>
      <w:r w:rsidR="00B0329D">
        <w:t>e</w:t>
      </w:r>
      <w:r>
        <w:t xml:space="preserve"> off copyrighted works. This free riding lead</w:t>
      </w:r>
      <w:r w:rsidR="002C2E6F">
        <w:t>s</w:t>
      </w:r>
      <w:r>
        <w:t xml:space="preserve"> to a decrease </w:t>
      </w:r>
      <w:r w:rsidR="002C2E6F">
        <w:t>of</w:t>
      </w:r>
      <w:r>
        <w:t xml:space="preserve"> benefits to society</w:t>
      </w:r>
      <w:r w:rsidR="000D2FAF">
        <w:t xml:space="preserve"> </w:t>
      </w:r>
      <w:proofErr w:type="gramStart"/>
      <w:r w:rsidR="000D2FAF">
        <w:t>as a result of</w:t>
      </w:r>
      <w:proofErr w:type="gramEnd"/>
      <w:r w:rsidR="000D2FAF">
        <w:t xml:space="preserve"> the associated </w:t>
      </w:r>
      <w:r>
        <w:t xml:space="preserve">decrease in </w:t>
      </w:r>
      <w:r w:rsidR="000D2FAF">
        <w:t xml:space="preserve">the </w:t>
      </w:r>
      <w:r>
        <w:t>creation of new</w:t>
      </w:r>
      <w:r w:rsidR="00B0329D">
        <w:t xml:space="preserve"> </w:t>
      </w:r>
      <w:proofErr w:type="gramStart"/>
      <w:r>
        <w:t>works</w:t>
      </w:r>
      <w:proofErr w:type="gramEnd"/>
      <w:r>
        <w:t xml:space="preserve">. </w:t>
      </w:r>
    </w:p>
    <w:p w14:paraId="3811DEB4" w14:textId="0408EC75" w:rsidR="000D2FAF" w:rsidRDefault="000D2FAF" w:rsidP="00320439">
      <w:r>
        <w:t xml:space="preserve">From an economic perspective, there is a need to align the incentives for LLMs to respect copyright protections and </w:t>
      </w:r>
      <w:r w:rsidR="002C2E6F">
        <w:t xml:space="preserve">the incentive to make </w:t>
      </w:r>
      <w:r>
        <w:t>efficient investment</w:t>
      </w:r>
      <w:r w:rsidR="002C2E6F">
        <w:t>s</w:t>
      </w:r>
      <w:r>
        <w:t xml:space="preserve"> by creators </w:t>
      </w:r>
      <w:r w:rsidR="002C2E6F">
        <w:t>in</w:t>
      </w:r>
      <w:r>
        <w:t xml:space="preserve"> the creation of new works. The question then becomes</w:t>
      </w:r>
      <w:r w:rsidR="008D5422">
        <w:t>:</w:t>
      </w:r>
      <w:r>
        <w:t xml:space="preserve"> </w:t>
      </w:r>
      <w:r w:rsidR="008D5422">
        <w:t>W</w:t>
      </w:r>
      <w:r>
        <w:t xml:space="preserve">hich rule is best to promote the efficient investment in the creation of new works </w:t>
      </w:r>
      <w:r w:rsidR="00B0329D">
        <w:t xml:space="preserve">along </w:t>
      </w:r>
      <w:r>
        <w:t>with the efficient development of innovative technology related to AI</w:t>
      </w:r>
      <w:r w:rsidR="008D5422">
        <w:t>?</w:t>
      </w:r>
      <w:r>
        <w:t xml:space="preserve"> </w:t>
      </w:r>
      <w:r w:rsidR="00B0329D">
        <w:t>Because of the possibility of the misalignment of incentives in this balancing, t</w:t>
      </w:r>
      <w:r>
        <w:t xml:space="preserve">here is a need for clear rules which promote certainty in the law. The law can act </w:t>
      </w:r>
      <w:r w:rsidR="00AE57A5">
        <w:t>as a</w:t>
      </w:r>
      <w:r>
        <w:t xml:space="preserve"> </w:t>
      </w:r>
      <w:r>
        <w:lastRenderedPageBreak/>
        <w:t>focal point for AI firms and individuals’ creators of works to look to when they decide how and when they will invest in creating, be it through the use of LLMs or by individual creativity.</w:t>
      </w:r>
      <w:r w:rsidR="002C2E6F">
        <w:rPr>
          <w:rStyle w:val="FootnoteReference"/>
        </w:rPr>
        <w:footnoteReference w:id="12"/>
      </w:r>
      <w:r>
        <w:t xml:space="preserve"> Only when the law provides clarity will firms and individuals be able to make efficient choices</w:t>
      </w:r>
      <w:r w:rsidR="00320439">
        <w:t xml:space="preserve"> related to the law</w:t>
      </w:r>
      <w:r>
        <w:t>, where in contrast, ambiguity in the law creates uncertainty and a related increase in transactions costs.</w:t>
      </w:r>
      <w:r w:rsidR="00B0329D">
        <w:rPr>
          <w:rStyle w:val="FootnoteReference"/>
        </w:rPr>
        <w:footnoteReference w:id="13"/>
      </w:r>
      <w:r>
        <w:t xml:space="preserve"> </w:t>
      </w:r>
      <w:r w:rsidR="00320439">
        <w:t xml:space="preserve">According to Dari-Mattiacci and </w:t>
      </w:r>
      <w:proofErr w:type="spellStart"/>
      <w:r w:rsidR="00320439">
        <w:t>Deffains</w:t>
      </w:r>
      <w:proofErr w:type="spellEnd"/>
      <w:r w:rsidR="00320439">
        <w:t>, “uncertainty in the law may affect the rate at which a conflict between two parties arises” and “once a conflict has arisen, uncertainty in the law may affect the litigants decision whether to go to trial or settle the dispute.”</w:t>
      </w:r>
      <w:r w:rsidR="00320439">
        <w:rPr>
          <w:rStyle w:val="FootnoteReference"/>
        </w:rPr>
        <w:footnoteReference w:id="14"/>
      </w:r>
      <w:r w:rsidR="00320439">
        <w:t xml:space="preserve"> </w:t>
      </w:r>
      <w:r>
        <w:t xml:space="preserve">As we shall </w:t>
      </w:r>
      <w:r w:rsidR="00AE57A5">
        <w:t>discuss</w:t>
      </w:r>
      <w:r>
        <w:t xml:space="preserve"> later, having certainty in the law may also relate to the amount of divergence in law across borders</w:t>
      </w:r>
      <w:r w:rsidR="00320439">
        <w:t xml:space="preserve">. </w:t>
      </w:r>
    </w:p>
    <w:p w14:paraId="34F649D0" w14:textId="68E81C9A" w:rsidR="00972E02" w:rsidRPr="004162C3" w:rsidRDefault="004162C3" w:rsidP="009947A2">
      <w:pPr>
        <w:rPr>
          <w:u w:val="single"/>
        </w:rPr>
      </w:pPr>
      <w:r w:rsidRPr="004162C3">
        <w:rPr>
          <w:u w:val="single"/>
        </w:rPr>
        <w:t xml:space="preserve">3. Comparative Copyright Law </w:t>
      </w:r>
    </w:p>
    <w:p w14:paraId="391717B8" w14:textId="6B9505C7" w:rsidR="00E249FC" w:rsidRPr="00367FFA" w:rsidRDefault="000923AA" w:rsidP="009947A2">
      <w:r w:rsidRPr="000923AA">
        <w:t>There are important e</w:t>
      </w:r>
      <w:r w:rsidR="00E249FC" w:rsidRPr="000923AA">
        <w:t xml:space="preserve">xceptions </w:t>
      </w:r>
      <w:proofErr w:type="gramStart"/>
      <w:r w:rsidR="00E249FC" w:rsidRPr="000923AA">
        <w:t>for</w:t>
      </w:r>
      <w:proofErr w:type="gramEnd"/>
      <w:r w:rsidR="00E249FC" w:rsidRPr="000923AA">
        <w:t xml:space="preserve"> </w:t>
      </w:r>
      <w:r w:rsidRPr="000923AA">
        <w:t xml:space="preserve">the </w:t>
      </w:r>
      <w:r w:rsidR="00E249FC" w:rsidRPr="000923AA">
        <w:t xml:space="preserve">use of </w:t>
      </w:r>
      <w:r w:rsidRPr="000923AA">
        <w:t>c</w:t>
      </w:r>
      <w:r w:rsidR="00E249FC" w:rsidRPr="000923AA">
        <w:t xml:space="preserve">opyright </w:t>
      </w:r>
      <w:r w:rsidRPr="000923AA">
        <w:t>p</w:t>
      </w:r>
      <w:r w:rsidR="00E249FC" w:rsidRPr="000923AA">
        <w:t xml:space="preserve">rotected </w:t>
      </w:r>
      <w:r w:rsidRPr="000923AA">
        <w:t>d</w:t>
      </w:r>
      <w:r w:rsidR="00E249FC" w:rsidRPr="000923AA">
        <w:t>ata</w:t>
      </w:r>
      <w:r w:rsidRPr="000923AA">
        <w:t>.</w:t>
      </w:r>
      <w:r w:rsidR="002C17BC">
        <w:t xml:space="preserve"> </w:t>
      </w:r>
      <w:r w:rsidR="00E249FC" w:rsidRPr="000923AA">
        <w:t>In the US the doctrine of fair use has allowed for many LLMs to justify their use of copyright protected data through a legal defense which argues their use of the protected data is transformative and does not replace the original protected data as substitute.</w:t>
      </w:r>
      <w:r w:rsidR="00E249FC" w:rsidRPr="000923AA">
        <w:rPr>
          <w:rStyle w:val="FootnoteReference"/>
        </w:rPr>
        <w:footnoteReference w:id="15"/>
      </w:r>
      <w:r w:rsidR="00E249FC" w:rsidRPr="000923AA">
        <w:t xml:space="preserve"> In the EU there are specific rules related to text and data mining (TDM) for research found in the EU Copyright Directive (DSM Directive).</w:t>
      </w:r>
      <w:r w:rsidR="00E249FC" w:rsidRPr="000923AA">
        <w:rPr>
          <w:rStyle w:val="FootnoteReference"/>
        </w:rPr>
        <w:footnoteReference w:id="16"/>
      </w:r>
      <w:r w:rsidR="00E249FC" w:rsidRPr="000923AA">
        <w:t xml:space="preserve"> There is a more narrow availability of TDM for commercial uses.</w:t>
      </w:r>
      <w:r w:rsidR="00E249FC" w:rsidRPr="000923AA">
        <w:rPr>
          <w:rStyle w:val="FootnoteReference"/>
        </w:rPr>
        <w:footnoteReference w:id="17"/>
      </w:r>
      <w:r w:rsidR="00E249FC" w:rsidRPr="000923AA">
        <w:t xml:space="preserve"> Importantly, the exceptions for fair use in the EU are much more limited than those found under US law. </w:t>
      </w:r>
    </w:p>
    <w:p w14:paraId="71A87424" w14:textId="6B8DA00F" w:rsidR="003B279A" w:rsidRPr="003B279A" w:rsidRDefault="003B279A" w:rsidP="0068421D">
      <w:pPr>
        <w:rPr>
          <w:b/>
          <w:bCs/>
          <w:u w:val="single"/>
        </w:rPr>
      </w:pPr>
      <w:r w:rsidRPr="003B279A">
        <w:rPr>
          <w:b/>
          <w:bCs/>
          <w:u w:val="single"/>
        </w:rPr>
        <w:t>Copyright</w:t>
      </w:r>
      <w:r w:rsidR="00C363C9">
        <w:rPr>
          <w:b/>
          <w:bCs/>
          <w:u w:val="single"/>
        </w:rPr>
        <w:t xml:space="preserve"> Protections </w:t>
      </w:r>
    </w:p>
    <w:p w14:paraId="59610EFF" w14:textId="654362A2" w:rsidR="002C17BC" w:rsidRDefault="005320F1" w:rsidP="0068421D">
      <w:r w:rsidRPr="00367FFA">
        <w:t xml:space="preserve">We examine the laws of five states which are considered western </w:t>
      </w:r>
      <w:r w:rsidR="002C2E6F" w:rsidRPr="00367FFA">
        <w:t>democracies and</w:t>
      </w:r>
      <w:r w:rsidRPr="00367FFA">
        <w:t xml:space="preserve"> have divergent approaches to dealing with the use of copyright protected </w:t>
      </w:r>
      <w:r w:rsidR="002C2E6F">
        <w:t>works</w:t>
      </w:r>
      <w:r w:rsidRPr="00367FFA">
        <w:t>. The five states are France, Germany, the Netherlands, the United Kingdom (UK) and the United States (US). Within these five states, three (France, Germany and the Netherlands) are part of the European Union (EU) and have an additional layer of legal rules related to the EU</w:t>
      </w:r>
      <w:r w:rsidR="002C2E6F">
        <w:t>. These three EU member states (MS) also represent the civil law legal tradition</w:t>
      </w:r>
      <w:r w:rsidRPr="00367FFA">
        <w:t xml:space="preserve">. </w:t>
      </w:r>
      <w:r w:rsidR="002C2E6F">
        <w:t xml:space="preserve">The UK and the US represent the </w:t>
      </w:r>
      <w:proofErr w:type="gramStart"/>
      <w:r w:rsidR="002C2E6F">
        <w:t>common law</w:t>
      </w:r>
      <w:proofErr w:type="gramEnd"/>
      <w:r w:rsidR="002C2E6F">
        <w:t xml:space="preserve"> legal tradition and do not apply EU laws concerning copyrights. </w:t>
      </w:r>
      <w:r w:rsidR="002C17BC">
        <w:t>Each of these nations are signatories to the Berne Convention for the Protection of Literary and Artistic Works, which has provided some standardization for copyright protections and authors rights.</w:t>
      </w:r>
      <w:r w:rsidR="002C17BC">
        <w:rPr>
          <w:rStyle w:val="FootnoteReference"/>
        </w:rPr>
        <w:footnoteReference w:id="18"/>
      </w:r>
      <w:r w:rsidR="005731C3">
        <w:t xml:space="preserve"> The Bern Convention has not been amended since 1979 and thus </w:t>
      </w:r>
      <w:proofErr w:type="gramStart"/>
      <w:r w:rsidR="005731C3">
        <w:t>have</w:t>
      </w:r>
      <w:proofErr w:type="gramEnd"/>
      <w:r w:rsidR="005731C3">
        <w:t xml:space="preserve"> never addressed the unique problems caused by the digitalization of information. </w:t>
      </w:r>
    </w:p>
    <w:p w14:paraId="078CEA83" w14:textId="7FC59138" w:rsidR="002C17BC" w:rsidRDefault="0068421D" w:rsidP="0068421D">
      <w:r>
        <w:t xml:space="preserve">We consider: 1. The source of law, 2. Exceptions, 3. Civil Penalties, 4. Criminal Penalties, </w:t>
      </w:r>
      <w:r w:rsidRPr="000923AA">
        <w:rPr>
          <w:highlight w:val="yellow"/>
        </w:rPr>
        <w:t>5. Liability for third parties,</w:t>
      </w:r>
      <w:r>
        <w:t xml:space="preserve"> 6. Statute of Limitations, 7. Private v. Public Enforcement</w:t>
      </w:r>
      <w:r w:rsidR="009C43B4">
        <w:t>, 8. Selected Case Law</w:t>
      </w:r>
      <w:r>
        <w:t xml:space="preserve">. Using these parameters, we compare the copyright provisions of these states. </w:t>
      </w:r>
    </w:p>
    <w:p w14:paraId="109903F5" w14:textId="5284A5A2" w:rsidR="001E51CC" w:rsidRPr="00367FFA" w:rsidRDefault="001E51CC" w:rsidP="001E51CC">
      <w:r w:rsidRPr="00BC0E6F">
        <w:rPr>
          <w:u w:val="single"/>
        </w:rPr>
        <w:t>EU Copyright Directive.</w:t>
      </w:r>
      <w:r>
        <w:t xml:space="preserve"> As MS of the EU, France</w:t>
      </w:r>
      <w:r w:rsidR="00DF2CBE">
        <w:t xml:space="preserve">, Germany and the Netherlands </w:t>
      </w:r>
      <w:r>
        <w:t>ha</w:t>
      </w:r>
      <w:r w:rsidR="00DF2CBE">
        <w:t>ve</w:t>
      </w:r>
      <w:r>
        <w:t xml:space="preserve"> transposed EU Directive 2019/790 concerning “</w:t>
      </w:r>
      <w:r w:rsidRPr="00F321D0">
        <w:t>copyright and related rights in the Digital Single Market</w:t>
      </w:r>
      <w:r>
        <w:t xml:space="preserve">” or </w:t>
      </w:r>
      <w:r>
        <w:lastRenderedPageBreak/>
        <w:t>“Copyright Directive”.</w:t>
      </w:r>
      <w:r>
        <w:rPr>
          <w:rStyle w:val="FootnoteReference"/>
        </w:rPr>
        <w:footnoteReference w:id="19"/>
      </w:r>
      <w:r>
        <w:t xml:space="preserve"> This Directive provides exceptions for the use of text and data mining (TDM) and allows for data sets to be used in public interests related to research carried out by “research </w:t>
      </w:r>
      <w:proofErr w:type="spellStart"/>
      <w:r w:rsidRPr="005556FE">
        <w:t>organisations</w:t>
      </w:r>
      <w:proofErr w:type="spellEnd"/>
      <w:r>
        <w:t>” or “cultural heritage institutions” when data sets are legally accessed.</w:t>
      </w:r>
      <w:r>
        <w:rPr>
          <w:rStyle w:val="FootnoteReference"/>
        </w:rPr>
        <w:footnoteReference w:id="20"/>
      </w:r>
      <w:r>
        <w:t xml:space="preserve"> Use by research </w:t>
      </w:r>
      <w:proofErr w:type="spellStart"/>
      <w:r>
        <w:t>organisations</w:t>
      </w:r>
      <w:proofErr w:type="spellEnd"/>
      <w:r>
        <w:t xml:space="preserve"> or cultural heritage </w:t>
      </w:r>
      <w:proofErr w:type="spellStart"/>
      <w:r>
        <w:t>organisations</w:t>
      </w:r>
      <w:proofErr w:type="spellEnd"/>
      <w:r>
        <w:t xml:space="preserve"> cannot be prevented under an “opt-out” by copyright holders.  </w:t>
      </w:r>
    </w:p>
    <w:p w14:paraId="19D4C258" w14:textId="58F491C2" w:rsidR="006B1CD9" w:rsidRPr="006B1CD9" w:rsidRDefault="003E37C3" w:rsidP="009947A2">
      <w:r>
        <w:t>The ECJ has found in the</w:t>
      </w:r>
      <w:r w:rsidR="006B1CD9" w:rsidRPr="006B1CD9">
        <w:t xml:space="preserve"> </w:t>
      </w:r>
      <w:bookmarkStart w:id="1" w:name="_Hlk208817828"/>
      <w:r w:rsidR="006B1CD9" w:rsidRPr="006B1CD9">
        <w:t>‘YouTube’ and ‘</w:t>
      </w:r>
      <w:proofErr w:type="spellStart"/>
      <w:r w:rsidR="006B1CD9" w:rsidRPr="006B1CD9">
        <w:t>Cyando</w:t>
      </w:r>
      <w:proofErr w:type="spellEnd"/>
      <w:r w:rsidR="006B1CD9" w:rsidRPr="006B1CD9">
        <w:t>’ joined cases (C</w:t>
      </w:r>
      <w:r w:rsidR="006B1CD9" w:rsidRPr="006B1CD9">
        <w:rPr>
          <w:rFonts w:ascii="Cambria Math" w:hAnsi="Cambria Math" w:cs="Cambria Math"/>
        </w:rPr>
        <w:t>‑</w:t>
      </w:r>
      <w:r w:rsidR="006B1CD9" w:rsidRPr="006B1CD9">
        <w:t>682/18 and C</w:t>
      </w:r>
      <w:r w:rsidR="006B1CD9" w:rsidRPr="006B1CD9">
        <w:rPr>
          <w:rFonts w:ascii="Cambria Math" w:hAnsi="Cambria Math" w:cs="Cambria Math"/>
        </w:rPr>
        <w:t>‑</w:t>
      </w:r>
      <w:r w:rsidR="006B1CD9" w:rsidRPr="006B1CD9">
        <w:t>683/18, EU:C:2021:503)</w:t>
      </w:r>
      <w:bookmarkEnd w:id="1"/>
      <w:r>
        <w:t xml:space="preserve"> that “</w:t>
      </w:r>
      <w:r w:rsidRPr="003E37C3">
        <w:t xml:space="preserve">Article 3(1) of Directive 2001/29/EC of the European Parliament and of the Council of 22 May 2001 on the </w:t>
      </w:r>
      <w:proofErr w:type="spellStart"/>
      <w:r w:rsidRPr="003E37C3">
        <w:t>harmonisation</w:t>
      </w:r>
      <w:proofErr w:type="spellEnd"/>
      <w:r w:rsidRPr="003E37C3">
        <w:t xml:space="preserve"> of certain aspects of copyright and related rights in the information society must be interpreted as meaning that the operator of a video-sharing platform or a file-hosting and -sharing platform, on which users can illegally make protected content available to the public, does not make a ‘communication to the public’ of that content, within the meaning of that provision, unless it contributes, beyond merely making that platform available, to giving access to such content to the public in breach of copyright.</w:t>
      </w:r>
      <w:r>
        <w:t>”</w:t>
      </w:r>
      <w:r w:rsidR="00F94D72">
        <w:rPr>
          <w:rStyle w:val="FootnoteReference"/>
        </w:rPr>
        <w:footnoteReference w:id="21"/>
      </w:r>
    </w:p>
    <w:p w14:paraId="3F833642" w14:textId="349A2D9D" w:rsidR="005320F1" w:rsidRPr="001E51CC" w:rsidRDefault="005320F1" w:rsidP="009947A2">
      <w:pPr>
        <w:rPr>
          <w:u w:val="single"/>
        </w:rPr>
      </w:pPr>
      <w:r w:rsidRPr="001E51CC">
        <w:rPr>
          <w:u w:val="single"/>
        </w:rPr>
        <w:t xml:space="preserve">France. </w:t>
      </w:r>
    </w:p>
    <w:p w14:paraId="30D57624" w14:textId="6CBC37F4" w:rsidR="007F6769" w:rsidRDefault="005320F1" w:rsidP="009947A2">
      <w:r w:rsidRPr="00367FFA">
        <w:t xml:space="preserve">French law addressed the use of copyrighted protected material under the French Intellectual Property Code </w:t>
      </w:r>
      <w:r w:rsidR="009C43B4">
        <w:t xml:space="preserve">or </w:t>
      </w:r>
      <w:r w:rsidRPr="009C43B4">
        <w:rPr>
          <w:i/>
          <w:iCs/>
        </w:rPr>
        <w:t>Code de la propriété intellectuelle</w:t>
      </w:r>
      <w:r w:rsidRPr="00367FFA">
        <w:t xml:space="preserve"> (CPI). </w:t>
      </w:r>
      <w:r w:rsidR="00BA4D83">
        <w:t xml:space="preserve">Another relevant statutory provision is found under the Partie legislative, Livre I or Droit d’auteur. </w:t>
      </w:r>
      <w:r w:rsidRPr="00367FFA">
        <w:t>Under the C</w:t>
      </w:r>
      <w:r w:rsidR="00367FFA" w:rsidRPr="00367FFA">
        <w:t xml:space="preserve">PI, </w:t>
      </w:r>
      <w:r w:rsidR="00367FFA">
        <w:t>“[t]he author of a work of the mind enjoys, by the mere fact of its creation, an exclusive incorporeal property right over that work, which is enforceable against all.”</w:t>
      </w:r>
      <w:r w:rsidR="00367FFA">
        <w:rPr>
          <w:rStyle w:val="FootnoteReference"/>
        </w:rPr>
        <w:footnoteReference w:id="22"/>
      </w:r>
      <w:r w:rsidR="00F321D0">
        <w:t xml:space="preserve"> This has implications for LLMs using “works of the mind” which have a property right associated with it under the CPI. The means that an LLM’s use of such protected work would fall under the laws found in the French CPI. The property rights found in the CPI extend to database producers.</w:t>
      </w:r>
      <w:r w:rsidR="00F321D0">
        <w:rPr>
          <w:rStyle w:val="FootnoteReference"/>
        </w:rPr>
        <w:footnoteReference w:id="23"/>
      </w:r>
      <w:r w:rsidR="00F321D0">
        <w:t xml:space="preserve"> </w:t>
      </w:r>
      <w:r w:rsidR="009642D8">
        <w:t xml:space="preserve">The CPI is generally enforced through the </w:t>
      </w:r>
      <w:r w:rsidR="009642D8" w:rsidRPr="009F3ACB">
        <w:t>HADOPI</w:t>
      </w:r>
      <w:r w:rsidR="009642D8">
        <w:t xml:space="preserve"> and the </w:t>
      </w:r>
      <w:r w:rsidR="009642D8" w:rsidRPr="009F3ACB">
        <w:t>ARCOM</w:t>
      </w:r>
      <w:r w:rsidR="009642D8">
        <w:t xml:space="preserve"> which regularly report the use of warning letters for suspected violations.</w:t>
      </w:r>
      <w:r w:rsidR="00D8756F">
        <w:rPr>
          <w:rStyle w:val="FootnoteReference"/>
        </w:rPr>
        <w:footnoteReference w:id="24"/>
      </w:r>
      <w:r w:rsidR="009642D8">
        <w:t xml:space="preserve"> </w:t>
      </w:r>
    </w:p>
    <w:p w14:paraId="1C6C3B32" w14:textId="17E2FAA6" w:rsidR="007F6769" w:rsidRDefault="007F6769" w:rsidP="009947A2">
      <w:r>
        <w:t>Exceptions</w:t>
      </w:r>
    </w:p>
    <w:p w14:paraId="5C4E754B" w14:textId="7B66ADDB" w:rsidR="00BC0E6F" w:rsidRDefault="00BC0E6F" w:rsidP="009947A2">
      <w:bookmarkStart w:id="2" w:name="_Hlk208576578"/>
      <w:r>
        <w:t xml:space="preserve">France follows the EU Copyright Directive which provides exceptions for non-commercial uses by research </w:t>
      </w:r>
      <w:r w:rsidR="002C2E6F">
        <w:t>organizations</w:t>
      </w:r>
      <w:r>
        <w:t xml:space="preserve"> and cultural heritage institutions</w:t>
      </w:r>
      <w:r w:rsidR="003A67D1">
        <w:t xml:space="preserve"> for TDM, which cannot be opted out of by the rights holders</w:t>
      </w:r>
      <w:r>
        <w:t xml:space="preserve">. Commercial use of </w:t>
      </w:r>
      <w:r w:rsidR="003A67D1">
        <w:t>copyrighted material</w:t>
      </w:r>
      <w:r>
        <w:t xml:space="preserve"> </w:t>
      </w:r>
      <w:r w:rsidR="003A67D1">
        <w:t xml:space="preserve">for TDM </w:t>
      </w:r>
      <w:r>
        <w:t xml:space="preserve">is permitted unless the </w:t>
      </w:r>
      <w:r w:rsidR="003A67D1">
        <w:t xml:space="preserve">rights holders have opted out, and in such cases the use of a database held by a rightsholder that has opted out is a violation of the CPI without a licensing agreement. Essentially, an LLM </w:t>
      </w:r>
      <w:r w:rsidR="003A67D1">
        <w:lastRenderedPageBreak/>
        <w:t>can use copyright protected material only in the case of an opt out for TDM or if they have obtained a license to use the protected data.</w:t>
      </w:r>
      <w:r w:rsidR="002C2E6F">
        <w:t xml:space="preserve"> </w:t>
      </w:r>
    </w:p>
    <w:p w14:paraId="096CFC3F" w14:textId="568FD48A" w:rsidR="002C2E6F" w:rsidRDefault="002C2E6F" w:rsidP="009947A2">
      <w:r>
        <w:t xml:space="preserve">In French law, there are no explicit exemptions for the use of data for training LLMs. Without a license to use or a TDM exception, it is unlikely that using copyrighted works by LLMs for training data </w:t>
      </w:r>
      <w:r w:rsidR="00BA4D83">
        <w:t xml:space="preserve">will be permissible. Exceptions for personal use are broad while exceptions for commercial use are narrowly construed, meaning that when the LLM is engaged in commerce the possible exemptions are looked at under more scrutiny. </w:t>
      </w:r>
    </w:p>
    <w:p w14:paraId="45768320" w14:textId="729D1EBD" w:rsidR="00BA4D83" w:rsidRDefault="00BA4D83" w:rsidP="009947A2">
      <w:r>
        <w:t>There is no general type of exceptions which is analogous to the US fair use doctrine</w:t>
      </w:r>
      <w:r w:rsidR="00A17239">
        <w:t xml:space="preserve">. Under art. L122-5 to L122-5-4 of the CPI, </w:t>
      </w:r>
      <w:r>
        <w:t xml:space="preserve">there are exceptions for </w:t>
      </w:r>
      <w:r w:rsidR="00A17239">
        <w:t>noncommercial</w:t>
      </w:r>
      <w:r>
        <w:t xml:space="preserve"> use related to personal use, for quoting protected works, for parody of protected works, for reporting news, for educational and research purposes, for preservation by libraries, and for use by disabled persons. </w:t>
      </w:r>
    </w:p>
    <w:bookmarkEnd w:id="2"/>
    <w:p w14:paraId="6A554FBB" w14:textId="77777777" w:rsidR="00C11F0A" w:rsidRDefault="00C11F0A" w:rsidP="009947A2">
      <w:r w:rsidRPr="00C11F0A">
        <w:t xml:space="preserve">In France, violations of the CPI provide for both civil and criminal penalties. </w:t>
      </w:r>
    </w:p>
    <w:p w14:paraId="6CFDF048" w14:textId="624BD0D7" w:rsidR="00C11F0A" w:rsidRDefault="00B40ACA" w:rsidP="009947A2">
      <w:r>
        <w:t>Civil Penalties for unauthorized use of copyright protected material in France involve</w:t>
      </w:r>
      <w:r w:rsidR="00C11F0A">
        <w:t xml:space="preserve"> damages, injunctive relief, seizure of assets, mandatory disclosures, recalls, the publications of judgments and being held responsible for legal fees. </w:t>
      </w:r>
      <w:r w:rsidR="00BA4D83">
        <w:t xml:space="preserve">Provisions for civil penalties can be found in the CPI under art. L335-2 to L335-10. According to Ordinance No. 2014-129 of 13 February 2014, art. </w:t>
      </w:r>
      <w:r w:rsidR="00A17239">
        <w:t xml:space="preserve">L331-1-3, the court considers several factors in determining a penalty for a violation, including: the economic impact of the illegal use, moral prejudice or “prejudice moral”, if the infringer made profits off the illegal use, and the intent behind the illegal use. A hypothetical licensing fee may also be considered under a type of flat rate damage calculation. </w:t>
      </w:r>
    </w:p>
    <w:p w14:paraId="084F0829" w14:textId="3AAE84D9" w:rsidR="00B40ACA" w:rsidRDefault="00A17239" w:rsidP="009947A2">
      <w:r>
        <w:t xml:space="preserve">Under art. L335-2, L335-3 and L335-4 of the CPI, criminal penalties may be determined by the court. </w:t>
      </w:r>
      <w:r w:rsidR="00C11F0A">
        <w:t>Criminal penalties in France for violation of the CPI many be available when the violation has a</w:t>
      </w:r>
      <w:r>
        <w:t>n</w:t>
      </w:r>
      <w:r w:rsidR="00C11F0A">
        <w:t xml:space="preserve"> aggravating factor, such as malice</w:t>
      </w:r>
      <w:r>
        <w:t>, commercial use,</w:t>
      </w:r>
      <w:r w:rsidR="00C11F0A">
        <w:t xml:space="preserve"> or involves organized criminal activity. </w:t>
      </w:r>
      <w:r>
        <w:t xml:space="preserve">Criminal penalties may also involve a monetary fine, which is based on the type of illegal use. </w:t>
      </w:r>
    </w:p>
    <w:p w14:paraId="5AA6DE58" w14:textId="2578EAE8" w:rsidR="001E51CC" w:rsidRDefault="001E51CC" w:rsidP="009947A2">
      <w:r>
        <w:t>Selected Case Law</w:t>
      </w:r>
    </w:p>
    <w:p w14:paraId="51E63DC5" w14:textId="357AB152" w:rsidR="00972E02" w:rsidRDefault="007152CE" w:rsidP="009947A2">
      <w:r>
        <w:t xml:space="preserve">The unresolved case, </w:t>
      </w:r>
      <w:r w:rsidR="00972E02" w:rsidRPr="00972E02">
        <w:t>SNE, SGDL and SNAC v META</w:t>
      </w:r>
      <w:r w:rsidR="008772BE">
        <w:t>, filed in March of 2025, is a joint filing from Syndicat national de l’édition (SNE), Société des Gens de Lettres (SGDL) and the Syndicat National de Auteurs et des Compositteurs (SNAC) against Meta Platforms, Inc. “</w:t>
      </w:r>
      <w:r w:rsidR="008772BE" w:rsidRPr="008772BE">
        <w:t>due to a massive use of copyrighted works, without the authorization of their authors and publishers, in order to train its generative artificial intelligence model</w:t>
      </w:r>
      <w:r w:rsidR="008772BE">
        <w:t>.”</w:t>
      </w:r>
      <w:r w:rsidR="008772BE">
        <w:rPr>
          <w:rStyle w:val="FootnoteReference"/>
        </w:rPr>
        <w:footnoteReference w:id="25"/>
      </w:r>
      <w:r w:rsidR="008772BE">
        <w:t xml:space="preserve"> The allegations concern the widespread use of copyrighted data by Meta, Inc. </w:t>
      </w:r>
      <w:r w:rsidR="00DA3DAC">
        <w:t xml:space="preserve">using the “Book3” dataset </w:t>
      </w:r>
      <w:r w:rsidR="008772BE">
        <w:t xml:space="preserve">to train their AI </w:t>
      </w:r>
      <w:r w:rsidR="008772BE">
        <w:lastRenderedPageBreak/>
        <w:t>models which are marketed across multiple Meta applications, such as Llama.</w:t>
      </w:r>
      <w:r w:rsidR="00DA3DAC">
        <w:rPr>
          <w:rStyle w:val="FootnoteReference"/>
        </w:rPr>
        <w:footnoteReference w:id="26"/>
      </w:r>
      <w:r w:rsidR="00DA3DAC">
        <w:t xml:space="preserve"> The outcome of this claim in the is pending in the 3</w:t>
      </w:r>
      <w:r w:rsidR="00DA3DAC" w:rsidRPr="00DA3DAC">
        <w:rPr>
          <w:vertAlign w:val="superscript"/>
        </w:rPr>
        <w:t>rd</w:t>
      </w:r>
      <w:r w:rsidR="00DA3DAC">
        <w:t xml:space="preserve"> Chamber of the Paris Judicial Court.</w:t>
      </w:r>
      <w:r w:rsidR="00974C02">
        <w:rPr>
          <w:rStyle w:val="FootnoteReference"/>
        </w:rPr>
        <w:footnoteReference w:id="27"/>
      </w:r>
      <w:r w:rsidR="00DA3DAC">
        <w:t xml:space="preserve"> </w:t>
      </w:r>
    </w:p>
    <w:tbl>
      <w:tblPr>
        <w:tblStyle w:val="TableGrid"/>
        <w:tblW w:w="9085" w:type="dxa"/>
        <w:tblLook w:val="04A0" w:firstRow="1" w:lastRow="0" w:firstColumn="1" w:lastColumn="0" w:noHBand="0" w:noVBand="1"/>
      </w:tblPr>
      <w:tblGrid>
        <w:gridCol w:w="1509"/>
        <w:gridCol w:w="7576"/>
      </w:tblGrid>
      <w:tr w:rsidR="00F0312F" w:rsidRPr="00C03A1D" w14:paraId="6A9A688A" w14:textId="77777777" w:rsidTr="00BB6F31">
        <w:trPr>
          <w:trHeight w:val="42"/>
        </w:trPr>
        <w:tc>
          <w:tcPr>
            <w:tcW w:w="1509" w:type="dxa"/>
          </w:tcPr>
          <w:p w14:paraId="495D278B" w14:textId="77777777" w:rsidR="00F0312F" w:rsidRPr="00C03A1D" w:rsidRDefault="00F0312F" w:rsidP="00192387">
            <w:pPr>
              <w:rPr>
                <w:lang w:val="nl-NL"/>
              </w:rPr>
            </w:pPr>
          </w:p>
        </w:tc>
        <w:tc>
          <w:tcPr>
            <w:tcW w:w="7576" w:type="dxa"/>
          </w:tcPr>
          <w:p w14:paraId="07B968CB" w14:textId="77777777" w:rsidR="00F0312F" w:rsidRPr="00C03A1D" w:rsidRDefault="00F0312F" w:rsidP="00192387">
            <w:pPr>
              <w:rPr>
                <w:lang w:val="nl-NL"/>
              </w:rPr>
            </w:pPr>
            <w:r>
              <w:rPr>
                <w:lang w:val="nl-NL"/>
              </w:rPr>
              <w:t>France</w:t>
            </w:r>
          </w:p>
        </w:tc>
      </w:tr>
      <w:tr w:rsidR="00F0312F" w:rsidRPr="00C03A1D" w14:paraId="1B6AF340" w14:textId="77777777" w:rsidTr="00BB6F31">
        <w:trPr>
          <w:trHeight w:val="42"/>
        </w:trPr>
        <w:tc>
          <w:tcPr>
            <w:tcW w:w="1509" w:type="dxa"/>
          </w:tcPr>
          <w:p w14:paraId="40A974B0" w14:textId="77777777" w:rsidR="00F0312F" w:rsidRPr="00C03A1D" w:rsidRDefault="00F0312F" w:rsidP="00192387">
            <w:pPr>
              <w:rPr>
                <w:lang w:val="nl-NL"/>
              </w:rPr>
            </w:pPr>
            <w:r w:rsidRPr="00C03A1D">
              <w:rPr>
                <w:lang w:val="nl-NL"/>
              </w:rPr>
              <w:t>Source of Law</w:t>
            </w:r>
          </w:p>
        </w:tc>
        <w:tc>
          <w:tcPr>
            <w:tcW w:w="7576" w:type="dxa"/>
          </w:tcPr>
          <w:p w14:paraId="543DC469" w14:textId="77777777" w:rsidR="00F0312F" w:rsidRDefault="002F30BA" w:rsidP="00192387">
            <w:r>
              <w:t>EU Directive 2019/790</w:t>
            </w:r>
            <w:r w:rsidR="00B93C8A">
              <w:t xml:space="preserve"> </w:t>
            </w:r>
            <w:r w:rsidR="00F10A85">
              <w:t>“</w:t>
            </w:r>
            <w:r w:rsidR="00B93C8A">
              <w:t>Copyright Directive</w:t>
            </w:r>
            <w:r w:rsidR="00F10A85">
              <w:t>” under French Ordonnance no 2021-1518 novembre 2021</w:t>
            </w:r>
          </w:p>
          <w:p w14:paraId="18F231A6" w14:textId="77777777" w:rsidR="00EA14A6" w:rsidRDefault="00EA14A6" w:rsidP="00192387">
            <w:r w:rsidRPr="00367FFA">
              <w:t xml:space="preserve">French Intellectual Property Code </w:t>
            </w:r>
            <w:r>
              <w:t xml:space="preserve">or </w:t>
            </w:r>
            <w:r w:rsidRPr="009C43B4">
              <w:rPr>
                <w:i/>
                <w:iCs/>
              </w:rPr>
              <w:t>Code de la propriété intellectuelle</w:t>
            </w:r>
            <w:r w:rsidRPr="00367FFA">
              <w:t xml:space="preserve"> (CPI)</w:t>
            </w:r>
          </w:p>
          <w:p w14:paraId="0D3802CB" w14:textId="1E67691A" w:rsidR="00041A72" w:rsidRPr="00C03A1D" w:rsidRDefault="00041A72" w:rsidP="00192387">
            <w:pPr>
              <w:rPr>
                <w:lang w:val="nl-NL"/>
              </w:rPr>
            </w:pPr>
            <w:r>
              <w:t>Partie legislative, Livre I or Droit d’auteur</w:t>
            </w:r>
          </w:p>
        </w:tc>
      </w:tr>
      <w:tr w:rsidR="00F0312F" w:rsidRPr="00C03A1D" w14:paraId="27097789" w14:textId="77777777" w:rsidTr="00BB6F31">
        <w:trPr>
          <w:trHeight w:val="37"/>
        </w:trPr>
        <w:tc>
          <w:tcPr>
            <w:tcW w:w="1509" w:type="dxa"/>
          </w:tcPr>
          <w:p w14:paraId="71029026" w14:textId="77777777" w:rsidR="00F0312F" w:rsidRPr="00C03A1D" w:rsidRDefault="00F0312F" w:rsidP="00192387">
            <w:pPr>
              <w:rPr>
                <w:lang w:val="nl-NL"/>
              </w:rPr>
            </w:pPr>
            <w:r w:rsidRPr="00C03A1D">
              <w:rPr>
                <w:lang w:val="nl-NL"/>
              </w:rPr>
              <w:t>Exceptions</w:t>
            </w:r>
          </w:p>
        </w:tc>
        <w:tc>
          <w:tcPr>
            <w:tcW w:w="7576" w:type="dxa"/>
          </w:tcPr>
          <w:p w14:paraId="0E8D70A9" w14:textId="77777777" w:rsidR="00F0312F" w:rsidRDefault="00F154BD" w:rsidP="00F154BD">
            <w:pPr>
              <w:tabs>
                <w:tab w:val="left" w:pos="1440"/>
              </w:tabs>
            </w:pPr>
            <w:r>
              <w:t>TDM</w:t>
            </w:r>
          </w:p>
          <w:p w14:paraId="5363DCB1" w14:textId="388E983D" w:rsidR="008961B6" w:rsidRPr="00C03A1D" w:rsidRDefault="008961B6" w:rsidP="00F154BD">
            <w:pPr>
              <w:tabs>
                <w:tab w:val="left" w:pos="1440"/>
              </w:tabs>
              <w:rPr>
                <w:lang w:val="nl-NL"/>
              </w:rPr>
            </w:pPr>
            <w:r w:rsidRPr="008961B6">
              <w:rPr>
                <w:lang w:val="nl-NL"/>
              </w:rPr>
              <w:t>Under art. L122-5 to L122-5-4 of the CPI</w:t>
            </w:r>
            <w:r w:rsidR="009E3C9E">
              <w:rPr>
                <w:lang w:val="nl-NL"/>
              </w:rPr>
              <w:t xml:space="preserve"> </w:t>
            </w:r>
            <w:r w:rsidR="009E3C9E" w:rsidRPr="009E3C9E">
              <w:rPr>
                <w:lang w:val="nl-NL"/>
              </w:rPr>
              <w:sym w:font="Wingdings" w:char="F0E0"/>
            </w:r>
            <w:r w:rsidR="009E3C9E">
              <w:rPr>
                <w:lang w:val="nl-NL"/>
              </w:rPr>
              <w:t xml:space="preserve"> </w:t>
            </w:r>
            <w:r w:rsidRPr="008961B6">
              <w:rPr>
                <w:lang w:val="nl-NL"/>
              </w:rPr>
              <w:t>exceptions for noncommercial use</w:t>
            </w:r>
          </w:p>
        </w:tc>
      </w:tr>
      <w:tr w:rsidR="00F0312F" w:rsidRPr="00C03A1D" w14:paraId="7465D08B" w14:textId="77777777" w:rsidTr="00BB6F31">
        <w:trPr>
          <w:trHeight w:val="37"/>
        </w:trPr>
        <w:tc>
          <w:tcPr>
            <w:tcW w:w="1509" w:type="dxa"/>
          </w:tcPr>
          <w:p w14:paraId="313B9B30" w14:textId="77777777" w:rsidR="00F0312F" w:rsidRPr="00C03A1D" w:rsidRDefault="00F0312F" w:rsidP="00192387">
            <w:pPr>
              <w:rPr>
                <w:lang w:val="nl-NL"/>
              </w:rPr>
            </w:pPr>
            <w:r w:rsidRPr="00C03A1D">
              <w:rPr>
                <w:lang w:val="nl-NL"/>
              </w:rPr>
              <w:t>Civil Penalties</w:t>
            </w:r>
          </w:p>
        </w:tc>
        <w:tc>
          <w:tcPr>
            <w:tcW w:w="7576" w:type="dxa"/>
          </w:tcPr>
          <w:p w14:paraId="3889D67A" w14:textId="77777777" w:rsidR="00F0312F" w:rsidRDefault="00B20C92" w:rsidP="00192387">
            <w:pPr>
              <w:rPr>
                <w:lang w:val="nl-NL"/>
              </w:rPr>
            </w:pPr>
            <w:r w:rsidRPr="00B20C92">
              <w:rPr>
                <w:lang w:val="nl-NL"/>
              </w:rPr>
              <w:t>CPI under art. L335-2 to L335-10.</w:t>
            </w:r>
          </w:p>
          <w:p w14:paraId="5A29129A" w14:textId="77777777" w:rsidR="00C6520F" w:rsidRDefault="001F0218" w:rsidP="00192387">
            <w:pPr>
              <w:rPr>
                <w:lang w:val="nl-NL"/>
              </w:rPr>
            </w:pPr>
            <w:r>
              <w:rPr>
                <w:lang w:val="nl-NL"/>
              </w:rPr>
              <w:t xml:space="preserve">Damages, injuctive relief, seizure of assets, </w:t>
            </w:r>
            <w:r w:rsidR="00FE3B25">
              <w:rPr>
                <w:lang w:val="nl-NL"/>
              </w:rPr>
              <w:t xml:space="preserve">madatory disclosures, recalls, publication of judgments, legal fees. </w:t>
            </w:r>
          </w:p>
          <w:p w14:paraId="5191F20C" w14:textId="511CD520" w:rsidR="00CA7DF7" w:rsidRPr="00C03A1D" w:rsidRDefault="00FE3B25" w:rsidP="00192387">
            <w:pPr>
              <w:rPr>
                <w:lang w:val="nl-NL"/>
              </w:rPr>
            </w:pPr>
            <w:r>
              <w:rPr>
                <w:lang w:val="nl-NL"/>
              </w:rPr>
              <w:t xml:space="preserve">A hypothertical licensing fee may be used </w:t>
            </w:r>
            <w:r w:rsidR="00C6520F">
              <w:rPr>
                <w:lang w:val="nl-NL"/>
              </w:rPr>
              <w:t xml:space="preserve">to calculate damages. </w:t>
            </w:r>
            <w:r>
              <w:rPr>
                <w:lang w:val="nl-NL"/>
              </w:rPr>
              <w:t xml:space="preserve"> </w:t>
            </w:r>
          </w:p>
        </w:tc>
      </w:tr>
      <w:tr w:rsidR="00F0312F" w:rsidRPr="00C03A1D" w14:paraId="4924DEC0" w14:textId="77777777" w:rsidTr="00BB6F31">
        <w:trPr>
          <w:trHeight w:val="37"/>
        </w:trPr>
        <w:tc>
          <w:tcPr>
            <w:tcW w:w="1509" w:type="dxa"/>
          </w:tcPr>
          <w:p w14:paraId="00FE54AB" w14:textId="77777777" w:rsidR="00F0312F" w:rsidRPr="00C03A1D" w:rsidRDefault="00F0312F" w:rsidP="00192387">
            <w:pPr>
              <w:rPr>
                <w:lang w:val="nl-NL"/>
              </w:rPr>
            </w:pPr>
            <w:r w:rsidRPr="00C03A1D">
              <w:rPr>
                <w:lang w:val="nl-NL"/>
              </w:rPr>
              <w:t>Criminal Penalties</w:t>
            </w:r>
          </w:p>
        </w:tc>
        <w:tc>
          <w:tcPr>
            <w:tcW w:w="7576" w:type="dxa"/>
          </w:tcPr>
          <w:p w14:paraId="7CF89D48" w14:textId="6D87CC38" w:rsidR="00F0312F" w:rsidRPr="00C03A1D" w:rsidRDefault="006774DD" w:rsidP="00192387">
            <w:pPr>
              <w:rPr>
                <w:lang w:val="nl-NL"/>
              </w:rPr>
            </w:pPr>
            <w:r w:rsidRPr="006774DD">
              <w:rPr>
                <w:lang w:val="nl-NL"/>
              </w:rPr>
              <w:t>Under art. L335-2, L335-3 and L335-4 of the CPI</w:t>
            </w:r>
          </w:p>
        </w:tc>
      </w:tr>
      <w:tr w:rsidR="000E7F37" w:rsidRPr="00C03A1D" w14:paraId="5242E7AC" w14:textId="77777777" w:rsidTr="00BB6F31">
        <w:trPr>
          <w:trHeight w:val="37"/>
        </w:trPr>
        <w:tc>
          <w:tcPr>
            <w:tcW w:w="1509" w:type="dxa"/>
          </w:tcPr>
          <w:p w14:paraId="268256E6" w14:textId="3B5F66D1" w:rsidR="000E7F37" w:rsidRPr="00C03A1D" w:rsidRDefault="000E7F37" w:rsidP="00192387">
            <w:pPr>
              <w:rPr>
                <w:lang w:val="nl-NL"/>
              </w:rPr>
            </w:pPr>
            <w:r w:rsidRPr="00C03A1D">
              <w:rPr>
                <w:lang w:val="nl-NL"/>
              </w:rPr>
              <w:t>Selected Case Law</w:t>
            </w:r>
          </w:p>
        </w:tc>
        <w:tc>
          <w:tcPr>
            <w:tcW w:w="7576" w:type="dxa"/>
          </w:tcPr>
          <w:p w14:paraId="1C313637" w14:textId="55F82310" w:rsidR="000E7F37" w:rsidRPr="00C03A1D" w:rsidRDefault="000E7F37" w:rsidP="00192387">
            <w:pPr>
              <w:rPr>
                <w:lang w:val="nl-NL"/>
              </w:rPr>
            </w:pPr>
            <w:r>
              <w:rPr>
                <w:lang w:val="nl-NL"/>
              </w:rPr>
              <w:t>SNE, SGDL, SNAC v META</w:t>
            </w:r>
          </w:p>
        </w:tc>
      </w:tr>
    </w:tbl>
    <w:p w14:paraId="10A2978C" w14:textId="77777777" w:rsidR="00C03A1D" w:rsidRPr="00972E02" w:rsidRDefault="00C03A1D" w:rsidP="009947A2"/>
    <w:p w14:paraId="36E6C54E" w14:textId="6A2C61E0" w:rsidR="00BC0E6F" w:rsidRPr="001E51CC" w:rsidRDefault="003A67D1" w:rsidP="009947A2">
      <w:pPr>
        <w:rPr>
          <w:u w:val="single"/>
        </w:rPr>
      </w:pPr>
      <w:r w:rsidRPr="001E51CC">
        <w:rPr>
          <w:u w:val="single"/>
        </w:rPr>
        <w:t>Germany</w:t>
      </w:r>
    </w:p>
    <w:p w14:paraId="607C7E4E" w14:textId="4DCA9304" w:rsidR="003A67D1" w:rsidRDefault="00432218" w:rsidP="000B3A81">
      <w:pPr>
        <w:spacing w:line="240" w:lineRule="auto"/>
      </w:pPr>
      <w:r>
        <w:t xml:space="preserve">The Germnay </w:t>
      </w:r>
      <w:r w:rsidR="00C31EA0">
        <w:t>statutory provisions for copyright are generally found in the Urhebergesetz o</w:t>
      </w:r>
      <w:r w:rsidR="00974C02">
        <w:t>r</w:t>
      </w:r>
      <w:r w:rsidR="00C31EA0">
        <w:t xml:space="preserve"> </w:t>
      </w:r>
      <w:r w:rsidR="009642D8" w:rsidRPr="009642D8">
        <w:t>UrhG</w:t>
      </w:r>
      <w:r w:rsidR="009642D8">
        <w:t xml:space="preserve">. </w:t>
      </w:r>
      <w:r w:rsidR="00280BB3">
        <w:t>T</w:t>
      </w:r>
      <w:r w:rsidR="003A67D1">
        <w:t xml:space="preserve">he </w:t>
      </w:r>
      <w:r w:rsidR="003A67D1" w:rsidRPr="003A67D1">
        <w:t>Copyright Service Provider Act</w:t>
      </w:r>
      <w:r w:rsidR="009C43B4">
        <w:t xml:space="preserve"> or </w:t>
      </w:r>
      <w:r w:rsidR="00B9740C" w:rsidRPr="00B9740C">
        <w:rPr>
          <w:i/>
          <w:iCs/>
        </w:rPr>
        <w:t xml:space="preserve">Urheberrechts-Diensteanbieter-Gesetz </w:t>
      </w:r>
      <w:r w:rsidR="003A67D1" w:rsidRPr="003A67D1">
        <w:t>(UrhDaG)</w:t>
      </w:r>
      <w:r w:rsidR="003A67D1">
        <w:t xml:space="preserve"> regulates how “service providers” </w:t>
      </w:r>
      <w:r w:rsidR="000B3A81">
        <w:t>use copyright protected work which is uploaded by their users.</w:t>
      </w:r>
      <w:r w:rsidR="000B3A81">
        <w:rPr>
          <w:rStyle w:val="FootnoteReference"/>
        </w:rPr>
        <w:footnoteReference w:id="28"/>
      </w:r>
      <w:r w:rsidR="000B3A81">
        <w:t xml:space="preserve"> </w:t>
      </w:r>
      <w:r w:rsidR="00593F8A">
        <w:t xml:space="preserve">The UrhDaG is the </w:t>
      </w:r>
      <w:r w:rsidR="00F8152E">
        <w:t xml:space="preserve">enacting legislation for </w:t>
      </w:r>
      <w:r w:rsidR="000B3A81">
        <w:t>Under the UrhDaG, “Service providers are obliged to undertake their best efforts to acquire the contractual rights of use for the communication to the public of copyright-protected works” with limited exceptions.</w:t>
      </w:r>
      <w:r w:rsidR="000B3A81">
        <w:rPr>
          <w:rStyle w:val="FootnoteReference"/>
        </w:rPr>
        <w:footnoteReference w:id="29"/>
      </w:r>
      <w:r w:rsidR="000B3A81">
        <w:t xml:space="preserve"> Importantly, the UrhDaG further enables the use of “collecting societies” which are regulated under the </w:t>
      </w:r>
      <w:r w:rsidR="004D1D29">
        <w:t>Collecting</w:t>
      </w:r>
      <w:r w:rsidR="000B3A81">
        <w:t xml:space="preserve"> Societies Act</w:t>
      </w:r>
      <w:r w:rsidR="006C70A6">
        <w:t xml:space="preserve">, </w:t>
      </w:r>
      <w:r w:rsidR="000B3A81" w:rsidRPr="000B3A81">
        <w:t>Verwertungsgesellschaftengesetz</w:t>
      </w:r>
      <w:r w:rsidR="006C70A6">
        <w:t xml:space="preserve"> (VGG)</w:t>
      </w:r>
      <w:r w:rsidR="000B3A81">
        <w:t>.</w:t>
      </w:r>
      <w:r w:rsidR="000B3A81">
        <w:rPr>
          <w:rStyle w:val="FootnoteReference"/>
        </w:rPr>
        <w:footnoteReference w:id="30"/>
      </w:r>
      <w:r w:rsidR="000B3A81">
        <w:t xml:space="preserve"> </w:t>
      </w:r>
      <w:r w:rsidR="00965907">
        <w:t xml:space="preserve">These </w:t>
      </w:r>
      <w:r w:rsidR="002662FC">
        <w:t>collective</w:t>
      </w:r>
      <w:r w:rsidR="00965907">
        <w:t xml:space="preserve"> societies </w:t>
      </w:r>
      <w:r w:rsidR="00644496">
        <w:t xml:space="preserve">provide for the licensed use of works, the collection of royalties, the distribution of royalties, </w:t>
      </w:r>
      <w:r w:rsidR="00F744EB">
        <w:t xml:space="preserve">and the associated tariffs for licensed use. </w:t>
      </w:r>
      <w:r w:rsidR="004D1D29">
        <w:t>Germany also has a legal culture which has made the use of demand letters (Abmhnungen) common</w:t>
      </w:r>
      <w:r w:rsidR="0076158A">
        <w:t>, which are addressed in §97 of the Ur</w:t>
      </w:r>
      <w:r w:rsidR="003D3E5E">
        <w:t>hG</w:t>
      </w:r>
      <w:r w:rsidR="00B14E80">
        <w:t>, which also addresses the calculation of damages</w:t>
      </w:r>
      <w:r w:rsidR="004D1D29">
        <w:t xml:space="preserve">. In these demand letters, alleged violators of copyrights are “demanded” to pay a fee or risk facing further legal action related to their alleged infringement of the copyright. </w:t>
      </w:r>
      <w:r w:rsidR="004573FE">
        <w:t xml:space="preserve">This is a requirement before any formal claim in court is adjudicated. </w:t>
      </w:r>
    </w:p>
    <w:p w14:paraId="01F75C3A" w14:textId="77777777" w:rsidR="009642D8" w:rsidRDefault="007F6769" w:rsidP="000B3A81">
      <w:pPr>
        <w:spacing w:line="240" w:lineRule="auto"/>
      </w:pPr>
      <w:r w:rsidRPr="007F6769">
        <w:t>Exceptions</w:t>
      </w:r>
      <w:r w:rsidR="00D02734">
        <w:t xml:space="preserve">. </w:t>
      </w:r>
    </w:p>
    <w:p w14:paraId="6E5E44AC" w14:textId="542B3AFE" w:rsidR="007F6769" w:rsidRDefault="00D02734" w:rsidP="000B3A81">
      <w:pPr>
        <w:spacing w:line="240" w:lineRule="auto"/>
      </w:pPr>
      <w:r>
        <w:t xml:space="preserve">Under §44b </w:t>
      </w:r>
      <w:r w:rsidR="00974C02">
        <w:t xml:space="preserve">of the UrhG </w:t>
      </w:r>
      <w:r>
        <w:t>there is an exception for TDM</w:t>
      </w:r>
      <w:r w:rsidR="00855A6E">
        <w:t>, provided there was not an opt ou</w:t>
      </w:r>
      <w:r w:rsidR="0076158A">
        <w:t xml:space="preserve">t, and the protected data is machine readable. </w:t>
      </w:r>
      <w:r w:rsidR="009642D8">
        <w:t xml:space="preserve">This is consistent with the EU framework. </w:t>
      </w:r>
    </w:p>
    <w:p w14:paraId="2C403B2C" w14:textId="77777777" w:rsidR="009642D8" w:rsidRDefault="001E51CC" w:rsidP="000B3A81">
      <w:pPr>
        <w:spacing w:line="240" w:lineRule="auto"/>
      </w:pPr>
      <w:r>
        <w:lastRenderedPageBreak/>
        <w:t>Civil Penalties</w:t>
      </w:r>
      <w:r w:rsidR="0076158A">
        <w:t xml:space="preserve">. </w:t>
      </w:r>
    </w:p>
    <w:p w14:paraId="6B2FF938" w14:textId="21DBC242" w:rsidR="004D1D29" w:rsidRDefault="009642D8" w:rsidP="000B3A81">
      <w:pPr>
        <w:spacing w:line="240" w:lineRule="auto"/>
      </w:pPr>
      <w:r>
        <w:t xml:space="preserve">Civil remedies are available </w:t>
      </w:r>
      <w:r w:rsidR="00974C02">
        <w:t>under</w:t>
      </w:r>
      <w:r>
        <w:t xml:space="preserve"> </w:t>
      </w:r>
      <w:r w:rsidR="00974C02">
        <w:t>§</w:t>
      </w:r>
      <w:r>
        <w:t xml:space="preserve">. 97(1) (injunctive relief), </w:t>
      </w:r>
      <w:r w:rsidR="00974C02">
        <w:t>§</w:t>
      </w:r>
      <w:r>
        <w:t xml:space="preserve"> 97(2) (damages) of the UrhG. </w:t>
      </w:r>
      <w:r w:rsidR="004D1D29">
        <w:t>In Germany it is common for civil claims to seek monetary compensation for actual damages related to a copyright infringement, the disgorgement of the copyright infringers profits, and compensation based on the cost of obtaining a licensing agreement based on the illegal use.</w:t>
      </w:r>
      <w:r>
        <w:rPr>
          <w:rStyle w:val="FootnoteReference"/>
        </w:rPr>
        <w:footnoteReference w:id="31"/>
      </w:r>
      <w:r w:rsidR="004D1D29">
        <w:t xml:space="preserve"> </w:t>
      </w:r>
    </w:p>
    <w:p w14:paraId="01C32479" w14:textId="365ADF52" w:rsidR="004D1D29" w:rsidRDefault="001E51CC" w:rsidP="000B3A81">
      <w:pPr>
        <w:spacing w:line="240" w:lineRule="auto"/>
      </w:pPr>
      <w:r>
        <w:t>Criminal Penalties</w:t>
      </w:r>
    </w:p>
    <w:p w14:paraId="7F8C4C25" w14:textId="4EB7508E" w:rsidR="009642D8" w:rsidRDefault="00A10B49" w:rsidP="000B3A81">
      <w:pPr>
        <w:spacing w:line="240" w:lineRule="auto"/>
      </w:pPr>
      <w:r w:rsidRPr="00A10B49">
        <w:t xml:space="preserve">Criminal penalties are available in Germany and include the possibility of prison time and monetary penalties. </w:t>
      </w:r>
      <w:r w:rsidR="009642D8">
        <w:t xml:space="preserve">Under </w:t>
      </w:r>
      <w:r w:rsidR="00974C02">
        <w:t>§</w:t>
      </w:r>
      <w:r w:rsidR="009642D8">
        <w:t xml:space="preserve"> 106 of the UrhG, criminal penalties are available for illegal use of copyright protected works. The illegal reproduction, distribution or public communication of copyright protected works may have a </w:t>
      </w:r>
      <w:r>
        <w:t xml:space="preserve">corresponding criminal penalty. Penalties under </w:t>
      </w:r>
      <w:r w:rsidR="00974C02">
        <w:t>§</w:t>
      </w:r>
      <w:r>
        <w:t xml:space="preserve"> 106 include fines and a maximum imprisonment of 3 years. When an illegal use is done within a commercial use, which may address the large scale infringement of copyrights, under sec. 108a of the UrhG. Penalties under </w:t>
      </w:r>
      <w:r w:rsidR="00974C02">
        <w:t>§</w:t>
      </w:r>
      <w:r>
        <w:t xml:space="preserve">108 include fines (higher than </w:t>
      </w:r>
      <w:r w:rsidR="00974C02">
        <w:t xml:space="preserve">§ </w:t>
      </w:r>
      <w:r>
        <w:t xml:space="preserve">106 violations) and imprisonment of up to 5 years. Additional penalties are available for the use of workarounds or circumvention of technical protective measures in use by copyright holders under </w:t>
      </w:r>
      <w:r w:rsidR="00974C02">
        <w:t>§</w:t>
      </w:r>
      <w:r>
        <w:t xml:space="preserve">108b, particularly with regards to digital formats. Penalties for a </w:t>
      </w:r>
      <w:r w:rsidR="00974C02">
        <w:t xml:space="preserve">§ </w:t>
      </w:r>
      <w:r>
        <w:t xml:space="preserve">108b violation include fines and a maximum imprisonment of 1 year. </w:t>
      </w:r>
    </w:p>
    <w:p w14:paraId="0A1CEC4E" w14:textId="647953D1" w:rsidR="001E51CC" w:rsidRDefault="001E51CC" w:rsidP="000B3A81">
      <w:pPr>
        <w:spacing w:line="240" w:lineRule="auto"/>
      </w:pPr>
      <w:r w:rsidRPr="001E51CC">
        <w:t>Selected Case Law</w:t>
      </w:r>
    </w:p>
    <w:p w14:paraId="09557A28" w14:textId="721D8681" w:rsidR="004D1D29" w:rsidRPr="006E6BC4" w:rsidRDefault="004D1D29" w:rsidP="000B3A81">
      <w:pPr>
        <w:spacing w:line="240" w:lineRule="auto"/>
        <w:rPr>
          <w:lang w:val="nl-NL"/>
        </w:rPr>
      </w:pPr>
      <w:r w:rsidRPr="006C70A6">
        <w:rPr>
          <w:i/>
          <w:iCs/>
          <w:lang w:val="nl-NL"/>
        </w:rPr>
        <w:t>LAION vs Robert Kneschke</w:t>
      </w:r>
      <w:r w:rsidR="006C70A6">
        <w:rPr>
          <w:i/>
          <w:iCs/>
          <w:lang w:val="nl-NL"/>
        </w:rPr>
        <w:t xml:space="preserve">: </w:t>
      </w:r>
      <w:r w:rsidRPr="006E6BC4">
        <w:rPr>
          <w:i/>
          <w:iCs/>
          <w:lang w:val="nl-NL"/>
        </w:rPr>
        <w:t xml:space="preserve"> </w:t>
      </w:r>
      <w:r w:rsidR="006E6BC4" w:rsidRPr="006E6BC4">
        <w:rPr>
          <w:lang w:val="nl-NL"/>
        </w:rPr>
        <w:t>T</w:t>
      </w:r>
      <w:r w:rsidR="006E6BC4">
        <w:rPr>
          <w:lang w:val="nl-NL"/>
        </w:rPr>
        <w:t>he case concerns the exceptions for TDM found in § 44 UrhG. Kneschke, a photographer, found the LAION had used his copyrighted photograph in their training dataset. The Regional Court of Hamburg 10th Civil Chamber found that use of the photograph in the data set was covered by the exceptions forund in § 60 UrhG and that determination of their invoking an exception under § 44b UrgH was thus unecessary.</w:t>
      </w:r>
      <w:r w:rsidR="006E6BC4">
        <w:rPr>
          <w:rStyle w:val="FootnoteReference"/>
          <w:lang w:val="nl-NL"/>
        </w:rPr>
        <w:footnoteReference w:id="32"/>
      </w:r>
      <w:r w:rsidR="006E6BC4">
        <w:rPr>
          <w:lang w:val="nl-NL"/>
        </w:rPr>
        <w:t xml:space="preserve"> </w:t>
      </w:r>
    </w:p>
    <w:p w14:paraId="673D0D07" w14:textId="4A598F47" w:rsidR="00124300" w:rsidRPr="00124300" w:rsidRDefault="004D1D29" w:rsidP="000B3A81">
      <w:pPr>
        <w:spacing w:line="240" w:lineRule="auto"/>
        <w:rPr>
          <w:lang w:val="nl-NL"/>
        </w:rPr>
      </w:pPr>
      <w:r w:rsidRPr="006C70A6">
        <w:rPr>
          <w:i/>
          <w:iCs/>
          <w:lang w:val="nl-NL"/>
        </w:rPr>
        <w:t>Gema Vs OpenAI</w:t>
      </w:r>
      <w:r w:rsidR="006C70A6">
        <w:rPr>
          <w:i/>
          <w:iCs/>
          <w:lang w:val="nl-NL"/>
        </w:rPr>
        <w:t xml:space="preserve">: </w:t>
      </w:r>
      <w:r w:rsidR="00124300">
        <w:rPr>
          <w:lang w:val="nl-NL"/>
        </w:rPr>
        <w:t xml:space="preserve">This case concerns the use of copyrighted songs by OpenAI without a licneisng agreement. </w:t>
      </w:r>
      <w:r w:rsidR="006C70A6">
        <w:rPr>
          <w:lang w:val="nl-NL"/>
        </w:rPr>
        <w:t>According to a pres release from GEMA “</w:t>
      </w:r>
      <w:r w:rsidR="006C70A6" w:rsidRPr="006C70A6">
        <w:rPr>
          <w:lang w:val="nl-NL"/>
        </w:rPr>
        <w:t>GEMA accuses OpenAI of reproducing protected song lyrics of German authors without having acquired licenses or remunerated the authors of the works used</w:t>
      </w:r>
      <w:r w:rsidR="006C70A6">
        <w:rPr>
          <w:lang w:val="nl-NL"/>
        </w:rPr>
        <w:t>.”</w:t>
      </w:r>
      <w:r w:rsidR="006C70A6">
        <w:rPr>
          <w:rStyle w:val="FootnoteReference"/>
          <w:lang w:val="nl-NL"/>
        </w:rPr>
        <w:footnoteReference w:id="33"/>
      </w:r>
      <w:r w:rsidR="006C70A6" w:rsidRPr="006C70A6">
        <w:rPr>
          <w:lang w:val="nl-NL"/>
        </w:rPr>
        <w:t xml:space="preserve"> </w:t>
      </w:r>
      <w:r w:rsidR="00124300">
        <w:rPr>
          <w:lang w:val="nl-NL"/>
        </w:rPr>
        <w:t>The allegations include that chatGPT would reproduce song lyric when promoted.</w:t>
      </w:r>
      <w:r w:rsidR="006C70A6">
        <w:rPr>
          <w:rStyle w:val="FootnoteReference"/>
          <w:lang w:val="nl-NL"/>
        </w:rPr>
        <w:footnoteReference w:id="34"/>
      </w:r>
      <w:r w:rsidR="00124300">
        <w:rPr>
          <w:lang w:val="nl-NL"/>
        </w:rPr>
        <w:t xml:space="preserve"> The ca</w:t>
      </w:r>
      <w:r w:rsidR="006C70A6">
        <w:rPr>
          <w:lang w:val="nl-NL"/>
        </w:rPr>
        <w:t>s</w:t>
      </w:r>
      <w:r w:rsidR="00124300">
        <w:rPr>
          <w:lang w:val="nl-NL"/>
        </w:rPr>
        <w:t xml:space="preserve">e was filed in the Munich Regional Court in November of 2024. </w:t>
      </w:r>
      <w:r w:rsidR="006C70A6">
        <w:rPr>
          <w:lang w:val="nl-NL"/>
        </w:rPr>
        <w:t xml:space="preserve">The disposition of the case should come in the last parts of 2025. </w:t>
      </w:r>
    </w:p>
    <w:tbl>
      <w:tblPr>
        <w:tblStyle w:val="TableGrid"/>
        <w:tblW w:w="9085" w:type="dxa"/>
        <w:tblLook w:val="04A0" w:firstRow="1" w:lastRow="0" w:firstColumn="1" w:lastColumn="0" w:noHBand="0" w:noVBand="1"/>
      </w:tblPr>
      <w:tblGrid>
        <w:gridCol w:w="1289"/>
        <w:gridCol w:w="7796"/>
      </w:tblGrid>
      <w:tr w:rsidR="00F0312F" w:rsidRPr="00C03A1D" w14:paraId="0F53A39F" w14:textId="77777777" w:rsidTr="00BB6F31">
        <w:trPr>
          <w:trHeight w:val="42"/>
        </w:trPr>
        <w:tc>
          <w:tcPr>
            <w:tcW w:w="1289" w:type="dxa"/>
          </w:tcPr>
          <w:p w14:paraId="139E9856" w14:textId="77777777" w:rsidR="00F0312F" w:rsidRPr="00C03A1D" w:rsidRDefault="00F0312F" w:rsidP="00181736">
            <w:pPr>
              <w:rPr>
                <w:lang w:val="nl-NL"/>
              </w:rPr>
            </w:pPr>
          </w:p>
        </w:tc>
        <w:tc>
          <w:tcPr>
            <w:tcW w:w="7796" w:type="dxa"/>
          </w:tcPr>
          <w:p w14:paraId="69EDB7F8" w14:textId="77777777" w:rsidR="00F0312F" w:rsidRPr="00C03A1D" w:rsidRDefault="00F0312F" w:rsidP="00181736">
            <w:pPr>
              <w:rPr>
                <w:lang w:val="nl-NL"/>
              </w:rPr>
            </w:pPr>
            <w:r>
              <w:rPr>
                <w:lang w:val="nl-NL"/>
              </w:rPr>
              <w:t>Germany</w:t>
            </w:r>
          </w:p>
        </w:tc>
      </w:tr>
      <w:tr w:rsidR="00F0312F" w:rsidRPr="00C03A1D" w14:paraId="62DF79E6" w14:textId="77777777" w:rsidTr="00BB6F31">
        <w:trPr>
          <w:trHeight w:val="42"/>
        </w:trPr>
        <w:tc>
          <w:tcPr>
            <w:tcW w:w="1289" w:type="dxa"/>
          </w:tcPr>
          <w:p w14:paraId="16B8C848" w14:textId="77777777" w:rsidR="00F0312F" w:rsidRPr="00C03A1D" w:rsidRDefault="00F0312F" w:rsidP="00181736">
            <w:pPr>
              <w:rPr>
                <w:lang w:val="nl-NL"/>
              </w:rPr>
            </w:pPr>
            <w:r w:rsidRPr="00C03A1D">
              <w:rPr>
                <w:lang w:val="nl-NL"/>
              </w:rPr>
              <w:t>Source of Law</w:t>
            </w:r>
          </w:p>
        </w:tc>
        <w:tc>
          <w:tcPr>
            <w:tcW w:w="7796" w:type="dxa"/>
          </w:tcPr>
          <w:p w14:paraId="7EA195F5" w14:textId="77777777" w:rsidR="00F0312F" w:rsidRDefault="00F0312F" w:rsidP="00181736">
            <w:pPr>
              <w:rPr>
                <w:lang w:val="nl-NL"/>
              </w:rPr>
            </w:pPr>
            <w:r w:rsidRPr="00A274C2">
              <w:rPr>
                <w:lang w:val="nl-NL"/>
              </w:rPr>
              <w:t>Act on Copyright and Related Rights</w:t>
            </w:r>
            <w:r>
              <w:rPr>
                <w:lang w:val="nl-NL"/>
              </w:rPr>
              <w:t xml:space="preserve">- </w:t>
            </w:r>
            <w:r w:rsidRPr="00F94F86">
              <w:rPr>
                <w:lang w:val="nl-NL"/>
              </w:rPr>
              <w:t xml:space="preserve">Urheberrechtsgesetz </w:t>
            </w:r>
            <w:r>
              <w:rPr>
                <w:lang w:val="nl-NL"/>
              </w:rPr>
              <w:t>(</w:t>
            </w:r>
            <w:r w:rsidRPr="00F94F86">
              <w:rPr>
                <w:lang w:val="nl-NL"/>
              </w:rPr>
              <w:t>UrhG</w:t>
            </w:r>
            <w:r>
              <w:rPr>
                <w:lang w:val="nl-NL"/>
              </w:rPr>
              <w:t>).</w:t>
            </w:r>
          </w:p>
          <w:p w14:paraId="1802E4F2" w14:textId="77777777" w:rsidR="00F0312F" w:rsidRDefault="00F0312F" w:rsidP="00181736">
            <w:pPr>
              <w:rPr>
                <w:lang w:val="nl-NL"/>
              </w:rPr>
            </w:pPr>
            <w:r>
              <w:rPr>
                <w:lang w:val="nl-NL"/>
              </w:rPr>
              <w:t xml:space="preserve">Collecting Societies Act- </w:t>
            </w:r>
            <w:r w:rsidRPr="0018106A">
              <w:rPr>
                <w:lang w:val="nl-NL"/>
              </w:rPr>
              <w:t>Verwertungsgesellschaftengesetz</w:t>
            </w:r>
            <w:r>
              <w:rPr>
                <w:lang w:val="nl-NL"/>
              </w:rPr>
              <w:t xml:space="preserve"> (</w:t>
            </w:r>
            <w:r w:rsidRPr="0018106A">
              <w:rPr>
                <w:lang w:val="nl-NL"/>
              </w:rPr>
              <w:t>VGG)</w:t>
            </w:r>
            <w:r>
              <w:rPr>
                <w:lang w:val="nl-NL"/>
              </w:rPr>
              <w:t>.</w:t>
            </w:r>
          </w:p>
          <w:p w14:paraId="4215E504" w14:textId="77777777" w:rsidR="00F0312F" w:rsidRPr="00C03A1D" w:rsidRDefault="00F0312F" w:rsidP="00181736">
            <w:pPr>
              <w:rPr>
                <w:lang w:val="nl-NL"/>
              </w:rPr>
            </w:pPr>
            <w:r w:rsidRPr="00B2763B">
              <w:rPr>
                <w:lang w:val="nl-NL"/>
              </w:rPr>
              <w:t>Copyright Service Provider Act (Urheberrechts-Diensteanbieter-Gesetz</w:t>
            </w:r>
            <w:r>
              <w:rPr>
                <w:lang w:val="nl-NL"/>
              </w:rPr>
              <w:t xml:space="preserve"> (</w:t>
            </w:r>
            <w:r w:rsidRPr="00B2763B">
              <w:rPr>
                <w:lang w:val="nl-NL"/>
              </w:rPr>
              <w:t>UrhDaG</w:t>
            </w:r>
            <w:r>
              <w:rPr>
                <w:lang w:val="nl-NL"/>
              </w:rPr>
              <w:t>).</w:t>
            </w:r>
          </w:p>
        </w:tc>
      </w:tr>
      <w:tr w:rsidR="00F0312F" w:rsidRPr="00C03A1D" w14:paraId="0FD1F134" w14:textId="77777777" w:rsidTr="00BB6F31">
        <w:trPr>
          <w:trHeight w:val="37"/>
        </w:trPr>
        <w:tc>
          <w:tcPr>
            <w:tcW w:w="1289" w:type="dxa"/>
          </w:tcPr>
          <w:p w14:paraId="32544F89" w14:textId="77777777" w:rsidR="00F0312F" w:rsidRPr="00C03A1D" w:rsidRDefault="00F0312F" w:rsidP="00181736">
            <w:pPr>
              <w:rPr>
                <w:lang w:val="nl-NL"/>
              </w:rPr>
            </w:pPr>
            <w:r w:rsidRPr="00C03A1D">
              <w:rPr>
                <w:lang w:val="nl-NL"/>
              </w:rPr>
              <w:t>Exceptions</w:t>
            </w:r>
          </w:p>
        </w:tc>
        <w:tc>
          <w:tcPr>
            <w:tcW w:w="7796" w:type="dxa"/>
          </w:tcPr>
          <w:p w14:paraId="7C6EBC4F" w14:textId="77777777" w:rsidR="00F0312F" w:rsidRDefault="00F0312F" w:rsidP="00181736">
            <w:pPr>
              <w:tabs>
                <w:tab w:val="left" w:pos="884"/>
              </w:tabs>
              <w:rPr>
                <w:lang w:val="nl-NL"/>
              </w:rPr>
            </w:pPr>
            <w:r>
              <w:rPr>
                <w:lang w:val="nl-NL"/>
              </w:rPr>
              <w:t>Text and data mining (TDM) §44</w:t>
            </w:r>
          </w:p>
          <w:p w14:paraId="3F3B0D2C" w14:textId="77777777" w:rsidR="00F0312F" w:rsidRPr="00C03A1D" w:rsidRDefault="00F0312F" w:rsidP="00181736">
            <w:pPr>
              <w:rPr>
                <w:lang w:val="nl-NL"/>
              </w:rPr>
            </w:pPr>
            <w:r>
              <w:rPr>
                <w:lang w:val="nl-NL"/>
              </w:rPr>
              <w:t>Permitted Uses, § 45, 46-53, 55-60</w:t>
            </w:r>
          </w:p>
        </w:tc>
      </w:tr>
      <w:tr w:rsidR="00F0312F" w:rsidRPr="00C03A1D" w14:paraId="1E21DE87" w14:textId="77777777" w:rsidTr="00BB6F31">
        <w:trPr>
          <w:trHeight w:val="37"/>
        </w:trPr>
        <w:tc>
          <w:tcPr>
            <w:tcW w:w="1289" w:type="dxa"/>
          </w:tcPr>
          <w:p w14:paraId="041F157C" w14:textId="77777777" w:rsidR="00F0312F" w:rsidRPr="00C03A1D" w:rsidRDefault="00F0312F" w:rsidP="00181736">
            <w:pPr>
              <w:rPr>
                <w:lang w:val="nl-NL"/>
              </w:rPr>
            </w:pPr>
            <w:r w:rsidRPr="00C03A1D">
              <w:rPr>
                <w:lang w:val="nl-NL"/>
              </w:rPr>
              <w:t>Civil Penalties</w:t>
            </w:r>
          </w:p>
        </w:tc>
        <w:tc>
          <w:tcPr>
            <w:tcW w:w="7796" w:type="dxa"/>
          </w:tcPr>
          <w:p w14:paraId="2F622FD0" w14:textId="77777777" w:rsidR="00F0312F" w:rsidRDefault="00F0312F" w:rsidP="00181736">
            <w:pPr>
              <w:rPr>
                <w:lang w:val="nl-NL"/>
              </w:rPr>
            </w:pPr>
            <w:r>
              <w:rPr>
                <w:lang w:val="nl-NL"/>
              </w:rPr>
              <w:t>Payments requested demand letters, including:</w:t>
            </w:r>
          </w:p>
          <w:p w14:paraId="64D0FB54" w14:textId="77777777" w:rsidR="00F0312F" w:rsidRDefault="00F0312F" w:rsidP="00181736">
            <w:pPr>
              <w:rPr>
                <w:lang w:val="nl-NL"/>
              </w:rPr>
            </w:pPr>
            <w:r>
              <w:rPr>
                <w:lang w:val="nl-NL"/>
              </w:rPr>
              <w:t>Claims related to unauthorized use- Obligation of Renumeration- §54</w:t>
            </w:r>
          </w:p>
          <w:p w14:paraId="4046AB45" w14:textId="77777777" w:rsidR="00F0312F" w:rsidRDefault="00F0312F" w:rsidP="00181736">
            <w:pPr>
              <w:rPr>
                <w:lang w:val="nl-NL"/>
              </w:rPr>
            </w:pPr>
            <w:r>
              <w:rPr>
                <w:lang w:val="nl-NL"/>
              </w:rPr>
              <w:t xml:space="preserve">Claims for legal expenses. </w:t>
            </w:r>
          </w:p>
          <w:p w14:paraId="7225432A" w14:textId="77777777" w:rsidR="00F0312F" w:rsidRDefault="00F0312F" w:rsidP="00181736">
            <w:pPr>
              <w:rPr>
                <w:lang w:val="nl-NL"/>
              </w:rPr>
            </w:pPr>
            <w:r>
              <w:rPr>
                <w:lang w:val="nl-NL"/>
              </w:rPr>
              <w:t xml:space="preserve">Deletion of the copyrighted data. </w:t>
            </w:r>
          </w:p>
          <w:p w14:paraId="1A8E9EF1" w14:textId="77777777" w:rsidR="00F0312F" w:rsidRPr="00C03A1D" w:rsidRDefault="00F0312F" w:rsidP="00181736">
            <w:pPr>
              <w:rPr>
                <w:lang w:val="nl-NL"/>
              </w:rPr>
            </w:pPr>
            <w:r>
              <w:rPr>
                <w:lang w:val="nl-NL"/>
              </w:rPr>
              <w:lastRenderedPageBreak/>
              <w:t xml:space="preserve">Role of Collective Societies </w:t>
            </w:r>
          </w:p>
        </w:tc>
      </w:tr>
      <w:tr w:rsidR="00F0312F" w:rsidRPr="00C03A1D" w14:paraId="5921B188" w14:textId="77777777" w:rsidTr="00BB6F31">
        <w:trPr>
          <w:trHeight w:val="37"/>
        </w:trPr>
        <w:tc>
          <w:tcPr>
            <w:tcW w:w="1289" w:type="dxa"/>
          </w:tcPr>
          <w:p w14:paraId="1462A06F" w14:textId="77777777" w:rsidR="00F0312F" w:rsidRPr="00C03A1D" w:rsidRDefault="00F0312F" w:rsidP="00181736">
            <w:pPr>
              <w:rPr>
                <w:lang w:val="nl-NL"/>
              </w:rPr>
            </w:pPr>
            <w:r w:rsidRPr="000923AA">
              <w:rPr>
                <w:lang w:val="nl-NL"/>
              </w:rPr>
              <w:lastRenderedPageBreak/>
              <w:t>Criminal Penalties</w:t>
            </w:r>
          </w:p>
        </w:tc>
        <w:tc>
          <w:tcPr>
            <w:tcW w:w="7796" w:type="dxa"/>
          </w:tcPr>
          <w:p w14:paraId="7FBC6159" w14:textId="329A8D44" w:rsidR="00F0312F" w:rsidRDefault="006C70A6" w:rsidP="00181736">
            <w:pPr>
              <w:rPr>
                <w:lang w:val="nl-NL"/>
              </w:rPr>
            </w:pPr>
            <w:r w:rsidRPr="006C70A6">
              <w:rPr>
                <w:lang w:val="nl-NL"/>
              </w:rPr>
              <w:t>§ 106</w:t>
            </w:r>
            <w:r>
              <w:rPr>
                <w:lang w:val="nl-NL"/>
              </w:rPr>
              <w:t xml:space="preserve">- Maximum of 3 years </w:t>
            </w:r>
          </w:p>
          <w:p w14:paraId="7226DA6F" w14:textId="2D8F4D65" w:rsidR="006C70A6" w:rsidRPr="00C03A1D" w:rsidRDefault="006C70A6" w:rsidP="00181736">
            <w:pPr>
              <w:rPr>
                <w:lang w:val="nl-NL"/>
              </w:rPr>
            </w:pPr>
            <w:r w:rsidRPr="006C70A6">
              <w:rPr>
                <w:lang w:val="nl-NL"/>
              </w:rPr>
              <w:t>§108</w:t>
            </w:r>
            <w:r>
              <w:rPr>
                <w:lang w:val="nl-NL"/>
              </w:rPr>
              <w:t xml:space="preserve">- Maximum 5 years (Large Scale Use) </w:t>
            </w:r>
          </w:p>
        </w:tc>
      </w:tr>
      <w:tr w:rsidR="00F0312F" w:rsidRPr="00C03A1D" w14:paraId="710E1B2A" w14:textId="77777777" w:rsidTr="00BB6F31">
        <w:trPr>
          <w:trHeight w:val="37"/>
        </w:trPr>
        <w:tc>
          <w:tcPr>
            <w:tcW w:w="1289" w:type="dxa"/>
          </w:tcPr>
          <w:p w14:paraId="7CA4A1DE" w14:textId="77777777" w:rsidR="00F0312F" w:rsidRPr="00C03A1D" w:rsidRDefault="00F0312F" w:rsidP="00181736">
            <w:pPr>
              <w:rPr>
                <w:lang w:val="nl-NL"/>
              </w:rPr>
            </w:pPr>
            <w:r w:rsidRPr="006A4924">
              <w:rPr>
                <w:highlight w:val="yellow"/>
                <w:lang w:val="nl-NL"/>
              </w:rPr>
              <w:t>Liability for Third Parties</w:t>
            </w:r>
          </w:p>
        </w:tc>
        <w:tc>
          <w:tcPr>
            <w:tcW w:w="7796" w:type="dxa"/>
          </w:tcPr>
          <w:p w14:paraId="77B5422C" w14:textId="77777777" w:rsidR="00F0312F" w:rsidRPr="00C03A1D" w:rsidRDefault="00F0312F" w:rsidP="00181736">
            <w:pPr>
              <w:rPr>
                <w:lang w:val="nl-NL"/>
              </w:rPr>
            </w:pPr>
          </w:p>
        </w:tc>
      </w:tr>
      <w:tr w:rsidR="00F0312F" w:rsidRPr="00C03A1D" w14:paraId="38463AD6" w14:textId="77777777" w:rsidTr="00BB6F31">
        <w:trPr>
          <w:trHeight w:val="37"/>
        </w:trPr>
        <w:tc>
          <w:tcPr>
            <w:tcW w:w="1289" w:type="dxa"/>
          </w:tcPr>
          <w:p w14:paraId="45351909" w14:textId="77777777" w:rsidR="00F0312F" w:rsidRPr="00C03A1D" w:rsidRDefault="00F0312F" w:rsidP="00181736">
            <w:pPr>
              <w:rPr>
                <w:lang w:val="nl-NL"/>
              </w:rPr>
            </w:pPr>
            <w:r w:rsidRPr="000923AA">
              <w:rPr>
                <w:lang w:val="nl-NL"/>
              </w:rPr>
              <w:t>Selected Case Law</w:t>
            </w:r>
          </w:p>
        </w:tc>
        <w:tc>
          <w:tcPr>
            <w:tcW w:w="7796" w:type="dxa"/>
          </w:tcPr>
          <w:p w14:paraId="77B81D64" w14:textId="77777777" w:rsidR="00F0312F" w:rsidRDefault="006C70A6" w:rsidP="00181736">
            <w:pPr>
              <w:rPr>
                <w:lang w:val="nl-NL"/>
              </w:rPr>
            </w:pPr>
            <w:r w:rsidRPr="006C70A6">
              <w:rPr>
                <w:lang w:val="nl-NL"/>
              </w:rPr>
              <w:t>LAION vs Robert Kneschke</w:t>
            </w:r>
          </w:p>
          <w:p w14:paraId="457AFC0D" w14:textId="140FA1C6" w:rsidR="006C70A6" w:rsidRPr="00C03A1D" w:rsidRDefault="006C70A6" w:rsidP="00181736">
            <w:pPr>
              <w:rPr>
                <w:lang w:val="nl-NL"/>
              </w:rPr>
            </w:pPr>
            <w:r w:rsidRPr="006C70A6">
              <w:rPr>
                <w:lang w:val="nl-NL"/>
              </w:rPr>
              <w:t>Gema Vs OpenAI</w:t>
            </w:r>
          </w:p>
        </w:tc>
      </w:tr>
    </w:tbl>
    <w:p w14:paraId="52DC4A7D" w14:textId="77777777" w:rsidR="00D86A67" w:rsidRPr="00DF2CBE" w:rsidRDefault="00D86A67" w:rsidP="000B3A81">
      <w:pPr>
        <w:spacing w:line="240" w:lineRule="auto"/>
        <w:rPr>
          <w:i/>
          <w:iCs/>
          <w:lang w:val="nl-NL"/>
        </w:rPr>
      </w:pPr>
    </w:p>
    <w:p w14:paraId="32BC0111" w14:textId="49CB6DDA" w:rsidR="00C11F0A" w:rsidRDefault="00C11F0A" w:rsidP="009947A2">
      <w:pPr>
        <w:rPr>
          <w:u w:val="single"/>
        </w:rPr>
      </w:pPr>
      <w:r w:rsidRPr="00C11F0A">
        <w:rPr>
          <w:u w:val="single"/>
        </w:rPr>
        <w:t>The Netherlands</w:t>
      </w:r>
    </w:p>
    <w:p w14:paraId="30F42085" w14:textId="5A667BCE" w:rsidR="00C11F0A" w:rsidRDefault="00C11F0A" w:rsidP="009947A2">
      <w:r>
        <w:t>The Dutch Copyright Act (Auterswet) and the Dutch Penal Code (Wetboek van Strafrecht)</w:t>
      </w:r>
      <w:r w:rsidR="009C43B4">
        <w:t xml:space="preserve"> contain the civil and criminal codes relevant to copyright violation claims</w:t>
      </w:r>
      <w:r>
        <w:t xml:space="preserve">. </w:t>
      </w:r>
    </w:p>
    <w:p w14:paraId="41241351" w14:textId="392F8B0D" w:rsidR="007F6769" w:rsidRDefault="007F6769" w:rsidP="001E51CC">
      <w:r w:rsidRPr="007F6769">
        <w:t>Exceptions</w:t>
      </w:r>
      <w:r w:rsidR="00C733EA">
        <w:t xml:space="preserve">. The Netherlands has exceptions for use under the </w:t>
      </w:r>
      <w:r w:rsidR="00F0312F">
        <w:t xml:space="preserve">TDM exceptions found within EU law. </w:t>
      </w:r>
    </w:p>
    <w:p w14:paraId="4F83FA84" w14:textId="1484AE6C" w:rsidR="001E51CC" w:rsidRDefault="001E51CC" w:rsidP="001E51CC">
      <w:r>
        <w:t>Civil Penalties</w:t>
      </w:r>
    </w:p>
    <w:p w14:paraId="6633CD35" w14:textId="74923B1B" w:rsidR="00A10B49" w:rsidRDefault="00A10B49" w:rsidP="001E51CC">
      <w:r>
        <w:t>Under the Auterswet</w:t>
      </w:r>
      <w:r w:rsidR="006E7195">
        <w:t>, art</w:t>
      </w:r>
      <w:r w:rsidR="00AE5124">
        <w:t>.</w:t>
      </w:r>
      <w:r w:rsidR="006E7195">
        <w:t xml:space="preserve"> 27 through 31, </w:t>
      </w:r>
      <w:r>
        <w:t>there are civil penalties for illegal use of copyright protect materials, including injunctions, damages, disgorgement of profits, and a hypothetical licensing fee</w:t>
      </w:r>
      <w:r w:rsidR="00D038B1">
        <w:t xml:space="preserve"> as a baseline for fines</w:t>
      </w:r>
      <w:r>
        <w:t>.</w:t>
      </w:r>
      <w:r w:rsidR="00D038B1">
        <w:t xml:space="preserve"> </w:t>
      </w:r>
      <w:r w:rsidR="006E7195">
        <w:t xml:space="preserve">Art. 29 provides for damages for infringement and related to unjust enrichment from </w:t>
      </w:r>
      <w:r w:rsidR="00AE5124">
        <w:t>illegal</w:t>
      </w:r>
      <w:r w:rsidR="006E7195">
        <w:t xml:space="preserve"> use. </w:t>
      </w:r>
      <w:r w:rsidR="00D038B1">
        <w:t>The penalty might be in the form of a lump sum fine.</w:t>
      </w:r>
      <w:r>
        <w:t xml:space="preserve"> </w:t>
      </w:r>
      <w:r w:rsidR="00D038B1">
        <w:t xml:space="preserve">Courts will consider factors such as the type and scope of infringement and the value of the loss from profits due to the infringement. Legal costs are also available but may be limited. In calculating damages, the court may consider the hypothetical amount of licensing fees for the use, the scope of the use, they type of use, the market value of the use, whether the use was a flagrant violation of the law, and the need for deterrence from future copyright infringements. </w:t>
      </w:r>
    </w:p>
    <w:p w14:paraId="152E7572" w14:textId="77777777" w:rsidR="001E51CC" w:rsidRDefault="001E51CC" w:rsidP="001E51CC">
      <w:r>
        <w:t>Criminal Penalties</w:t>
      </w:r>
    </w:p>
    <w:p w14:paraId="4FDE4659" w14:textId="6FF64976" w:rsidR="006E7195" w:rsidRDefault="006E7195" w:rsidP="001E51CC">
      <w:r>
        <w:t xml:space="preserve">Under art. 31 of the Auterswet, violations for intentional infringement of copyrighted works can be punished through imprisonment and fines. In the case of a severe infringement a prison term of up to 4 years is available, while for less sever violations may be treated with a lower punishment. These criminal convictions may </w:t>
      </w:r>
      <w:r w:rsidR="007712F3">
        <w:t>be combined</w:t>
      </w:r>
      <w:r>
        <w:t xml:space="preserve"> with fines. When the infringement is part of a commercial scale </w:t>
      </w:r>
      <w:r w:rsidR="007712F3">
        <w:t xml:space="preserve">violation the severity of the prison terms and fines may be heightened. </w:t>
      </w:r>
    </w:p>
    <w:p w14:paraId="6CB4BB01" w14:textId="6A0EB695" w:rsidR="001E51CC" w:rsidRDefault="001E51CC" w:rsidP="001E51CC">
      <w:r>
        <w:t>Selected Case Law</w:t>
      </w:r>
    </w:p>
    <w:p w14:paraId="1C82CECF" w14:textId="6EFA9D5D" w:rsidR="006B1CD9" w:rsidRPr="00292390" w:rsidRDefault="006B1CD9" w:rsidP="001E51CC">
      <w:r w:rsidRPr="00292390">
        <w:t>BREIN vs GEITje</w:t>
      </w:r>
      <w:r w:rsidR="00292390" w:rsidRPr="00292390">
        <w:t>7B</w:t>
      </w:r>
      <w:r w:rsidRPr="00292390">
        <w:t xml:space="preserve">- </w:t>
      </w:r>
      <w:r w:rsidR="00292390" w:rsidRPr="00292390">
        <w:t xml:space="preserve">Stichting </w:t>
      </w:r>
      <w:r w:rsidRPr="00292390">
        <w:t>BREIN</w:t>
      </w:r>
      <w:r w:rsidR="00292390" w:rsidRPr="00292390">
        <w:t>, and anti-piracy organization in the Netherlands,</w:t>
      </w:r>
      <w:r w:rsidRPr="00292390">
        <w:t xml:space="preserve"> forced the LLM GEITje to </w:t>
      </w:r>
      <w:r w:rsidR="00292390" w:rsidRPr="00292390">
        <w:t>be taken off line</w:t>
      </w:r>
      <w:r w:rsidRPr="00292390">
        <w:t xml:space="preserve"> because of its use of copyright protected data</w:t>
      </w:r>
      <w:r w:rsidR="00292390" w:rsidRPr="00292390">
        <w:t xml:space="preserve"> alleged in a civil claim.</w:t>
      </w:r>
      <w:r w:rsidR="00292390" w:rsidRPr="00292390">
        <w:rPr>
          <w:rStyle w:val="FootnoteReference"/>
        </w:rPr>
        <w:footnoteReference w:id="35"/>
      </w:r>
      <w:r w:rsidR="00292390" w:rsidRPr="00292390">
        <w:t xml:space="preserve"> The allegations include that GEITje-7B used Library Gensis, an illegal database in the Netherlands, to train its LLM. The claims were settled out of court.</w:t>
      </w:r>
      <w:r w:rsidR="00292390">
        <w:rPr>
          <w:rStyle w:val="FootnoteReference"/>
        </w:rPr>
        <w:footnoteReference w:id="36"/>
      </w:r>
      <w:r w:rsidR="00292390" w:rsidRPr="00292390">
        <w:t xml:space="preserve">  </w:t>
      </w:r>
    </w:p>
    <w:p w14:paraId="30861849" w14:textId="43D85890" w:rsidR="006B1CD9" w:rsidRPr="006A4924" w:rsidRDefault="000923AA" w:rsidP="001E51CC">
      <w:pPr>
        <w:rPr>
          <w:highlight w:val="yellow"/>
        </w:rPr>
      </w:pPr>
      <w:r w:rsidRPr="000C37CE">
        <w:t xml:space="preserve">The case </w:t>
      </w:r>
      <w:r w:rsidR="006B1CD9" w:rsidRPr="000C37CE">
        <w:t xml:space="preserve">DPG v </w:t>
      </w:r>
      <w:proofErr w:type="spellStart"/>
      <w:r w:rsidR="006B1CD9" w:rsidRPr="000C37CE">
        <w:t>HowardsHome</w:t>
      </w:r>
      <w:proofErr w:type="spellEnd"/>
      <w:r w:rsidR="00292390" w:rsidRPr="000C37CE">
        <w:t xml:space="preserve"> r</w:t>
      </w:r>
      <w:r w:rsidR="006B1CD9" w:rsidRPr="000C37CE">
        <w:t xml:space="preserve">elates to the DSM, press publisher’s rights, and the use of opt-outs in TDM exceptions of the DSM. </w:t>
      </w:r>
      <w:r w:rsidR="00695E47" w:rsidRPr="000C37CE">
        <w:t>I</w:t>
      </w:r>
      <w:r w:rsidR="0056614F" w:rsidRPr="000C37CE">
        <w:t>n</w:t>
      </w:r>
      <w:r w:rsidR="00695E47" w:rsidRPr="000C37CE">
        <w:t xml:space="preserve"> this case </w:t>
      </w:r>
      <w:r w:rsidR="0056614F" w:rsidRPr="000C37CE">
        <w:t xml:space="preserve">the DPG, a media company, alleged that HowardsHome infringed on their rights by providing a “singnaling service” which alerted </w:t>
      </w:r>
      <w:r w:rsidR="0056614F" w:rsidRPr="000C37CE">
        <w:lastRenderedPageBreak/>
        <w:t>customers of relevant news which contained information about articles published by DPG. The court found that “</w:t>
      </w:r>
      <w:r w:rsidR="0056614F" w:rsidRPr="0056614F">
        <w:t>HowardsHome does not infringe the press publisher's rights, copyright or database rights of the Publishers with its alerts</w:t>
      </w:r>
      <w:r w:rsidR="0056614F">
        <w:t xml:space="preserve">” as they fall under a </w:t>
      </w:r>
      <w:r w:rsidR="00704BFF">
        <w:t xml:space="preserve">Bern </w:t>
      </w:r>
      <w:r w:rsidR="0056614F">
        <w:t xml:space="preserve">three step test found in the </w:t>
      </w:r>
      <w:r w:rsidR="00704BFF">
        <w:t>2001 InfoSoc Directive</w:t>
      </w:r>
      <w:r w:rsidR="0056614F">
        <w:t>.</w:t>
      </w:r>
      <w:r w:rsidR="0056614F">
        <w:rPr>
          <w:rStyle w:val="FootnoteReference"/>
        </w:rPr>
        <w:footnoteReference w:id="37"/>
      </w:r>
      <w:r w:rsidR="00704BFF">
        <w:t xml:space="preserve"> This case addresses how the scope of the DSM is applied and the scope of exceptions under TDM.</w:t>
      </w:r>
      <w:r w:rsidR="00704BFF">
        <w:rPr>
          <w:rStyle w:val="FootnoteReference"/>
        </w:rPr>
        <w:footnoteReference w:id="38"/>
      </w:r>
      <w:r w:rsidR="00704BFF">
        <w:t xml:space="preserve"> </w:t>
      </w:r>
    </w:p>
    <w:p w14:paraId="7318BC1B" w14:textId="11E2E9EF" w:rsidR="006B1CD9" w:rsidRDefault="006B1CD9" w:rsidP="001E51CC">
      <w:r w:rsidRPr="00544675">
        <w:t xml:space="preserve">BREIN v NSE- </w:t>
      </w:r>
      <w:r w:rsidR="00544675" w:rsidRPr="00544675">
        <w:t>this case addresses l</w:t>
      </w:r>
      <w:r w:rsidR="00972E02" w:rsidRPr="00544675">
        <w:t>iability exemption in E-Commerce Directive</w:t>
      </w:r>
      <w:r w:rsidR="00544675">
        <w:t>.</w:t>
      </w:r>
      <w:r w:rsidR="00544675">
        <w:rPr>
          <w:rStyle w:val="FootnoteReference"/>
        </w:rPr>
        <w:footnoteReference w:id="39"/>
      </w:r>
      <w:r w:rsidR="00972E02">
        <w:t xml:space="preserve"> </w:t>
      </w:r>
    </w:p>
    <w:tbl>
      <w:tblPr>
        <w:tblStyle w:val="TableGrid"/>
        <w:tblW w:w="9085" w:type="dxa"/>
        <w:tblLook w:val="04A0" w:firstRow="1" w:lastRow="0" w:firstColumn="1" w:lastColumn="0" w:noHBand="0" w:noVBand="1"/>
      </w:tblPr>
      <w:tblGrid>
        <w:gridCol w:w="1509"/>
        <w:gridCol w:w="7576"/>
      </w:tblGrid>
      <w:tr w:rsidR="00F0312F" w:rsidRPr="00C03A1D" w14:paraId="69CFAFB2" w14:textId="77777777" w:rsidTr="00BB6F31">
        <w:trPr>
          <w:trHeight w:val="42"/>
        </w:trPr>
        <w:tc>
          <w:tcPr>
            <w:tcW w:w="1509" w:type="dxa"/>
          </w:tcPr>
          <w:p w14:paraId="2D54BC00" w14:textId="77777777" w:rsidR="00F0312F" w:rsidRPr="00C03A1D" w:rsidRDefault="00F0312F" w:rsidP="00192387">
            <w:pPr>
              <w:rPr>
                <w:lang w:val="nl-NL"/>
              </w:rPr>
            </w:pPr>
          </w:p>
        </w:tc>
        <w:tc>
          <w:tcPr>
            <w:tcW w:w="7576" w:type="dxa"/>
          </w:tcPr>
          <w:p w14:paraId="26D8E4D6" w14:textId="77777777" w:rsidR="00F0312F" w:rsidRPr="00C03A1D" w:rsidRDefault="00F0312F" w:rsidP="00192387">
            <w:pPr>
              <w:rPr>
                <w:lang w:val="nl-NL"/>
              </w:rPr>
            </w:pPr>
            <w:r>
              <w:rPr>
                <w:lang w:val="nl-NL"/>
              </w:rPr>
              <w:t>Netherlands</w:t>
            </w:r>
          </w:p>
        </w:tc>
      </w:tr>
      <w:tr w:rsidR="00F0312F" w:rsidRPr="00C03A1D" w14:paraId="229EAC02" w14:textId="77777777" w:rsidTr="00BB6F31">
        <w:trPr>
          <w:trHeight w:val="42"/>
        </w:trPr>
        <w:tc>
          <w:tcPr>
            <w:tcW w:w="1509" w:type="dxa"/>
          </w:tcPr>
          <w:p w14:paraId="5F942437" w14:textId="77777777" w:rsidR="00F0312F" w:rsidRPr="006A4924" w:rsidRDefault="00F0312F" w:rsidP="00192387">
            <w:pPr>
              <w:rPr>
                <w:highlight w:val="yellow"/>
                <w:lang w:val="nl-NL"/>
              </w:rPr>
            </w:pPr>
            <w:r w:rsidRPr="006A4924">
              <w:rPr>
                <w:highlight w:val="yellow"/>
                <w:lang w:val="nl-NL"/>
              </w:rPr>
              <w:t>Source of Law</w:t>
            </w:r>
          </w:p>
        </w:tc>
        <w:tc>
          <w:tcPr>
            <w:tcW w:w="7576" w:type="dxa"/>
          </w:tcPr>
          <w:p w14:paraId="53311AFC" w14:textId="778774F0" w:rsidR="000C37CE" w:rsidRDefault="000C37CE" w:rsidP="00192387">
            <w:r w:rsidRPr="000C37CE">
              <w:t>Dutch Copyright Act (</w:t>
            </w:r>
            <w:proofErr w:type="spellStart"/>
            <w:r w:rsidRPr="000C37CE">
              <w:t>Auterswet</w:t>
            </w:r>
            <w:proofErr w:type="spellEnd"/>
            <w:r w:rsidRPr="000C37CE">
              <w:t xml:space="preserve">) </w:t>
            </w:r>
          </w:p>
          <w:p w14:paraId="23FFAD0E" w14:textId="22C0A2C5" w:rsidR="00F0312F" w:rsidRPr="00C03A1D" w:rsidRDefault="000C37CE" w:rsidP="00192387">
            <w:pPr>
              <w:rPr>
                <w:lang w:val="nl-NL"/>
              </w:rPr>
            </w:pPr>
            <w:r w:rsidRPr="000C37CE">
              <w:t>Dutch Penal Code (</w:t>
            </w:r>
            <w:proofErr w:type="spellStart"/>
            <w:r w:rsidRPr="000C37CE">
              <w:t>Wetboek</w:t>
            </w:r>
            <w:proofErr w:type="spellEnd"/>
            <w:r w:rsidRPr="000C37CE">
              <w:t xml:space="preserve"> van </w:t>
            </w:r>
            <w:proofErr w:type="spellStart"/>
            <w:r w:rsidRPr="000C37CE">
              <w:t>Strafrecht</w:t>
            </w:r>
            <w:proofErr w:type="spellEnd"/>
            <w:r w:rsidRPr="000C37CE">
              <w:t>)</w:t>
            </w:r>
          </w:p>
        </w:tc>
      </w:tr>
      <w:tr w:rsidR="00F0312F" w:rsidRPr="00C03A1D" w14:paraId="354F499B" w14:textId="77777777" w:rsidTr="00BB6F31">
        <w:trPr>
          <w:trHeight w:val="37"/>
        </w:trPr>
        <w:tc>
          <w:tcPr>
            <w:tcW w:w="1509" w:type="dxa"/>
          </w:tcPr>
          <w:p w14:paraId="3C398BDD" w14:textId="77777777" w:rsidR="00F0312F" w:rsidRPr="006A4924" w:rsidRDefault="00F0312F" w:rsidP="00192387">
            <w:pPr>
              <w:rPr>
                <w:highlight w:val="yellow"/>
                <w:lang w:val="nl-NL"/>
              </w:rPr>
            </w:pPr>
            <w:r w:rsidRPr="006A4924">
              <w:rPr>
                <w:highlight w:val="yellow"/>
                <w:lang w:val="nl-NL"/>
              </w:rPr>
              <w:t>Exceptions</w:t>
            </w:r>
          </w:p>
        </w:tc>
        <w:tc>
          <w:tcPr>
            <w:tcW w:w="7576" w:type="dxa"/>
          </w:tcPr>
          <w:p w14:paraId="109EC098" w14:textId="35731C4E" w:rsidR="00F0312F" w:rsidRPr="00C03A1D" w:rsidRDefault="000C37CE" w:rsidP="00192387">
            <w:pPr>
              <w:rPr>
                <w:lang w:val="nl-NL"/>
              </w:rPr>
            </w:pPr>
            <w:r w:rsidRPr="000C37CE">
              <w:t>TDM exceptions found within EU law</w:t>
            </w:r>
          </w:p>
        </w:tc>
      </w:tr>
      <w:tr w:rsidR="00F0312F" w:rsidRPr="00C03A1D" w14:paraId="60BC57B4" w14:textId="77777777" w:rsidTr="00BB6F31">
        <w:trPr>
          <w:trHeight w:val="37"/>
        </w:trPr>
        <w:tc>
          <w:tcPr>
            <w:tcW w:w="1509" w:type="dxa"/>
          </w:tcPr>
          <w:p w14:paraId="3DC7969A" w14:textId="77777777" w:rsidR="00F0312F" w:rsidRPr="006A4924" w:rsidRDefault="00F0312F" w:rsidP="00192387">
            <w:pPr>
              <w:rPr>
                <w:highlight w:val="yellow"/>
                <w:lang w:val="nl-NL"/>
              </w:rPr>
            </w:pPr>
            <w:r w:rsidRPr="006A4924">
              <w:rPr>
                <w:highlight w:val="yellow"/>
                <w:lang w:val="nl-NL"/>
              </w:rPr>
              <w:t>Civil Penalties</w:t>
            </w:r>
          </w:p>
        </w:tc>
        <w:tc>
          <w:tcPr>
            <w:tcW w:w="7576" w:type="dxa"/>
          </w:tcPr>
          <w:p w14:paraId="19FE2B06" w14:textId="3CACE5C3" w:rsidR="000C37CE" w:rsidRDefault="000C37CE" w:rsidP="00192387">
            <w:r w:rsidRPr="000C37CE">
              <w:t>civil penalties for illegal use of copyright protect materials</w:t>
            </w:r>
          </w:p>
          <w:p w14:paraId="419B8228" w14:textId="4FF7482D" w:rsidR="000C37CE" w:rsidRDefault="000C37CE" w:rsidP="00192387">
            <w:r w:rsidRPr="000C37CE">
              <w:t xml:space="preserve">injunctions </w:t>
            </w:r>
          </w:p>
          <w:p w14:paraId="19CD37AB" w14:textId="24B42203" w:rsidR="000C37CE" w:rsidRDefault="000C37CE" w:rsidP="00192387">
            <w:r w:rsidRPr="000C37CE">
              <w:t>damages</w:t>
            </w:r>
          </w:p>
          <w:p w14:paraId="764DC78B" w14:textId="03C7F412" w:rsidR="000C37CE" w:rsidRDefault="000C37CE" w:rsidP="00192387">
            <w:r w:rsidRPr="000C37CE">
              <w:t xml:space="preserve">disgorgement of profits </w:t>
            </w:r>
          </w:p>
          <w:p w14:paraId="43DBC25E" w14:textId="70DD5689" w:rsidR="00F0312F" w:rsidRPr="00C03A1D" w:rsidRDefault="000C37CE" w:rsidP="00192387">
            <w:pPr>
              <w:rPr>
                <w:lang w:val="nl-NL"/>
              </w:rPr>
            </w:pPr>
            <w:r w:rsidRPr="000C37CE">
              <w:t>hypothetical licensing fee as a baseline for fines</w:t>
            </w:r>
          </w:p>
        </w:tc>
      </w:tr>
      <w:tr w:rsidR="00F0312F" w:rsidRPr="00C03A1D" w14:paraId="54EF8AD0" w14:textId="77777777" w:rsidTr="00BB6F31">
        <w:trPr>
          <w:trHeight w:val="37"/>
        </w:trPr>
        <w:tc>
          <w:tcPr>
            <w:tcW w:w="1509" w:type="dxa"/>
          </w:tcPr>
          <w:p w14:paraId="347D8023" w14:textId="77777777" w:rsidR="00F0312F" w:rsidRPr="006A4924" w:rsidRDefault="00F0312F" w:rsidP="00192387">
            <w:pPr>
              <w:rPr>
                <w:highlight w:val="yellow"/>
                <w:lang w:val="nl-NL"/>
              </w:rPr>
            </w:pPr>
            <w:r w:rsidRPr="006A4924">
              <w:rPr>
                <w:highlight w:val="yellow"/>
                <w:lang w:val="nl-NL"/>
              </w:rPr>
              <w:t>Criminal Penalties</w:t>
            </w:r>
          </w:p>
        </w:tc>
        <w:tc>
          <w:tcPr>
            <w:tcW w:w="7576" w:type="dxa"/>
          </w:tcPr>
          <w:p w14:paraId="1103AC24" w14:textId="4DD3FAAC" w:rsidR="00F0312F" w:rsidRPr="00C03A1D" w:rsidRDefault="000C37CE" w:rsidP="00192387">
            <w:pPr>
              <w:rPr>
                <w:lang w:val="nl-NL"/>
              </w:rPr>
            </w:pPr>
            <w:r w:rsidRPr="000C37CE">
              <w:t>severe infringement</w:t>
            </w:r>
            <w:r>
              <w:t xml:space="preserve">- </w:t>
            </w:r>
            <w:r w:rsidRPr="000C37CE">
              <w:t>prison term of up to 4 years</w:t>
            </w:r>
          </w:p>
        </w:tc>
      </w:tr>
      <w:tr w:rsidR="00F0312F" w:rsidRPr="00C03A1D" w14:paraId="65EA5B7C" w14:textId="77777777" w:rsidTr="00BB6F31">
        <w:trPr>
          <w:trHeight w:val="37"/>
        </w:trPr>
        <w:tc>
          <w:tcPr>
            <w:tcW w:w="1509" w:type="dxa"/>
          </w:tcPr>
          <w:p w14:paraId="04AD2E13" w14:textId="77777777" w:rsidR="00F0312F" w:rsidRPr="006A4924" w:rsidRDefault="00F0312F" w:rsidP="00192387">
            <w:pPr>
              <w:rPr>
                <w:highlight w:val="yellow"/>
                <w:lang w:val="nl-NL"/>
              </w:rPr>
            </w:pPr>
            <w:r w:rsidRPr="006A4924">
              <w:rPr>
                <w:highlight w:val="yellow"/>
                <w:lang w:val="nl-NL"/>
              </w:rPr>
              <w:t>Liability for Third Parties</w:t>
            </w:r>
          </w:p>
        </w:tc>
        <w:tc>
          <w:tcPr>
            <w:tcW w:w="7576" w:type="dxa"/>
          </w:tcPr>
          <w:p w14:paraId="789ACE54" w14:textId="77777777" w:rsidR="00F0312F" w:rsidRPr="00C03A1D" w:rsidRDefault="00F0312F" w:rsidP="00192387">
            <w:pPr>
              <w:rPr>
                <w:lang w:val="nl-NL"/>
              </w:rPr>
            </w:pPr>
          </w:p>
        </w:tc>
      </w:tr>
      <w:tr w:rsidR="00F0312F" w:rsidRPr="00C03A1D" w14:paraId="6CB74456" w14:textId="77777777" w:rsidTr="00BB6F31">
        <w:trPr>
          <w:trHeight w:val="37"/>
        </w:trPr>
        <w:tc>
          <w:tcPr>
            <w:tcW w:w="1509" w:type="dxa"/>
          </w:tcPr>
          <w:p w14:paraId="6AC47E55" w14:textId="77777777" w:rsidR="00F0312F" w:rsidRPr="006A4924" w:rsidRDefault="00F0312F" w:rsidP="00192387">
            <w:pPr>
              <w:rPr>
                <w:highlight w:val="yellow"/>
                <w:lang w:val="nl-NL"/>
              </w:rPr>
            </w:pPr>
            <w:r w:rsidRPr="006A4924">
              <w:rPr>
                <w:highlight w:val="yellow"/>
                <w:lang w:val="nl-NL"/>
              </w:rPr>
              <w:t>Selected Case Law</w:t>
            </w:r>
          </w:p>
        </w:tc>
        <w:tc>
          <w:tcPr>
            <w:tcW w:w="7576" w:type="dxa"/>
          </w:tcPr>
          <w:p w14:paraId="0EE4418E" w14:textId="77777777" w:rsidR="00F0312F" w:rsidRDefault="000C37CE" w:rsidP="00192387">
            <w:r w:rsidRPr="000C37CE">
              <w:t>BREIN vs GEITje7B</w:t>
            </w:r>
          </w:p>
          <w:p w14:paraId="6766C598" w14:textId="59ABC73C" w:rsidR="000C37CE" w:rsidRPr="00C03A1D" w:rsidRDefault="000C37CE" w:rsidP="00192387">
            <w:pPr>
              <w:rPr>
                <w:lang w:val="nl-NL"/>
              </w:rPr>
            </w:pPr>
            <w:r w:rsidRPr="000C37CE">
              <w:t xml:space="preserve">DPG v </w:t>
            </w:r>
            <w:proofErr w:type="spellStart"/>
            <w:r w:rsidRPr="000C37CE">
              <w:t>HowardsHome</w:t>
            </w:r>
            <w:proofErr w:type="spellEnd"/>
          </w:p>
        </w:tc>
      </w:tr>
    </w:tbl>
    <w:p w14:paraId="190A6FBF" w14:textId="77777777" w:rsidR="00C03A1D" w:rsidRPr="006B1CD9" w:rsidRDefault="00C03A1D" w:rsidP="001E51CC"/>
    <w:p w14:paraId="7FDAC10B" w14:textId="4987AFF7" w:rsidR="005320F1" w:rsidRDefault="00C11F0A" w:rsidP="009947A2">
      <w:pPr>
        <w:rPr>
          <w:u w:val="single"/>
        </w:rPr>
      </w:pPr>
      <w:r w:rsidRPr="00C11F0A">
        <w:rPr>
          <w:u w:val="single"/>
        </w:rPr>
        <w:t>The United Kingdom</w:t>
      </w:r>
    </w:p>
    <w:p w14:paraId="0B210BAD" w14:textId="353EF800" w:rsidR="00C11F0A" w:rsidRDefault="00F73015" w:rsidP="009947A2">
      <w:r>
        <w:t xml:space="preserve">The </w:t>
      </w:r>
      <w:r w:rsidR="00C11F0A">
        <w:t xml:space="preserve">Copyright, Designs and </w:t>
      </w:r>
      <w:r>
        <w:t>P</w:t>
      </w:r>
      <w:r w:rsidR="00C11F0A">
        <w:t xml:space="preserve">atents Act 1988 </w:t>
      </w:r>
      <w:r>
        <w:t xml:space="preserve">(CDPA) is the main source of statutory law related to copyright law found in the </w:t>
      </w:r>
      <w:r w:rsidR="00704BFF">
        <w:t>UK and</w:t>
      </w:r>
      <w:r>
        <w:t xml:space="preserve"> has been amended to incorporate some EU law prior to the UK leaving the EU through the “Brexit”. </w:t>
      </w:r>
    </w:p>
    <w:p w14:paraId="1B6689A6" w14:textId="026ACBFA" w:rsidR="007F6769" w:rsidRDefault="007F6769" w:rsidP="001E51CC">
      <w:r w:rsidRPr="007F6769">
        <w:t>Exceptions</w:t>
      </w:r>
    </w:p>
    <w:p w14:paraId="5CBFFB1F" w14:textId="37774AD3" w:rsidR="00F73015" w:rsidRDefault="00F73015" w:rsidP="001E51CC">
      <w:r>
        <w:t xml:space="preserve">There are statutory exceptions for use of copyright protected material found in the CDPA, such as for research (sec. 29), to quote (sec. 30), </w:t>
      </w:r>
      <w:r w:rsidR="00D71760">
        <w:t xml:space="preserve">to </w:t>
      </w:r>
      <w:r>
        <w:t xml:space="preserve">parody (sec. 30), for library use (sec. 30A), and related to the public interest (sec. 29A, 30B), which are generally narrowly construed. </w:t>
      </w:r>
    </w:p>
    <w:p w14:paraId="1548DD7A" w14:textId="2005D91A" w:rsidR="001E51CC" w:rsidRDefault="001E51CC" w:rsidP="001E51CC">
      <w:r>
        <w:t>Civil Penalties</w:t>
      </w:r>
    </w:p>
    <w:p w14:paraId="00E1D667" w14:textId="2ADDF13A" w:rsidR="00F73015" w:rsidRDefault="00F73015" w:rsidP="001E51CC">
      <w:r>
        <w:lastRenderedPageBreak/>
        <w:t xml:space="preserve">There are civil penalties available for illegal use of copyright protected material. </w:t>
      </w:r>
      <w:r w:rsidR="00D71760">
        <w:t>Injunctions</w:t>
      </w:r>
      <w:r>
        <w:t xml:space="preserve"> to prohibit continued </w:t>
      </w:r>
      <w:r w:rsidR="00D71760">
        <w:t>infringements</w:t>
      </w:r>
      <w:r>
        <w:t xml:space="preserve"> are available under</w:t>
      </w:r>
      <w:r w:rsidR="00743B18">
        <w:t xml:space="preserve"> §</w:t>
      </w:r>
      <w:r>
        <w:t xml:space="preserve"> 96. Damages for infringement are also available </w:t>
      </w:r>
      <w:r w:rsidR="00743B18">
        <w:t xml:space="preserve">under § 96 </w:t>
      </w:r>
      <w:r>
        <w:t xml:space="preserve">and </w:t>
      </w:r>
      <w:r w:rsidR="00743B18">
        <w:t xml:space="preserve">other remedies </w:t>
      </w:r>
      <w:r>
        <w:t xml:space="preserve">include the </w:t>
      </w:r>
      <w:r w:rsidR="00D71760">
        <w:t>disgorgement</w:t>
      </w:r>
      <w:r>
        <w:t xml:space="preserve"> of profits from </w:t>
      </w:r>
      <w:r w:rsidR="00D71760">
        <w:t>illegal</w:t>
      </w:r>
      <w:r>
        <w:t xml:space="preserve"> use </w:t>
      </w:r>
      <w:r w:rsidR="00743B18">
        <w:t>under §</w:t>
      </w:r>
      <w:r>
        <w:t xml:space="preserve"> 97</w:t>
      </w:r>
      <w:r w:rsidR="00743B18">
        <w:t>, injunctive relief under § 97A, license of right under § 98, delivery up under §99, and a right to seizure under §100</w:t>
      </w:r>
      <w:r>
        <w:t>.</w:t>
      </w:r>
      <w:r w:rsidR="00743B18">
        <w:rPr>
          <w:rStyle w:val="FootnoteReference"/>
        </w:rPr>
        <w:footnoteReference w:id="40"/>
      </w:r>
      <w:r>
        <w:t xml:space="preserve"> </w:t>
      </w:r>
    </w:p>
    <w:p w14:paraId="2765464C" w14:textId="77777777" w:rsidR="001E51CC" w:rsidRDefault="001E51CC" w:rsidP="001E51CC">
      <w:r>
        <w:t>Criminal Penalties</w:t>
      </w:r>
    </w:p>
    <w:p w14:paraId="658B262A" w14:textId="54538855" w:rsidR="00D71760" w:rsidRDefault="00D71760" w:rsidP="001E51CC">
      <w:r>
        <w:t>Criminal penalties may be available for illegal use under</w:t>
      </w:r>
      <w:r w:rsidR="0058216D">
        <w:t xml:space="preserve"> §</w:t>
      </w:r>
      <w:r>
        <w:t xml:space="preserve"> 107.</w:t>
      </w:r>
      <w:r w:rsidR="0058216D">
        <w:rPr>
          <w:rStyle w:val="FootnoteReference"/>
        </w:rPr>
        <w:footnoteReference w:id="41"/>
      </w:r>
      <w:r>
        <w:t xml:space="preserve"> These penalties include imprisonment </w:t>
      </w:r>
      <w:r w:rsidR="0058216D">
        <w:t>not exceeding ten</w:t>
      </w:r>
      <w:r>
        <w:t xml:space="preserve"> years</w:t>
      </w:r>
      <w:r w:rsidR="0058216D">
        <w:t>.</w:t>
      </w:r>
      <w:r>
        <w:t xml:space="preserve"> and fines which are calculated based on the scope and scale of the illegal use.  </w:t>
      </w:r>
    </w:p>
    <w:p w14:paraId="3F0137B7" w14:textId="44721CD5" w:rsidR="001E51CC" w:rsidRPr="000C37CE" w:rsidRDefault="001E51CC" w:rsidP="001E51CC">
      <w:r w:rsidRPr="000C37CE">
        <w:t>Selected Case Law</w:t>
      </w:r>
    </w:p>
    <w:p w14:paraId="452D786E" w14:textId="02C8961D" w:rsidR="00972E02" w:rsidRPr="006A4924" w:rsidRDefault="00972E02" w:rsidP="001E51CC">
      <w:pPr>
        <w:rPr>
          <w:highlight w:val="yellow"/>
        </w:rPr>
      </w:pPr>
      <w:r w:rsidRPr="006A4924">
        <w:rPr>
          <w:highlight w:val="yellow"/>
        </w:rPr>
        <w:t xml:space="preserve">Getty Images v Stability AI- Still in Court </w:t>
      </w:r>
    </w:p>
    <w:p w14:paraId="2D8B8FCF" w14:textId="2CC4539E" w:rsidR="00972E02" w:rsidRPr="00972E02" w:rsidRDefault="00972E02" w:rsidP="001E51CC">
      <w:r w:rsidRPr="006A4924">
        <w:rPr>
          <w:highlight w:val="yellow"/>
        </w:rPr>
        <w:t>Mumsnet vs. Open AI- Still in Court</w:t>
      </w:r>
      <w:r>
        <w:t xml:space="preserve"> </w:t>
      </w:r>
    </w:p>
    <w:tbl>
      <w:tblPr>
        <w:tblStyle w:val="TableGrid"/>
        <w:tblW w:w="9175" w:type="dxa"/>
        <w:tblLook w:val="04A0" w:firstRow="1" w:lastRow="0" w:firstColumn="1" w:lastColumn="0" w:noHBand="0" w:noVBand="1"/>
      </w:tblPr>
      <w:tblGrid>
        <w:gridCol w:w="1509"/>
        <w:gridCol w:w="7666"/>
      </w:tblGrid>
      <w:tr w:rsidR="00F0312F" w:rsidRPr="00C03A1D" w14:paraId="143D0D4D" w14:textId="77777777" w:rsidTr="00BB6F31">
        <w:trPr>
          <w:trHeight w:val="42"/>
        </w:trPr>
        <w:tc>
          <w:tcPr>
            <w:tcW w:w="1509" w:type="dxa"/>
          </w:tcPr>
          <w:p w14:paraId="2DB0B032" w14:textId="77777777" w:rsidR="00F0312F" w:rsidRPr="00C03A1D" w:rsidRDefault="00F0312F" w:rsidP="00181736">
            <w:pPr>
              <w:rPr>
                <w:lang w:val="nl-NL"/>
              </w:rPr>
            </w:pPr>
          </w:p>
        </w:tc>
        <w:tc>
          <w:tcPr>
            <w:tcW w:w="7666" w:type="dxa"/>
          </w:tcPr>
          <w:p w14:paraId="6E642DC7" w14:textId="4E6E5851" w:rsidR="00F0312F" w:rsidRPr="00C03A1D" w:rsidRDefault="00F0312F" w:rsidP="00181736">
            <w:pPr>
              <w:rPr>
                <w:lang w:val="nl-NL"/>
              </w:rPr>
            </w:pPr>
            <w:r>
              <w:rPr>
                <w:lang w:val="nl-NL"/>
              </w:rPr>
              <w:t>The UK</w:t>
            </w:r>
          </w:p>
        </w:tc>
      </w:tr>
      <w:tr w:rsidR="00F0312F" w:rsidRPr="00C03A1D" w14:paraId="21E50B5E" w14:textId="77777777" w:rsidTr="00BB6F31">
        <w:trPr>
          <w:trHeight w:val="42"/>
        </w:trPr>
        <w:tc>
          <w:tcPr>
            <w:tcW w:w="1509" w:type="dxa"/>
          </w:tcPr>
          <w:p w14:paraId="05340CEE" w14:textId="77777777" w:rsidR="00F0312F" w:rsidRPr="00C03A1D" w:rsidRDefault="00F0312F" w:rsidP="00181736">
            <w:pPr>
              <w:rPr>
                <w:lang w:val="nl-NL"/>
              </w:rPr>
            </w:pPr>
            <w:r w:rsidRPr="00C03A1D">
              <w:rPr>
                <w:lang w:val="nl-NL"/>
              </w:rPr>
              <w:t>Source of Law</w:t>
            </w:r>
          </w:p>
        </w:tc>
        <w:tc>
          <w:tcPr>
            <w:tcW w:w="7666" w:type="dxa"/>
          </w:tcPr>
          <w:p w14:paraId="38E0C4A7" w14:textId="08940DB6" w:rsidR="00F0312F" w:rsidRPr="00C03A1D" w:rsidRDefault="0010332F" w:rsidP="00181736">
            <w:pPr>
              <w:rPr>
                <w:lang w:val="nl-NL"/>
              </w:rPr>
            </w:pPr>
            <w:r w:rsidRPr="0010332F">
              <w:rPr>
                <w:lang w:val="nl-NL"/>
              </w:rPr>
              <w:t>Arrangement of Act, UK ST 1988 c. 48</w:t>
            </w:r>
            <w:r>
              <w:rPr>
                <w:lang w:val="nl-NL"/>
              </w:rPr>
              <w:t xml:space="preserve"> (Copyright, Designs and Patents Actof 1988), </w:t>
            </w:r>
          </w:p>
        </w:tc>
      </w:tr>
      <w:tr w:rsidR="00F0312F" w:rsidRPr="00C03A1D" w14:paraId="6473F97A" w14:textId="77777777" w:rsidTr="00BB6F31">
        <w:trPr>
          <w:trHeight w:val="37"/>
        </w:trPr>
        <w:tc>
          <w:tcPr>
            <w:tcW w:w="1509" w:type="dxa"/>
          </w:tcPr>
          <w:p w14:paraId="6AF1E0AD" w14:textId="77777777" w:rsidR="00F0312F" w:rsidRPr="00C03A1D" w:rsidRDefault="00F0312F" w:rsidP="00181736">
            <w:pPr>
              <w:rPr>
                <w:lang w:val="nl-NL"/>
              </w:rPr>
            </w:pPr>
            <w:r w:rsidRPr="00C03A1D">
              <w:rPr>
                <w:lang w:val="nl-NL"/>
              </w:rPr>
              <w:t>Exceptions</w:t>
            </w:r>
          </w:p>
        </w:tc>
        <w:tc>
          <w:tcPr>
            <w:tcW w:w="7666" w:type="dxa"/>
          </w:tcPr>
          <w:p w14:paraId="5C452A48" w14:textId="17918F28" w:rsidR="00F0312F" w:rsidRPr="00C03A1D" w:rsidRDefault="0058216D" w:rsidP="00181736">
            <w:pPr>
              <w:rPr>
                <w:lang w:val="nl-NL"/>
              </w:rPr>
            </w:pPr>
            <w:r w:rsidRPr="0058216D">
              <w:rPr>
                <w:lang w:val="nl-NL"/>
              </w:rPr>
              <w:t>para. 1, UK ST 1988 c. 48 Sch. 5A(I) para. 1</w:t>
            </w:r>
            <w:r>
              <w:rPr>
                <w:lang w:val="nl-NL"/>
              </w:rPr>
              <w:t xml:space="preserve">, Fair Dealings, (research and study §29, data analysis for non commercial use §29A, diabled persons §31A, illustrations for instruction §32, recordings for educational establishments § 35, Copying and use by educational establishments § 36, copying by libraries § 41-43, etc. </w:t>
            </w:r>
          </w:p>
        </w:tc>
      </w:tr>
      <w:tr w:rsidR="00F0312F" w:rsidRPr="00C03A1D" w14:paraId="36CE664D" w14:textId="77777777" w:rsidTr="00BB6F31">
        <w:trPr>
          <w:trHeight w:val="37"/>
        </w:trPr>
        <w:tc>
          <w:tcPr>
            <w:tcW w:w="1509" w:type="dxa"/>
          </w:tcPr>
          <w:p w14:paraId="503697AF" w14:textId="77777777" w:rsidR="00F0312F" w:rsidRPr="00C03A1D" w:rsidRDefault="00F0312F" w:rsidP="00181736">
            <w:pPr>
              <w:rPr>
                <w:lang w:val="nl-NL"/>
              </w:rPr>
            </w:pPr>
            <w:r w:rsidRPr="00C03A1D">
              <w:rPr>
                <w:lang w:val="nl-NL"/>
              </w:rPr>
              <w:t>Civil Penalties</w:t>
            </w:r>
          </w:p>
        </w:tc>
        <w:tc>
          <w:tcPr>
            <w:tcW w:w="7666" w:type="dxa"/>
          </w:tcPr>
          <w:p w14:paraId="0C9243DA" w14:textId="03773BCF" w:rsidR="00F0312F" w:rsidRDefault="000C37CE" w:rsidP="00181736">
            <w:pPr>
              <w:rPr>
                <w:lang w:val="nl-NL"/>
              </w:rPr>
            </w:pPr>
            <w:r w:rsidRPr="000C37CE">
              <w:t>Injunctions</w:t>
            </w:r>
            <w:r w:rsidRPr="000C37CE">
              <w:t xml:space="preserve"> </w:t>
            </w:r>
            <w:r>
              <w:t xml:space="preserve">&amp; </w:t>
            </w:r>
            <w:r w:rsidRPr="000C37CE">
              <w:t xml:space="preserve">Damages </w:t>
            </w:r>
            <w:r>
              <w:t xml:space="preserve">- </w:t>
            </w:r>
            <w:r w:rsidR="00841BC9">
              <w:rPr>
                <w:lang w:val="nl-NL"/>
              </w:rPr>
              <w:t>§96</w:t>
            </w:r>
          </w:p>
          <w:p w14:paraId="409B1D28" w14:textId="4FC29320" w:rsidR="00841BC9" w:rsidRDefault="000C37CE" w:rsidP="00181736">
            <w:pPr>
              <w:rPr>
                <w:lang w:val="nl-NL"/>
              </w:rPr>
            </w:pPr>
            <w:r w:rsidRPr="000C37CE">
              <w:t xml:space="preserve">disgorgement of profits </w:t>
            </w:r>
            <w:r>
              <w:t xml:space="preserve">- </w:t>
            </w:r>
            <w:r w:rsidR="00841BC9">
              <w:rPr>
                <w:lang w:val="nl-NL"/>
              </w:rPr>
              <w:t>§97</w:t>
            </w:r>
          </w:p>
          <w:p w14:paraId="3F4798D3" w14:textId="5D9096B6" w:rsidR="00841BC9" w:rsidRDefault="000C37CE" w:rsidP="00181736">
            <w:pPr>
              <w:rPr>
                <w:lang w:val="nl-NL"/>
              </w:rPr>
            </w:pPr>
            <w:proofErr w:type="gramStart"/>
            <w:r w:rsidRPr="000C37CE">
              <w:t>license</w:t>
            </w:r>
            <w:proofErr w:type="gramEnd"/>
            <w:r w:rsidRPr="000C37CE">
              <w:t xml:space="preserve"> of </w:t>
            </w:r>
            <w:proofErr w:type="gramStart"/>
            <w:r w:rsidRPr="000C37CE">
              <w:t>right</w:t>
            </w:r>
            <w:proofErr w:type="gramEnd"/>
            <w:r w:rsidRPr="000C37CE">
              <w:t xml:space="preserve"> </w:t>
            </w:r>
            <w:r>
              <w:t xml:space="preserve">- </w:t>
            </w:r>
            <w:r w:rsidR="00841BC9">
              <w:rPr>
                <w:lang w:val="nl-NL"/>
              </w:rPr>
              <w:t>§98</w:t>
            </w:r>
          </w:p>
          <w:p w14:paraId="5B16CA5E" w14:textId="4CEF9CC9" w:rsidR="00841BC9" w:rsidRDefault="000C37CE" w:rsidP="00181736">
            <w:pPr>
              <w:rPr>
                <w:lang w:val="nl-NL"/>
              </w:rPr>
            </w:pPr>
            <w:r w:rsidRPr="000C37CE">
              <w:t xml:space="preserve">delivery up </w:t>
            </w:r>
            <w:r>
              <w:t xml:space="preserve">- </w:t>
            </w:r>
            <w:r w:rsidR="00841BC9">
              <w:rPr>
                <w:lang w:val="nl-NL"/>
              </w:rPr>
              <w:t>§99</w:t>
            </w:r>
          </w:p>
          <w:p w14:paraId="5965F0A9" w14:textId="433E8A0A" w:rsidR="00841BC9" w:rsidRPr="00C03A1D" w:rsidRDefault="000C37CE" w:rsidP="00181736">
            <w:pPr>
              <w:rPr>
                <w:lang w:val="nl-NL"/>
              </w:rPr>
            </w:pPr>
            <w:r w:rsidRPr="000C37CE">
              <w:t xml:space="preserve">right to seizure </w:t>
            </w:r>
            <w:r>
              <w:t xml:space="preserve">- </w:t>
            </w:r>
            <w:r w:rsidR="00841BC9">
              <w:rPr>
                <w:lang w:val="nl-NL"/>
              </w:rPr>
              <w:t>§100</w:t>
            </w:r>
          </w:p>
        </w:tc>
      </w:tr>
      <w:tr w:rsidR="00F0312F" w:rsidRPr="00C03A1D" w14:paraId="5891D64E" w14:textId="77777777" w:rsidTr="00BB6F31">
        <w:trPr>
          <w:trHeight w:val="37"/>
        </w:trPr>
        <w:tc>
          <w:tcPr>
            <w:tcW w:w="1509" w:type="dxa"/>
          </w:tcPr>
          <w:p w14:paraId="273768D2" w14:textId="77777777" w:rsidR="00F0312F" w:rsidRPr="00C03A1D" w:rsidRDefault="00F0312F" w:rsidP="00181736">
            <w:pPr>
              <w:rPr>
                <w:lang w:val="nl-NL"/>
              </w:rPr>
            </w:pPr>
            <w:r w:rsidRPr="00C03A1D">
              <w:rPr>
                <w:lang w:val="nl-NL"/>
              </w:rPr>
              <w:t>Criminal Penalties</w:t>
            </w:r>
          </w:p>
        </w:tc>
        <w:tc>
          <w:tcPr>
            <w:tcW w:w="7666" w:type="dxa"/>
          </w:tcPr>
          <w:p w14:paraId="13BD19C2" w14:textId="7D2A0CFA" w:rsidR="00F0312F" w:rsidRPr="00C03A1D" w:rsidRDefault="00841BC9" w:rsidP="00181736">
            <w:pPr>
              <w:rPr>
                <w:lang w:val="nl-NL"/>
              </w:rPr>
            </w:pPr>
            <w:r>
              <w:rPr>
                <w:lang w:val="nl-NL"/>
              </w:rPr>
              <w:t xml:space="preserve">§107- Imprisonment up to 10 years. </w:t>
            </w:r>
          </w:p>
        </w:tc>
      </w:tr>
      <w:tr w:rsidR="00F0312F" w:rsidRPr="00C03A1D" w14:paraId="1EB5B5DF" w14:textId="77777777" w:rsidTr="00BB6F31">
        <w:trPr>
          <w:trHeight w:val="37"/>
        </w:trPr>
        <w:tc>
          <w:tcPr>
            <w:tcW w:w="1509" w:type="dxa"/>
          </w:tcPr>
          <w:p w14:paraId="6DD75C54" w14:textId="77777777" w:rsidR="00F0312F" w:rsidRPr="00C03A1D" w:rsidRDefault="00F0312F" w:rsidP="00181736">
            <w:pPr>
              <w:rPr>
                <w:lang w:val="nl-NL"/>
              </w:rPr>
            </w:pPr>
            <w:r w:rsidRPr="006A4924">
              <w:rPr>
                <w:highlight w:val="yellow"/>
                <w:lang w:val="nl-NL"/>
              </w:rPr>
              <w:t>Liability for Third Parties</w:t>
            </w:r>
          </w:p>
        </w:tc>
        <w:tc>
          <w:tcPr>
            <w:tcW w:w="7666" w:type="dxa"/>
          </w:tcPr>
          <w:p w14:paraId="79FDF53A" w14:textId="77777777" w:rsidR="00F0312F" w:rsidRPr="00C03A1D" w:rsidRDefault="00F0312F" w:rsidP="00181736">
            <w:pPr>
              <w:rPr>
                <w:lang w:val="nl-NL"/>
              </w:rPr>
            </w:pPr>
          </w:p>
        </w:tc>
      </w:tr>
      <w:tr w:rsidR="00F0312F" w:rsidRPr="00C03A1D" w14:paraId="2747DA98" w14:textId="77777777" w:rsidTr="00BB6F31">
        <w:trPr>
          <w:trHeight w:val="37"/>
        </w:trPr>
        <w:tc>
          <w:tcPr>
            <w:tcW w:w="1509" w:type="dxa"/>
          </w:tcPr>
          <w:p w14:paraId="3C0EF2F8" w14:textId="77777777" w:rsidR="00F0312F" w:rsidRPr="00C03A1D" w:rsidRDefault="00F0312F" w:rsidP="00181736">
            <w:pPr>
              <w:rPr>
                <w:lang w:val="nl-NL"/>
              </w:rPr>
            </w:pPr>
            <w:r w:rsidRPr="00C03A1D">
              <w:rPr>
                <w:lang w:val="nl-NL"/>
              </w:rPr>
              <w:t>Selected Case Law</w:t>
            </w:r>
          </w:p>
        </w:tc>
        <w:tc>
          <w:tcPr>
            <w:tcW w:w="7666" w:type="dxa"/>
          </w:tcPr>
          <w:p w14:paraId="248BEE76" w14:textId="43C00E47" w:rsidR="00F0312F" w:rsidRPr="00C03A1D" w:rsidRDefault="0010332F" w:rsidP="00181736">
            <w:pPr>
              <w:rPr>
                <w:lang w:val="nl-NL"/>
              </w:rPr>
            </w:pPr>
            <w:r w:rsidRPr="0010332F">
              <w:rPr>
                <w:lang w:val="nl-NL"/>
              </w:rPr>
              <w:t>Getty Images (US) Inc v Stability AI Ltd, [2025] E.C.D.R. 5</w:t>
            </w:r>
            <w:r>
              <w:rPr>
                <w:lang w:val="nl-NL"/>
              </w:rPr>
              <w:t xml:space="preserve">, </w:t>
            </w:r>
            <w:r w:rsidRPr="0010332F">
              <w:rPr>
                <w:lang w:val="nl-NL"/>
              </w:rPr>
              <w:t>Deepmatter Ltd v University Court of the University of Glasgow, 2024 WL 03304539</w:t>
            </w:r>
            <w:r>
              <w:rPr>
                <w:lang w:val="nl-NL"/>
              </w:rPr>
              <w:t xml:space="preserve">, </w:t>
            </w:r>
          </w:p>
        </w:tc>
      </w:tr>
    </w:tbl>
    <w:p w14:paraId="5E312DE8" w14:textId="77777777" w:rsidR="00F0312F" w:rsidRDefault="00F0312F" w:rsidP="001E51CC">
      <w:pPr>
        <w:rPr>
          <w:u w:val="single"/>
        </w:rPr>
      </w:pPr>
    </w:p>
    <w:p w14:paraId="594B3F6C" w14:textId="7A3F01B3" w:rsidR="00C11F0A" w:rsidRDefault="00C11F0A" w:rsidP="001E51CC">
      <w:pPr>
        <w:rPr>
          <w:u w:val="single"/>
        </w:rPr>
      </w:pPr>
      <w:r w:rsidRPr="00C11F0A">
        <w:rPr>
          <w:u w:val="single"/>
        </w:rPr>
        <w:t>The United States</w:t>
      </w:r>
    </w:p>
    <w:p w14:paraId="638AB447" w14:textId="198E055C" w:rsidR="00C11F0A" w:rsidRDefault="00D71760" w:rsidP="009947A2">
      <w:r>
        <w:t>The US federal law related to copyright is often derived from the rights of congress found in the US Constitution art. I, § 8, cl. 8.</w:t>
      </w:r>
      <w:r>
        <w:rPr>
          <w:rStyle w:val="FootnoteReference"/>
        </w:rPr>
        <w:footnoteReference w:id="42"/>
      </w:r>
      <w:r>
        <w:t xml:space="preserve"> The </w:t>
      </w:r>
      <w:r w:rsidR="001E51CC" w:rsidRPr="001E51CC">
        <w:t>Copyright Act of 1976</w:t>
      </w:r>
      <w:r>
        <w:t xml:space="preserve"> is the main piece of federal statute related to copyright protections and is found in Title 17 of the United States Code.</w:t>
      </w:r>
      <w:r w:rsidR="006A1A60">
        <w:rPr>
          <w:rStyle w:val="FootnoteReference"/>
        </w:rPr>
        <w:footnoteReference w:id="43"/>
      </w:r>
      <w:r>
        <w:t xml:space="preserve"> US copyright law can trace its origins to the UK and the Statute of Anne.</w:t>
      </w:r>
      <w:r>
        <w:rPr>
          <w:rStyle w:val="FootnoteReference"/>
        </w:rPr>
        <w:footnoteReference w:id="44"/>
      </w:r>
      <w:r>
        <w:t xml:space="preserve">  </w:t>
      </w:r>
      <w:r w:rsidR="000C37CE" w:rsidRPr="000C37CE">
        <w:t xml:space="preserve">The </w:t>
      </w:r>
      <w:r w:rsidR="001E51CC" w:rsidRPr="000C37CE">
        <w:t>No Electronic Theft Act (NET ACT)</w:t>
      </w:r>
      <w:r w:rsidR="000C37CE">
        <w:t xml:space="preserve"> is a set of amendments to the Copyright Act which addresses criminal acts related to </w:t>
      </w:r>
      <w:r w:rsidR="000C37CE">
        <w:lastRenderedPageBreak/>
        <w:t xml:space="preserve">copyright infringement which is noncommercial. The NET Act provides for both civil and criminal penalties for noncommercial copyright infringement.  </w:t>
      </w:r>
    </w:p>
    <w:p w14:paraId="4B902E11" w14:textId="77777777" w:rsidR="009C43B4" w:rsidRDefault="007F6769" w:rsidP="001E51CC">
      <w:r w:rsidRPr="007F6769">
        <w:t>Exceptions</w:t>
      </w:r>
      <w:r>
        <w:t xml:space="preserve"> </w:t>
      </w:r>
    </w:p>
    <w:p w14:paraId="089CE8E0" w14:textId="11042F75" w:rsidR="00D71760" w:rsidRDefault="00D71760" w:rsidP="001E51CC">
      <w:r>
        <w:t xml:space="preserve">Under 17 U.S.C. §107, the exception of fair use is </w:t>
      </w:r>
      <w:r w:rsidR="006E207F">
        <w:t>specifically provided for. Under §107, “the fair use of copyrighted work… is not an infringement of copyright.”</w:t>
      </w:r>
      <w:r w:rsidR="006E207F">
        <w:rPr>
          <w:rStyle w:val="FootnoteReference"/>
        </w:rPr>
        <w:footnoteReference w:id="45"/>
      </w:r>
      <w:r w:rsidR="006E207F">
        <w:t xml:space="preserve"> Fair use is determined on a </w:t>
      </w:r>
      <w:r w:rsidR="00F80D0E">
        <w:t>case-by-case</w:t>
      </w:r>
      <w:r w:rsidR="006E207F">
        <w:t xml:space="preserve"> basis and considers the purpose of the use, the nature of the protected work, the scope of the original work being used or substantiality, and the economic market impact of the use. Federal courts have subject matter jurisdiction for civil claims related to copyright infringement. </w:t>
      </w:r>
    </w:p>
    <w:p w14:paraId="42E356E0" w14:textId="3A2050AC" w:rsidR="001E51CC" w:rsidRDefault="001E51CC" w:rsidP="001E51CC">
      <w:r>
        <w:t>Civil Penalties</w:t>
      </w:r>
    </w:p>
    <w:p w14:paraId="5F142FBA" w14:textId="32FB2AC7" w:rsidR="009C43B4" w:rsidRDefault="009C43B4" w:rsidP="001E51CC">
      <w:r>
        <w:t xml:space="preserve">In the US there are possibilities for relatively large civil penalties when compared to the other states examined in this article. </w:t>
      </w:r>
      <w:r w:rsidR="006E207F">
        <w:t>Under 17 U.S.C. § 502, courts may impose injunctive relief for a violation. Statutory damages or actual damages may be pursued under § 504. Under §411(a), there is a registration requirement</w:t>
      </w:r>
      <w:r w:rsidR="006A1A60">
        <w:t xml:space="preserve"> to recover for damages</w:t>
      </w:r>
      <w:r w:rsidR="006E207F">
        <w:t xml:space="preserve">. Statutory damages can range from </w:t>
      </w:r>
      <w:r w:rsidR="00091BEF">
        <w:t xml:space="preserve">$750 to $30,000 depending on the type of infringement. </w:t>
      </w:r>
      <w:r w:rsidR="00ED3E85">
        <w:t xml:space="preserve">Statutory damages are calculated on a per instance of violation standard, so multiple violations may quickly multiple the available statutory damages. </w:t>
      </w:r>
    </w:p>
    <w:p w14:paraId="2688B235" w14:textId="77777777" w:rsidR="001E51CC" w:rsidRDefault="001E51CC" w:rsidP="001E51CC">
      <w:r>
        <w:t>Criminal Penalties</w:t>
      </w:r>
    </w:p>
    <w:p w14:paraId="1BE4A8C7" w14:textId="63802B27" w:rsidR="00ED3E85" w:rsidRDefault="00ED3E85" w:rsidP="001E51CC">
      <w:r>
        <w:t xml:space="preserve">When </w:t>
      </w:r>
      <w:r w:rsidR="00540CD2">
        <w:t>illegal</w:t>
      </w:r>
      <w:r>
        <w:t xml:space="preserve"> use is a willful </w:t>
      </w:r>
      <w:r w:rsidR="00540CD2">
        <w:t>infringement,</w:t>
      </w:r>
      <w:r>
        <w:t xml:space="preserve"> it may carry a criminal penalty. These criminal penalties </w:t>
      </w:r>
      <w:r w:rsidR="006A1A60">
        <w:t>are in addition to the civil penalties</w:t>
      </w:r>
      <w:r>
        <w:t>.</w:t>
      </w:r>
      <w:r w:rsidR="006A1A60">
        <w:rPr>
          <w:rStyle w:val="FootnoteReference"/>
        </w:rPr>
        <w:footnoteReference w:id="46"/>
      </w:r>
      <w:r>
        <w:t xml:space="preserve"> </w:t>
      </w:r>
      <w:r w:rsidR="006A1A60">
        <w:t>Repeat offenders face heightened criminal penalties up to 10 years</w:t>
      </w:r>
      <w:r w:rsidR="006A1A60">
        <w:rPr>
          <w:rStyle w:val="FootnoteReference"/>
        </w:rPr>
        <w:footnoteReference w:id="47"/>
      </w:r>
      <w:r w:rsidR="00540CD2">
        <w:t xml:space="preserve"> Imprisonment can be up to 5 years for first time offenders</w:t>
      </w:r>
      <w:r w:rsidR="006A1A60">
        <w:t xml:space="preserve"> who make 10 or copies</w:t>
      </w:r>
      <w:r w:rsidR="00540CD2">
        <w:t>.</w:t>
      </w:r>
      <w:r w:rsidR="006A1A60">
        <w:rPr>
          <w:rStyle w:val="FootnoteReference"/>
        </w:rPr>
        <w:footnoteReference w:id="48"/>
      </w:r>
      <w:r w:rsidR="00540CD2">
        <w:t xml:space="preserve"> </w:t>
      </w:r>
      <w:r>
        <w:t xml:space="preserve"> </w:t>
      </w:r>
    </w:p>
    <w:p w14:paraId="0B1BEFBD" w14:textId="6B19577A" w:rsidR="001E51CC" w:rsidRPr="006A4924" w:rsidRDefault="001E51CC" w:rsidP="001E51CC">
      <w:pPr>
        <w:rPr>
          <w:highlight w:val="yellow"/>
        </w:rPr>
      </w:pPr>
      <w:r w:rsidRPr="006A4924">
        <w:rPr>
          <w:highlight w:val="yellow"/>
        </w:rPr>
        <w:t>Selected Case Law</w:t>
      </w:r>
    </w:p>
    <w:p w14:paraId="5CF2C638" w14:textId="136331F6" w:rsidR="007F6769" w:rsidRPr="006A4924" w:rsidRDefault="007F6769" w:rsidP="001E51CC">
      <w:pPr>
        <w:rPr>
          <w:i/>
          <w:iCs/>
          <w:highlight w:val="yellow"/>
        </w:rPr>
      </w:pPr>
      <w:r w:rsidRPr="006A4924">
        <w:rPr>
          <w:i/>
          <w:iCs/>
          <w:highlight w:val="yellow"/>
        </w:rPr>
        <w:t>New York Times v. Microsoft</w:t>
      </w:r>
    </w:p>
    <w:p w14:paraId="5DE17381" w14:textId="5C961DC0" w:rsidR="007F6769" w:rsidRPr="006A4924" w:rsidRDefault="007F6769" w:rsidP="001E51CC">
      <w:pPr>
        <w:rPr>
          <w:i/>
          <w:iCs/>
          <w:highlight w:val="yellow"/>
        </w:rPr>
      </w:pPr>
      <w:r w:rsidRPr="006A4924">
        <w:rPr>
          <w:i/>
          <w:iCs/>
          <w:highlight w:val="yellow"/>
        </w:rPr>
        <w:t>Bartz et al. v. Anthropic</w:t>
      </w:r>
    </w:p>
    <w:p w14:paraId="52D3AFFA" w14:textId="74C350EC" w:rsidR="007F6769" w:rsidRPr="006A4924" w:rsidRDefault="007F6769" w:rsidP="001E51CC">
      <w:pPr>
        <w:rPr>
          <w:i/>
          <w:iCs/>
          <w:highlight w:val="yellow"/>
          <w:lang w:val="nl-NL"/>
        </w:rPr>
      </w:pPr>
      <w:r w:rsidRPr="006A4924">
        <w:rPr>
          <w:i/>
          <w:iCs/>
          <w:highlight w:val="yellow"/>
          <w:lang w:val="nl-NL"/>
        </w:rPr>
        <w:t xml:space="preserve">Chabon v OpenAI, Inc. </w:t>
      </w:r>
    </w:p>
    <w:p w14:paraId="358399DF" w14:textId="41987DD5" w:rsidR="007F6769" w:rsidRPr="006A4924" w:rsidRDefault="007F6769" w:rsidP="001E51CC">
      <w:pPr>
        <w:rPr>
          <w:i/>
          <w:iCs/>
          <w:highlight w:val="yellow"/>
          <w:lang w:val="nl-NL"/>
        </w:rPr>
      </w:pPr>
      <w:r w:rsidRPr="006A4924">
        <w:rPr>
          <w:i/>
          <w:iCs/>
          <w:highlight w:val="yellow"/>
          <w:lang w:val="nl-NL"/>
        </w:rPr>
        <w:t>Doe v. Github</w:t>
      </w:r>
    </w:p>
    <w:p w14:paraId="74D6CBD4" w14:textId="1DB2A910" w:rsidR="007F6769" w:rsidRPr="006A4924" w:rsidRDefault="00972E02" w:rsidP="001E51CC">
      <w:pPr>
        <w:rPr>
          <w:i/>
          <w:iCs/>
          <w:highlight w:val="yellow"/>
          <w:lang w:val="nl-NL"/>
        </w:rPr>
      </w:pPr>
      <w:r w:rsidRPr="006A4924">
        <w:rPr>
          <w:i/>
          <w:iCs/>
          <w:highlight w:val="yellow"/>
          <w:lang w:val="nl-NL"/>
        </w:rPr>
        <w:t>Kadrey et al v META</w:t>
      </w:r>
    </w:p>
    <w:p w14:paraId="7BD17480" w14:textId="64837524" w:rsidR="00972E02" w:rsidRPr="006A4924" w:rsidRDefault="00972E02" w:rsidP="001E51CC">
      <w:pPr>
        <w:rPr>
          <w:i/>
          <w:iCs/>
          <w:highlight w:val="yellow"/>
        </w:rPr>
      </w:pPr>
      <w:r w:rsidRPr="006A4924">
        <w:rPr>
          <w:i/>
          <w:iCs/>
          <w:highlight w:val="yellow"/>
        </w:rPr>
        <w:t>Dow Jones and NY Post v. Perplexity AI</w:t>
      </w:r>
    </w:p>
    <w:p w14:paraId="6E67D4D1" w14:textId="6B3BFC7A" w:rsidR="00972E02" w:rsidRPr="006A4924" w:rsidRDefault="00972E02" w:rsidP="001E51CC">
      <w:pPr>
        <w:rPr>
          <w:i/>
          <w:iCs/>
          <w:highlight w:val="yellow"/>
        </w:rPr>
      </w:pPr>
      <w:r w:rsidRPr="006A4924">
        <w:rPr>
          <w:i/>
          <w:iCs/>
          <w:highlight w:val="yellow"/>
        </w:rPr>
        <w:t>Andersen v. Stability AI</w:t>
      </w:r>
    </w:p>
    <w:p w14:paraId="17BD9CBD" w14:textId="34D37CB7" w:rsidR="00972E02" w:rsidRPr="006A4924" w:rsidRDefault="00972E02" w:rsidP="001E51CC">
      <w:pPr>
        <w:rPr>
          <w:i/>
          <w:iCs/>
          <w:highlight w:val="yellow"/>
        </w:rPr>
      </w:pPr>
      <w:r w:rsidRPr="006A4924">
        <w:rPr>
          <w:i/>
          <w:iCs/>
          <w:highlight w:val="yellow"/>
        </w:rPr>
        <w:t>Advanced Local Media v Cohere</w:t>
      </w:r>
    </w:p>
    <w:p w14:paraId="0FB1D3C3" w14:textId="066879F2" w:rsidR="00972E02" w:rsidRPr="006A4924" w:rsidRDefault="00972E02" w:rsidP="001E51CC">
      <w:pPr>
        <w:rPr>
          <w:i/>
          <w:iCs/>
          <w:highlight w:val="yellow"/>
        </w:rPr>
      </w:pPr>
      <w:r w:rsidRPr="006A4924">
        <w:rPr>
          <w:i/>
          <w:iCs/>
          <w:highlight w:val="yellow"/>
        </w:rPr>
        <w:t>Disney v Midjourney</w:t>
      </w:r>
    </w:p>
    <w:p w14:paraId="2FF18C3F" w14:textId="4030F8E7" w:rsidR="00972E02" w:rsidRPr="006A4924" w:rsidRDefault="00972E02" w:rsidP="001E51CC">
      <w:pPr>
        <w:rPr>
          <w:i/>
          <w:iCs/>
          <w:highlight w:val="yellow"/>
        </w:rPr>
      </w:pPr>
      <w:r w:rsidRPr="006A4924">
        <w:rPr>
          <w:i/>
          <w:iCs/>
          <w:highlight w:val="yellow"/>
        </w:rPr>
        <w:t xml:space="preserve">Bird v Microsoft </w:t>
      </w:r>
    </w:p>
    <w:p w14:paraId="1D99CBC5" w14:textId="7A6DB31D" w:rsidR="00972E02" w:rsidRPr="006A4924" w:rsidRDefault="00972E02" w:rsidP="001E51CC">
      <w:pPr>
        <w:rPr>
          <w:i/>
          <w:iCs/>
          <w:highlight w:val="yellow"/>
        </w:rPr>
      </w:pPr>
      <w:r w:rsidRPr="006A4924">
        <w:rPr>
          <w:i/>
          <w:iCs/>
          <w:highlight w:val="yellow"/>
        </w:rPr>
        <w:t>Concord Music Group v Anthropic</w:t>
      </w:r>
    </w:p>
    <w:p w14:paraId="2B228630" w14:textId="59D03D9B" w:rsidR="00972E02" w:rsidRPr="00972E02" w:rsidRDefault="00972E02" w:rsidP="001E51CC">
      <w:pPr>
        <w:rPr>
          <w:i/>
          <w:iCs/>
        </w:rPr>
      </w:pPr>
      <w:r w:rsidRPr="006A4924">
        <w:rPr>
          <w:i/>
          <w:iCs/>
          <w:highlight w:val="yellow"/>
        </w:rPr>
        <w:lastRenderedPageBreak/>
        <w:t>Raw story v OpenAI</w:t>
      </w:r>
    </w:p>
    <w:tbl>
      <w:tblPr>
        <w:tblStyle w:val="TableGrid"/>
        <w:tblW w:w="9085" w:type="dxa"/>
        <w:tblLook w:val="04A0" w:firstRow="1" w:lastRow="0" w:firstColumn="1" w:lastColumn="0" w:noHBand="0" w:noVBand="1"/>
      </w:tblPr>
      <w:tblGrid>
        <w:gridCol w:w="1509"/>
        <w:gridCol w:w="7576"/>
      </w:tblGrid>
      <w:tr w:rsidR="00F0312F" w:rsidRPr="00C03A1D" w14:paraId="01A0A68F" w14:textId="77777777" w:rsidTr="00BB6F31">
        <w:trPr>
          <w:trHeight w:val="42"/>
        </w:trPr>
        <w:tc>
          <w:tcPr>
            <w:tcW w:w="1509" w:type="dxa"/>
          </w:tcPr>
          <w:p w14:paraId="586C9049" w14:textId="77777777" w:rsidR="00F0312F" w:rsidRPr="00C03A1D" w:rsidRDefault="00F0312F" w:rsidP="00181736">
            <w:pPr>
              <w:rPr>
                <w:lang w:val="nl-NL"/>
              </w:rPr>
            </w:pPr>
          </w:p>
        </w:tc>
        <w:tc>
          <w:tcPr>
            <w:tcW w:w="7576" w:type="dxa"/>
          </w:tcPr>
          <w:p w14:paraId="57E830B0" w14:textId="456AFB31" w:rsidR="00F0312F" w:rsidRPr="00C03A1D" w:rsidRDefault="00F0312F" w:rsidP="00181736">
            <w:pPr>
              <w:rPr>
                <w:lang w:val="nl-NL"/>
              </w:rPr>
            </w:pPr>
            <w:r>
              <w:rPr>
                <w:lang w:val="nl-NL"/>
              </w:rPr>
              <w:t>The US</w:t>
            </w:r>
          </w:p>
        </w:tc>
      </w:tr>
      <w:tr w:rsidR="00F0312F" w:rsidRPr="00C03A1D" w14:paraId="18279746" w14:textId="77777777" w:rsidTr="00BB6F31">
        <w:trPr>
          <w:trHeight w:val="42"/>
        </w:trPr>
        <w:tc>
          <w:tcPr>
            <w:tcW w:w="1509" w:type="dxa"/>
          </w:tcPr>
          <w:p w14:paraId="0B226E88" w14:textId="77777777" w:rsidR="00F0312F" w:rsidRPr="00C03A1D" w:rsidRDefault="00F0312F" w:rsidP="00181736">
            <w:pPr>
              <w:rPr>
                <w:lang w:val="nl-NL"/>
              </w:rPr>
            </w:pPr>
            <w:r w:rsidRPr="00C03A1D">
              <w:rPr>
                <w:lang w:val="nl-NL"/>
              </w:rPr>
              <w:t>Source of Law</w:t>
            </w:r>
          </w:p>
        </w:tc>
        <w:tc>
          <w:tcPr>
            <w:tcW w:w="7576" w:type="dxa"/>
          </w:tcPr>
          <w:p w14:paraId="42F6FBD3" w14:textId="7CFB558A" w:rsidR="00F0312F" w:rsidRPr="00C03A1D" w:rsidRDefault="00F80D0E" w:rsidP="00181736">
            <w:pPr>
              <w:rPr>
                <w:lang w:val="nl-NL"/>
              </w:rPr>
            </w:pPr>
            <w:r>
              <w:rPr>
                <w:lang w:val="nl-NL"/>
              </w:rPr>
              <w:t>Copyright Act of 1976, 17 U.S.C.</w:t>
            </w:r>
            <w:r w:rsidR="003C6CF5">
              <w:rPr>
                <w:lang w:val="nl-NL"/>
              </w:rPr>
              <w:t>, 18 U.S.C. 2319</w:t>
            </w:r>
          </w:p>
        </w:tc>
      </w:tr>
      <w:tr w:rsidR="00F0312F" w:rsidRPr="00C03A1D" w14:paraId="6BC1521B" w14:textId="77777777" w:rsidTr="00BB6F31">
        <w:trPr>
          <w:trHeight w:val="37"/>
        </w:trPr>
        <w:tc>
          <w:tcPr>
            <w:tcW w:w="1509" w:type="dxa"/>
          </w:tcPr>
          <w:p w14:paraId="41E30A7B" w14:textId="77777777" w:rsidR="00F0312F" w:rsidRPr="00C03A1D" w:rsidRDefault="00F0312F" w:rsidP="00181736">
            <w:pPr>
              <w:rPr>
                <w:lang w:val="nl-NL"/>
              </w:rPr>
            </w:pPr>
            <w:r w:rsidRPr="00C03A1D">
              <w:rPr>
                <w:lang w:val="nl-NL"/>
              </w:rPr>
              <w:t>Exceptions</w:t>
            </w:r>
          </w:p>
        </w:tc>
        <w:tc>
          <w:tcPr>
            <w:tcW w:w="7576" w:type="dxa"/>
          </w:tcPr>
          <w:p w14:paraId="3E15F769" w14:textId="5F6CECAB" w:rsidR="00F0312F" w:rsidRPr="00C03A1D" w:rsidRDefault="00F80D0E" w:rsidP="00181736">
            <w:pPr>
              <w:rPr>
                <w:lang w:val="nl-NL"/>
              </w:rPr>
            </w:pPr>
            <w:r>
              <w:rPr>
                <w:lang w:val="nl-NL"/>
              </w:rPr>
              <w:t>Fair Use, 17 U.S.C. § 107</w:t>
            </w:r>
          </w:p>
        </w:tc>
      </w:tr>
      <w:tr w:rsidR="00F0312F" w:rsidRPr="00C03A1D" w14:paraId="39684383" w14:textId="77777777" w:rsidTr="00BB6F31">
        <w:trPr>
          <w:trHeight w:val="37"/>
        </w:trPr>
        <w:tc>
          <w:tcPr>
            <w:tcW w:w="1509" w:type="dxa"/>
          </w:tcPr>
          <w:p w14:paraId="7277C347" w14:textId="77777777" w:rsidR="00F0312F" w:rsidRPr="00C03A1D" w:rsidRDefault="00F0312F" w:rsidP="00181736">
            <w:pPr>
              <w:rPr>
                <w:lang w:val="nl-NL"/>
              </w:rPr>
            </w:pPr>
            <w:r w:rsidRPr="00C03A1D">
              <w:rPr>
                <w:lang w:val="nl-NL"/>
              </w:rPr>
              <w:t>Civil Penalties</w:t>
            </w:r>
          </w:p>
        </w:tc>
        <w:tc>
          <w:tcPr>
            <w:tcW w:w="7576" w:type="dxa"/>
          </w:tcPr>
          <w:p w14:paraId="778B632A" w14:textId="438FB014" w:rsidR="00F80D0E" w:rsidRPr="00C03A1D" w:rsidRDefault="00F80D0E" w:rsidP="00181736">
            <w:pPr>
              <w:rPr>
                <w:lang w:val="nl-NL"/>
              </w:rPr>
            </w:pPr>
            <w:r>
              <w:rPr>
                <w:lang w:val="nl-NL"/>
              </w:rPr>
              <w:t xml:space="preserve">17 U.S.C. § 502- Injuctive relief, §503- impoundment or destruction of copies, §504- Damages- Actual Damages and Profits (b), Stautory Damages (c), Additional Damages (d), § 504- Costs and Attorneys Fees, </w:t>
            </w:r>
          </w:p>
        </w:tc>
      </w:tr>
      <w:tr w:rsidR="00F0312F" w:rsidRPr="00C03A1D" w14:paraId="54D784A2" w14:textId="77777777" w:rsidTr="00BB6F31">
        <w:trPr>
          <w:trHeight w:val="37"/>
        </w:trPr>
        <w:tc>
          <w:tcPr>
            <w:tcW w:w="1509" w:type="dxa"/>
          </w:tcPr>
          <w:p w14:paraId="6FF2B8CD" w14:textId="77777777" w:rsidR="00F0312F" w:rsidRPr="00C03A1D" w:rsidRDefault="00F0312F" w:rsidP="00181736">
            <w:pPr>
              <w:rPr>
                <w:lang w:val="nl-NL"/>
              </w:rPr>
            </w:pPr>
            <w:r w:rsidRPr="00C03A1D">
              <w:rPr>
                <w:lang w:val="nl-NL"/>
              </w:rPr>
              <w:t>Criminal Penalties</w:t>
            </w:r>
          </w:p>
        </w:tc>
        <w:tc>
          <w:tcPr>
            <w:tcW w:w="7576" w:type="dxa"/>
          </w:tcPr>
          <w:p w14:paraId="4DA883DD" w14:textId="18AE60D5" w:rsidR="00F0312F" w:rsidRPr="00C03A1D" w:rsidRDefault="00F80D0E" w:rsidP="00181736">
            <w:pPr>
              <w:rPr>
                <w:lang w:val="nl-NL"/>
              </w:rPr>
            </w:pPr>
            <w:r>
              <w:rPr>
                <w:lang w:val="nl-NL"/>
              </w:rPr>
              <w:t>§506- Criminal Punishment under 18 U.S.C. § 2319</w:t>
            </w:r>
            <w:r w:rsidR="006A1A60">
              <w:rPr>
                <w:lang w:val="nl-NL"/>
              </w:rPr>
              <w:t xml:space="preserve"> (3-10 years)</w:t>
            </w:r>
          </w:p>
        </w:tc>
      </w:tr>
      <w:tr w:rsidR="00F0312F" w:rsidRPr="00C03A1D" w14:paraId="0FD82AEB" w14:textId="77777777" w:rsidTr="00BB6F31">
        <w:trPr>
          <w:trHeight w:val="37"/>
        </w:trPr>
        <w:tc>
          <w:tcPr>
            <w:tcW w:w="1509" w:type="dxa"/>
          </w:tcPr>
          <w:p w14:paraId="6B082266" w14:textId="77777777" w:rsidR="00F0312F" w:rsidRPr="00C03A1D" w:rsidRDefault="00F0312F" w:rsidP="00181736">
            <w:pPr>
              <w:rPr>
                <w:lang w:val="nl-NL"/>
              </w:rPr>
            </w:pPr>
            <w:r w:rsidRPr="00C03A1D">
              <w:rPr>
                <w:lang w:val="nl-NL"/>
              </w:rPr>
              <w:t>Liability for Third Parties</w:t>
            </w:r>
          </w:p>
        </w:tc>
        <w:tc>
          <w:tcPr>
            <w:tcW w:w="7576" w:type="dxa"/>
          </w:tcPr>
          <w:p w14:paraId="321CA44F" w14:textId="319F173D" w:rsidR="00F0312F" w:rsidRPr="00C03A1D" w:rsidRDefault="003C6CF5" w:rsidP="00181736">
            <w:pPr>
              <w:rPr>
                <w:lang w:val="nl-NL"/>
              </w:rPr>
            </w:pPr>
            <w:r>
              <w:rPr>
                <w:lang w:val="nl-NL"/>
              </w:rPr>
              <w:t>§512- Limitations on Liability for Third Parties</w:t>
            </w:r>
          </w:p>
        </w:tc>
      </w:tr>
      <w:tr w:rsidR="00F0312F" w:rsidRPr="00C03A1D" w14:paraId="28BD3D07" w14:textId="77777777" w:rsidTr="00BB6F31">
        <w:trPr>
          <w:trHeight w:val="37"/>
        </w:trPr>
        <w:tc>
          <w:tcPr>
            <w:tcW w:w="1509" w:type="dxa"/>
          </w:tcPr>
          <w:p w14:paraId="72F32008" w14:textId="77777777" w:rsidR="00F0312F" w:rsidRPr="00C03A1D" w:rsidRDefault="00F0312F" w:rsidP="00181736">
            <w:pPr>
              <w:rPr>
                <w:lang w:val="nl-NL"/>
              </w:rPr>
            </w:pPr>
            <w:r w:rsidRPr="00C03A1D">
              <w:rPr>
                <w:lang w:val="nl-NL"/>
              </w:rPr>
              <w:t>Selected Case Law</w:t>
            </w:r>
          </w:p>
        </w:tc>
        <w:tc>
          <w:tcPr>
            <w:tcW w:w="7576" w:type="dxa"/>
          </w:tcPr>
          <w:p w14:paraId="7420C89E" w14:textId="157BC76C" w:rsidR="00F0312F" w:rsidRPr="00C03A1D" w:rsidRDefault="003C6CF5" w:rsidP="00181736">
            <w:pPr>
              <w:rPr>
                <w:lang w:val="nl-NL"/>
              </w:rPr>
            </w:pPr>
            <w:r w:rsidRPr="003C6CF5">
              <w:rPr>
                <w:lang w:val="nl-NL"/>
              </w:rPr>
              <w:t>New York Times Co. v. Microsoft Corp., 777 F. Supp. 3d 283 (S.D.N.Y. 2025)</w:t>
            </w:r>
            <w:r>
              <w:rPr>
                <w:lang w:val="nl-NL"/>
              </w:rPr>
              <w:t xml:space="preserve">, </w:t>
            </w:r>
            <w:r w:rsidRPr="003C6CF5">
              <w:rPr>
                <w:lang w:val="nl-NL"/>
              </w:rPr>
              <w:t>Tremblay v. OpenAI, Inc., 716 F. Supp. 3d 772 (N.D. Cal. 2024)</w:t>
            </w:r>
            <w:r>
              <w:rPr>
                <w:lang w:val="nl-NL"/>
              </w:rPr>
              <w:t xml:space="preserve">, </w:t>
            </w:r>
            <w:r w:rsidRPr="003C6CF5">
              <w:rPr>
                <w:lang w:val="nl-NL"/>
              </w:rPr>
              <w:t>The Intercept Media, Inc. v. OpenAI, Inc., 767 F. Supp. 3d 18 (S.D.N.Y. 2025)</w:t>
            </w:r>
            <w:r>
              <w:rPr>
                <w:lang w:val="nl-NL"/>
              </w:rPr>
              <w:t xml:space="preserve">, </w:t>
            </w:r>
            <w:r w:rsidRPr="003C6CF5">
              <w:rPr>
                <w:lang w:val="nl-NL"/>
              </w:rPr>
              <w:t>Andersen v. Stability AI Ltd., 744 F. Supp. 3d 956 (N.D. Cal. 2024)</w:t>
            </w:r>
            <w:r>
              <w:rPr>
                <w:lang w:val="nl-NL"/>
              </w:rPr>
              <w:t xml:space="preserve">, </w:t>
            </w:r>
            <w:r w:rsidRPr="003C6CF5">
              <w:rPr>
                <w:lang w:val="nl-NL"/>
              </w:rPr>
              <w:t>Doe 1 v. GitHub, Inc., 672 F. Supp. 3d 837 (N.D. Cal. 2023)</w:t>
            </w:r>
            <w:r>
              <w:rPr>
                <w:lang w:val="nl-NL"/>
              </w:rPr>
              <w:t xml:space="preserve">, </w:t>
            </w:r>
            <w:r w:rsidRPr="003C6CF5">
              <w:rPr>
                <w:lang w:val="nl-NL"/>
              </w:rPr>
              <w:t>Bartz v. Anthropic PBC, No. C 24-05417 WHA, 2025 WL 1741691 (N.D. Cal. June 23, 2025)</w:t>
            </w:r>
            <w:r>
              <w:rPr>
                <w:lang w:val="nl-NL"/>
              </w:rPr>
              <w:t xml:space="preserve">, </w:t>
            </w:r>
            <w:r w:rsidRPr="003C6CF5">
              <w:rPr>
                <w:lang w:val="nl-NL"/>
              </w:rPr>
              <w:t>Lehrman v. Lovo, Inc., No. 24-CV-3770 (JPO), 2025 WL 1902547 (S.D.N.Y. July 10, 2025)</w:t>
            </w:r>
            <w:r>
              <w:rPr>
                <w:lang w:val="nl-NL"/>
              </w:rPr>
              <w:t xml:space="preserve">, </w:t>
            </w:r>
            <w:r w:rsidRPr="003C6CF5">
              <w:rPr>
                <w:lang w:val="nl-NL"/>
              </w:rPr>
              <w:t>Concord Music Group, Inc. v. Anthropic PBC, 772 F. Supp. 3d 1131 (N.D. Cal. 2025)</w:t>
            </w:r>
            <w:r>
              <w:rPr>
                <w:lang w:val="nl-NL"/>
              </w:rPr>
              <w:t xml:space="preserve">, </w:t>
            </w:r>
            <w:r w:rsidRPr="003C6CF5">
              <w:rPr>
                <w:lang w:val="nl-NL"/>
              </w:rPr>
              <w:t>Raw Story Media, Inc. v. OpenAI, Inc., 756 F. Supp. 3d 1 (S.D.N.Y. 2024), reconsideration denied sub nom. In re OpenAI, Inc., Copy. Infringement Litig., No. 24-CV-01514, 2025 WL 1707564 (S.D.N.Y. June 18, 2025)</w:t>
            </w:r>
          </w:p>
        </w:tc>
      </w:tr>
    </w:tbl>
    <w:p w14:paraId="7926BB72" w14:textId="77777777" w:rsidR="003C6CF5" w:rsidRDefault="003C6CF5" w:rsidP="001E51CC">
      <w:pPr>
        <w:rPr>
          <w:u w:val="single"/>
        </w:rPr>
      </w:pPr>
    </w:p>
    <w:p w14:paraId="04AD56E1" w14:textId="74F6A859" w:rsidR="0068421D" w:rsidRPr="00AE5124" w:rsidRDefault="0068421D" w:rsidP="001E51CC">
      <w:pPr>
        <w:rPr>
          <w:u w:val="single"/>
        </w:rPr>
      </w:pPr>
      <w:r w:rsidRPr="006B1311">
        <w:rPr>
          <w:highlight w:val="yellow"/>
          <w:u w:val="single"/>
        </w:rPr>
        <w:t>Comparison Chart of Parameters</w:t>
      </w:r>
      <w:r w:rsidRPr="00972E02">
        <w:rPr>
          <w:u w:val="single"/>
        </w:rPr>
        <w:t xml:space="preserve"> </w:t>
      </w:r>
    </w:p>
    <w:p w14:paraId="24CCD611" w14:textId="6C109D06" w:rsidR="007F6769" w:rsidRPr="000E30E3" w:rsidRDefault="004162C3" w:rsidP="001E51CC">
      <w:pPr>
        <w:rPr>
          <w:b/>
          <w:bCs/>
          <w:u w:val="single"/>
        </w:rPr>
      </w:pPr>
      <w:r>
        <w:rPr>
          <w:b/>
          <w:bCs/>
          <w:u w:val="single"/>
        </w:rPr>
        <w:t>4</w:t>
      </w:r>
      <w:r w:rsidR="007F6769" w:rsidRPr="000E30E3">
        <w:rPr>
          <w:b/>
          <w:bCs/>
          <w:u w:val="single"/>
        </w:rPr>
        <w:t>. Regulatory Competition</w:t>
      </w:r>
      <w:r w:rsidR="000E30E3">
        <w:rPr>
          <w:b/>
          <w:bCs/>
          <w:u w:val="single"/>
        </w:rPr>
        <w:t xml:space="preserve"> between States</w:t>
      </w:r>
      <w:r w:rsidR="00177F75" w:rsidRPr="000E30E3">
        <w:rPr>
          <w:b/>
          <w:bCs/>
          <w:u w:val="single"/>
        </w:rPr>
        <w:t xml:space="preserve"> and Strategic Behavior</w:t>
      </w:r>
      <w:r w:rsidR="000E30E3">
        <w:rPr>
          <w:b/>
          <w:bCs/>
          <w:u w:val="single"/>
        </w:rPr>
        <w:t xml:space="preserve"> by Firms</w:t>
      </w:r>
      <w:r w:rsidR="007F6769" w:rsidRPr="000E30E3">
        <w:rPr>
          <w:b/>
          <w:bCs/>
          <w:u w:val="single"/>
        </w:rPr>
        <w:t xml:space="preserve"> </w:t>
      </w:r>
    </w:p>
    <w:p w14:paraId="04C76EB4" w14:textId="534ED9F1" w:rsidR="007F6769" w:rsidRDefault="007F6769" w:rsidP="0092633B">
      <w:r w:rsidRPr="007F6769">
        <w:t>States co</w:t>
      </w:r>
      <w:r>
        <w:t xml:space="preserve">mpete for </w:t>
      </w:r>
      <w:r w:rsidR="0068421D">
        <w:t>tax revenue and for businesses by providing regulation</w:t>
      </w:r>
      <w:r w:rsidR="00540CD2">
        <w:t xml:space="preserve"> through laws</w:t>
      </w:r>
      <w:r w:rsidR="0068421D">
        <w:t>.</w:t>
      </w:r>
      <w:r w:rsidR="003C5C17">
        <w:rPr>
          <w:rStyle w:val="FootnoteReference"/>
        </w:rPr>
        <w:footnoteReference w:id="49"/>
      </w:r>
      <w:r w:rsidR="0068421D">
        <w:t xml:space="preserve"> </w:t>
      </w:r>
      <w:r w:rsidR="003C5C17">
        <w:t>Regulatory competition</w:t>
      </w:r>
      <w:r w:rsidR="0068421D">
        <w:t xml:space="preserve"> may lead to a “race to the top” where regulation becomes more efficient and beneficial to society or a “race to the bottom” where regulation leads to lower welfare for society as governments lower standards and potential liability for firms in an attempt to lure the</w:t>
      </w:r>
      <w:r w:rsidR="000B073A">
        <w:t xml:space="preserve"> firms</w:t>
      </w:r>
      <w:r w:rsidR="0068421D">
        <w:t xml:space="preserve"> to incorporate</w:t>
      </w:r>
      <w:r w:rsidR="000B073A">
        <w:t xml:space="preserve"> or relocate</w:t>
      </w:r>
      <w:r w:rsidR="0068421D">
        <w:t>.</w:t>
      </w:r>
      <w:r w:rsidR="000B073A">
        <w:rPr>
          <w:rStyle w:val="FootnoteReference"/>
        </w:rPr>
        <w:footnoteReference w:id="50"/>
      </w:r>
      <w:r w:rsidR="0068421D">
        <w:t xml:space="preserve"> </w:t>
      </w:r>
      <w:r w:rsidR="000B073A">
        <w:t xml:space="preserve">The danger of having a divergent approach to copyrights </w:t>
      </w:r>
      <w:r w:rsidR="000B073A">
        <w:lastRenderedPageBreak/>
        <w:t xml:space="preserve">across states </w:t>
      </w:r>
      <w:r w:rsidR="005A5A6F">
        <w:t xml:space="preserve">is that it </w:t>
      </w:r>
      <w:r w:rsidR="000B073A">
        <w:t xml:space="preserve">has </w:t>
      </w:r>
      <w:r w:rsidR="003C5C17">
        <w:t>potential to lead</w:t>
      </w:r>
      <w:r w:rsidR="000B073A">
        <w:t xml:space="preserve"> to situations where some LLM firms may be more willing to purposefully avail themselves of a particular jurisdiction in order to decrease the transaction costs or compliance costs of adhering to strict copyright protection law</w:t>
      </w:r>
      <w:r w:rsidR="005A5A6F">
        <w:t xml:space="preserve"> if this destructive type of regulatory competition ensues resulting in states responding by lowering their own regulation standards. </w:t>
      </w:r>
      <w:r w:rsidR="00540CD2">
        <w:t>M</w:t>
      </w:r>
      <w:r w:rsidR="003C5C17">
        <w:t xml:space="preserve">ovement of LLM firms </w:t>
      </w:r>
      <w:r w:rsidR="005A5A6F">
        <w:t xml:space="preserve">across borders </w:t>
      </w:r>
      <w:r w:rsidR="003C5C17">
        <w:t xml:space="preserve">could lead to a </w:t>
      </w:r>
      <w:r w:rsidR="0092633B">
        <w:t>decrease in the benefits of having copyright protection</w:t>
      </w:r>
      <w:r w:rsidR="0092633B" w:rsidRPr="006B1311">
        <w:t>.</w:t>
      </w:r>
      <w:r w:rsidR="003C5C17" w:rsidRPr="006B1311">
        <w:t xml:space="preserve"> While there are benefits from having competition, there are also costs</w:t>
      </w:r>
      <w:r w:rsidR="00540CD2" w:rsidRPr="006B1311">
        <w:t>.</w:t>
      </w:r>
      <w:r w:rsidR="00540CD2">
        <w:t xml:space="preserve"> Regulatory competition </w:t>
      </w:r>
      <w:r w:rsidR="003C5C17">
        <w:t>may lead to an underinvestment in some forms of public goods.</w:t>
      </w:r>
      <w:r w:rsidR="003C5C17">
        <w:rPr>
          <w:rStyle w:val="FootnoteReference"/>
        </w:rPr>
        <w:footnoteReference w:id="51"/>
      </w:r>
      <w:r w:rsidR="003C5C17">
        <w:t xml:space="preserve"> According to </w:t>
      </w:r>
      <w:r w:rsidR="0092633B">
        <w:t>Posner “ ‘</w:t>
      </w:r>
      <w:r w:rsidR="00540CD2">
        <w:t>[r]</w:t>
      </w:r>
      <w:r w:rsidR="0092633B" w:rsidRPr="0092633B">
        <w:t>egulatory arbitrage</w:t>
      </w:r>
      <w:r w:rsidR="0092633B">
        <w:t>’</w:t>
      </w:r>
      <w:r w:rsidR="0092633B" w:rsidRPr="0092633B">
        <w:t xml:space="preserve"> refers to the practice of firms</w:t>
      </w:r>
      <w:r w:rsidR="0092633B">
        <w:t>’</w:t>
      </w:r>
      <w:r w:rsidR="0092633B" w:rsidRPr="0092633B">
        <w:t xml:space="preserve"> configuring their business in</w:t>
      </w:r>
      <w:r w:rsidR="0092633B">
        <w:t xml:space="preserve"> </w:t>
      </w:r>
      <w:r w:rsidR="0092633B" w:rsidRPr="0092633B">
        <w:t>such a way as to bring them within the regulatory jurisdiction of an agency likely to favor the firm, perhaps because</w:t>
      </w:r>
      <w:r w:rsidR="0092633B">
        <w:t xml:space="preserve"> </w:t>
      </w:r>
      <w:r w:rsidR="0092633B" w:rsidRPr="0092633B">
        <w:t>the agency is supported by fees of the firms it regulates and therefore, to increase its budget, seeks to entice firms by</w:t>
      </w:r>
      <w:r w:rsidR="0092633B">
        <w:t xml:space="preserve"> </w:t>
      </w:r>
      <w:r w:rsidR="0092633B" w:rsidRPr="0092633B">
        <w:t>an implicit promise of lighter regulation.</w:t>
      </w:r>
      <w:r w:rsidR="0092633B">
        <w:t>”</w:t>
      </w:r>
      <w:r w:rsidR="0092633B">
        <w:rPr>
          <w:rStyle w:val="FootnoteReference"/>
        </w:rPr>
        <w:footnoteReference w:id="52"/>
      </w:r>
      <w:r w:rsidR="0092633B" w:rsidRPr="0092633B">
        <w:t xml:space="preserve"> </w:t>
      </w:r>
      <w:r w:rsidR="00540CD2">
        <w:t xml:space="preserve">When firms observe the availability of civil and criminal penalties for copyright infringement, they may rationally decide to relocate in order to limit their expected liability for violations of copyright law, if the either plan to illegally use copyright protected works, or they expect there to be inadvertent violations which they cannot reasonably account for. </w:t>
      </w:r>
      <w:r w:rsidR="00C174EC">
        <w:t xml:space="preserve">Recent research has shown that the possibility of copyright infringement by large scale users </w:t>
      </w:r>
      <w:r w:rsidR="00F00563">
        <w:t>of data can be significant.</w:t>
      </w:r>
      <w:r w:rsidR="00F00563">
        <w:rPr>
          <w:rStyle w:val="FootnoteReference"/>
        </w:rPr>
        <w:footnoteReference w:id="53"/>
      </w:r>
      <w:r w:rsidR="00F00563">
        <w:t xml:space="preserve"> </w:t>
      </w:r>
      <w:r w:rsidR="00771556">
        <w:t xml:space="preserve">If firms can anticipate that there will be inadvertent violations of copyrights within their LLM training data, they should consider the potential costs of these inadvertent violations. </w:t>
      </w:r>
    </w:p>
    <w:p w14:paraId="6394EBC7" w14:textId="59766648" w:rsidR="00841BC9" w:rsidRDefault="00841BC9" w:rsidP="0092633B">
      <w:r>
        <w:t>Risk Preference</w:t>
      </w:r>
    </w:p>
    <w:p w14:paraId="39AC0DDD" w14:textId="0B16647F" w:rsidR="00841BC9" w:rsidRDefault="00841BC9" w:rsidP="0092633B">
      <w:r>
        <w:t>We can think of risk preferences in terms of what Bernoulli described as the attempt to maximize expected utility.</w:t>
      </w:r>
      <w:r>
        <w:rPr>
          <w:rStyle w:val="FootnoteReference"/>
        </w:rPr>
        <w:footnoteReference w:id="54"/>
      </w:r>
      <w:r>
        <w:t xml:space="preserve"> Individuals and firms make decisions about their actions, given uncertainty, based on what their expected utility given a choice will likely be. According to this theory, when a risk aversion individual or firm face uncertainty they will seek to minimize expected losses, for instance by taking a more certain loss than risk a more uncertain loss</w:t>
      </w:r>
      <w:r w:rsidR="00E056A2">
        <w:t xml:space="preserve"> or uncertain gain</w:t>
      </w:r>
      <w:r>
        <w:t xml:space="preserve">. This is the reason insurance exists. </w:t>
      </w:r>
      <w:r w:rsidR="00E056A2">
        <w:t>Risk aversion drives individuals and firms to accept a certain loss to avoid the loss or gain associated with uncertain future events. Risk neutrality reflects and indifferent attitude to uncertainty related to economic decisions and the risk neutral individual or firm will be unwilling “to pay a positive premium to insure against a risk”.</w:t>
      </w:r>
      <w:r w:rsidR="00E056A2">
        <w:rPr>
          <w:rStyle w:val="FootnoteReference"/>
        </w:rPr>
        <w:footnoteReference w:id="55"/>
      </w:r>
      <w:r w:rsidR="00E056A2">
        <w:t xml:space="preserve"> Risk loving individuals will be willing to accept uncertain losses because they are also associated with a potential, though uncertain, gain. While the law and economic literature generally </w:t>
      </w:r>
      <w:r w:rsidR="00465D2C">
        <w:t>describe</w:t>
      </w:r>
      <w:r w:rsidR="00E056A2">
        <w:t xml:space="preserve"> individuals as risk averse and firms and governments as risk neutral, there is reason to consider some firms and governments as risk averse, as they often make economic decisions that will ensure a certain loss in the </w:t>
      </w:r>
      <w:r w:rsidR="00465D2C">
        <w:t>expectation that</w:t>
      </w:r>
      <w:r w:rsidR="00E056A2">
        <w:t xml:space="preserve"> they will avoid additional uncertain losses. When considering the implications for </w:t>
      </w:r>
      <w:r w:rsidR="007C0F36">
        <w:t xml:space="preserve">LLM deciding whether to use or not use copyright protected data, the risk neutral LLM firm should be willing to accept some amount of uncertainty in the outcomes of their economic decisions, so long as the expected payout is equal to the expected costs of a given decision. If we assume a LLM firm to be risk averse, then they might be more </w:t>
      </w:r>
      <w:r w:rsidR="007C0F36">
        <w:lastRenderedPageBreak/>
        <w:t xml:space="preserve">inclined to invest in mitigation and avoidance of using copyright protected data, provided that </w:t>
      </w:r>
      <w:r w:rsidR="00465D2C">
        <w:t>they</w:t>
      </w:r>
      <w:r w:rsidR="007C0F36">
        <w:t xml:space="preserve"> can avoid an uncertain sanction in the future. States can respond to risk loving preferences by LLM firms by making the potential sanction for copyright infringement higher than the </w:t>
      </w:r>
      <w:r w:rsidR="00465D2C">
        <w:t>expected</w:t>
      </w:r>
      <w:r w:rsidR="007C0F36">
        <w:t xml:space="preserve"> gains from the infringement, consistent with the Becker model. We can also think in terms of the provision of regulation by states as a reflection of risk preferences. For instance, if a state is risk loving, then they will be more willing to embrace deregulation in the hopes that the uncertain benefits will be equal to certain costs associated with deregulation, while on the other hand if the state is risk averse they will be more willing to accept certain costs of regulation in hope to avoid uncertain costs associated with too low a level of regulation . </w:t>
      </w:r>
    </w:p>
    <w:p w14:paraId="075702CD" w14:textId="2B5F38F6" w:rsidR="00177F75" w:rsidRDefault="00177F75" w:rsidP="001E51CC">
      <w:r>
        <w:t xml:space="preserve">Strategic Behavior- </w:t>
      </w:r>
    </w:p>
    <w:p w14:paraId="2EE335BD" w14:textId="6B6F9A74" w:rsidR="00177F75" w:rsidRDefault="007C0F36" w:rsidP="001E51CC">
      <w:r>
        <w:t>Here we assume that LLM firms are risk neutral, meaning they will make economic decisions based on the expected utility of any decision.</w:t>
      </w:r>
      <w:r w:rsidR="00465D2C">
        <w:t xml:space="preserve"> </w:t>
      </w:r>
      <w:r w:rsidR="00540CD2">
        <w:t>In addition to f</w:t>
      </w:r>
      <w:r w:rsidR="000E30E3">
        <w:t>irms “vot</w:t>
      </w:r>
      <w:r w:rsidR="00540CD2">
        <w:t>ing</w:t>
      </w:r>
      <w:r w:rsidR="000E30E3">
        <w:t xml:space="preserve"> with their feet” by moving jurisdictions </w:t>
      </w:r>
      <w:r w:rsidR="00465D2C">
        <w:t>to</w:t>
      </w:r>
      <w:r w:rsidR="000E30E3">
        <w:t xml:space="preserve"> avail themselves of specific regulation related to AI</w:t>
      </w:r>
      <w:r w:rsidR="00540CD2">
        <w:t xml:space="preserve">, firms may also seek to </w:t>
      </w:r>
      <w:r w:rsidR="00A1173D">
        <w:t>behaving</w:t>
      </w:r>
      <w:r w:rsidR="00540CD2">
        <w:t xml:space="preserve"> strategic ways in the litigation process. </w:t>
      </w:r>
      <w:r w:rsidR="005A5A6F">
        <w:t>For instance, i</w:t>
      </w:r>
      <w:r w:rsidR="00177F75">
        <w:t xml:space="preserve">n </w:t>
      </w:r>
      <w:r w:rsidR="005A5A6F">
        <w:t>l</w:t>
      </w:r>
      <w:r w:rsidR="00177F75">
        <w:t>itigation</w:t>
      </w:r>
      <w:r w:rsidR="00540CD2">
        <w:t>,</w:t>
      </w:r>
      <w:r w:rsidR="00333DD0">
        <w:t xml:space="preserve"> LLM operating firms have </w:t>
      </w:r>
      <w:r w:rsidR="004162C3">
        <w:t>an</w:t>
      </w:r>
      <w:r w:rsidR="00333DD0">
        <w:t xml:space="preserve"> incentive to</w:t>
      </w:r>
      <w:r w:rsidR="00177F75">
        <w:t xml:space="preserve"> over</w:t>
      </w:r>
      <w:r w:rsidR="009A6993">
        <w:t>-</w:t>
      </w:r>
      <w:r w:rsidR="00177F75">
        <w:t xml:space="preserve">invest in </w:t>
      </w:r>
      <w:r w:rsidR="00540CD2">
        <w:t xml:space="preserve">the </w:t>
      </w:r>
      <w:r w:rsidR="00177F75">
        <w:t xml:space="preserve">first </w:t>
      </w:r>
      <w:r w:rsidR="00333DD0">
        <w:t xml:space="preserve">legal </w:t>
      </w:r>
      <w:r w:rsidR="00177F75">
        <w:t>case</w:t>
      </w:r>
      <w:r w:rsidR="00540CD2">
        <w:t xml:space="preserve"> related to a new technology involving LLMs</w:t>
      </w:r>
      <w:r w:rsidR="00333DD0">
        <w:t xml:space="preserve"> or </w:t>
      </w:r>
      <w:r w:rsidR="00540CD2">
        <w:t xml:space="preserve">other </w:t>
      </w:r>
      <w:r w:rsidR="00333DD0">
        <w:t>early cases they find themselves involved in. Firms have an incentive to</w:t>
      </w:r>
      <w:r w:rsidR="00177F75">
        <w:t xml:space="preserve"> create </w:t>
      </w:r>
      <w:r w:rsidR="00333DD0">
        <w:t xml:space="preserve">an initial ruling involving copyright and LLMs </w:t>
      </w:r>
      <w:r w:rsidR="009A6993">
        <w:t>to</w:t>
      </w:r>
      <w:r w:rsidR="00333DD0">
        <w:t xml:space="preserve"> develop some form of </w:t>
      </w:r>
      <w:r w:rsidR="00177F75">
        <w:t>precedent</w:t>
      </w:r>
      <w:r w:rsidR="00333DD0">
        <w:t xml:space="preserve">. </w:t>
      </w:r>
      <w:r w:rsidR="00771556">
        <w:t xml:space="preserve">Doctrines of precedent can also be </w:t>
      </w:r>
      <w:r w:rsidR="00465D2C">
        <w:t>thought</w:t>
      </w:r>
      <w:r w:rsidR="00771556">
        <w:t xml:space="preserve"> of in terms of path dependency, where the initial decision to apply a certain rule has lasting impacts on the future.</w:t>
      </w:r>
      <w:r w:rsidR="00771556">
        <w:rPr>
          <w:rStyle w:val="FootnoteReference"/>
        </w:rPr>
        <w:footnoteReference w:id="56"/>
      </w:r>
      <w:r w:rsidR="00771556">
        <w:t xml:space="preserve"> </w:t>
      </w:r>
      <w:r w:rsidR="00333DD0">
        <w:t xml:space="preserve">This incentive is higher in the US and UK, where common law legal traditions place a higher weight on precedent under the doctrine of stare decisis than in civil law jurisdictions which use doctrines such </w:t>
      </w:r>
      <w:r w:rsidR="00333DD0" w:rsidRPr="004162C3">
        <w:rPr>
          <w:i/>
          <w:iCs/>
        </w:rPr>
        <w:t>as jurisprudence constant</w:t>
      </w:r>
      <w:r w:rsidR="00333DD0">
        <w:t xml:space="preserve"> or </w:t>
      </w:r>
      <w:r w:rsidR="00333DD0" w:rsidRPr="004162C3">
        <w:rPr>
          <w:i/>
          <w:iCs/>
        </w:rPr>
        <w:t>arret de principe</w:t>
      </w:r>
      <w:r w:rsidR="00333DD0">
        <w:t>, which are less powerful than stare decisis.</w:t>
      </w:r>
      <w:r w:rsidR="007C39C9">
        <w:rPr>
          <w:rStyle w:val="FootnoteReference"/>
        </w:rPr>
        <w:footnoteReference w:id="57"/>
      </w:r>
      <w:r w:rsidR="00333DD0">
        <w:t xml:space="preserve"> The incentive to have an early win is not necessarily diminished in the civil law, as there is a powerful </w:t>
      </w:r>
      <w:r w:rsidR="008D5422">
        <w:t>incentive to still create some type of precedent which facilitates private contracting</w:t>
      </w:r>
      <w:r w:rsidR="00465D2C">
        <w:t>, even if the precedent is not necessarily binding on future courts</w:t>
      </w:r>
      <w:r w:rsidR="008D5422">
        <w:t xml:space="preserve">. </w:t>
      </w:r>
      <w:r w:rsidR="00540CD2">
        <w:t>This is consistent with other examples of strategic behavior in litigation related to novel technologies</w:t>
      </w:r>
      <w:r w:rsidR="00465D2C">
        <w:t xml:space="preserve"> where firms using novel technologies have an incentive to overinvest in the initial claim they face related to the novel technology</w:t>
      </w:r>
      <w:r w:rsidR="00540CD2">
        <w:t>.</w:t>
      </w:r>
      <w:r w:rsidR="00465D2C">
        <w:rPr>
          <w:rStyle w:val="FootnoteReference"/>
        </w:rPr>
        <w:footnoteReference w:id="58"/>
      </w:r>
      <w:r w:rsidR="00540CD2">
        <w:t xml:space="preserve"> This also plays on the reactionary nature of legal systems. The law only addresses most forms of risk ex post, after they have </w:t>
      </w:r>
      <w:r w:rsidR="008F0341">
        <w:t>led</w:t>
      </w:r>
      <w:r w:rsidR="00540CD2">
        <w:t xml:space="preserve"> to some form of accident or other legal dilemma</w:t>
      </w:r>
      <w:r w:rsidR="008F0341">
        <w:t xml:space="preserve">, which is often caused by </w:t>
      </w:r>
      <w:r w:rsidR="007C39C9">
        <w:t>new</w:t>
      </w:r>
      <w:r w:rsidR="008F0341">
        <w:t xml:space="preserve"> or novel technolog</w:t>
      </w:r>
      <w:r w:rsidR="007C39C9">
        <w:t>ies</w:t>
      </w:r>
      <w:r w:rsidR="008F0341">
        <w:t xml:space="preserve"> or practice</w:t>
      </w:r>
      <w:r w:rsidR="007C39C9">
        <w:t>s</w:t>
      </w:r>
      <w:r w:rsidR="00540CD2">
        <w:t>.</w:t>
      </w:r>
      <w:r w:rsidR="008F0341">
        <w:rPr>
          <w:rStyle w:val="FootnoteReference"/>
        </w:rPr>
        <w:footnoteReference w:id="59"/>
      </w:r>
      <w:r w:rsidR="00540CD2">
        <w:t xml:space="preserve"> </w:t>
      </w:r>
    </w:p>
    <w:p w14:paraId="540295C6" w14:textId="510E0C80" w:rsidR="008D5422" w:rsidRDefault="008D5422" w:rsidP="001E51CC">
      <w:r>
        <w:lastRenderedPageBreak/>
        <w:t xml:space="preserve">Some LLM firms might be willing to settle claims which they believe will lead to a negative precedent. This is reflected in the recent settlement </w:t>
      </w:r>
      <w:r w:rsidR="005D25C2">
        <w:t xml:space="preserve">proposed for the US federal civil suit </w:t>
      </w:r>
      <w:r w:rsidR="005D25C2" w:rsidRPr="005D25C2">
        <w:rPr>
          <w:i/>
          <w:iCs/>
        </w:rPr>
        <w:t>Bartz v. Anthropic PBC.</w:t>
      </w:r>
      <w:r w:rsidR="005D25C2">
        <w:t xml:space="preserve"> In a preliminary ruling, the use of copyright protected work to for training data to be used by the Claude LLM, was found to be permissible under the US fair use doctrine, however the case continued based on a claim of illegally obtaining the data in the first place.</w:t>
      </w:r>
      <w:r w:rsidR="005D25C2">
        <w:rPr>
          <w:rStyle w:val="FootnoteReference"/>
        </w:rPr>
        <w:footnoteReference w:id="60"/>
      </w:r>
      <w:r w:rsidR="005D25C2" w:rsidRPr="005D25C2">
        <w:t xml:space="preserve"> </w:t>
      </w:r>
      <w:r w:rsidR="005D25C2">
        <w:t xml:space="preserve">This preliminary ruling set the stage for the settlement, which is currently being scrutinized by Judge Alsup, who has </w:t>
      </w:r>
      <w:r w:rsidR="008F0341">
        <w:t>questioned the fairness of the settlement agreement.</w:t>
      </w:r>
      <w:r w:rsidR="008F0341">
        <w:rPr>
          <w:rStyle w:val="FootnoteReference"/>
        </w:rPr>
        <w:footnoteReference w:id="61"/>
      </w:r>
      <w:r w:rsidR="008F0341">
        <w:t xml:space="preserve"> </w:t>
      </w:r>
      <w:r w:rsidR="005D25C2">
        <w:t xml:space="preserve"> </w:t>
      </w:r>
    </w:p>
    <w:p w14:paraId="1CB7FC69" w14:textId="3E0CC21D" w:rsidR="007F6769" w:rsidRPr="000E30E3" w:rsidRDefault="004162C3" w:rsidP="001E51CC">
      <w:pPr>
        <w:rPr>
          <w:b/>
          <w:bCs/>
          <w:u w:val="single"/>
        </w:rPr>
      </w:pPr>
      <w:r>
        <w:rPr>
          <w:b/>
          <w:bCs/>
          <w:u w:val="single"/>
        </w:rPr>
        <w:t>5</w:t>
      </w:r>
      <w:r w:rsidR="007F6769" w:rsidRPr="000E30E3">
        <w:rPr>
          <w:b/>
          <w:bCs/>
          <w:u w:val="single"/>
        </w:rPr>
        <w:t xml:space="preserve">. Cost Benefit Analysis of use of copyright protected materials by LLMs. </w:t>
      </w:r>
    </w:p>
    <w:p w14:paraId="4D7AE4C1" w14:textId="21B800F2" w:rsidR="00D410C9" w:rsidRPr="00D410C9" w:rsidRDefault="00142C80" w:rsidP="001E51CC">
      <w:pPr>
        <w:rPr>
          <w:u w:val="single"/>
        </w:rPr>
      </w:pPr>
      <w:r>
        <w:rPr>
          <w:u w:val="single"/>
        </w:rPr>
        <w:t>An</w:t>
      </w:r>
      <w:r w:rsidR="00D410C9" w:rsidRPr="00D410C9">
        <w:rPr>
          <w:u w:val="single"/>
        </w:rPr>
        <w:t xml:space="preserve"> </w:t>
      </w:r>
      <w:r>
        <w:rPr>
          <w:u w:val="single"/>
        </w:rPr>
        <w:t>e</w:t>
      </w:r>
      <w:r w:rsidR="00D410C9" w:rsidRPr="00D410C9">
        <w:rPr>
          <w:u w:val="single"/>
        </w:rPr>
        <w:t xml:space="preserve">conomic approach to </w:t>
      </w:r>
      <w:r>
        <w:rPr>
          <w:u w:val="single"/>
        </w:rPr>
        <w:t>c</w:t>
      </w:r>
      <w:r w:rsidR="00D410C9" w:rsidRPr="00D410C9">
        <w:rPr>
          <w:u w:val="single"/>
        </w:rPr>
        <w:t>opyright</w:t>
      </w:r>
      <w:r w:rsidR="005459D4">
        <w:rPr>
          <w:u w:val="single"/>
        </w:rPr>
        <w:t xml:space="preserve"> infringements by LLMs</w:t>
      </w:r>
      <w:r w:rsidR="00D410C9" w:rsidRPr="00D410C9">
        <w:rPr>
          <w:u w:val="single"/>
        </w:rPr>
        <w:t xml:space="preserve"> </w:t>
      </w:r>
    </w:p>
    <w:p w14:paraId="4E2E3211" w14:textId="1A383848" w:rsidR="004162C3" w:rsidRDefault="004162C3" w:rsidP="004162C3">
      <w:r w:rsidRPr="00367FFA">
        <w:t>LLMs need data in order to function. An LLM makes predictions about what words will appear in a sequence of responses to prompts (questions)</w:t>
      </w:r>
      <w:r>
        <w:t xml:space="preserve"> using vast amount of data</w:t>
      </w:r>
      <w:r w:rsidRPr="00367FFA">
        <w:t>.</w:t>
      </w:r>
      <w:r>
        <w:rPr>
          <w:rStyle w:val="FootnoteReference"/>
        </w:rPr>
        <w:footnoteReference w:id="62"/>
      </w:r>
      <w:r w:rsidRPr="00367FFA">
        <w:t xml:space="preserve"> This data may be obtained in a number of ways</w:t>
      </w:r>
      <w:r>
        <w:t xml:space="preserve">. </w:t>
      </w:r>
      <w:r w:rsidRPr="00367FFA">
        <w:t>First, data which is not protected by copyright can be incorporated into the data set without having to pay any licensing fee or risk facing a copyright violation. This type of data is considered as a type of open source which LLMs can freely incorporate into their data set. Secondly, LLMs may use data which is created specifically for use in the AI application. This can be thought of as a type of proprietary data which the firm operating the LLM has created using its own resources. This proprietary data may be protected by IP law, depending on the way the data was collected. For instance, if the data involves something which is completely original for use by the LLM this information might fall under a category of IP which may have legal rights attached to it</w:t>
      </w:r>
      <w:r w:rsidR="00142C80">
        <w:t>,</w:t>
      </w:r>
      <w:r w:rsidRPr="00367FFA">
        <w:t xml:space="preserve"> prevent</w:t>
      </w:r>
      <w:r w:rsidR="00142C80">
        <w:t>ing</w:t>
      </w:r>
      <w:r w:rsidRPr="00367FFA">
        <w:t xml:space="preserve"> others from using the data without</w:t>
      </w:r>
      <w:r w:rsidR="00142C80">
        <w:t xml:space="preserve"> obtaining</w:t>
      </w:r>
      <w:r w:rsidRPr="00367FFA">
        <w:t xml:space="preserve"> permission. This proprietary data may have been developed using copyright protected material which is owned by a third party. In order to use this copyright protected data, the LLM operator must have obtained </w:t>
      </w:r>
      <w:r w:rsidR="00142C80">
        <w:t xml:space="preserve">permission to use </w:t>
      </w:r>
      <w:r w:rsidRPr="00367FFA">
        <w:t xml:space="preserve">the material through a licensing </w:t>
      </w:r>
      <w:r w:rsidR="00142C80">
        <w:t>agreement</w:t>
      </w:r>
      <w:r w:rsidRPr="00367FFA">
        <w:t xml:space="preserve">, or the data </w:t>
      </w:r>
      <w:r w:rsidR="00142C80">
        <w:t>has</w:t>
      </w:r>
      <w:r w:rsidRPr="00367FFA">
        <w:t xml:space="preserve"> been obtained without a license. When data is obtained without a license, then the issue is whether the data use was permissible under some type of exception, or it was used illegally.  Next, we look at three type</w:t>
      </w:r>
      <w:r>
        <w:t>s</w:t>
      </w:r>
      <w:r w:rsidRPr="00367FFA">
        <w:t xml:space="preserve"> of data use</w:t>
      </w:r>
      <w:r w:rsidR="00142C80">
        <w:t>d</w:t>
      </w:r>
      <w:r w:rsidRPr="00367FFA">
        <w:t xml:space="preserve"> by LLMs, licensed use, unlicensed permissible use and unlicensed impermissible use. </w:t>
      </w:r>
    </w:p>
    <w:p w14:paraId="5D43958F" w14:textId="77777777" w:rsidR="004162C3" w:rsidRDefault="004162C3" w:rsidP="004162C3">
      <w:r>
        <w:t xml:space="preserve">Licensed use of data involves the LLM firm obtaining the legal right to use copyright protected data. This is often done through the provision of a use fee from the LLM to the property rights holder. This fee may occur through several avenues. The main method is when a fee is paid directly to the rights holder. A rights holder might be part of a trade group which collectively licenses the rights of numerous individuals or firms through a centralized agent. Thus, there may be a negotiation over the fee between the LLM and an individual rights holder or the LLM and a </w:t>
      </w:r>
      <w:r>
        <w:lastRenderedPageBreak/>
        <w:t>collective which negotiates on behalf of many rights holders. Some data may be available through open licensing, such as Creative Commons, where the use is conditional on giving expressed attribution to the rights holder in lieu of a fee.</w:t>
      </w:r>
      <w:r>
        <w:rPr>
          <w:rStyle w:val="FootnoteReference"/>
        </w:rPr>
        <w:footnoteReference w:id="63"/>
      </w:r>
      <w:r>
        <w:t xml:space="preserve"> </w:t>
      </w:r>
    </w:p>
    <w:p w14:paraId="04CD718F" w14:textId="371A2017" w:rsidR="004162C3" w:rsidRDefault="004162C3" w:rsidP="004162C3">
      <w:r>
        <w:t>Data which is in the public domain is free for LLMs to use. This data might include material which once had an associated copyright, but the copyright expired, and the data is now considered public domain. This could occur because a statutory period of time has passed in which the material which was allowed protection. For instance, the works of William Shakespear, Mark Twain, and many other famous authors have no copyright protection due to the time which has passed since their death. A lapse may also occur because the rights holder of protected data has somehow abandoned their right, and the data is now considered public domain.</w:t>
      </w:r>
      <w:r>
        <w:rPr>
          <w:rStyle w:val="FootnoteReference"/>
        </w:rPr>
        <w:footnoteReference w:id="64"/>
      </w:r>
      <w:r>
        <w:t xml:space="preserve"> </w:t>
      </w:r>
      <w:r w:rsidR="00142C80">
        <w:t>Th</w:t>
      </w:r>
      <w:r w:rsidR="0006428B">
        <w:t xml:space="preserve">e data which has no protection can be used with no risk, while data with protection can only be used with a risk or with permission. This uncertainty of the risk associated with use of protected data means that LLM firms must make a valuation of the use, and weigh that with the costs of compliance with the legal use of the right or the potential sanction for the impermissible use of the right, which we consider to be a strategic choice by the LLM firm. </w:t>
      </w:r>
      <w:r w:rsidR="00142C80">
        <w:t xml:space="preserve"> </w:t>
      </w:r>
    </w:p>
    <w:p w14:paraId="427DB81A" w14:textId="32A6A7C6" w:rsidR="007F6769" w:rsidRPr="00B01B80" w:rsidRDefault="00275F90" w:rsidP="001E51CC">
      <w:pPr>
        <w:rPr>
          <w:u w:val="single"/>
        </w:rPr>
      </w:pPr>
      <w:r w:rsidRPr="00B01B80">
        <w:rPr>
          <w:u w:val="single"/>
        </w:rPr>
        <w:t xml:space="preserve">Strategic </w:t>
      </w:r>
      <w:r w:rsidR="00F16A9F" w:rsidRPr="00B01B80">
        <w:rPr>
          <w:u w:val="single"/>
        </w:rPr>
        <w:t>b</w:t>
      </w:r>
      <w:r w:rsidRPr="00B01B80">
        <w:rPr>
          <w:u w:val="single"/>
        </w:rPr>
        <w:t xml:space="preserve">ehavior and </w:t>
      </w:r>
      <w:r w:rsidR="007F6769" w:rsidRPr="00B01B80">
        <w:rPr>
          <w:u w:val="single"/>
        </w:rPr>
        <w:t>the costs and benefits of</w:t>
      </w:r>
      <w:r w:rsidR="00F16A9F" w:rsidRPr="00B01B80">
        <w:rPr>
          <w:u w:val="single"/>
        </w:rPr>
        <w:t xml:space="preserve"> compliance</w:t>
      </w:r>
      <w:r w:rsidR="00E43402" w:rsidRPr="00B01B80">
        <w:rPr>
          <w:u w:val="single"/>
        </w:rPr>
        <w:t>:</w:t>
      </w:r>
    </w:p>
    <w:p w14:paraId="6F82B9D3" w14:textId="2584E570" w:rsidR="009B7745" w:rsidRDefault="009B7745" w:rsidP="001E51CC">
      <w:r>
        <w:t xml:space="preserve">We assume LLM firms which have repeated interactions with copyright protected works will adopt a strategy to either comply or not comply with </w:t>
      </w:r>
      <w:r w:rsidR="009A147F">
        <w:t>copyright</w:t>
      </w:r>
      <w:r>
        <w:t xml:space="preserve"> law. This strategy is based on </w:t>
      </w:r>
      <w:r w:rsidR="00AD3F28">
        <w:t>LLMs having information, resource and opportunity advantages which allow them to structure their transactions and interactions</w:t>
      </w:r>
      <w:r w:rsidR="009A147F">
        <w:t xml:space="preserve"> related to the use of copyright protected work</w:t>
      </w:r>
      <w:r w:rsidR="00AD3F28">
        <w:t>.</w:t>
      </w:r>
      <w:r w:rsidR="009A147F">
        <w:rPr>
          <w:rStyle w:val="FootnoteReference"/>
        </w:rPr>
        <w:footnoteReference w:id="65"/>
      </w:r>
      <w:r w:rsidR="00AD3F28">
        <w:t xml:space="preserve"> By using a strategic approach to copyright compliance, LLM firms can take advantage of the differences in enforcement </w:t>
      </w:r>
      <w:r w:rsidR="00B01B80">
        <w:t xml:space="preserve">of copyrights across borders. By considering how various transaction costs create opportunities for LLMs to behave strategically, we identify a theoretical strategy of the LMM firm when faced with strategic choices. </w:t>
      </w:r>
    </w:p>
    <w:p w14:paraId="3A9BB71D" w14:textId="1BC59755" w:rsidR="007F6769" w:rsidRDefault="0068421D" w:rsidP="001E51CC">
      <w:r>
        <w:t>A</w:t>
      </w:r>
      <w:r w:rsidR="007F6769">
        <w:t>. Compliance</w:t>
      </w:r>
      <w:r>
        <w:t xml:space="preserve"> Costs</w:t>
      </w:r>
      <w:r w:rsidR="007F6769">
        <w:t xml:space="preserve"> (license, </w:t>
      </w:r>
      <w:r w:rsidR="00D34DEA">
        <w:t xml:space="preserve">prevention efforts, </w:t>
      </w:r>
      <w:r w:rsidR="007F6769">
        <w:t xml:space="preserve">fair use, exceptions), </w:t>
      </w:r>
    </w:p>
    <w:p w14:paraId="398A8A25" w14:textId="56AFE142" w:rsidR="00360474" w:rsidRDefault="00360474" w:rsidP="001E51CC">
      <w:r>
        <w:t>In order for LLMs to be in compliance with copyright law when they incorporate third-party data into their training data, they must either find a</w:t>
      </w:r>
      <w:r w:rsidR="009A147F">
        <w:t>n</w:t>
      </w:r>
      <w:r>
        <w:t xml:space="preserve"> open source for the data, find data which has a copyright but is usable under a</w:t>
      </w:r>
      <w:r w:rsidR="009A147F">
        <w:t>n</w:t>
      </w:r>
      <w:r>
        <w:t xml:space="preserve"> exception, pay a user fee to the copyright holder to incorporate protected data which does not fall under an exception, clean data that has been scrapped to make sure that a copyright is not being infringed, or take other steps to ensure their compliance with copyright law. These steps all incur some type of transaction costs. For example, with the use of open-source data, the LLM must spend resources to find the data, verify that is in fact open-source data, then collect and incorporate the data into the LLM. Each of these sources can </w:t>
      </w:r>
      <w:r w:rsidR="009A147F">
        <w:t xml:space="preserve">be </w:t>
      </w:r>
      <w:r>
        <w:t>thought of in terms of search costs</w:t>
      </w:r>
      <w:r w:rsidR="001A2EB6">
        <w:t>, verification costs</w:t>
      </w:r>
      <w:r>
        <w:t>,</w:t>
      </w:r>
      <w:r w:rsidR="001A2EB6">
        <w:t xml:space="preserve"> mitigation costs,</w:t>
      </w:r>
      <w:r>
        <w:t xml:space="preserve"> </w:t>
      </w:r>
      <w:r w:rsidR="001A2EB6">
        <w:t xml:space="preserve">licensing fees, and incorporation costs. </w:t>
      </w:r>
    </w:p>
    <w:p w14:paraId="286CD228" w14:textId="4623FB94" w:rsidR="007F6769" w:rsidRDefault="0068421D" w:rsidP="001E51CC">
      <w:r>
        <w:t>B</w:t>
      </w:r>
      <w:r w:rsidR="007F6769">
        <w:t xml:space="preserve">. </w:t>
      </w:r>
      <w:r w:rsidR="00DB48E5">
        <w:t>Non-Compliance</w:t>
      </w:r>
      <w:r w:rsidR="007F6769">
        <w:t xml:space="preserve"> </w:t>
      </w:r>
      <w:r>
        <w:t xml:space="preserve">Costs </w:t>
      </w:r>
      <w:r w:rsidR="007F6769">
        <w:t xml:space="preserve">(illegal use, </w:t>
      </w:r>
      <w:r w:rsidR="00DB48E5">
        <w:t xml:space="preserve">criminal penalties, </w:t>
      </w:r>
      <w:r w:rsidR="007F6769">
        <w:t xml:space="preserve">liability for third parties) </w:t>
      </w:r>
    </w:p>
    <w:p w14:paraId="7A33E5F2" w14:textId="7F9CE71B" w:rsidR="00CD25EA" w:rsidRDefault="001A2EB6" w:rsidP="001E51CC">
      <w:r>
        <w:lastRenderedPageBreak/>
        <w:t xml:space="preserve">When copyright protected data is used it also incurs costs for the LLM firm. This can be on the front end of use in terms of search costs, verification costs, and incorporation costs. Importantly, this does not include licensing fees or mitigation costs. </w:t>
      </w:r>
      <w:r w:rsidR="009A147F">
        <w:t>If</w:t>
      </w:r>
      <w:r>
        <w:t xml:space="preserve"> the data has been obtained </w:t>
      </w:r>
      <w:r w:rsidR="009A147F">
        <w:t xml:space="preserve">illegally </w:t>
      </w:r>
      <w:r>
        <w:t xml:space="preserve">without gaining a license to use it, there is the risk that the use will be discovered and that the LLM firm may face a penalty (civil or criminal) for the unauthorized use of the data. In terms of civil penalties this often includes paying a fine which may either be related to what the cost of obtaining the license would be or it may be punitive in nature, i.e. not related to the actual loss but intended to act as a type of financial penalty which the unauthorized user must pay. Criminal penalties involve a penal sentence, a fine, or both. </w:t>
      </w:r>
    </w:p>
    <w:p w14:paraId="10CF3D88" w14:textId="3CA90B40" w:rsidR="001A2EB6" w:rsidRDefault="00741854" w:rsidP="001E51CC">
      <w:r>
        <w:t xml:space="preserve">It is also possible that some types of LLMs may </w:t>
      </w:r>
      <w:r w:rsidR="00F87198">
        <w:t>allow</w:t>
      </w:r>
      <w:r>
        <w:t xml:space="preserve"> third parties to upload data via prompting into the data set used for training and that the third parties will in fact upload data to the LLM that is copyright protected. This brings up the possibility the LLM has been using copyright protected data the LLM itself did not seek out</w:t>
      </w:r>
      <w:r w:rsidR="00CD25EA">
        <w:t xml:space="preserve"> due to a </w:t>
      </w:r>
      <w:r w:rsidR="000404D9">
        <w:t>third-party</w:t>
      </w:r>
      <w:r w:rsidR="00F87198">
        <w:t xml:space="preserve"> upload via prompt</w:t>
      </w:r>
      <w:r w:rsidR="00CD25EA">
        <w:t xml:space="preserve">. The LLM may filter this copyrighted data out or it may not. </w:t>
      </w:r>
      <w:r w:rsidR="009A147F">
        <w:t>Thus,</w:t>
      </w:r>
      <w:r w:rsidR="000404D9">
        <w:t xml:space="preserve"> the potential for liability for third party use can be included in the costs of the LLM </w:t>
      </w:r>
      <w:r w:rsidR="009A147F">
        <w:t xml:space="preserve">in complying with applicable laws. </w:t>
      </w:r>
      <w:r w:rsidR="00CD25EA">
        <w:t xml:space="preserve">When the LLM does not filter this data out of its training data then it may be in violation of copyright law. </w:t>
      </w:r>
      <w:r w:rsidR="00F87198">
        <w:t xml:space="preserve">When the LLM does filer the copyright protected data this incurs costs for the LLM via the filtering mechanism. </w:t>
      </w:r>
      <w:r w:rsidR="00CD25EA">
        <w:t xml:space="preserve">  </w:t>
      </w:r>
    </w:p>
    <w:p w14:paraId="0EBF00A0" w14:textId="0251A940" w:rsidR="001A2EB6" w:rsidRPr="007F6769" w:rsidRDefault="001A2EB6" w:rsidP="00741854">
      <w:r>
        <w:t>The standard economic model used to evaluate criminal sanctions is Becker</w:t>
      </w:r>
      <w:r w:rsidR="00C351AD">
        <w:t>’s multiplier principle.</w:t>
      </w:r>
      <w:r w:rsidR="00C351AD">
        <w:rPr>
          <w:rStyle w:val="FootnoteReference"/>
        </w:rPr>
        <w:footnoteReference w:id="66"/>
      </w:r>
      <w:r w:rsidR="00C351AD">
        <w:t xml:space="preserve"> Under the model that Becker developed, he considered how there is a less than 100</w:t>
      </w:r>
      <w:r w:rsidR="000404D9">
        <w:t xml:space="preserve">% </w:t>
      </w:r>
      <w:r w:rsidR="00C351AD">
        <w:t xml:space="preserve">enforcement of criminal laws, which means that for every crime that is committed only a fraction of the criminals responsible for criminal acts will face receiving a penalty from the legal system, or in other words, be discovered. For instance, when one looks at the crime of murder it is readily observable that not all murderers have been caught based on the number of murders and the number of criminal convictions for murder. The same is true for violations of copyright laws, only a fraction of violators who illegally use </w:t>
      </w:r>
      <w:r w:rsidR="00CD25EA">
        <w:t>copyrighted data</w:t>
      </w:r>
      <w:r w:rsidR="00C351AD">
        <w:t xml:space="preserve"> face a criminal penalty or even a civil penalty. Because of the difference in crime rates and detection rates, it is possible that “there may be a net private benefit to the criminal from paying the fines when caught and continuing to undertake the criminal activity” due to a difference from the expected costs of a criminal sanction and the expected benefits of committing the crime.</w:t>
      </w:r>
      <w:r w:rsidR="00C351AD">
        <w:rPr>
          <w:rStyle w:val="FootnoteReference"/>
        </w:rPr>
        <w:footnoteReference w:id="67"/>
      </w:r>
      <w:r w:rsidR="00C351AD">
        <w:t xml:space="preserve"> According to Becker “</w:t>
      </w:r>
      <w:r w:rsidR="00741854">
        <w:t>optimal policies to combat illegal behavior are part of an optimal allocation of resources”.</w:t>
      </w:r>
      <w:r w:rsidR="00741854">
        <w:rPr>
          <w:rStyle w:val="FootnoteReference"/>
        </w:rPr>
        <w:footnoteReference w:id="68"/>
      </w:r>
      <w:r w:rsidR="00741854">
        <w:t xml:space="preserve"> The multiplier principle allows for the adjustment of criminal sanctions to deter criminal activity based on the detection rates for criminal activity and the anticipated benefit which a criminal gains from committing crimes. When the sanction is set correctly, “the fine needs to be equal to the anticipated benefit of the criminal activity multiplied by the inverse of the probability of detection.”</w:t>
      </w:r>
      <w:r w:rsidR="00741854">
        <w:rPr>
          <w:rStyle w:val="FootnoteReference"/>
        </w:rPr>
        <w:footnoteReference w:id="69"/>
      </w:r>
      <w:r w:rsidR="00741854">
        <w:t xml:space="preserve"> </w:t>
      </w:r>
      <w:r w:rsidR="00CD25EA">
        <w:t>The implication for LLMs is that when the sanction for a violation of using copyright protected data is not high enough to counter their economic benefits from using the data, and the probability of detection is low enough, then the LLM will not have an economic incentive to comply with copyright law. When this happens, the cost of illegally using copyright protected data is lower than the cost of paying a license to use the data legally</w:t>
      </w:r>
      <w:r w:rsidR="009A147F">
        <w:t xml:space="preserve">. </w:t>
      </w:r>
      <w:r w:rsidR="009A147F" w:rsidRPr="009A147F">
        <w:t xml:space="preserve">We can also think in terms </w:t>
      </w:r>
      <w:r w:rsidR="009A147F" w:rsidRPr="009A147F">
        <w:lastRenderedPageBreak/>
        <w:t>of the associated fines, whether they reflect an estimation of lost licensing fees (minimum punishment) or if they have a punitive aspect where the fine is higher than the estimated lost licensing fees.</w:t>
      </w:r>
      <w:r w:rsidR="009A147F">
        <w:t xml:space="preserve"> </w:t>
      </w:r>
      <w:r w:rsidR="009A147F" w:rsidRPr="009A147F">
        <w:t>If the LLM firm is rational and risk neutral it will then opt to illegally use the data and be willing to pay any fines in the event its illegal use of the data is discovered.</w:t>
      </w:r>
    </w:p>
    <w:p w14:paraId="4A482C2F" w14:textId="3E861DDA" w:rsidR="0006428B" w:rsidRPr="00AE5124" w:rsidRDefault="0006428B" w:rsidP="001E51CC">
      <w:r w:rsidRPr="00AE5124">
        <w:t xml:space="preserve">Here we consider the parameters of the strategic choice of the LLM firm to comply or not comply. </w:t>
      </w:r>
    </w:p>
    <w:p w14:paraId="7B60021B" w14:textId="5F36898F" w:rsidR="001E51CC" w:rsidRPr="00AE5124" w:rsidRDefault="0068421D" w:rsidP="001E51CC">
      <w:r w:rsidRPr="00AE5124">
        <w:t>C. Probability of Being Caught</w:t>
      </w:r>
    </w:p>
    <w:p w14:paraId="467D4F00" w14:textId="6F00D319" w:rsidR="00CD25EA" w:rsidRPr="00AE5124" w:rsidRDefault="00CD25EA" w:rsidP="001E51CC">
      <w:r w:rsidRPr="00AE5124">
        <w:t xml:space="preserve">This relates to the previously discussed Becker multiplier principle. If the probability of being caught is low and the associated fines when caught are not high enough, then the LLM firm will prefer to take its chances of being discovered and illegally use the copyright protected data. </w:t>
      </w:r>
    </w:p>
    <w:p w14:paraId="4E4A278E" w14:textId="6BD1B363" w:rsidR="0068421D" w:rsidRPr="00AE5124" w:rsidRDefault="0068421D" w:rsidP="001E51CC">
      <w:r w:rsidRPr="00AE5124">
        <w:t xml:space="preserve">D. Expected Cost of Compliance or Non Compliance given the probability of being caught (held accountable) </w:t>
      </w:r>
    </w:p>
    <w:p w14:paraId="3054BAE2" w14:textId="34780730" w:rsidR="00AE2F7C" w:rsidRPr="00AE5124" w:rsidRDefault="00E43402" w:rsidP="001E51CC">
      <w:r w:rsidRPr="00AE5124">
        <w:t>Becker Model of Punishment as applied to LLM</w:t>
      </w:r>
      <w:r w:rsidR="0069687C" w:rsidRPr="00AE5124">
        <w:t>s</w:t>
      </w:r>
      <w:r w:rsidR="00DB48E5" w:rsidRPr="00AE5124">
        <w:t>.</w:t>
      </w:r>
      <w:r w:rsidRPr="00AE5124">
        <w:t xml:space="preserve"> </w:t>
      </w:r>
      <w:r w:rsidR="00DB48E5" w:rsidRPr="00AE5124">
        <w:t xml:space="preserve">LMM’s </w:t>
      </w:r>
      <w:r w:rsidRPr="00AE5124">
        <w:t>willingness to obtain user license</w:t>
      </w:r>
      <w:r w:rsidR="00D34DEA" w:rsidRPr="00AE5124">
        <w:t xml:space="preserve">, willingness to take </w:t>
      </w:r>
      <w:r w:rsidR="00DB48E5" w:rsidRPr="00AE5124">
        <w:t>precautions</w:t>
      </w:r>
      <w:r w:rsidR="00D34DEA" w:rsidRPr="00AE5124">
        <w:t xml:space="preserve"> to avoid infringement</w:t>
      </w:r>
      <w:r w:rsidR="00DB48E5" w:rsidRPr="00AE5124">
        <w:t xml:space="preserve"> only up to MC=MB</w:t>
      </w:r>
      <w:r w:rsidR="00D34DEA" w:rsidRPr="00AE5124">
        <w:t>,</w:t>
      </w:r>
      <w:r w:rsidRPr="00AE5124">
        <w:t xml:space="preserve"> or </w:t>
      </w:r>
      <w:r w:rsidR="00D34DEA" w:rsidRPr="00AE5124">
        <w:t xml:space="preserve">willingness </w:t>
      </w:r>
      <w:r w:rsidRPr="00AE5124">
        <w:t xml:space="preserve">to violate copyright. </w:t>
      </w:r>
    </w:p>
    <w:p w14:paraId="50579956" w14:textId="072B5DBD" w:rsidR="00820B05" w:rsidRPr="00AE5124" w:rsidRDefault="00820B05" w:rsidP="001E51CC">
      <w:r w:rsidRPr="00AE5124">
        <w:t>We use the following factors to determine the theoretical strategy of the LLM when deciding whether to comply with copyright laws and whether or not to relocate to a jurisdiction with lower costs of compliance.</w:t>
      </w:r>
    </w:p>
    <w:p w14:paraId="6155FD2B" w14:textId="00AB8D47" w:rsidR="00AE2F7C" w:rsidRPr="00AE5124" w:rsidRDefault="00E43402" w:rsidP="001E51CC">
      <w:r w:rsidRPr="00AE5124">
        <w:t>Expected cost of punishment for violation compared to the expected benefits of violation.</w:t>
      </w:r>
    </w:p>
    <w:p w14:paraId="2D4015D9" w14:textId="489F082C" w:rsidR="00AE2F7C" w:rsidRPr="00AE5124" w:rsidRDefault="00AE2F7C" w:rsidP="001E51CC">
      <w:r w:rsidRPr="00AE5124">
        <w:t>We assume the rational LLM firm will</w:t>
      </w:r>
      <w:r w:rsidR="00820B05" w:rsidRPr="00AE5124">
        <w:t xml:space="preserve"> </w:t>
      </w:r>
      <w:r w:rsidR="00214428" w:rsidRPr="00AE5124">
        <w:t>consider</w:t>
      </w:r>
      <w:r w:rsidR="00820B05" w:rsidRPr="00AE5124">
        <w:t xml:space="preserve"> the costs associated with being found liable for copyright violation. If the costs of a fine for illegal use of copyright protected data is too low, then we expect there to be more violations and that individual LLM firms will be willing to risk being discovered and punished rather than complying with the law. The LLM firm should be willing to risk discovery and an associated civil fine up to the point where the marginal benefits of the illegal use are equal to the marginal costs of compliance with the law.</w:t>
      </w:r>
      <w:r w:rsidR="000404D9" w:rsidRPr="00AE5124">
        <w:t xml:space="preserve"> </w:t>
      </w:r>
    </w:p>
    <w:p w14:paraId="770BC378" w14:textId="77777777" w:rsidR="0006428B" w:rsidRPr="00AE5124" w:rsidRDefault="0069687C" w:rsidP="001E51CC">
      <w:r w:rsidRPr="00AE5124">
        <w:t>Game theoretical approach to determine willingness to comply or not.</w:t>
      </w:r>
    </w:p>
    <w:p w14:paraId="2066AD31" w14:textId="4223CB25" w:rsidR="0069687C" w:rsidRPr="00AE5124" w:rsidRDefault="0006428B" w:rsidP="001E51CC">
      <w:r w:rsidRPr="00AE5124">
        <w:t xml:space="preserve">Here we assume the LLM firm will use a strategy which is consistent with game theoretical models of compliance. </w:t>
      </w:r>
      <w:r w:rsidR="0069687C" w:rsidRPr="00AE5124">
        <w:t xml:space="preserve"> </w:t>
      </w:r>
      <w:r w:rsidR="00214428" w:rsidRPr="00AE5124">
        <w:t xml:space="preserve">In subsequent rounds of repeated interaction, the LLM firm makes a decision to comply with or not comply with copyright law. When they comply, they either comply by not using protected data or paying a user fee to use the protected data. A payment for use of a fee is greater than 0, while the use of unprotected data costs 0. After each round, the monitor either finds they comply or not comply, but there is uncertainty as to whether the monitor will discover non compliance, this means there is a probability of discovery for noncompliance which is less than 100% and a probability of non discovery for non compliance which is greater than 0%. When there is discovery of non compliance, there is a sanction imposed which is greater than 0 and higher than the cost of the user fee in the instance of payment for use when complying. This is repeated over time and the LLM firm makes a decision each round to either comply with no use of protected data, comply with use of protected data and pay a fee or non comply and use protected data without paying a fee. In this scenario we consider the LLM firm to be rational, and thus the application of the Becker model is valid. </w:t>
      </w:r>
    </w:p>
    <w:p w14:paraId="7640E318" w14:textId="47FB9D6B" w:rsidR="00214428" w:rsidRPr="00AE5124" w:rsidRDefault="00214428" w:rsidP="001E51CC">
      <w:r w:rsidRPr="00AE5124">
        <w:t>Comply and non use of protected data- 0</w:t>
      </w:r>
    </w:p>
    <w:p w14:paraId="27AF620B" w14:textId="7CB4E4B4" w:rsidR="00214428" w:rsidRPr="00AE5124" w:rsidRDefault="00214428" w:rsidP="001E51CC">
      <w:r w:rsidRPr="00AE5124">
        <w:t>Comply with use of protected data- &gt;0</w:t>
      </w:r>
    </w:p>
    <w:p w14:paraId="788A2284" w14:textId="5EDEF249" w:rsidR="00214428" w:rsidRPr="00AE5124" w:rsidRDefault="00214428" w:rsidP="001E51CC">
      <w:r w:rsidRPr="00AE5124">
        <w:lastRenderedPageBreak/>
        <w:t>Non Comply and use protected data no detection- 0</w:t>
      </w:r>
      <w:r w:rsidR="00987BAF" w:rsidRPr="00AE5124">
        <w:t xml:space="preserve">. </w:t>
      </w:r>
    </w:p>
    <w:p w14:paraId="1390614E" w14:textId="5131D828" w:rsidR="00214428" w:rsidRPr="00AE5124" w:rsidRDefault="00214428" w:rsidP="001E51CC">
      <w:r w:rsidRPr="00AE5124">
        <w:t>Non Comply and use protected data</w:t>
      </w:r>
      <w:r w:rsidR="00987BAF" w:rsidRPr="00AE5124">
        <w:t>- &lt;1</w:t>
      </w:r>
      <w:r w:rsidRPr="00AE5124">
        <w:t xml:space="preserve"> </w:t>
      </w:r>
    </w:p>
    <w:p w14:paraId="37EE8097" w14:textId="127B5488" w:rsidR="00AE2F7C" w:rsidRPr="00AE5124" w:rsidRDefault="00E43402" w:rsidP="001E51CC">
      <w:r w:rsidRPr="00AE5124">
        <w:t xml:space="preserve">Monetary benefit of using copyright protected material. </w:t>
      </w:r>
    </w:p>
    <w:p w14:paraId="700030CE" w14:textId="1092C133" w:rsidR="00987BAF" w:rsidRPr="00AE5124" w:rsidRDefault="00987BAF" w:rsidP="001E51CC">
      <w:r w:rsidRPr="00AE5124">
        <w:t xml:space="preserve">Over time the rational LLM firm will only decide to comply and pay for use of protected data if the expected cost of compliance is lower than the expected costs of not complying and being detected and thus paying a fine for the impermissible use of the data. </w:t>
      </w:r>
    </w:p>
    <w:p w14:paraId="2458CAC7" w14:textId="1D5A1D4D" w:rsidR="00820B05" w:rsidRPr="00AE5124" w:rsidRDefault="00820B05" w:rsidP="001E51CC">
      <w:r w:rsidRPr="00AE5124">
        <w:t xml:space="preserve">Here we assume that LLM firms will use copyright protected material up to the point where the marginal cost of use (compliance, cleaning, search costs, etc.) are equal to the marginal benefit of the use of the copyright protected material. </w:t>
      </w:r>
      <w:r w:rsidR="000404D9" w:rsidRPr="00AE5124">
        <w:t xml:space="preserve">This can be further divided into the costs of legal use and illegal use. </w:t>
      </w:r>
    </w:p>
    <w:p w14:paraId="37097172" w14:textId="77777777" w:rsidR="00AE2F7C" w:rsidRPr="00AE5124" w:rsidRDefault="00E43402" w:rsidP="001E51CC">
      <w:r w:rsidRPr="00AE5124">
        <w:t xml:space="preserve">Odds of discovery of violation. </w:t>
      </w:r>
    </w:p>
    <w:p w14:paraId="6478498C" w14:textId="08FC363E" w:rsidR="00820B05" w:rsidRPr="00AE5124" w:rsidRDefault="00820B05" w:rsidP="001E51CC">
      <w:r w:rsidRPr="00AE5124">
        <w:t xml:space="preserve">Here we assume that LLM firms can estimate the probability of discovery </w:t>
      </w:r>
      <w:r w:rsidR="00094B40" w:rsidRPr="00AE5124">
        <w:t xml:space="preserve">based on their observations in the market. This will allow them to further estimate the expected </w:t>
      </w:r>
      <w:r w:rsidR="0069687C" w:rsidRPr="00AE5124">
        <w:t xml:space="preserve">benefits and costs of compliance or illegal use. </w:t>
      </w:r>
    </w:p>
    <w:p w14:paraId="585DFEA6" w14:textId="53C7E783" w:rsidR="00E43402" w:rsidRPr="00AE5124" w:rsidRDefault="00E43402" w:rsidP="001E51CC">
      <w:r w:rsidRPr="00AE5124">
        <w:t xml:space="preserve">Potential fine or punishment for violation. </w:t>
      </w:r>
    </w:p>
    <w:p w14:paraId="3FE211D9" w14:textId="4396FD2C" w:rsidR="0069687C" w:rsidRPr="00AE5124" w:rsidRDefault="0069687C" w:rsidP="001E51CC">
      <w:r w:rsidRPr="00AE5124">
        <w:t xml:space="preserve">Here we assume that LLMs can estimate the potential fines based on their observations in the market. This information, combined with their estimation of the probability of discovery of illegal use allows the firm to make a determination about the expected costs of punishment for a violation of copyright law. </w:t>
      </w:r>
    </w:p>
    <w:p w14:paraId="5AF58987" w14:textId="465763FB" w:rsidR="0069687C" w:rsidRPr="00AE5124" w:rsidRDefault="0069687C" w:rsidP="001E51CC">
      <w:r w:rsidRPr="00AE5124">
        <w:t xml:space="preserve">Other transaction costs. Here we assume </w:t>
      </w:r>
      <w:r w:rsidR="000404D9" w:rsidRPr="00AE5124">
        <w:t>there</w:t>
      </w:r>
      <w:r w:rsidRPr="00AE5124">
        <w:t xml:space="preserve"> are other transaction costs associated with the use of copyright protected data. These costs could </w:t>
      </w:r>
      <w:r w:rsidR="000404D9" w:rsidRPr="00AE5124">
        <w:t>include</w:t>
      </w:r>
      <w:r w:rsidRPr="00AE5124">
        <w:t xml:space="preserve"> information costs (search costs), opportunity costs</w:t>
      </w:r>
      <w:r w:rsidR="000404D9" w:rsidRPr="00AE5124">
        <w:t xml:space="preserve"> (time costs)</w:t>
      </w:r>
      <w:r w:rsidRPr="00AE5124">
        <w:t>, licensing fees</w:t>
      </w:r>
      <w:r w:rsidR="000404D9" w:rsidRPr="00AE5124">
        <w:t xml:space="preserve"> (use costs)</w:t>
      </w:r>
      <w:r w:rsidRPr="00AE5124">
        <w:t>, compliance costs</w:t>
      </w:r>
      <w:r w:rsidR="000404D9" w:rsidRPr="00AE5124">
        <w:t xml:space="preserve"> (regulatory costs)</w:t>
      </w:r>
      <w:r w:rsidRPr="00AE5124">
        <w:t xml:space="preserve">, data cleaning costs, </w:t>
      </w:r>
    </w:p>
    <w:p w14:paraId="3642A008" w14:textId="2111A046" w:rsidR="0069687C" w:rsidRPr="00AE5124" w:rsidRDefault="00190AEB" w:rsidP="001E51CC">
      <w:r w:rsidRPr="00AE5124">
        <w:t xml:space="preserve">Given the information we have about different states’ approach to copyright protections, and the possibilities for compliance and noncompliance, we address the cost benefit analysis the rational LLM will take when </w:t>
      </w:r>
      <w:r w:rsidR="0069687C" w:rsidRPr="00AE5124">
        <w:t>deciding whether</w:t>
      </w:r>
      <w:r w:rsidRPr="00AE5124">
        <w:t xml:space="preserve"> to comply or not </w:t>
      </w:r>
      <w:r w:rsidR="0069687C" w:rsidRPr="00AE5124">
        <w:t xml:space="preserve">to </w:t>
      </w:r>
      <w:r w:rsidRPr="00AE5124">
        <w:t xml:space="preserve">comply. </w:t>
      </w:r>
      <w:r w:rsidR="0069687C" w:rsidRPr="00AE5124">
        <w:t xml:space="preserve">We group </w:t>
      </w:r>
      <w:r w:rsidR="000404D9" w:rsidRPr="00AE5124">
        <w:t xml:space="preserve">these various factors into high, medium, and low categories. We then provide various theoretical strategies which the LLM firm will take given the variation in these categories. </w:t>
      </w:r>
    </w:p>
    <w:p w14:paraId="2906CAD1" w14:textId="1FC0BC4B" w:rsidR="009035CC" w:rsidRPr="00AE5124" w:rsidRDefault="009035CC" w:rsidP="001E51CC">
      <w:pPr>
        <w:rPr>
          <w:u w:val="single"/>
        </w:rPr>
      </w:pPr>
      <w:r w:rsidRPr="00AE5124">
        <w:rPr>
          <w:u w:val="single"/>
        </w:rPr>
        <w:t xml:space="preserve">Determining Incentives to Comly with Copyright Law Chart </w:t>
      </w:r>
    </w:p>
    <w:p w14:paraId="0087067B" w14:textId="2522D74F" w:rsidR="000404D9" w:rsidRPr="00AE5124" w:rsidRDefault="000404D9" w:rsidP="000404D9">
      <w:pPr>
        <w:pStyle w:val="ListParagraph"/>
        <w:numPr>
          <w:ilvl w:val="0"/>
          <w:numId w:val="1"/>
        </w:numPr>
      </w:pPr>
      <w:r w:rsidRPr="00AE5124">
        <w:t>Compliance Costs- High Medium Low</w:t>
      </w:r>
    </w:p>
    <w:p w14:paraId="5022136B" w14:textId="529AC7D4" w:rsidR="000404D9" w:rsidRPr="00AE5124" w:rsidRDefault="000404D9" w:rsidP="000404D9">
      <w:pPr>
        <w:pStyle w:val="ListParagraph"/>
        <w:numPr>
          <w:ilvl w:val="0"/>
          <w:numId w:val="1"/>
        </w:numPr>
      </w:pPr>
      <w:r w:rsidRPr="00AE5124">
        <w:t>Transaction Costs- High Medium Low</w:t>
      </w:r>
    </w:p>
    <w:p w14:paraId="0E8B0763" w14:textId="7237576E" w:rsidR="00190AEB" w:rsidRPr="00AE5124" w:rsidRDefault="00190AEB" w:rsidP="009035CC">
      <w:pPr>
        <w:pStyle w:val="ListParagraph"/>
        <w:numPr>
          <w:ilvl w:val="0"/>
          <w:numId w:val="1"/>
        </w:numPr>
      </w:pPr>
      <w:r w:rsidRPr="00AE5124">
        <w:t>Sanctions</w:t>
      </w:r>
      <w:r w:rsidR="000404D9" w:rsidRPr="00AE5124">
        <w:t xml:space="preserve"> Costs</w:t>
      </w:r>
      <w:r w:rsidRPr="00AE5124">
        <w:t xml:space="preserve">- High </w:t>
      </w:r>
      <w:r w:rsidR="0030731D" w:rsidRPr="00AE5124">
        <w:t>Medium</w:t>
      </w:r>
      <w:r w:rsidRPr="00AE5124">
        <w:t xml:space="preserve"> Low</w:t>
      </w:r>
    </w:p>
    <w:p w14:paraId="05FBE042" w14:textId="103087E5" w:rsidR="00190AEB" w:rsidRPr="00AE5124" w:rsidRDefault="00190AEB" w:rsidP="009035CC">
      <w:pPr>
        <w:pStyle w:val="ListParagraph"/>
        <w:numPr>
          <w:ilvl w:val="0"/>
          <w:numId w:val="1"/>
        </w:numPr>
      </w:pPr>
      <w:r w:rsidRPr="00AE5124">
        <w:t>Detection</w:t>
      </w:r>
      <w:r w:rsidR="000404D9" w:rsidRPr="00AE5124">
        <w:t xml:space="preserve"> Probabilities</w:t>
      </w:r>
      <w:r w:rsidRPr="00AE5124">
        <w:t xml:space="preserve">- High </w:t>
      </w:r>
      <w:r w:rsidR="0030731D" w:rsidRPr="00AE5124">
        <w:t>Medium</w:t>
      </w:r>
      <w:r w:rsidRPr="00AE5124">
        <w:t xml:space="preserve"> Low</w:t>
      </w:r>
    </w:p>
    <w:p w14:paraId="6308B1A9" w14:textId="5765BC53" w:rsidR="00AE5124" w:rsidRPr="00AE5124" w:rsidRDefault="009035CC" w:rsidP="001E51CC">
      <w:r w:rsidRPr="00AE5124">
        <w:t>Outcome- Incentives for Compliance- High Medium Low</w:t>
      </w:r>
    </w:p>
    <w:p w14:paraId="5A4E50D1" w14:textId="77777777" w:rsidR="00AE5124" w:rsidRPr="00AE5124" w:rsidRDefault="00AE5124" w:rsidP="001E51CC">
      <w:r w:rsidRPr="00AE5124">
        <w:t>Regulatory Competition Aspect</w:t>
      </w:r>
    </w:p>
    <w:p w14:paraId="4AA34AED" w14:textId="3253F798" w:rsidR="00843791" w:rsidRDefault="000404D9" w:rsidP="001E51CC">
      <w:r w:rsidRPr="00AE5124">
        <w:t xml:space="preserve">When there is a variation between states as to the cost of using copyright protected data, we assume that the LLM firm will consider if movement and incorporation into a lower cost jurisdiction will bring benefits to the firm. The </w:t>
      </w:r>
      <w:r w:rsidR="008E072F" w:rsidRPr="00AE5124">
        <w:t xml:space="preserve">LLM Firm will consider the potential </w:t>
      </w:r>
      <w:r w:rsidR="003A50CF" w:rsidRPr="00AE5124">
        <w:t>combinations to determine where to incorporate</w:t>
      </w:r>
      <w:r w:rsidRPr="00AE5124">
        <w:t xml:space="preserve"> if they have the option to move, or if they have not yet decided where to incorporate</w:t>
      </w:r>
      <w:r w:rsidR="003A50CF" w:rsidRPr="00AE5124">
        <w:t>.</w:t>
      </w:r>
      <w:r w:rsidR="003A50CF">
        <w:t xml:space="preserve"> </w:t>
      </w:r>
      <w:r w:rsidR="00843791">
        <w:t xml:space="preserve"> </w:t>
      </w:r>
    </w:p>
    <w:p w14:paraId="7440DC0D" w14:textId="4B637C7D" w:rsidR="00AE5124" w:rsidRDefault="00AE5124" w:rsidP="001E51CC">
      <w:r>
        <w:lastRenderedPageBreak/>
        <w:t xml:space="preserve">Now we consider given the previous analysis of the firm deciding to comply or not comply, that firms have a choice to move from one state to another in order to benefit from a states copyright protections, or lack thereof. Here we assume that LLM firms will vote with their feet and decide to incorporate in states where their expected sanction for noncompliance is lowest, given the transaction costs associated with moving between states. Here the firm will move if the expect costs of non compliance will benefit the LLM firm over time. In this sense, the LLM firm considers 1. The situation in the state they are in. 2. The situation in a competing state. 3. The benefits of moving, given no transaction costs. 4. The transaction costs of moving. </w:t>
      </w:r>
    </w:p>
    <w:p w14:paraId="4B929A3A" w14:textId="6B4CDA34" w:rsidR="00AE5124" w:rsidRDefault="00AE5124" w:rsidP="001E51CC">
      <w:r>
        <w:t xml:space="preserve">Next we consider the role of state competition for rules. Using a game theoretical model, the state will determine where to set their standards after observing the standards of other states and estimating the benefit of lowering or increasing their level of protection for copyrights. </w:t>
      </w:r>
      <w:r w:rsidR="004035F5">
        <w:t xml:space="preserve">Firms benefit from moving because of lower compliance costs with regulation. States benefit from having a larger tax base from having firm incorporate. </w:t>
      </w:r>
    </w:p>
    <w:p w14:paraId="270CB5DE" w14:textId="3D50BAD9" w:rsidR="004035F5" w:rsidRPr="004035F5" w:rsidRDefault="004035F5" w:rsidP="00983F0F">
      <w:r w:rsidRPr="004035F5">
        <w:t xml:space="preserve">The Model </w:t>
      </w:r>
    </w:p>
    <w:p w14:paraId="68FD2B17" w14:textId="7E5BE929" w:rsidR="00983F0F" w:rsidRPr="00AE6922" w:rsidRDefault="00983F0F" w:rsidP="00983F0F">
      <w:pPr>
        <w:rPr>
          <w:highlight w:val="yellow"/>
        </w:rPr>
      </w:pPr>
      <w:r w:rsidRPr="00AE6922">
        <w:rPr>
          <w:highlight w:val="yellow"/>
        </w:rPr>
        <w:t>The mathematical model of the costs associated with copyright is modelled considering the above factors. We model the below factors as continuous variables and can then simulate the outcome under different conditions by initializing these variables. We will initialize each value with random variables that model the expected distribution of outputs, e.g., expected costs for copyright violations. We can estimate the distribution of the expected total costs using Monte Carlo simulation. The model includes the following factors:</w:t>
      </w:r>
    </w:p>
    <w:p w14:paraId="536AF1B6" w14:textId="77777777" w:rsidR="00983F0F" w:rsidRPr="00AE6922" w:rsidRDefault="00983F0F" w:rsidP="00983F0F">
      <w:pPr>
        <w:rPr>
          <w:highlight w:val="yellow"/>
        </w:rPr>
      </w:pPr>
      <w:r w:rsidRPr="00AE6922">
        <w:rPr>
          <w:highlight w:val="yellow"/>
        </w:rPr>
        <w:t>Transaction costs = licenses for use in training, licenses for use in model outputs, handling training data in a copyright compliant manner, attributing output correctly, memorization prevention measures</w:t>
      </w:r>
    </w:p>
    <w:p w14:paraId="48C7C396" w14:textId="77777777" w:rsidR="00983F0F" w:rsidRPr="00AE6922" w:rsidRDefault="00983F0F" w:rsidP="00983F0F">
      <w:pPr>
        <w:rPr>
          <w:highlight w:val="yellow"/>
        </w:rPr>
      </w:pPr>
      <w:r w:rsidRPr="00AE6922">
        <w:rPr>
          <w:highlight w:val="yellow"/>
        </w:rPr>
        <w:t>Sanctions costs = expected costs per detected copyright violation during training, expected costs per detected copyright violation in output</w:t>
      </w:r>
    </w:p>
    <w:p w14:paraId="32A71D9F" w14:textId="77777777" w:rsidR="00983F0F" w:rsidRPr="00AE6922" w:rsidRDefault="00983F0F" w:rsidP="00983F0F">
      <w:pPr>
        <w:rPr>
          <w:highlight w:val="yellow"/>
        </w:rPr>
      </w:pPr>
      <w:r w:rsidRPr="00AE6922">
        <w:rPr>
          <w:highlight w:val="yellow"/>
        </w:rPr>
        <w:t>Compliance costs = state/court ordered fines due to regulatory frameworks for non-compliance with copyright in addition or instead of sanction costs? Like punitive damages</w:t>
      </w:r>
    </w:p>
    <w:p w14:paraId="50282537" w14:textId="77777777" w:rsidR="00983F0F" w:rsidRPr="00AE6922" w:rsidRDefault="00983F0F" w:rsidP="00983F0F">
      <w:pPr>
        <w:rPr>
          <w:highlight w:val="yellow"/>
        </w:rPr>
      </w:pPr>
      <w:r w:rsidRPr="00AE6922">
        <w:rPr>
          <w:highlight w:val="yellow"/>
        </w:rPr>
        <w:t>Output detection probabilities = probability that copyrightable training data is memorized, probability that a copyright holder finds memorization, probability that a copyright holder files complaint</w:t>
      </w:r>
    </w:p>
    <w:p w14:paraId="2F28A19F" w14:textId="77777777" w:rsidR="00983F0F" w:rsidRPr="00AE6922" w:rsidRDefault="00983F0F" w:rsidP="00983F0F">
      <w:pPr>
        <w:rPr>
          <w:highlight w:val="yellow"/>
        </w:rPr>
      </w:pPr>
      <w:r w:rsidRPr="00AE6922">
        <w:rPr>
          <w:highlight w:val="yellow"/>
        </w:rPr>
        <w:t>Training detection probabilities = unclear if this is required. Possibly separate model for training</w:t>
      </w:r>
    </w:p>
    <w:p w14:paraId="44CD2727" w14:textId="77777777" w:rsidR="00983F0F" w:rsidRPr="00983F0F" w:rsidRDefault="00983F0F" w:rsidP="00983F0F">
      <w:r w:rsidRPr="00AE6922">
        <w:rPr>
          <w:highlight w:val="yellow"/>
        </w:rPr>
        <w:t>Unclear: where to put legal fees? Transaction?</w:t>
      </w:r>
    </w:p>
    <w:p w14:paraId="32C9349B" w14:textId="77777777" w:rsidR="00190AEB" w:rsidRDefault="00190AEB" w:rsidP="001E51CC"/>
    <w:p w14:paraId="35055A31" w14:textId="12D71622" w:rsidR="0068421D" w:rsidRPr="000E30E3" w:rsidRDefault="004162C3" w:rsidP="001E51CC">
      <w:pPr>
        <w:rPr>
          <w:b/>
          <w:bCs/>
          <w:u w:val="single"/>
        </w:rPr>
      </w:pPr>
      <w:r>
        <w:rPr>
          <w:b/>
          <w:bCs/>
          <w:u w:val="single"/>
        </w:rPr>
        <w:t>6</w:t>
      </w:r>
      <w:r w:rsidR="000E30E3" w:rsidRPr="000E30E3">
        <w:rPr>
          <w:b/>
          <w:bCs/>
          <w:u w:val="single"/>
        </w:rPr>
        <w:t>. Public Policy Recommendations</w:t>
      </w:r>
    </w:p>
    <w:p w14:paraId="2EFFBD7B" w14:textId="53DC647D" w:rsidR="007C39C9" w:rsidRDefault="007C39C9" w:rsidP="001E51CC">
      <w:r w:rsidRPr="007C39C9">
        <w:t xml:space="preserve">The invention of AI has resulted to the failure of AI, which represents a type of new accident or creates new legal challenges. The use of copyright protected data by LLM’s might be seen as a new type of legal problem, however, the illegal use of copyright protected work is not new. The law can react in several ways to new problems. </w:t>
      </w:r>
      <w:r w:rsidR="00C244C7">
        <w:t>1) The law</w:t>
      </w:r>
      <w:r w:rsidRPr="007C39C9">
        <w:t xml:space="preserve"> can use old legal doctrines and approaches to deal with the new problem</w:t>
      </w:r>
      <w:r w:rsidR="00C244C7">
        <w:t>;</w:t>
      </w:r>
      <w:r w:rsidRPr="007C39C9">
        <w:t xml:space="preserve"> </w:t>
      </w:r>
      <w:r w:rsidR="00C244C7">
        <w:t xml:space="preserve">2) the law </w:t>
      </w:r>
      <w:r w:rsidRPr="007C39C9">
        <w:t xml:space="preserve">can ignore the </w:t>
      </w:r>
      <w:r w:rsidR="00C244C7" w:rsidRPr="007C39C9">
        <w:t>problem</w:t>
      </w:r>
      <w:r w:rsidR="00C244C7">
        <w:t>; or 3) the law</w:t>
      </w:r>
      <w:r w:rsidRPr="007C39C9">
        <w:t xml:space="preserve"> can create a new legal doctrine or approach to deal with the new problem. </w:t>
      </w:r>
    </w:p>
    <w:p w14:paraId="4E07FF61" w14:textId="7F4E06B1" w:rsidR="00C244C7" w:rsidRDefault="00C244C7" w:rsidP="001E51CC">
      <w:r>
        <w:lastRenderedPageBreak/>
        <w:t>Using an old doctrine and applying it to a new problem is the most common approach found in legal development</w:t>
      </w:r>
      <w:r w:rsidR="002B34C5">
        <w:t>, and perhaps this may be the most efficient form of reaction in the law to the use of copyright protected materials by LLMs</w:t>
      </w:r>
      <w:r>
        <w:t xml:space="preserve">. The law could react to the changed landscape of copyright law by simply expanding existing methods of enforcing copyright protections found in private law and reapply them to LLM’s infringing on copyright law. This appears to be the model which most states have </w:t>
      </w:r>
      <w:r w:rsidR="002B34C5">
        <w:t>adopted</w:t>
      </w:r>
      <w:r>
        <w:t xml:space="preserve">. By enabling private law to enforce copyrights, the state can avoid incurring high transaction costs which state enforcement would require. </w:t>
      </w:r>
      <w:r w:rsidR="009E63D0">
        <w:t xml:space="preserve">This is the rationale behind giving property right to intellectual property in the first place. There is no public enforcement of copyrights, rather individual rights holders must use civil claims to ensure their property right is not infringed. </w:t>
      </w:r>
      <w:r>
        <w:t xml:space="preserve">The use of existing models for copyright enforcement does not address the problem of cross border externalities caused by LLMs and fails to address the worldwide nature of the internet of things. This means that for some </w:t>
      </w:r>
      <w:r w:rsidR="002C17BC">
        <w:t xml:space="preserve">local </w:t>
      </w:r>
      <w:r w:rsidR="002B34C5">
        <w:t>infringements</w:t>
      </w:r>
      <w:r w:rsidR="002C17BC">
        <w:t xml:space="preserve">, existing law may be adequate, but for cross border infringement there may be a need to reexamine how the law </w:t>
      </w:r>
      <w:r w:rsidR="009E63D0">
        <w:t>functions</w:t>
      </w:r>
      <w:r w:rsidR="002C17BC">
        <w:t>.</w:t>
      </w:r>
      <w:r w:rsidR="002B34C5">
        <w:t xml:space="preserve"> The most efficient methods for states to enable private parties to enforce copyright laws is to protect procedural rights for copyright holders when they bring civil claims against infringers. By facilitating private claims, the law can use the informational advantages of individuals to promote </w:t>
      </w:r>
      <w:r w:rsidR="009E63D0">
        <w:t xml:space="preserve">efficiency. </w:t>
      </w:r>
      <w:r w:rsidR="002B34C5">
        <w:t xml:space="preserve">  </w:t>
      </w:r>
    </w:p>
    <w:p w14:paraId="46D9E19C" w14:textId="059C9015" w:rsidR="00177F75" w:rsidRDefault="0068421D" w:rsidP="001E51CC">
      <w:r>
        <w:t>Changes to the Law</w:t>
      </w:r>
      <w:r w:rsidR="002C17BC">
        <w:t xml:space="preserve"> may be a necessary step to address the widespread infringement of copyrights by LLMs. This can be done through international cooperation. In the EU, itself a form of international law, there has been efforts to harmonize some aspects of copyright law through EU legislation. The devolution of the EU poses another problem, as the UK now functions outside the EU framework. Cross border cooperation in enforcement of copyrights has been facilitated through the </w:t>
      </w:r>
      <w:r w:rsidR="005731C3">
        <w:t xml:space="preserve">Berne Convention, but it has never addressed some of the problems caused by the digitalization of information. If signatories were to amend the Berne Convention to take into account some of the issues related to the </w:t>
      </w:r>
      <w:proofErr w:type="spellStart"/>
      <w:r w:rsidR="005731C3">
        <w:t>the</w:t>
      </w:r>
      <w:proofErr w:type="spellEnd"/>
      <w:r w:rsidR="005731C3">
        <w:t xml:space="preserve"> use of copyright protected materials by LLMs, it may be possible to further coordinate solutions to cross border externalities caused by LLMs use of copyright protected material, but this may be unnecessary if individual states independently converge towards standards for copyright law, such as the case with EU MS. One problem with changing the law involves the ability of firms to engage in regulatory arbitrage, thus making changes to the law problematic if inefficient regulatory competition exists between states. While there are benefits of competition between states, the use of copyright protected material by LLMs using the internet causes problems with cross border enforcement. The cost of implementing and enforcing new rules is also significant. </w:t>
      </w:r>
    </w:p>
    <w:p w14:paraId="532EEB97" w14:textId="50C79A61" w:rsidR="007C39C9" w:rsidRDefault="007C39C9" w:rsidP="001E51CC">
      <w:r>
        <w:t xml:space="preserve">The law can adopt a new approach to deal with the problems associated with LLMs using copyright protected data. </w:t>
      </w:r>
      <w:r w:rsidR="003C2226">
        <w:t xml:space="preserve">This solution seems the most problematic at this time, although technological breakthroughs may </w:t>
      </w:r>
    </w:p>
    <w:p w14:paraId="2D815349" w14:textId="7B5C9ADA" w:rsidR="007C39C9" w:rsidRDefault="006B1CD9" w:rsidP="001E51CC">
      <w:r>
        <w:t xml:space="preserve">Changes to </w:t>
      </w:r>
      <w:r w:rsidR="00FF2F7D">
        <w:t>civil s</w:t>
      </w:r>
      <w:r>
        <w:t>anctions</w:t>
      </w:r>
      <w:r w:rsidR="00774463">
        <w:t xml:space="preserve"> may be the most probable </w:t>
      </w:r>
      <w:proofErr w:type="gramStart"/>
      <w:r w:rsidR="00774463">
        <w:t>manner in which</w:t>
      </w:r>
      <w:proofErr w:type="gramEnd"/>
      <w:r w:rsidR="00774463">
        <w:t xml:space="preserve"> states can align their copyright protection systems to make it more difficult for LLMs to engage in regulatory arbitrage. By aligning sanctions across states the law can lower incentives for LLM firms to engage in regulatory arbitrage. If sanctions, </w:t>
      </w:r>
      <w:proofErr w:type="gramStart"/>
      <w:r w:rsidR="00774463">
        <w:t>taking into account</w:t>
      </w:r>
      <w:proofErr w:type="gramEnd"/>
      <w:r w:rsidR="00774463">
        <w:t xml:space="preserve"> the probability of detection, are similar across borders, then LLM firms will have similar incentives to comply with copyright law and only use copyright protected data thorough legitimate means. This will both incentivize the creation of new copyright protected works and incentivize LLMs to comply with copyright laws across borders. Importantly, changing the financial incentives for LLM firms to comply will only require an adjustment to the </w:t>
      </w:r>
      <w:r w:rsidR="00FF2F7D">
        <w:t>sanction’s</w:t>
      </w:r>
      <w:r w:rsidR="00774463">
        <w:t xml:space="preserve"> schemes in the law. In this way, t</w:t>
      </w:r>
      <w:r w:rsidR="007C39C9">
        <w:t xml:space="preserve">he law can incorporate principles from the Becker Model, and adjust the sanctions associated with the illegal use of copyright protected material. This requires legal systems to more accurately estimate the costs </w:t>
      </w:r>
      <w:r w:rsidR="007C39C9">
        <w:lastRenderedPageBreak/>
        <w:t xml:space="preserve">of and benefits of illegally using copyright protected works. </w:t>
      </w:r>
      <w:r w:rsidR="00774463">
        <w:t>In addition to s</w:t>
      </w:r>
      <w:r w:rsidR="00774463" w:rsidRPr="00774463">
        <w:t>tates chang</w:t>
      </w:r>
      <w:r w:rsidR="00774463">
        <w:t>ing</w:t>
      </w:r>
      <w:r w:rsidR="00774463" w:rsidRPr="00774463">
        <w:t xml:space="preserve"> the penalties associated with copyright infringement by LLMs</w:t>
      </w:r>
      <w:r w:rsidR="00774463">
        <w:t xml:space="preserve">, </w:t>
      </w:r>
      <w:proofErr w:type="gramStart"/>
      <w:r w:rsidR="00774463">
        <w:t>the</w:t>
      </w:r>
      <w:proofErr w:type="gramEnd"/>
      <w:r w:rsidR="00774463">
        <w:t xml:space="preserve"> can change the standards of private enforcement of copyright protections in court</w:t>
      </w:r>
      <w:r w:rsidR="00774463" w:rsidRPr="00774463">
        <w:t xml:space="preserve">. This may involve the change in penalties consistent with the Becker Model, but it might also </w:t>
      </w:r>
      <w:r w:rsidR="00774463" w:rsidRPr="00774463">
        <w:t>relate</w:t>
      </w:r>
      <w:r w:rsidR="00774463" w:rsidRPr="00774463">
        <w:t xml:space="preserve"> to the standard </w:t>
      </w:r>
      <w:proofErr w:type="gramStart"/>
      <w:r w:rsidR="00774463" w:rsidRPr="00774463">
        <w:t>in</w:t>
      </w:r>
      <w:proofErr w:type="gramEnd"/>
      <w:r w:rsidR="00774463" w:rsidRPr="00774463">
        <w:t xml:space="preserve"> which an LLM is held to in determining liability or not. For instance, a state could change the evidentiary rules to make any use of copyright protected material a violation of copyright law, essentially adopting a strict liability standard. This may be problematic for copyright law due to the need to balance the interest of society and the creators of original content.</w:t>
      </w:r>
      <w:r w:rsidR="00FF2F7D" w:rsidRPr="00FF2F7D">
        <w:t xml:space="preserve"> </w:t>
      </w:r>
      <w:r w:rsidR="00FF2F7D" w:rsidRPr="00FF2F7D">
        <w:t xml:space="preserve">Criminal sanctions for copyright violations can only be rationalized when they are part of a criminal enterprise, while the enforcement of </w:t>
      </w:r>
      <w:r w:rsidR="00FF2F7D" w:rsidRPr="00FF2F7D">
        <w:t>property rights</w:t>
      </w:r>
      <w:r w:rsidR="00FF2F7D" w:rsidRPr="00FF2F7D">
        <w:t xml:space="preserve"> should be limited to private rights holders.</w:t>
      </w:r>
      <w:r w:rsidR="00FF2F7D">
        <w:t xml:space="preserve"> It is also doubtful whether the imposition of criminal sanctions on LLM firms will have as big of an impact as civil sanction, as firms are more likely to be sensitive to economic </w:t>
      </w:r>
      <w:proofErr w:type="gramStart"/>
      <w:r w:rsidR="00FF2F7D">
        <w:t>damages</w:t>
      </w:r>
      <w:proofErr w:type="gramEnd"/>
      <w:r w:rsidR="00FF2F7D">
        <w:t xml:space="preserve"> and determining criminal liability for firms may prove to be more problematic as it requires state prosecutors, and thus state resources for enforcement. Enabling private enforcement through increasing potential civil fines may provide the right incentives for LLM firms to comply with copyright laws rather than risking civil liability. </w:t>
      </w:r>
    </w:p>
    <w:p w14:paraId="0E67F366" w14:textId="3168ED56" w:rsidR="007C39C9" w:rsidRDefault="007C39C9" w:rsidP="001E51CC">
      <w:r>
        <w:t>The law serves as a focal point for firm</w:t>
      </w:r>
      <w:r w:rsidR="0096520F">
        <w:t xml:space="preserve">s and </w:t>
      </w:r>
      <w:r>
        <w:t xml:space="preserve">individuals. This allows them to observe what the law is, and what is required to comply with the law. Legal systems could, for instance, create a system which provides for the use of copyright protected work in some instances. This is the case with the exceptions found in EU for TDM and in the US under the “fair use” doctrine. If states cooperated then they can bring more attention to focal points in the law. This is what has happened in the EU, where multiple states have coordinated to develop a system for protecting copyrights across borders (The Copyright Directive) which can generally be described as a legal convergence. However, the ability of the EU regulatory regime to reach across borders is limited. This is evident by the divergence in copyright law in the UK and the US. </w:t>
      </w:r>
    </w:p>
    <w:p w14:paraId="23C3EBFE" w14:textId="274E4E7B" w:rsidR="007C39C9" w:rsidRDefault="007C39C9" w:rsidP="001E51CC">
      <w:r>
        <w:t>States can coordinate to limit the ability, or need, for firms to engage in regulatory arbitrage</w:t>
      </w:r>
      <w:r w:rsidR="00774463">
        <w:t xml:space="preserve"> by aligning copyright protections law through an amendment to the Berne convention</w:t>
      </w:r>
      <w:r>
        <w:t xml:space="preserve">. By aligning copyright enforcement rules across borders, states can incentivize LLM firms to comply with copyright laws. When states continue to provide divergent rules, then firms will take into account the provision of laws in each state and make strategic decisions to either stay or leave for another state in order to avail themselves of that states laws. </w:t>
      </w:r>
      <w:r w:rsidR="00774463">
        <w:t xml:space="preserve">However, making significant changes to copyright laws through amending the Berne Convention may prove difficult and costly. </w:t>
      </w:r>
    </w:p>
    <w:p w14:paraId="7E6D58C4" w14:textId="56C7D23B" w:rsidR="002C7129" w:rsidRPr="00FF2F7D" w:rsidRDefault="002C7129" w:rsidP="001E51CC">
      <w:pPr>
        <w:rPr>
          <w:highlight w:val="yellow"/>
        </w:rPr>
      </w:pPr>
      <w:r w:rsidRPr="00FF2F7D">
        <w:rPr>
          <w:highlight w:val="yellow"/>
        </w:rPr>
        <w:t>How can Technology Help? (Reducing Transaction Costs in Bargaining) (Reducing Compliance Costs- Filtering) (Reducing search cost for observing violations)</w:t>
      </w:r>
    </w:p>
    <w:p w14:paraId="6BBAFC85" w14:textId="2E0FFE7A" w:rsidR="00177F75" w:rsidRPr="00FF2F7D" w:rsidRDefault="00177F75" w:rsidP="001E51CC">
      <w:pPr>
        <w:rPr>
          <w:highlight w:val="yellow"/>
        </w:rPr>
      </w:pPr>
      <w:r w:rsidRPr="00FF2F7D">
        <w:rPr>
          <w:highlight w:val="yellow"/>
        </w:rPr>
        <w:t>Private/Public Enforcement mechanisms?</w:t>
      </w:r>
      <w:r w:rsidR="00DB48E5" w:rsidRPr="00FF2F7D">
        <w:rPr>
          <w:highlight w:val="yellow"/>
        </w:rPr>
        <w:t xml:space="preserve"> Information asymmetry and enforcement costs. </w:t>
      </w:r>
    </w:p>
    <w:p w14:paraId="05AFDA0F" w14:textId="673783C6" w:rsidR="00177F75" w:rsidRDefault="00177F75" w:rsidP="001E51CC">
      <w:r w:rsidRPr="00FF2F7D">
        <w:rPr>
          <w:highlight w:val="yellow"/>
        </w:rPr>
        <w:t>Mandatory disclosures of training data?</w:t>
      </w:r>
      <w:r w:rsidR="00DB48E5">
        <w:t xml:space="preserve"> </w:t>
      </w:r>
    </w:p>
    <w:p w14:paraId="45F4F101" w14:textId="727793BD" w:rsidR="00177F75" w:rsidRPr="000E30E3" w:rsidRDefault="004162C3" w:rsidP="001E51CC">
      <w:pPr>
        <w:rPr>
          <w:b/>
          <w:bCs/>
          <w:u w:val="single"/>
        </w:rPr>
      </w:pPr>
      <w:r>
        <w:rPr>
          <w:b/>
          <w:bCs/>
          <w:u w:val="single"/>
        </w:rPr>
        <w:t>7</w:t>
      </w:r>
      <w:r w:rsidR="00177F75" w:rsidRPr="000E30E3">
        <w:rPr>
          <w:b/>
          <w:bCs/>
          <w:u w:val="single"/>
        </w:rPr>
        <w:t xml:space="preserve">. Conclusion </w:t>
      </w:r>
    </w:p>
    <w:p w14:paraId="1C5AC9A0" w14:textId="298A8D6A" w:rsidR="00831858" w:rsidRDefault="003A50CF" w:rsidP="001E51CC">
      <w:r>
        <w:t xml:space="preserve">We consider the copyright of law of France, Germany, the Netherlands, the UK and the US </w:t>
      </w:r>
      <w:r w:rsidR="00AE72C8">
        <w:t xml:space="preserve">using a multidisciplinary methodology which incorporates insights from law and economics and computer science to evaluate the divergence in copyright law across borders and the corresponding implications for the market for LLMs. We show there is a significant distinction between continental European EU MS which have legal systems based on civil law with the UK and US common law systems. This shows how EU wide legislation on copyright law has influenced EU MS, but it also shows that each MS has retained their own unique approaches to </w:t>
      </w:r>
      <w:r w:rsidR="00AE72C8">
        <w:lastRenderedPageBreak/>
        <w:t xml:space="preserve">dealing with copyright </w:t>
      </w:r>
      <w:r w:rsidR="00550550">
        <w:t xml:space="preserve">protections. Between the US and </w:t>
      </w:r>
      <w:r w:rsidR="00C02871">
        <w:t xml:space="preserve">the </w:t>
      </w:r>
      <w:r w:rsidR="00550550">
        <w:t>UK</w:t>
      </w:r>
      <w:r w:rsidR="00417607">
        <w:t>,</w:t>
      </w:r>
      <w:r w:rsidR="00550550">
        <w:t xml:space="preserve"> we can also see a divergence in approaches</w:t>
      </w:r>
      <w:r w:rsidR="00831858">
        <w:t xml:space="preserve"> found within common law legal traditions</w:t>
      </w:r>
      <w:r w:rsidR="00550550">
        <w:t xml:space="preserve">, </w:t>
      </w:r>
      <w:r w:rsidR="00831858">
        <w:t>specifically</w:t>
      </w:r>
      <w:r w:rsidR="00550550">
        <w:t xml:space="preserve"> related to the fair use doctrine which is </w:t>
      </w:r>
      <w:r w:rsidR="00DE3D46">
        <w:t xml:space="preserve">available in the US. </w:t>
      </w:r>
    </w:p>
    <w:p w14:paraId="0A407E6A" w14:textId="16014C40" w:rsidR="005B6211" w:rsidRDefault="00DE3D46" w:rsidP="001E51CC">
      <w:r>
        <w:t xml:space="preserve">The use of copyright protected data by LLMs has grown at a fast pace since 2020 and this has implications for legal systems which may be stressed by widescale copyright </w:t>
      </w:r>
      <w:r w:rsidR="00824C1A">
        <w:t>infringements</w:t>
      </w:r>
      <w:r>
        <w:t xml:space="preserve">. LLM firms can look at the laws of each state and consider the costs of doing business relative to the provision of copyright laws in each state. </w:t>
      </w:r>
      <w:r w:rsidR="00831858">
        <w:t>Copyright law</w:t>
      </w:r>
      <w:r w:rsidR="00643CCA">
        <w:t>s</w:t>
      </w:r>
      <w:r w:rsidR="00831858">
        <w:t xml:space="preserve"> and enforcement </w:t>
      </w:r>
      <w:r w:rsidR="00643CCA">
        <w:t xml:space="preserve">mechanisms create focal points for LLM firms </w:t>
      </w:r>
      <w:r w:rsidR="00625FB6">
        <w:t xml:space="preserve">which use copyright protected data. </w:t>
      </w:r>
      <w:r>
        <w:t xml:space="preserve">LLM firms will evaluate how their business model may benefit from high to low levels of enforcement, the risk of detection </w:t>
      </w:r>
      <w:r w:rsidR="00BC7E90">
        <w:t xml:space="preserve">for copyright infringement, and related transaction costs when they make a decision to </w:t>
      </w:r>
      <w:r w:rsidR="00824C1A">
        <w:t xml:space="preserve">infringe or not, and to remain in one jurisdiction or to move to another jurisdiction in order to avail their business of copyright laws. </w:t>
      </w:r>
    </w:p>
    <w:p w14:paraId="5E5E8416" w14:textId="29A1F9A9" w:rsidR="005B6211" w:rsidRDefault="00625FB6" w:rsidP="001E51CC">
      <w:r>
        <w:t xml:space="preserve">Because of the divergence of approaches and enforcement mechanisms across borders, there is an opportunity for LLM firms to influence how they comply with copyright </w:t>
      </w:r>
      <w:r w:rsidR="007075D2">
        <w:t xml:space="preserve">law. When LLM firms engage in a form of regulatory arbitrage in order to </w:t>
      </w:r>
      <w:r w:rsidR="00B53A56">
        <w:t xml:space="preserve">avail themselves of the laws of a particular jurisdiction, this can be seen as a strategic behavior which </w:t>
      </w:r>
      <w:r w:rsidR="004C6625">
        <w:t>places</w:t>
      </w:r>
      <w:r w:rsidR="00B53A56">
        <w:t xml:space="preserve"> additional pressures on nations to provide efficient rules for copyright protection. As LLMs continue to exploit </w:t>
      </w:r>
      <w:r w:rsidR="004C6625">
        <w:t>data,</w:t>
      </w:r>
      <w:r w:rsidR="00B53A56">
        <w:t xml:space="preserve"> which is protected by copyright, we should expect that LLM firms will </w:t>
      </w:r>
      <w:r w:rsidR="00BD4089">
        <w:t>look to lower their transaction and compliance costs through structuring their business</w:t>
      </w:r>
      <w:r w:rsidR="00B81164">
        <w:t xml:space="preserve">. </w:t>
      </w:r>
    </w:p>
    <w:p w14:paraId="440C8844" w14:textId="77E9EC8A" w:rsidR="00B81164" w:rsidRDefault="00B81164" w:rsidP="001E51CC">
      <w:r>
        <w:t xml:space="preserve">Nations can take steps to create efficient copyright </w:t>
      </w:r>
      <w:r w:rsidR="0014024B">
        <w:t xml:space="preserve">enforcement regimes. We can see that some states have cooperated, in this case through the EU, to align their copyright laws, although with some important distinctions between regimes. </w:t>
      </w:r>
      <w:r w:rsidR="00535D22">
        <w:t xml:space="preserve">However, there is no singular approach which can be identified between the </w:t>
      </w:r>
      <w:r w:rsidR="00165B50">
        <w:t xml:space="preserve">common law legal tradition and the EU wide approach to copyright protection with regards to LLMs. Because LLMs are a type of emerging technology, there is a risk that the reactionary nature of the law will allow LLM firms to create negative externalities through their use of copyright protected data. </w:t>
      </w:r>
      <w:r w:rsidR="00F20E60">
        <w:t xml:space="preserve">Nations should seek to have a smart mix of alignment and divergence of copyright law in order to maximize the benefits of copyright law and minimize the risk of regulatory arbitrage. </w:t>
      </w:r>
    </w:p>
    <w:p w14:paraId="364237BA" w14:textId="77777777" w:rsidR="005B6211" w:rsidRDefault="005B6211" w:rsidP="001E51CC"/>
    <w:p w14:paraId="6A423470" w14:textId="2CC6C768" w:rsidR="005B6211" w:rsidRPr="003C2226" w:rsidRDefault="005B6211" w:rsidP="001E51CC">
      <w:pPr>
        <w:rPr>
          <w:highlight w:val="yellow"/>
        </w:rPr>
      </w:pPr>
      <w:r w:rsidRPr="003C2226">
        <w:rPr>
          <w:highlight w:val="yellow"/>
        </w:rPr>
        <w:t>Working Bibliography</w:t>
      </w:r>
      <w:r w:rsidR="000E30E3" w:rsidRPr="003C2226">
        <w:rPr>
          <w:highlight w:val="yellow"/>
        </w:rPr>
        <w:t xml:space="preserve">- </w:t>
      </w:r>
      <w:r w:rsidR="006B1CD9" w:rsidRPr="003C2226">
        <w:rPr>
          <w:highlight w:val="yellow"/>
        </w:rPr>
        <w:t xml:space="preserve">Potentially </w:t>
      </w:r>
      <w:r w:rsidR="000E30E3" w:rsidRPr="003C2226">
        <w:rPr>
          <w:highlight w:val="yellow"/>
        </w:rPr>
        <w:t>Relevant Literature</w:t>
      </w:r>
    </w:p>
    <w:p w14:paraId="34F3244D" w14:textId="1CF31CC5" w:rsidR="001B3A85" w:rsidRPr="003C2226" w:rsidRDefault="001B3A85" w:rsidP="001E51CC">
      <w:pPr>
        <w:rPr>
          <w:b/>
          <w:bCs/>
          <w:highlight w:val="yellow"/>
          <w:u w:val="single"/>
        </w:rPr>
      </w:pPr>
      <w:r w:rsidRPr="003C2226">
        <w:rPr>
          <w:b/>
          <w:bCs/>
          <w:highlight w:val="yellow"/>
          <w:u w:val="single"/>
        </w:rPr>
        <w:t>Copyright, Artificial Intelligence and LLMs</w:t>
      </w:r>
    </w:p>
    <w:p w14:paraId="78049810" w14:textId="039CE468" w:rsidR="001B3A85" w:rsidRPr="003C2226" w:rsidRDefault="001B3A85" w:rsidP="001E51CC">
      <w:pPr>
        <w:rPr>
          <w:highlight w:val="yellow"/>
        </w:rPr>
      </w:pPr>
      <w:r w:rsidRPr="003C2226">
        <w:rPr>
          <w:highlight w:val="yellow"/>
        </w:rPr>
        <w:t>Abbott, Ryan, and Elizabeth Rothman. "Disrupting creativity: Copyright law in the age of generative artificial intelligence." Fla. L. Rev. 75 (2023): 1141.</w:t>
      </w:r>
    </w:p>
    <w:p w14:paraId="634A867C" w14:textId="77777777" w:rsidR="001B3A85" w:rsidRPr="003C2226" w:rsidRDefault="001B3A85" w:rsidP="001E51CC">
      <w:pPr>
        <w:rPr>
          <w:highlight w:val="yellow"/>
        </w:rPr>
      </w:pPr>
      <w:r w:rsidRPr="003C2226">
        <w:rPr>
          <w:highlight w:val="yellow"/>
        </w:rPr>
        <w:t>Al-Musallamawi, Fatima Abdul Rahim Ali, and Mona Muhammad Kazem Abbas Al-Dulaimi. "Protecting Intellectual Property Rights in Civil Legislation: A Comparative Study Between French Civil Law and Iraqi Civil Law." (2024).</w:t>
      </w:r>
    </w:p>
    <w:p w14:paraId="3D1639CF" w14:textId="77777777" w:rsidR="001B3A85" w:rsidRPr="003C2226" w:rsidRDefault="001B3A85" w:rsidP="001E51CC">
      <w:pPr>
        <w:rPr>
          <w:highlight w:val="yellow"/>
        </w:rPr>
      </w:pPr>
      <w:r w:rsidRPr="003C2226">
        <w:rPr>
          <w:highlight w:val="yellow"/>
        </w:rPr>
        <w:t>Alsamara, Tareck, Mohammed Iriqat, and Almokhtar Zamouna. "Legal protection of copyright in the digital Era." Journal of Ecohumanism 4.1 (2025): 1905-1911.</w:t>
      </w:r>
    </w:p>
    <w:p w14:paraId="18B49038" w14:textId="77777777" w:rsidR="001B3A85" w:rsidRPr="003C2226" w:rsidRDefault="001B3A85" w:rsidP="001E51CC">
      <w:pPr>
        <w:rPr>
          <w:highlight w:val="yellow"/>
          <w:lang w:val="nl-NL"/>
        </w:rPr>
      </w:pPr>
      <w:r w:rsidRPr="003C2226">
        <w:rPr>
          <w:highlight w:val="yellow"/>
        </w:rPr>
        <w:t xml:space="preserve">Behrendt, Benedikt, and Nicolas Kiefer. "Conformity of the liability mechanisms in the UrhDaG with Art. 17 DSMDirective–The limits of legislative creativity." </w:t>
      </w:r>
      <w:r w:rsidRPr="003C2226">
        <w:rPr>
          <w:highlight w:val="yellow"/>
          <w:lang w:val="nl-NL"/>
        </w:rPr>
        <w:t>UFITA Archiv für Medienrecht und Medienwissenschaft 86.2 (2023): 402-433.</w:t>
      </w:r>
    </w:p>
    <w:p w14:paraId="620D7BE6" w14:textId="77777777" w:rsidR="001B3A85" w:rsidRPr="003C2226" w:rsidRDefault="001B3A85" w:rsidP="001E51CC">
      <w:pPr>
        <w:rPr>
          <w:highlight w:val="yellow"/>
        </w:rPr>
      </w:pPr>
      <w:r w:rsidRPr="003C2226">
        <w:rPr>
          <w:highlight w:val="yellow"/>
          <w:lang w:val="nl-NL"/>
        </w:rPr>
        <w:lastRenderedPageBreak/>
        <w:t xml:space="preserve">Chang, Yupeng, et al. </w:t>
      </w:r>
      <w:r w:rsidRPr="003C2226">
        <w:rPr>
          <w:highlight w:val="yellow"/>
        </w:rPr>
        <w:t>"A survey on evaluation of large language models." ACM transactions on intelligent systems and technology 15.3 (2024): 1-45.</w:t>
      </w:r>
    </w:p>
    <w:p w14:paraId="3A57124D" w14:textId="77777777" w:rsidR="001B3A85" w:rsidRPr="003C2226" w:rsidRDefault="001B3A85" w:rsidP="001E51CC">
      <w:pPr>
        <w:rPr>
          <w:highlight w:val="yellow"/>
        </w:rPr>
      </w:pPr>
      <w:r w:rsidRPr="003C2226">
        <w:rPr>
          <w:highlight w:val="yellow"/>
        </w:rPr>
        <w:t>Chiba-Okabe, Hiroaki. "Probabilistic analysis of copyright disputes and generative AI safety." arXiv preprint arXiv:2410.00475 (2024).</w:t>
      </w:r>
    </w:p>
    <w:p w14:paraId="3965F575" w14:textId="77777777" w:rsidR="001B3A85" w:rsidRPr="003C2226" w:rsidRDefault="001B3A85" w:rsidP="001E51CC">
      <w:pPr>
        <w:rPr>
          <w:highlight w:val="yellow"/>
        </w:rPr>
      </w:pPr>
      <w:r w:rsidRPr="003C2226">
        <w:rPr>
          <w:highlight w:val="yellow"/>
        </w:rPr>
        <w:t>Chu, Timothy, Zhao Song, and Chiwun Yang. "How to protect copyright data in optimization of large language models?." Proceedings of the AAAI Conference on Artificial Intelligence. Vol. 38. No. 16. 2024.</w:t>
      </w:r>
    </w:p>
    <w:p w14:paraId="1786490C" w14:textId="77777777" w:rsidR="001B3A85" w:rsidRPr="003C2226" w:rsidRDefault="001B3A85" w:rsidP="001E51CC">
      <w:pPr>
        <w:rPr>
          <w:highlight w:val="yellow"/>
        </w:rPr>
      </w:pPr>
      <w:r w:rsidRPr="003C2226">
        <w:rPr>
          <w:highlight w:val="yellow"/>
        </w:rPr>
        <w:t>Du, Mengdie. "Policy regulation of artificial intelligence: a review of the literature." Digitalization and management innovation (2023): 407-415.</w:t>
      </w:r>
    </w:p>
    <w:p w14:paraId="15AD0609" w14:textId="77777777" w:rsidR="001B3A85" w:rsidRPr="003C2226" w:rsidRDefault="001B3A85" w:rsidP="001E51CC">
      <w:pPr>
        <w:rPr>
          <w:highlight w:val="yellow"/>
        </w:rPr>
      </w:pPr>
      <w:r w:rsidRPr="003C2226">
        <w:rPr>
          <w:highlight w:val="yellow"/>
        </w:rPr>
        <w:t xml:space="preserve">EUIPO- Germany - Hamburg District Court, 310 O.22723, LAION v Robert Kneschke, [27 September 24] </w:t>
      </w:r>
      <w:hyperlink r:id="rId11" w:history="1">
        <w:r w:rsidRPr="003C2226">
          <w:rPr>
            <w:rStyle w:val="Hyperlink"/>
            <w:highlight w:val="yellow"/>
          </w:rPr>
          <w:t>https://www.euipo.europa.eu/sk/law/recent-case-law/germany-hamburg-district-court-310-o-22723-laion-v-robert-kneschke</w:t>
        </w:r>
      </w:hyperlink>
    </w:p>
    <w:p w14:paraId="29CD5559" w14:textId="77777777" w:rsidR="001B3A85" w:rsidRPr="003C2226" w:rsidRDefault="001B3A85" w:rsidP="001E51CC">
      <w:pPr>
        <w:rPr>
          <w:highlight w:val="yellow"/>
        </w:rPr>
      </w:pPr>
      <w:r w:rsidRPr="003C2226">
        <w:rPr>
          <w:highlight w:val="yellow"/>
        </w:rPr>
        <w:t>Finocchiaro, Giusella. "The regulation of artificial intelligence." Ai &amp; Society 39.4 (2024): 1961-1968.</w:t>
      </w:r>
    </w:p>
    <w:p w14:paraId="454FF526" w14:textId="77777777" w:rsidR="001B3A85" w:rsidRPr="003C2226" w:rsidRDefault="001B3A85" w:rsidP="001E51CC">
      <w:pPr>
        <w:rPr>
          <w:highlight w:val="yellow"/>
        </w:rPr>
      </w:pPr>
      <w:r w:rsidRPr="003C2226">
        <w:rPr>
          <w:highlight w:val="yellow"/>
        </w:rPr>
        <w:t>Freeman, Joshua, et al. "Exploring memorization and copyright violation in frontier llms: A study of the new york times v. openai 2023 lawsuit." arXiv preprint arXiv:2412.06370 (2024).</w:t>
      </w:r>
    </w:p>
    <w:p w14:paraId="277C8707" w14:textId="77777777" w:rsidR="001B3A85" w:rsidRPr="003C2226" w:rsidRDefault="001B3A85" w:rsidP="001E51CC">
      <w:pPr>
        <w:rPr>
          <w:highlight w:val="yellow"/>
        </w:rPr>
      </w:pPr>
      <w:r w:rsidRPr="003C2226">
        <w:rPr>
          <w:highlight w:val="yellow"/>
          <w:lang w:val="nl-NL"/>
        </w:rPr>
        <w:t xml:space="preserve">Gervais, Daniel J., et al. </w:t>
      </w:r>
      <w:r w:rsidRPr="003C2226">
        <w:rPr>
          <w:highlight w:val="yellow"/>
        </w:rPr>
        <w:t>"The Heart of the Matter: Copyright, AI Training, and LLMs." (2024).</w:t>
      </w:r>
    </w:p>
    <w:p w14:paraId="6F54D14F" w14:textId="77777777" w:rsidR="001B3A85" w:rsidRPr="003C2226" w:rsidRDefault="001B3A85" w:rsidP="001E51CC">
      <w:pPr>
        <w:rPr>
          <w:highlight w:val="yellow"/>
        </w:rPr>
      </w:pPr>
      <w:r w:rsidRPr="003C2226">
        <w:rPr>
          <w:highlight w:val="yellow"/>
        </w:rPr>
        <w:t>Gervais, Daniel J., et al. "The Heart of the Matter: Copyright, AI Training, and LLMs." (2024).</w:t>
      </w:r>
    </w:p>
    <w:p w14:paraId="23EEC5A0" w14:textId="77777777" w:rsidR="001B3A85" w:rsidRPr="003C2226" w:rsidRDefault="001B3A85" w:rsidP="001E51CC">
      <w:pPr>
        <w:rPr>
          <w:highlight w:val="yellow"/>
        </w:rPr>
      </w:pPr>
      <w:r w:rsidRPr="003C2226">
        <w:rPr>
          <w:highlight w:val="yellow"/>
        </w:rPr>
        <w:t xml:space="preserve">Gesellschaft für musikalische Aufführungs- und mechanische Vervielfältigungsrechte. “GEMA sues for fair compensation” </w:t>
      </w:r>
      <w:hyperlink r:id="rId12" w:history="1">
        <w:r w:rsidRPr="003C2226">
          <w:rPr>
            <w:rStyle w:val="Hyperlink"/>
            <w:highlight w:val="yellow"/>
          </w:rPr>
          <w:t>https://www.gema.de/en/news/ai-and-music/ai-lawsuit</w:t>
        </w:r>
      </w:hyperlink>
    </w:p>
    <w:p w14:paraId="1A2063C5" w14:textId="77777777" w:rsidR="001B3A85" w:rsidRPr="003C2226" w:rsidRDefault="001B3A85" w:rsidP="001E51CC">
      <w:pPr>
        <w:rPr>
          <w:highlight w:val="yellow"/>
        </w:rPr>
      </w:pPr>
      <w:r w:rsidRPr="003C2226">
        <w:rPr>
          <w:highlight w:val="yellow"/>
        </w:rPr>
        <w:t>Guadamuz, Andres. "A scanner darkly: Copyright liability and exceptions in artificial intelligence inputs and outputs." GRUR International 73.2 (2024): 111-127.</w:t>
      </w:r>
    </w:p>
    <w:p w14:paraId="67A02B78" w14:textId="77777777" w:rsidR="001B3A85" w:rsidRPr="003C2226" w:rsidRDefault="001B3A85" w:rsidP="001E51CC">
      <w:pPr>
        <w:rPr>
          <w:highlight w:val="yellow"/>
        </w:rPr>
      </w:pPr>
      <w:r w:rsidRPr="003C2226">
        <w:rPr>
          <w:highlight w:val="yellow"/>
        </w:rPr>
        <w:t>Hugenholtz, P. Bernt, and João Pedro Quintais. "Copyright and artificial creation: does EU copyright law protect AI-assisted output?." IIC-International Review of Intellectual Property and Competition Law 52.9 (2021): 1190-1216.</w:t>
      </w:r>
    </w:p>
    <w:p w14:paraId="06B08F90" w14:textId="77777777" w:rsidR="001B3A85" w:rsidRPr="003C2226" w:rsidRDefault="001B3A85" w:rsidP="001E51CC">
      <w:pPr>
        <w:rPr>
          <w:highlight w:val="yellow"/>
        </w:rPr>
      </w:pPr>
      <w:r w:rsidRPr="003C2226">
        <w:rPr>
          <w:highlight w:val="yellow"/>
        </w:rPr>
        <w:t>Karamolegkou, Antonia, et al. "Copyright violations and large language models." arXiv preprint arXiv:2310.13771 (2023).</w:t>
      </w:r>
    </w:p>
    <w:p w14:paraId="3E80292E" w14:textId="77777777" w:rsidR="001B3A85" w:rsidRPr="003C2226" w:rsidRDefault="001B3A85" w:rsidP="001E51CC">
      <w:pPr>
        <w:rPr>
          <w:highlight w:val="yellow"/>
        </w:rPr>
      </w:pPr>
      <w:r w:rsidRPr="003C2226">
        <w:rPr>
          <w:highlight w:val="yellow"/>
        </w:rPr>
        <w:t>Karamolegkou, Antonia, et al. "Copyright violations and large language models." arXiv preprint arXiv:2310.13771 (2023).</w:t>
      </w:r>
    </w:p>
    <w:p w14:paraId="55B8A772" w14:textId="77777777" w:rsidR="001B3A85" w:rsidRPr="003C2226" w:rsidRDefault="001B3A85" w:rsidP="001E51CC">
      <w:pPr>
        <w:rPr>
          <w:highlight w:val="yellow"/>
        </w:rPr>
      </w:pPr>
      <w:r w:rsidRPr="003C2226">
        <w:rPr>
          <w:highlight w:val="yellow"/>
        </w:rPr>
        <w:t>Kinsara, Oways A. "Clash of dilemmas: how should UK copyright law approach the advent of autonomous AI creations?." Cambridge L. Rev. 6 (2021): 62.</w:t>
      </w:r>
    </w:p>
    <w:p w14:paraId="27FCA32C" w14:textId="77777777" w:rsidR="001B3A85" w:rsidRPr="003C2226" w:rsidRDefault="001B3A85" w:rsidP="001E51CC">
      <w:pPr>
        <w:rPr>
          <w:highlight w:val="yellow"/>
        </w:rPr>
      </w:pPr>
      <w:r w:rsidRPr="003C2226">
        <w:rPr>
          <w:highlight w:val="yellow"/>
        </w:rPr>
        <w:t>Kirchhübel, Christin, and Georgina Brown. "Intellectual property rights at the training, development and generation stages of Large Language Models." Proceedings of the Workshop on Legal and Ethical Issues in Human Language Technologies@ LREC-COLING 2024. 2024.</w:t>
      </w:r>
    </w:p>
    <w:p w14:paraId="220C91E6" w14:textId="77777777" w:rsidR="001B3A85" w:rsidRPr="003C2226" w:rsidRDefault="001B3A85" w:rsidP="001E51CC">
      <w:pPr>
        <w:rPr>
          <w:highlight w:val="yellow"/>
        </w:rPr>
      </w:pPr>
      <w:r w:rsidRPr="003C2226">
        <w:rPr>
          <w:highlight w:val="yellow"/>
        </w:rPr>
        <w:t>Koutras, Nikos, and Niloufer Selvadurai, eds. Recreating Creativity, Reinventing Inventiveness: AI and Intellectual Property Law. Taylor &amp; Francis, 2024.</w:t>
      </w:r>
    </w:p>
    <w:p w14:paraId="5745DFE6" w14:textId="77777777" w:rsidR="001B3A85" w:rsidRPr="003C2226" w:rsidRDefault="001B3A85" w:rsidP="001E51CC">
      <w:pPr>
        <w:rPr>
          <w:highlight w:val="yellow"/>
        </w:rPr>
      </w:pPr>
      <w:r w:rsidRPr="003C2226">
        <w:rPr>
          <w:highlight w:val="yellow"/>
        </w:rPr>
        <w:t xml:space="preserve">Kretschmer, Martin, Bartolomeo Meletti, and Luis H. Porangaba. "Artificial intelligence and intellectual property: copyright and patents—a response by the CREATe Centre to the UK </w:t>
      </w:r>
      <w:r w:rsidRPr="003C2226">
        <w:rPr>
          <w:highlight w:val="yellow"/>
        </w:rPr>
        <w:lastRenderedPageBreak/>
        <w:t>Intellectual Property Office’s open consultation." Journal of Intellectual Property Law and Practice 17.3 (2022): 321-326.</w:t>
      </w:r>
    </w:p>
    <w:p w14:paraId="2EAB4F00" w14:textId="77777777" w:rsidR="001B3A85" w:rsidRPr="003C2226" w:rsidRDefault="001B3A85" w:rsidP="001E51CC">
      <w:pPr>
        <w:rPr>
          <w:highlight w:val="yellow"/>
        </w:rPr>
      </w:pPr>
      <w:r w:rsidRPr="003C2226">
        <w:rPr>
          <w:highlight w:val="yellow"/>
        </w:rPr>
        <w:t>Meeus, Matthieu, et al. "Copyright traps for large language models." arXiv preprint arXiv:2402.09363 (2024).</w:t>
      </w:r>
    </w:p>
    <w:p w14:paraId="7D0281AC" w14:textId="77777777" w:rsidR="001B3A85" w:rsidRPr="003C2226" w:rsidRDefault="001B3A85" w:rsidP="001E51CC">
      <w:pPr>
        <w:rPr>
          <w:highlight w:val="yellow"/>
        </w:rPr>
      </w:pPr>
      <w:r w:rsidRPr="003C2226">
        <w:rPr>
          <w:highlight w:val="yellow"/>
        </w:rPr>
        <w:t>Naveed, Humza, et al. "A comprehensive overview of large language models." ACM Transactions on Intelligent Systems and Technology 16.5 (2025): 1-72.</w:t>
      </w:r>
    </w:p>
    <w:p w14:paraId="6435990C" w14:textId="77777777" w:rsidR="001B3A85" w:rsidRPr="003C2226" w:rsidRDefault="001B3A85" w:rsidP="001E51CC">
      <w:pPr>
        <w:rPr>
          <w:highlight w:val="yellow"/>
        </w:rPr>
      </w:pPr>
      <w:r w:rsidRPr="003C2226">
        <w:rPr>
          <w:highlight w:val="yellow"/>
        </w:rPr>
        <w:t>Peng, Wenjun, et al. "Are you copying my model? protecting the copyright of large language models for eaas via backdoor watermark." arXiv preprint arXiv:2305.10036 (2023).</w:t>
      </w:r>
    </w:p>
    <w:p w14:paraId="773D3B0C" w14:textId="77777777" w:rsidR="001B3A85" w:rsidRPr="003C2226" w:rsidRDefault="001B3A85" w:rsidP="001E51CC">
      <w:pPr>
        <w:rPr>
          <w:highlight w:val="yellow"/>
        </w:rPr>
      </w:pPr>
      <w:r w:rsidRPr="003C2226">
        <w:rPr>
          <w:highlight w:val="yellow"/>
        </w:rPr>
        <w:t>Qiu, Shi, Daniel M. German, and Katsuro Inoue. "Empirical study on dependency-related license violation in the javascript package ecosystem." Journal of Information Processing 29 (2021): 296-304.</w:t>
      </w:r>
    </w:p>
    <w:p w14:paraId="030F2576" w14:textId="77777777" w:rsidR="001B3A85" w:rsidRPr="003C2226" w:rsidRDefault="001B3A85" w:rsidP="001E51CC">
      <w:pPr>
        <w:rPr>
          <w:highlight w:val="yellow"/>
        </w:rPr>
      </w:pPr>
      <w:r w:rsidRPr="003C2226">
        <w:rPr>
          <w:highlight w:val="yellow"/>
        </w:rPr>
        <w:t>Quintais, João Pedro. "Copyright, the AI Act and extraterritoriality." Policy Brief The Lisbon Council (2025).</w:t>
      </w:r>
    </w:p>
    <w:p w14:paraId="771CDB22" w14:textId="77777777" w:rsidR="001B3A85" w:rsidRPr="003C2226" w:rsidRDefault="001B3A85" w:rsidP="001E51CC">
      <w:pPr>
        <w:rPr>
          <w:highlight w:val="yellow"/>
        </w:rPr>
      </w:pPr>
      <w:r w:rsidRPr="003C2226">
        <w:rPr>
          <w:highlight w:val="yellow"/>
        </w:rPr>
        <w:t>Rahman, Noorjahan, and Eduardo Santacana. "Beyond fair use: Legal risk evaluation for training llms on copyrighted text." ICML Workshop on Generative AI and Law. 2023.</w:t>
      </w:r>
    </w:p>
    <w:p w14:paraId="290F9B32" w14:textId="77777777" w:rsidR="001B3A85" w:rsidRPr="003C2226" w:rsidRDefault="001B3A85" w:rsidP="001E51CC">
      <w:pPr>
        <w:rPr>
          <w:highlight w:val="yellow"/>
        </w:rPr>
      </w:pPr>
      <w:r w:rsidRPr="003C2226">
        <w:rPr>
          <w:highlight w:val="yellow"/>
        </w:rPr>
        <w:t>Rosati, Eleonora. Copyright and the Court of Justice of the European Union. Oxford University Press, 2023.</w:t>
      </w:r>
    </w:p>
    <w:p w14:paraId="56C190AC" w14:textId="77777777" w:rsidR="001B3A85" w:rsidRPr="003C2226" w:rsidRDefault="001B3A85" w:rsidP="001E51CC">
      <w:pPr>
        <w:rPr>
          <w:highlight w:val="yellow"/>
        </w:rPr>
      </w:pPr>
      <w:r w:rsidRPr="003C2226">
        <w:rPr>
          <w:highlight w:val="yellow"/>
        </w:rPr>
        <w:t>Sharma, Aakash Sen, et al. "Nine Ways to Break Copyright Law and Why Our LLM Won't: A Fair Use Aligned Generation Framework." arXiv preprint arXiv:2505.23788 (2025).</w:t>
      </w:r>
    </w:p>
    <w:p w14:paraId="5AD80993" w14:textId="77777777" w:rsidR="001B3A85" w:rsidRPr="003C2226" w:rsidRDefault="001B3A85" w:rsidP="001E51CC">
      <w:pPr>
        <w:rPr>
          <w:highlight w:val="yellow"/>
        </w:rPr>
      </w:pPr>
      <w:r w:rsidRPr="003C2226">
        <w:rPr>
          <w:highlight w:val="yellow"/>
        </w:rPr>
        <w:t>Smuha, Nathalie A. "From a ‘race to AI’to a ‘race to AI regulation’: regulatory competition for artificial intelligence." Law, Innovation and Technology 13.1 (2021): 57-84.</w:t>
      </w:r>
    </w:p>
    <w:p w14:paraId="2CF4263E" w14:textId="77777777" w:rsidR="001B3A85" w:rsidRPr="003C2226" w:rsidRDefault="001B3A85" w:rsidP="001E51CC">
      <w:pPr>
        <w:rPr>
          <w:highlight w:val="yellow"/>
          <w:lang w:val="nl-NL"/>
        </w:rPr>
      </w:pPr>
      <w:r w:rsidRPr="003C2226">
        <w:rPr>
          <w:highlight w:val="yellow"/>
        </w:rPr>
        <w:t xml:space="preserve">Tian-Zheng Wei, Johnny, et al. "Interrogating LLM design under copyright law." Proceedings of the 2025 ACM Conference on Fairness, Accountability, and Transparency. </w:t>
      </w:r>
      <w:r w:rsidRPr="003C2226">
        <w:rPr>
          <w:highlight w:val="yellow"/>
          <w:lang w:val="nl-NL"/>
        </w:rPr>
        <w:t>2025.</w:t>
      </w:r>
    </w:p>
    <w:p w14:paraId="2D6BEA32" w14:textId="77777777" w:rsidR="001B3A85" w:rsidRPr="003C2226" w:rsidRDefault="001B3A85" w:rsidP="001E51CC">
      <w:pPr>
        <w:rPr>
          <w:highlight w:val="yellow"/>
        </w:rPr>
      </w:pPr>
      <w:r w:rsidRPr="003C2226">
        <w:rPr>
          <w:highlight w:val="yellow"/>
          <w:lang w:val="nl-NL"/>
        </w:rPr>
        <w:t xml:space="preserve">van Gompel, Stef, Luna Schumacher, and Martin Senftleben. "Web harvesting: auteursrechtelijke implicaties en oplossingsrichtingen." </w:t>
      </w:r>
      <w:r w:rsidRPr="003C2226">
        <w:rPr>
          <w:highlight w:val="yellow"/>
        </w:rPr>
        <w:t>Auteursrecht Online 2022.1 (2022): 3-14.</w:t>
      </w:r>
    </w:p>
    <w:p w14:paraId="2004598E" w14:textId="77777777" w:rsidR="001B3A85" w:rsidRPr="003C2226" w:rsidRDefault="001B3A85" w:rsidP="001E51CC">
      <w:pPr>
        <w:rPr>
          <w:highlight w:val="yellow"/>
        </w:rPr>
      </w:pPr>
      <w:r w:rsidRPr="003C2226">
        <w:rPr>
          <w:highlight w:val="yellow"/>
        </w:rPr>
        <w:t>Wei, Boyi, et al. "Evaluating copyright takedown methods for language models." Advances in Neural Information Processing Systems 37 (2024): 139114-139150.</w:t>
      </w:r>
    </w:p>
    <w:p w14:paraId="61EC6ACF" w14:textId="77777777" w:rsidR="001B3A85" w:rsidRPr="003C2226" w:rsidRDefault="001B3A85" w:rsidP="001E51CC">
      <w:pPr>
        <w:rPr>
          <w:highlight w:val="yellow"/>
          <w:lang w:val="nl-NL"/>
        </w:rPr>
      </w:pPr>
      <w:r w:rsidRPr="003C2226">
        <w:rPr>
          <w:highlight w:val="yellow"/>
        </w:rPr>
        <w:t xml:space="preserve">Westkamp, Guido. "Digital Copyright Enforcement after Article 17 DSMD: Platform Liability between Privacy, Property and Subjective Access Rights." </w:t>
      </w:r>
      <w:r w:rsidRPr="003C2226">
        <w:rPr>
          <w:highlight w:val="yellow"/>
          <w:lang w:val="nl-NL"/>
        </w:rPr>
        <w:t>Zeitschrift für Geistiges Eigentum| Intellectual Property Journal 4 (2022).</w:t>
      </w:r>
    </w:p>
    <w:p w14:paraId="45CA7951" w14:textId="77777777" w:rsidR="001B3A85" w:rsidRPr="003C2226" w:rsidRDefault="001B3A85" w:rsidP="001E51CC">
      <w:pPr>
        <w:rPr>
          <w:highlight w:val="yellow"/>
        </w:rPr>
      </w:pPr>
      <w:r w:rsidRPr="003C2226">
        <w:rPr>
          <w:highlight w:val="yellow"/>
          <w:lang w:val="nl-NL"/>
        </w:rPr>
        <w:t xml:space="preserve">Zhao, Weijie, et al. </w:t>
      </w:r>
      <w:r w:rsidRPr="003C2226">
        <w:rPr>
          <w:highlight w:val="yellow"/>
        </w:rPr>
        <w:t>"Measuring Copyright Risks of Large Language Model via Partial Information Probing." arXiv preprint arXiv:2409.13831 (2024).</w:t>
      </w:r>
    </w:p>
    <w:p w14:paraId="588AAF72" w14:textId="77777777" w:rsidR="001B3A85" w:rsidRPr="003C2226" w:rsidRDefault="001B3A85" w:rsidP="00187BA8">
      <w:pPr>
        <w:rPr>
          <w:highlight w:val="yellow"/>
        </w:rPr>
      </w:pPr>
    </w:p>
    <w:p w14:paraId="5F250DAE" w14:textId="5C2C53CA" w:rsidR="001B3A85" w:rsidRPr="003C2226" w:rsidRDefault="001B3A85" w:rsidP="00187BA8">
      <w:pPr>
        <w:rPr>
          <w:b/>
          <w:bCs/>
          <w:highlight w:val="yellow"/>
          <w:u w:val="single"/>
        </w:rPr>
      </w:pPr>
      <w:r w:rsidRPr="003C2226">
        <w:rPr>
          <w:b/>
          <w:bCs/>
          <w:highlight w:val="yellow"/>
          <w:u w:val="single"/>
        </w:rPr>
        <w:t>Law, Law and Economics Literature</w:t>
      </w:r>
    </w:p>
    <w:p w14:paraId="4F8E9DFF" w14:textId="4658D25A" w:rsidR="001B3A85" w:rsidRPr="003C2226" w:rsidRDefault="001B3A85" w:rsidP="00187BA8">
      <w:pPr>
        <w:rPr>
          <w:highlight w:val="yellow"/>
        </w:rPr>
      </w:pPr>
      <w:r w:rsidRPr="003C2226">
        <w:rPr>
          <w:highlight w:val="yellow"/>
        </w:rPr>
        <w:t>CALABRESI and MELAMED 1972. G. Calabresi, and A.D. Melamed, “Property rules, liability rules, and inalienability: one view of the cathedral” (1972) Harvard Law Review, pp. 1089-1128.</w:t>
      </w:r>
    </w:p>
    <w:p w14:paraId="2D501847" w14:textId="77777777" w:rsidR="001B3A85" w:rsidRPr="003C2226" w:rsidRDefault="001B3A85" w:rsidP="00187BA8">
      <w:pPr>
        <w:rPr>
          <w:highlight w:val="yellow"/>
        </w:rPr>
      </w:pPr>
      <w:r w:rsidRPr="003C2226">
        <w:rPr>
          <w:highlight w:val="yellow"/>
        </w:rPr>
        <w:t>CHE and YI 1993. Y. Che, and J. G. Yi, "The role of precedents in repeated litigation." (1993) Journal of Law, Economics, &amp; Organization, 9.2, pp. 399-424.</w:t>
      </w:r>
    </w:p>
    <w:p w14:paraId="74C0310F" w14:textId="77777777" w:rsidR="001B3A85" w:rsidRPr="003C2226" w:rsidRDefault="001B3A85" w:rsidP="00187BA8">
      <w:pPr>
        <w:rPr>
          <w:highlight w:val="yellow"/>
        </w:rPr>
      </w:pPr>
      <w:r w:rsidRPr="003C2226">
        <w:rPr>
          <w:highlight w:val="yellow"/>
        </w:rPr>
        <w:lastRenderedPageBreak/>
        <w:t>COOTER and ULEN 2016. R. Cooter and T. Ulen, Law and Economics, 6th edition. Berkeley Law Books 2016.</w:t>
      </w:r>
    </w:p>
    <w:p w14:paraId="0C27016A" w14:textId="77777777" w:rsidR="001B3A85" w:rsidRPr="003C2226" w:rsidRDefault="001B3A85" w:rsidP="00187BA8">
      <w:pPr>
        <w:rPr>
          <w:highlight w:val="yellow"/>
        </w:rPr>
      </w:pPr>
      <w:r w:rsidRPr="003C2226">
        <w:rPr>
          <w:highlight w:val="yellow"/>
        </w:rPr>
        <w:t>COSTA-FONT et. al. 2015. J. Costa</w:t>
      </w:r>
      <w:r w:rsidRPr="003C2226">
        <w:rPr>
          <w:rFonts w:ascii="Cambria Math" w:hAnsi="Cambria Math" w:cs="Cambria Math"/>
          <w:highlight w:val="yellow"/>
        </w:rPr>
        <w:t>‐</w:t>
      </w:r>
      <w:r w:rsidRPr="003C2226">
        <w:rPr>
          <w:highlight w:val="yellow"/>
        </w:rPr>
        <w:t>Font, F. De</w:t>
      </w:r>
      <w:r w:rsidRPr="003C2226">
        <w:rPr>
          <w:rFonts w:ascii="Cambria Math" w:hAnsi="Cambria Math" w:cs="Cambria Math"/>
          <w:highlight w:val="yellow"/>
        </w:rPr>
        <w:t>‐</w:t>
      </w:r>
      <w:r w:rsidRPr="003C2226">
        <w:rPr>
          <w:highlight w:val="yellow"/>
        </w:rPr>
        <w:t>Albuquerque, and H. Doucouliagos, "Does inter</w:t>
      </w:r>
      <w:r w:rsidRPr="003C2226">
        <w:rPr>
          <w:rFonts w:ascii="Cambria Math" w:hAnsi="Cambria Math" w:cs="Cambria Math"/>
          <w:highlight w:val="yellow"/>
        </w:rPr>
        <w:t>‐</w:t>
      </w:r>
      <w:r w:rsidRPr="003C2226">
        <w:rPr>
          <w:highlight w:val="yellow"/>
        </w:rPr>
        <w:t xml:space="preserve">jurisdictional competition engender a </w:t>
      </w:r>
      <w:r w:rsidRPr="003C2226">
        <w:rPr>
          <w:rFonts w:ascii="Aptos" w:hAnsi="Aptos" w:cs="Aptos"/>
          <w:highlight w:val="yellow"/>
        </w:rPr>
        <w:t>“</w:t>
      </w:r>
      <w:r w:rsidRPr="003C2226">
        <w:rPr>
          <w:highlight w:val="yellow"/>
        </w:rPr>
        <w:t>race to the bottom</w:t>
      </w:r>
      <w:r w:rsidRPr="003C2226">
        <w:rPr>
          <w:rFonts w:ascii="Aptos" w:hAnsi="Aptos" w:cs="Aptos"/>
          <w:highlight w:val="yellow"/>
        </w:rPr>
        <w:t>”</w:t>
      </w:r>
      <w:r w:rsidRPr="003C2226">
        <w:rPr>
          <w:highlight w:val="yellow"/>
        </w:rPr>
        <w:t>? A meta</w:t>
      </w:r>
      <w:r w:rsidRPr="003C2226">
        <w:rPr>
          <w:rFonts w:ascii="Cambria Math" w:hAnsi="Cambria Math" w:cs="Cambria Math"/>
          <w:highlight w:val="yellow"/>
        </w:rPr>
        <w:t>‐</w:t>
      </w:r>
      <w:r w:rsidRPr="003C2226">
        <w:rPr>
          <w:highlight w:val="yellow"/>
        </w:rPr>
        <w:t>regression analysis." (2015) Economics &amp; Politics 27.3, pp. 488-508.</w:t>
      </w:r>
    </w:p>
    <w:p w14:paraId="4F6E07D0" w14:textId="77777777" w:rsidR="001B3A85" w:rsidRPr="003C2226" w:rsidRDefault="001B3A85" w:rsidP="00187BA8">
      <w:pPr>
        <w:rPr>
          <w:highlight w:val="yellow"/>
        </w:rPr>
      </w:pPr>
      <w:r w:rsidRPr="003C2226">
        <w:rPr>
          <w:highlight w:val="yellow"/>
        </w:rPr>
        <w:t>DINE 2012. J. Dine, "Jurisdictional arbitrage by multinational companies: a national law solution?" (2012) Journal of Human Rights and the Environment, 3.1. pp. 44-69.</w:t>
      </w:r>
    </w:p>
    <w:p w14:paraId="4B2E9B44" w14:textId="77777777" w:rsidR="001B3A85" w:rsidRPr="003C2226" w:rsidRDefault="001B3A85" w:rsidP="00187BA8">
      <w:pPr>
        <w:rPr>
          <w:highlight w:val="yellow"/>
        </w:rPr>
      </w:pPr>
      <w:r w:rsidRPr="003C2226">
        <w:rPr>
          <w:highlight w:val="yellow"/>
        </w:rPr>
        <w:t>FLEISCHER 2010. V. Fleischer, "Regulatory arbitrage." (2010) Texas Law Review, 89, p. 227.</w:t>
      </w:r>
    </w:p>
    <w:p w14:paraId="56075E56" w14:textId="77777777" w:rsidR="001B3A85" w:rsidRPr="003C2226" w:rsidRDefault="001B3A85" w:rsidP="00187BA8">
      <w:pPr>
        <w:rPr>
          <w:highlight w:val="yellow"/>
        </w:rPr>
      </w:pPr>
      <w:r w:rsidRPr="003C2226">
        <w:rPr>
          <w:highlight w:val="yellow"/>
        </w:rPr>
        <w:t>GALANTER 1974. M. Galanter, "Why the haves come out ahead: Speculations on the limits of legal change." (1974) ) Law and Society Review, 9, p. 95.</w:t>
      </w:r>
    </w:p>
    <w:p w14:paraId="73BAF2E3" w14:textId="77777777" w:rsidR="001B3A85" w:rsidRPr="003C2226" w:rsidRDefault="001B3A85" w:rsidP="00187BA8">
      <w:pPr>
        <w:rPr>
          <w:highlight w:val="yellow"/>
        </w:rPr>
      </w:pPr>
      <w:r w:rsidRPr="003C2226">
        <w:rPr>
          <w:highlight w:val="yellow"/>
        </w:rPr>
        <w:t>GRADY 1988. M.F. Grady, "Common Law Control of Strategic Behavior: Railroad Sparks and the Farmer." (1988) The Journal of Legal Studies 17.1, pp. 15-42.</w:t>
      </w:r>
    </w:p>
    <w:p w14:paraId="6604F303" w14:textId="77777777" w:rsidR="001B3A85" w:rsidRPr="003C2226" w:rsidRDefault="001B3A85" w:rsidP="00187BA8">
      <w:pPr>
        <w:rPr>
          <w:highlight w:val="yellow"/>
        </w:rPr>
      </w:pPr>
      <w:r w:rsidRPr="003C2226">
        <w:rPr>
          <w:highlight w:val="yellow"/>
        </w:rPr>
        <w:t>JUENGER 1988. F.K. Juenger, "Forum Shopping, Domestic and International." (1988-89) Tulane Law Review vol. 63, no. 3. p. 553.</w:t>
      </w:r>
    </w:p>
    <w:p w14:paraId="66EBA05D" w14:textId="77777777" w:rsidR="001B3A85" w:rsidRPr="003C2226" w:rsidRDefault="001B3A85" w:rsidP="00187BA8">
      <w:pPr>
        <w:rPr>
          <w:highlight w:val="yellow"/>
        </w:rPr>
      </w:pPr>
      <w:r w:rsidRPr="003C2226">
        <w:rPr>
          <w:highlight w:val="yellow"/>
        </w:rPr>
        <w:t>KAPLOW and SHAVELL 1994. L. Kaplow, and S. Shavell, "Accuracy in the Determination of Liability." (1994) The Journal of Law and Economics 37.1, pp. 1-15.</w:t>
      </w:r>
    </w:p>
    <w:p w14:paraId="78740DA9" w14:textId="77777777" w:rsidR="001B3A85" w:rsidRPr="003C2226" w:rsidRDefault="001B3A85" w:rsidP="00187BA8">
      <w:pPr>
        <w:rPr>
          <w:highlight w:val="yellow"/>
        </w:rPr>
      </w:pPr>
      <w:r w:rsidRPr="003C2226">
        <w:rPr>
          <w:highlight w:val="yellow"/>
        </w:rPr>
        <w:t>MCADAMS 2008. R. H. McAdams, "A focal point theory of expressive law." (2000) Virginia Law Review, pp. 1649-1729.</w:t>
      </w:r>
    </w:p>
    <w:p w14:paraId="173D1298" w14:textId="77777777" w:rsidR="001B3A85" w:rsidRPr="003C2226" w:rsidRDefault="001B3A85" w:rsidP="00187BA8">
      <w:pPr>
        <w:rPr>
          <w:highlight w:val="yellow"/>
        </w:rPr>
      </w:pPr>
      <w:r w:rsidRPr="003C2226">
        <w:rPr>
          <w:highlight w:val="yellow"/>
        </w:rPr>
        <w:t>OSTROM 2008. E. Ostrom, "Design Principles of Robust Property–Rights Institutions: What Have We Learned." (2018) Elinor Ostrom and the Bloomington School of Political Economy. Resource Governance; Igram, GK, Hong, YH, Eds, pp. 215-248.</w:t>
      </w:r>
    </w:p>
    <w:p w14:paraId="1CFF10FC" w14:textId="77777777" w:rsidR="001B3A85" w:rsidRPr="003C2226" w:rsidRDefault="001B3A85" w:rsidP="00187BA8">
      <w:pPr>
        <w:rPr>
          <w:highlight w:val="yellow"/>
        </w:rPr>
      </w:pPr>
      <w:r w:rsidRPr="003C2226">
        <w:rPr>
          <w:highlight w:val="yellow"/>
        </w:rPr>
        <w:t>PARISI AND FON 2009. F. Parisi and V. Fon, The economics of lawmaking. (2009) Oxford University Press.</w:t>
      </w:r>
    </w:p>
    <w:p w14:paraId="003B5D21" w14:textId="77777777" w:rsidR="001B3A85" w:rsidRPr="003C2226" w:rsidRDefault="001B3A85" w:rsidP="00187BA8">
      <w:pPr>
        <w:rPr>
          <w:highlight w:val="yellow"/>
        </w:rPr>
      </w:pPr>
      <w:r w:rsidRPr="003C2226">
        <w:rPr>
          <w:highlight w:val="yellow"/>
        </w:rPr>
        <w:t>PENNER 1995. J. E. Penner, "The bundle of rights picture of property." (1995) University of California Los Angeles Law Review, 43, p. 711.</w:t>
      </w:r>
    </w:p>
    <w:p w14:paraId="00707CB4" w14:textId="77777777" w:rsidR="001B3A85" w:rsidRPr="003C2226" w:rsidRDefault="001B3A85" w:rsidP="00187BA8">
      <w:pPr>
        <w:rPr>
          <w:highlight w:val="yellow"/>
        </w:rPr>
      </w:pPr>
      <w:r w:rsidRPr="003C2226">
        <w:rPr>
          <w:highlight w:val="yellow"/>
        </w:rPr>
        <w:t>POSNER 2014. R.A. Posner, Economic analysis of law. (2014) Wolters Kluwer Law &amp; Business.</w:t>
      </w:r>
    </w:p>
    <w:p w14:paraId="766CC454" w14:textId="77777777" w:rsidR="001B3A85" w:rsidRPr="003C2226" w:rsidRDefault="001B3A85" w:rsidP="00187BA8">
      <w:pPr>
        <w:rPr>
          <w:highlight w:val="yellow"/>
        </w:rPr>
      </w:pPr>
      <w:r w:rsidRPr="003C2226">
        <w:rPr>
          <w:highlight w:val="yellow"/>
        </w:rPr>
        <w:t>PRIEST and KLEIN 1984. G. L. Priest, and B. Klein. "The selection of disputes for litigation." (1984) The Journal of Legal Studies, 13.1, pp. 1-55.</w:t>
      </w:r>
    </w:p>
    <w:p w14:paraId="45B4C8E8" w14:textId="77777777" w:rsidR="001B3A85" w:rsidRPr="003C2226" w:rsidRDefault="001B3A85" w:rsidP="00187BA8">
      <w:pPr>
        <w:rPr>
          <w:highlight w:val="yellow"/>
        </w:rPr>
      </w:pPr>
      <w:r w:rsidRPr="003C2226">
        <w:rPr>
          <w:highlight w:val="yellow"/>
        </w:rPr>
        <w:t xml:space="preserve">RAMSEYER and RASMUSEN 2010. J.M. Ramseyer, and E. Rasmusen, “Comparative Litigation Rates” (2010) Harvard School of Law Discussion Paper, No. 681, 2010.  </w:t>
      </w:r>
    </w:p>
    <w:p w14:paraId="438C4B37" w14:textId="77777777" w:rsidR="001B3A85" w:rsidRPr="003C2226" w:rsidRDefault="001B3A85" w:rsidP="00187BA8">
      <w:pPr>
        <w:rPr>
          <w:highlight w:val="yellow"/>
        </w:rPr>
      </w:pPr>
      <w:r w:rsidRPr="003C2226">
        <w:rPr>
          <w:highlight w:val="yellow"/>
        </w:rPr>
        <w:t>SCHERER 1967. F. M. Scherer, "Focal Point Pricing and Conscious Parallelism." (1967) Antitrust Bulletin, vol. 12, no. 2, pp. 495-504.</w:t>
      </w:r>
    </w:p>
    <w:p w14:paraId="782E5C23" w14:textId="77777777" w:rsidR="001B3A85" w:rsidRPr="003C2226" w:rsidRDefault="001B3A85" w:rsidP="00187BA8">
      <w:pPr>
        <w:rPr>
          <w:highlight w:val="yellow"/>
        </w:rPr>
      </w:pPr>
      <w:r w:rsidRPr="003C2226">
        <w:rPr>
          <w:highlight w:val="yellow"/>
        </w:rPr>
        <w:t>SCHUMPTER 1942. J. Schumpeter, "Creative destruction." (1942) Capitalism, socialism and democracy, 825, pp. 82-85.</w:t>
      </w:r>
    </w:p>
    <w:p w14:paraId="25919EC8" w14:textId="77777777" w:rsidR="001B3A85" w:rsidRPr="003C2226" w:rsidRDefault="001B3A85" w:rsidP="00187BA8">
      <w:pPr>
        <w:rPr>
          <w:highlight w:val="yellow"/>
        </w:rPr>
      </w:pPr>
      <w:r w:rsidRPr="003C2226">
        <w:rPr>
          <w:highlight w:val="yellow"/>
        </w:rPr>
        <w:t>SCHWARTZSTEIN and SHLEIFER 2009. J. Schwartzstein, and A. Shleifer, "Litigation and regulation." (2009) Perspective form Economics and Law, ed. D.P. Kessler, University of Chicago Press.</w:t>
      </w:r>
    </w:p>
    <w:p w14:paraId="5E852011" w14:textId="77777777" w:rsidR="001B3A85" w:rsidRPr="003C2226" w:rsidRDefault="001B3A85" w:rsidP="00187BA8">
      <w:pPr>
        <w:rPr>
          <w:highlight w:val="yellow"/>
        </w:rPr>
      </w:pPr>
      <w:r w:rsidRPr="003C2226">
        <w:rPr>
          <w:highlight w:val="yellow"/>
        </w:rPr>
        <w:t>SHAVELL 2003. S. Shavell, “Economic Analysis of Litigation and the Legal Process.” (2003) NBER Working Paper No. 9697.</w:t>
      </w:r>
    </w:p>
    <w:p w14:paraId="342C1BF8" w14:textId="77777777" w:rsidR="001B3A85" w:rsidRPr="003C2226" w:rsidRDefault="001B3A85" w:rsidP="00187BA8">
      <w:pPr>
        <w:rPr>
          <w:highlight w:val="yellow"/>
        </w:rPr>
      </w:pPr>
      <w:r w:rsidRPr="003C2226">
        <w:rPr>
          <w:highlight w:val="yellow"/>
        </w:rPr>
        <w:lastRenderedPageBreak/>
        <w:t>SHAVELL 2004. S. Shavell, Foundations of economic analysis of law. (2004) The Belknap Press of Harvard University Press, Cambridge, Massachusetts.</w:t>
      </w:r>
    </w:p>
    <w:p w14:paraId="1B39D33C" w14:textId="77777777" w:rsidR="001B3A85" w:rsidRPr="003C2226" w:rsidRDefault="001B3A85" w:rsidP="001E51CC">
      <w:pPr>
        <w:rPr>
          <w:highlight w:val="yellow"/>
        </w:rPr>
      </w:pPr>
      <w:r w:rsidRPr="003C2226">
        <w:rPr>
          <w:highlight w:val="yellow"/>
        </w:rPr>
        <w:t>SHLEIFER 2005. A. Shleifer, "Understanding regulation" (2005) European Financial Management, 11.4, pp. 439-451.</w:t>
      </w:r>
    </w:p>
    <w:p w14:paraId="14696BFB" w14:textId="77777777" w:rsidR="001B3A85" w:rsidRPr="003C2226" w:rsidRDefault="001B3A85" w:rsidP="001E51CC">
      <w:pPr>
        <w:rPr>
          <w:highlight w:val="yellow"/>
        </w:rPr>
      </w:pPr>
      <w:r w:rsidRPr="003C2226">
        <w:rPr>
          <w:highlight w:val="yellow"/>
          <w:lang w:val="nl-NL"/>
        </w:rPr>
        <w:t xml:space="preserve">SIEBERT 2001. H. Siebert, Der Kobra-Effekt: Wie man Irrwege der Wirtschaftspolitik vermeidet. </w:t>
      </w:r>
      <w:r w:rsidRPr="003C2226">
        <w:rPr>
          <w:highlight w:val="yellow"/>
        </w:rPr>
        <w:t>(2001) Dt. Verlag-Anst.</w:t>
      </w:r>
    </w:p>
    <w:p w14:paraId="2B604517" w14:textId="77777777" w:rsidR="001B3A85" w:rsidRPr="003C2226" w:rsidRDefault="001B3A85" w:rsidP="001E51CC">
      <w:pPr>
        <w:rPr>
          <w:highlight w:val="yellow"/>
        </w:rPr>
      </w:pPr>
      <w:r w:rsidRPr="003C2226">
        <w:rPr>
          <w:highlight w:val="yellow"/>
        </w:rPr>
        <w:t>SOKOL 2011. D. Sokol, "The strategic use of public and private litigation in antitrust as business strategy." (2011) Southern California Law Review, 85, p. 689.</w:t>
      </w:r>
    </w:p>
    <w:p w14:paraId="27475315" w14:textId="77777777" w:rsidR="001B3A85" w:rsidRPr="003C2226" w:rsidRDefault="001B3A85" w:rsidP="001E51CC">
      <w:pPr>
        <w:rPr>
          <w:highlight w:val="yellow"/>
          <w:lang w:val="nl-NL"/>
        </w:rPr>
      </w:pPr>
      <w:r w:rsidRPr="003C2226">
        <w:rPr>
          <w:highlight w:val="yellow"/>
        </w:rPr>
        <w:t xml:space="preserve">SUGDEN 1995. R. A. Sugden, "A Theory of Focal Points." </w:t>
      </w:r>
      <w:r w:rsidRPr="003C2226">
        <w:rPr>
          <w:highlight w:val="yellow"/>
          <w:lang w:val="nl-NL"/>
        </w:rPr>
        <w:t>(1995) Economic Journal, 105.430, pp. 533-50.</w:t>
      </w:r>
    </w:p>
    <w:p w14:paraId="764B0A4B" w14:textId="77777777" w:rsidR="001B3A85" w:rsidRPr="003C2226" w:rsidRDefault="001B3A85" w:rsidP="001E51CC">
      <w:pPr>
        <w:rPr>
          <w:highlight w:val="yellow"/>
        </w:rPr>
      </w:pPr>
      <w:r w:rsidRPr="003C2226">
        <w:rPr>
          <w:highlight w:val="yellow"/>
          <w:lang w:val="nl-NL"/>
        </w:rPr>
        <w:t xml:space="preserve">VAN DEN BERGH 2000. </w:t>
      </w:r>
      <w:r w:rsidRPr="003C2226">
        <w:rPr>
          <w:highlight w:val="yellow"/>
        </w:rPr>
        <w:t>R. van den Bergh. “Towards an Institutional Legal Framework for Regulatory Competition in Europe.” (2000) Kyklos, 53, no. 4, pp. 435-466.</w:t>
      </w:r>
    </w:p>
    <w:p w14:paraId="37D6CBE5" w14:textId="77777777" w:rsidR="001B3A85" w:rsidRPr="003C2226" w:rsidRDefault="001B3A85" w:rsidP="001E51CC">
      <w:pPr>
        <w:rPr>
          <w:highlight w:val="yellow"/>
        </w:rPr>
      </w:pPr>
      <w:r w:rsidRPr="003C2226">
        <w:rPr>
          <w:highlight w:val="yellow"/>
        </w:rPr>
        <w:t>VAN DEN BERGH and CAMESASCA 2001. R. van den Bergh, and P. D. Camesasca, European competition law and economics: a comparative perspective. (2001) Intersentia nv.</w:t>
      </w:r>
    </w:p>
    <w:p w14:paraId="0B45C902" w14:textId="501089CB" w:rsidR="001B3A85" w:rsidRPr="005B6211" w:rsidRDefault="00E12DFE" w:rsidP="00187BA8">
      <w:r w:rsidRPr="003C2226">
        <w:rPr>
          <w:highlight w:val="yellow"/>
        </w:rPr>
        <w:t>Capari</w:t>
      </w:r>
      <w:r w:rsidR="00216CA5" w:rsidRPr="003C2226">
        <w:rPr>
          <w:highlight w:val="yellow"/>
        </w:rPr>
        <w:t xml:space="preserve">, </w:t>
      </w:r>
      <w:r w:rsidRPr="003C2226">
        <w:rPr>
          <w:highlight w:val="yellow"/>
        </w:rPr>
        <w:t>Laura, Alexander Trautsch, Michael Granitzer, Steffen Herbold “Studying memorization of large language models using answers to Stack Overflow questions”</w:t>
      </w:r>
    </w:p>
    <w:sectPr w:rsidR="001B3A85" w:rsidRPr="005B6211" w:rsidSect="00C5069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8383" w14:textId="77777777" w:rsidR="00A167E2" w:rsidRDefault="00A167E2" w:rsidP="00367FFA">
      <w:pPr>
        <w:spacing w:after="0" w:line="240" w:lineRule="auto"/>
      </w:pPr>
      <w:r>
        <w:separator/>
      </w:r>
    </w:p>
  </w:endnote>
  <w:endnote w:type="continuationSeparator" w:id="0">
    <w:p w14:paraId="23320A55" w14:textId="77777777" w:rsidR="00A167E2" w:rsidRDefault="00A167E2" w:rsidP="0036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0B86" w14:textId="77777777" w:rsidR="00BB2A4E" w:rsidRDefault="00BB2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815896"/>
      <w:docPartObj>
        <w:docPartGallery w:val="Page Numbers (Bottom of Page)"/>
        <w:docPartUnique/>
      </w:docPartObj>
    </w:sdtPr>
    <w:sdtEndPr>
      <w:rPr>
        <w:noProof/>
      </w:rPr>
    </w:sdtEndPr>
    <w:sdtContent>
      <w:p w14:paraId="1157C54C" w14:textId="22FC709B" w:rsidR="00BB2A4E" w:rsidRDefault="00BB2A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DAFD0" w14:textId="77777777" w:rsidR="00BB2A4E" w:rsidRDefault="00BB2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43C5" w14:textId="77777777" w:rsidR="00BB2A4E" w:rsidRDefault="00BB2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147D" w14:textId="77777777" w:rsidR="00A167E2" w:rsidRDefault="00A167E2" w:rsidP="00367FFA">
      <w:pPr>
        <w:spacing w:after="0" w:line="240" w:lineRule="auto"/>
      </w:pPr>
      <w:r>
        <w:separator/>
      </w:r>
    </w:p>
  </w:footnote>
  <w:footnote w:type="continuationSeparator" w:id="0">
    <w:p w14:paraId="22A8E095" w14:textId="77777777" w:rsidR="00A167E2" w:rsidRDefault="00A167E2" w:rsidP="00367FFA">
      <w:pPr>
        <w:spacing w:after="0" w:line="240" w:lineRule="auto"/>
      </w:pPr>
      <w:r>
        <w:continuationSeparator/>
      </w:r>
    </w:p>
  </w:footnote>
  <w:footnote w:id="1">
    <w:p w14:paraId="58F28D97" w14:textId="53C5023D" w:rsidR="00503321" w:rsidRDefault="00503321">
      <w:pPr>
        <w:pStyle w:val="FootnoteText"/>
      </w:pPr>
      <w:r>
        <w:rPr>
          <w:rStyle w:val="FootnoteReference"/>
        </w:rPr>
        <w:footnoteRef/>
      </w:r>
      <w:r>
        <w:t xml:space="preserve"> Current</w:t>
      </w:r>
      <w:r w:rsidR="00C80B39">
        <w:t>ly</w:t>
      </w:r>
      <w:r>
        <w:t xml:space="preserve"> OpenAI has numerous copyright infringement claims pending</w:t>
      </w:r>
      <w:r w:rsidR="00C80B39">
        <w:t xml:space="preserve"> in multiple jurisdictions. A recent settlement has been between Anthropic an</w:t>
      </w:r>
      <w:r w:rsidR="00304858">
        <w:t>d</w:t>
      </w:r>
      <w:r w:rsidR="00C80B39">
        <w:t xml:space="preserve"> numerous authors. The case, Bartz v. Anthropic PBS, Case No. 3:24-cv-5417, alleged that Anthropic had illegally used nearly half a million copyright protected works to train their LLM</w:t>
      </w:r>
      <w:r w:rsidR="00304858">
        <w:t>, Claude</w:t>
      </w:r>
      <w:r w:rsidR="00C80B39">
        <w:t xml:space="preserve">. As of September 12, 2025, a proposed settlement of $1.5 billion is pending judicial approval. </w:t>
      </w:r>
    </w:p>
  </w:footnote>
  <w:footnote w:id="2">
    <w:p w14:paraId="42AFEA49" w14:textId="77777777" w:rsidR="00984D63" w:rsidRDefault="00CB35EE" w:rsidP="00984D63">
      <w:pPr>
        <w:pStyle w:val="FootnoteText"/>
      </w:pPr>
      <w:r>
        <w:rPr>
          <w:rStyle w:val="FootnoteReference"/>
        </w:rPr>
        <w:footnoteRef/>
      </w:r>
      <w:r>
        <w:t xml:space="preserve"> This view </w:t>
      </w:r>
      <w:r w:rsidR="003303F0">
        <w:t>considers</w:t>
      </w:r>
      <w:r>
        <w:t xml:space="preserve"> the implications of the Coase theorem for intellectual property rights</w:t>
      </w:r>
      <w:r w:rsidR="003303F0">
        <w:t xml:space="preserve"> as it relates to transaction costs</w:t>
      </w:r>
      <w:r>
        <w:t xml:space="preserve">. </w:t>
      </w:r>
      <w:r w:rsidR="00984D63">
        <w:t>COASE 1960. R.H. Coase, "The Problem of Social Cost" (1960) The Journal of Law and</w:t>
      </w:r>
    </w:p>
    <w:p w14:paraId="2205B59F" w14:textId="036B4682" w:rsidR="00CB35EE" w:rsidRDefault="00984D63" w:rsidP="00EE26BA">
      <w:pPr>
        <w:pStyle w:val="FootnoteText"/>
      </w:pPr>
      <w:r>
        <w:t xml:space="preserve">Economics, 3, no. (Oct., 1960), pp. 1-44. </w:t>
      </w:r>
      <w:r w:rsidR="00B303DB">
        <w:t xml:space="preserve">According to Coase, </w:t>
      </w:r>
      <w:r w:rsidR="00EE26BA" w:rsidRPr="00EE26BA">
        <w:t>"Once the costs of carrying out market transactions are taken into account it</w:t>
      </w:r>
      <w:r w:rsidR="00EE26BA">
        <w:t xml:space="preserve"> </w:t>
      </w:r>
      <w:r w:rsidR="00EE26BA" w:rsidRPr="00EE26BA">
        <w:t>is clear that such a rearrangement of rights will only be undertaken when the increase in the value of production</w:t>
      </w:r>
      <w:r w:rsidR="00EE26BA">
        <w:t xml:space="preserve"> </w:t>
      </w:r>
      <w:r w:rsidR="00EE26BA" w:rsidRPr="00EE26BA">
        <w:t>consequent upon the rearrangement is greater than the costs which would be involved in bringing it about."</w:t>
      </w:r>
      <w:r w:rsidR="00622C38">
        <w:t xml:space="preserve"> P. 10. </w:t>
      </w:r>
    </w:p>
  </w:footnote>
  <w:footnote w:id="3">
    <w:p w14:paraId="70EEB124" w14:textId="46C1308A" w:rsidR="009005CC" w:rsidRDefault="009005CC">
      <w:pPr>
        <w:pStyle w:val="FootnoteText"/>
      </w:pPr>
      <w:r>
        <w:rPr>
          <w:rStyle w:val="FootnoteReference"/>
        </w:rPr>
        <w:footnoteRef/>
      </w:r>
      <w:r>
        <w:t xml:space="preserve"> </w:t>
      </w:r>
      <w:r w:rsidR="000C4A62">
        <w:t>According to Posner, “</w:t>
      </w:r>
      <w:r w:rsidR="00BD732E">
        <w:t xml:space="preserve">Information, broadly defined to include symbolic </w:t>
      </w:r>
      <w:r w:rsidR="00A06CB9">
        <w:t xml:space="preserve">and expressive goods, is an example of what economists call a “public good”, meaning a good that </w:t>
      </w:r>
      <w:r w:rsidR="003A434B">
        <w:t xml:space="preserve">can be consumed without reducing any other person’s consumption of it.” </w:t>
      </w:r>
      <w:r w:rsidR="00726A74">
        <w:t>Furthermore, “</w:t>
      </w:r>
      <w:r w:rsidR="009274CB">
        <w:t xml:space="preserve">to the extent that a copyrighted work is a pure public good, any positive </w:t>
      </w:r>
      <w:r w:rsidR="00585CBD">
        <w:t xml:space="preserve">price for its use may induce substitution of something that costs society more to produce or is </w:t>
      </w:r>
      <w:r w:rsidR="00E31955">
        <w:t xml:space="preserve">of lower quality.” </w:t>
      </w:r>
      <w:r w:rsidR="003A434B">
        <w:t>Posner, Richard “</w:t>
      </w:r>
      <w:r w:rsidR="00554114">
        <w:t xml:space="preserve">Economic </w:t>
      </w:r>
      <w:r w:rsidR="00ED74FA">
        <w:t>Analysis</w:t>
      </w:r>
      <w:r w:rsidR="00554114">
        <w:t xml:space="preserve"> of Law” 8</w:t>
      </w:r>
      <w:r w:rsidR="00554114" w:rsidRPr="00554114">
        <w:rPr>
          <w:vertAlign w:val="superscript"/>
        </w:rPr>
        <w:t>th</w:t>
      </w:r>
      <w:r w:rsidR="00554114">
        <w:t xml:space="preserve"> edition, Wolters Kluwe</w:t>
      </w:r>
      <w:r w:rsidR="00ED74FA">
        <w:t>r 2011. P.</w:t>
      </w:r>
      <w:r w:rsidR="003A434B">
        <w:t xml:space="preserve"> 52</w:t>
      </w:r>
      <w:r w:rsidR="00E31955">
        <w:t>, 53.</w:t>
      </w:r>
    </w:p>
  </w:footnote>
  <w:footnote w:id="4">
    <w:p w14:paraId="6D57D83F" w14:textId="482C9BF5" w:rsidR="001D5C0E" w:rsidRDefault="001D5C0E">
      <w:pPr>
        <w:pStyle w:val="FootnoteText"/>
      </w:pPr>
      <w:r>
        <w:rPr>
          <w:rStyle w:val="FootnoteReference"/>
        </w:rPr>
        <w:footnoteRef/>
      </w:r>
      <w:r>
        <w:t xml:space="preserve"> Landes and Posner 1989, page 326.</w:t>
      </w:r>
    </w:p>
  </w:footnote>
  <w:footnote w:id="5">
    <w:p w14:paraId="72C39253" w14:textId="516C70B4" w:rsidR="001D5C0E" w:rsidRDefault="001D5C0E">
      <w:pPr>
        <w:pStyle w:val="FootnoteText"/>
      </w:pPr>
      <w:r>
        <w:rPr>
          <w:rStyle w:val="FootnoteReference"/>
        </w:rPr>
        <w:footnoteRef/>
      </w:r>
      <w:r>
        <w:t xml:space="preserve"> Landes and Posner 1989, page 326. </w:t>
      </w:r>
    </w:p>
  </w:footnote>
  <w:footnote w:id="6">
    <w:p w14:paraId="3572E23D" w14:textId="6506B73C" w:rsidR="00BE0273" w:rsidRDefault="00BE0273">
      <w:pPr>
        <w:pStyle w:val="FootnoteText"/>
      </w:pPr>
      <w:r>
        <w:rPr>
          <w:rStyle w:val="FootnoteReference"/>
        </w:rPr>
        <w:footnoteRef/>
      </w:r>
      <w:r>
        <w:t xml:space="preserve"> </w:t>
      </w:r>
      <w:r w:rsidR="007F2BEB" w:rsidRPr="007F2BEB">
        <w:t>Calabresi, Guido, and A. Douglas Melamed. "Property rules, liability rules, and inalienability: one view of the cathedral." Modern Understandings of Liberty and Property. Routledge, 2013. 139-178.</w:t>
      </w:r>
    </w:p>
  </w:footnote>
  <w:footnote w:id="7">
    <w:p w14:paraId="0E088D78" w14:textId="28C1CA6F" w:rsidR="00393F02" w:rsidRDefault="00393F02">
      <w:pPr>
        <w:pStyle w:val="FootnoteText"/>
      </w:pPr>
      <w:r>
        <w:rPr>
          <w:rStyle w:val="FootnoteReference"/>
        </w:rPr>
        <w:footnoteRef/>
      </w:r>
      <w:r>
        <w:t xml:space="preserve"> </w:t>
      </w:r>
      <w:r w:rsidR="00947190" w:rsidRPr="00947190">
        <w:t>Calabresi, Guido, and A. Douglas Melamed. "Property rules, liability rules, and inalienability: one view of the cathedral." </w:t>
      </w:r>
      <w:r w:rsidR="00947190" w:rsidRPr="00947190">
        <w:rPr>
          <w:i/>
          <w:iCs/>
        </w:rPr>
        <w:t>Modern Understandings of Liberty and Property</w:t>
      </w:r>
      <w:r w:rsidR="00947190" w:rsidRPr="00947190">
        <w:t>. Routledge, 2013. 139-178.</w:t>
      </w:r>
      <w:r w:rsidR="004B0B95">
        <w:t xml:space="preserve"> Pp </w:t>
      </w:r>
      <w:r>
        <w:t xml:space="preserve">1124, 1125. </w:t>
      </w:r>
    </w:p>
  </w:footnote>
  <w:footnote w:id="8">
    <w:p w14:paraId="62292FFD" w14:textId="7D47D568" w:rsidR="00393F02" w:rsidRDefault="00393F02">
      <w:pPr>
        <w:pStyle w:val="FootnoteText"/>
      </w:pPr>
      <w:r>
        <w:rPr>
          <w:rStyle w:val="FootnoteReference"/>
        </w:rPr>
        <w:footnoteRef/>
      </w:r>
      <w:r>
        <w:t xml:space="preserve"> Calabresi and Melmed 1125.</w:t>
      </w:r>
    </w:p>
  </w:footnote>
  <w:footnote w:id="9">
    <w:p w14:paraId="355F8239" w14:textId="4268AC09" w:rsidR="00393F02" w:rsidRDefault="00393F02">
      <w:pPr>
        <w:pStyle w:val="FootnoteText"/>
      </w:pPr>
      <w:r>
        <w:rPr>
          <w:rStyle w:val="FootnoteReference"/>
        </w:rPr>
        <w:footnoteRef/>
      </w:r>
      <w:r>
        <w:t xml:space="preserve"> Calabresi and Melmed 1125, 1126. </w:t>
      </w:r>
    </w:p>
  </w:footnote>
  <w:footnote w:id="10">
    <w:p w14:paraId="113293D1" w14:textId="30874F0A" w:rsidR="000C4A62" w:rsidRDefault="000C4A62">
      <w:pPr>
        <w:pStyle w:val="FootnoteText"/>
      </w:pPr>
      <w:r>
        <w:rPr>
          <w:rStyle w:val="FootnoteReference"/>
        </w:rPr>
        <w:footnoteRef/>
      </w:r>
      <w:r>
        <w:t xml:space="preserve"> </w:t>
      </w:r>
      <w:r w:rsidR="0073200F" w:rsidRPr="0073200F">
        <w:t>Calabresi and Melmed</w:t>
      </w:r>
      <w:r w:rsidR="0073200F">
        <w:t xml:space="preserve"> </w:t>
      </w:r>
      <w:r w:rsidR="0073200F" w:rsidRPr="0073200F">
        <w:t>1126</w:t>
      </w:r>
      <w:r w:rsidR="0073200F">
        <w:t>.</w:t>
      </w:r>
      <w:r w:rsidR="00B75C8F" w:rsidRPr="00B75C8F">
        <w:t>Becker, Gary S. "Crime and punishment: An economic approach." </w:t>
      </w:r>
      <w:r w:rsidR="00B75C8F" w:rsidRPr="00B75C8F">
        <w:rPr>
          <w:i/>
          <w:iCs/>
        </w:rPr>
        <w:t>Journal of political economy</w:t>
      </w:r>
      <w:r w:rsidR="00B75C8F" w:rsidRPr="00B75C8F">
        <w:t> 76.2 (1968): 169-217.</w:t>
      </w:r>
      <w:r w:rsidR="0073200F">
        <w:t xml:space="preserve"> </w:t>
      </w:r>
    </w:p>
  </w:footnote>
  <w:footnote w:id="11">
    <w:p w14:paraId="1F603F34" w14:textId="5536D033" w:rsidR="007174C4" w:rsidRDefault="007174C4">
      <w:pPr>
        <w:pStyle w:val="FootnoteText"/>
      </w:pPr>
      <w:r>
        <w:rPr>
          <w:rStyle w:val="FootnoteReference"/>
        </w:rPr>
        <w:footnoteRef/>
      </w:r>
      <w:r>
        <w:t xml:space="preserve"> </w:t>
      </w:r>
      <w:r w:rsidR="009A6993">
        <w:t xml:space="preserve">According to Buchanan and Yoon, “[a]n anticommons problem arises when there exits multiple rights to exclude” and “[t]he anticommons tragedy, as measured in nonrealized economic value, takes the form of underusage rather than overusage of the resource” where “the size of the opportunity loss will, as in the commons model, depend on the number of persons (or firms) assigned simultanerous rights.” James Buchanan and Yong Yoon “Symmetric Tragedies: Commons and Anticommons” The Journal of Law &amp; Economics, Vol 43. No. 1 (April 200) pp. 1, 4. </w:t>
      </w:r>
      <w:r>
        <w:t xml:space="preserve"> </w:t>
      </w:r>
    </w:p>
  </w:footnote>
  <w:footnote w:id="12">
    <w:p w14:paraId="0F467AEF" w14:textId="77777777" w:rsidR="004052A6" w:rsidRPr="004052A6" w:rsidRDefault="002C2E6F" w:rsidP="004052A6">
      <w:pPr>
        <w:pStyle w:val="FootnoteText"/>
        <w:rPr>
          <w:i/>
          <w:iCs/>
        </w:rPr>
      </w:pPr>
      <w:r>
        <w:rPr>
          <w:rStyle w:val="FootnoteReference"/>
        </w:rPr>
        <w:footnoteRef/>
      </w:r>
      <w:r>
        <w:t xml:space="preserve"> </w:t>
      </w:r>
      <w:r w:rsidR="004052A6" w:rsidRPr="004052A6">
        <w:t xml:space="preserve">SUGDEN 1995. R. A. Sugden, "A Theory of Focal Points." (1995) </w:t>
      </w:r>
      <w:r w:rsidR="004052A6" w:rsidRPr="004052A6">
        <w:rPr>
          <w:i/>
          <w:iCs/>
        </w:rPr>
        <w:t>Economic Journal, 105.430,</w:t>
      </w:r>
    </w:p>
    <w:p w14:paraId="1F3B5171" w14:textId="1DE6C9CA" w:rsidR="002C2E6F" w:rsidRDefault="004052A6" w:rsidP="004052A6">
      <w:pPr>
        <w:pStyle w:val="FootnoteText"/>
      </w:pPr>
      <w:r w:rsidRPr="004052A6">
        <w:t>pp. 533-50.</w:t>
      </w:r>
    </w:p>
  </w:footnote>
  <w:footnote w:id="13">
    <w:p w14:paraId="28BC8BD3" w14:textId="077044C8" w:rsidR="00B0329D" w:rsidRDefault="00B0329D">
      <w:pPr>
        <w:pStyle w:val="FootnoteText"/>
      </w:pPr>
      <w:r>
        <w:rPr>
          <w:rStyle w:val="FootnoteReference"/>
        </w:rPr>
        <w:footnoteRef/>
      </w:r>
      <w:r>
        <w:t xml:space="preserve"> </w:t>
      </w:r>
      <w:r w:rsidR="00320439">
        <w:t xml:space="preserve">Uncertainty inevitably leads to an increase in information costs. </w:t>
      </w:r>
    </w:p>
  </w:footnote>
  <w:footnote w:id="14">
    <w:p w14:paraId="0E03DF60" w14:textId="70140674" w:rsidR="00320439" w:rsidRDefault="00320439">
      <w:pPr>
        <w:pStyle w:val="FootnoteText"/>
      </w:pPr>
      <w:r>
        <w:rPr>
          <w:rStyle w:val="FootnoteReference"/>
        </w:rPr>
        <w:footnoteRef/>
      </w:r>
      <w:r>
        <w:t xml:space="preserve"> </w:t>
      </w:r>
      <w:r w:rsidRPr="00320439">
        <w:t>Dari-Mattiacci, Giuseppe, and Bruno Deffains. "Uncertainty of law and the legal process." Journal of Institutional and Theoretical Economics (JITE)/Zeitschrift für die gesamte Staatswissenschaft (2007): 6</w:t>
      </w:r>
      <w:r>
        <w:t xml:space="preserve">34.  </w:t>
      </w:r>
    </w:p>
  </w:footnote>
  <w:footnote w:id="15">
    <w:p w14:paraId="4847A46F" w14:textId="6124EE35" w:rsidR="00E249FC" w:rsidRPr="000923AA" w:rsidRDefault="00E249FC">
      <w:pPr>
        <w:pStyle w:val="FootnoteText"/>
        <w:rPr>
          <w:highlight w:val="yellow"/>
        </w:rPr>
      </w:pPr>
      <w:r>
        <w:rPr>
          <w:rStyle w:val="FootnoteReference"/>
        </w:rPr>
        <w:footnoteRef/>
      </w:r>
      <w:r>
        <w:t xml:space="preserve"> </w:t>
      </w:r>
      <w:r w:rsidR="008F7F32" w:rsidRPr="000923AA">
        <w:rPr>
          <w:highlight w:val="yellow"/>
        </w:rPr>
        <w:t>SONY CORPORATION OF AMERICA ET AL. v. UNIVERSAL CITY STUDIOS, INC., ET AL. 464 U.S. 417 (1984).</w:t>
      </w:r>
    </w:p>
  </w:footnote>
  <w:footnote w:id="16">
    <w:p w14:paraId="46A539DC" w14:textId="42A9BA4D" w:rsidR="00E249FC" w:rsidRDefault="00E249FC">
      <w:pPr>
        <w:pStyle w:val="FootnoteText"/>
      </w:pPr>
      <w:r>
        <w:rPr>
          <w:rStyle w:val="FootnoteReference"/>
        </w:rPr>
        <w:footnoteRef/>
      </w:r>
      <w:r>
        <w:t xml:space="preserve"> </w:t>
      </w:r>
      <w:r w:rsidR="008C452B" w:rsidRPr="008C452B">
        <w:t xml:space="preserve">EU Directive 2019/790. </w:t>
      </w:r>
      <w:r>
        <w:t xml:space="preserve">EU Directive on Copyrights </w:t>
      </w:r>
    </w:p>
  </w:footnote>
  <w:footnote w:id="17">
    <w:p w14:paraId="59DCCCE9" w14:textId="7A639FDB" w:rsidR="00E249FC" w:rsidRDefault="00E249FC">
      <w:pPr>
        <w:pStyle w:val="FootnoteText"/>
      </w:pPr>
      <w:r>
        <w:rPr>
          <w:rStyle w:val="FootnoteReference"/>
        </w:rPr>
        <w:footnoteRef/>
      </w:r>
      <w:r>
        <w:t xml:space="preserve"> </w:t>
      </w:r>
      <w:r w:rsidR="008C452B" w:rsidRPr="008C452B">
        <w:t xml:space="preserve">EU Directive 2019/790. </w:t>
      </w:r>
      <w:r w:rsidRPr="00E249FC">
        <w:t>EU Directive on Copyrights</w:t>
      </w:r>
    </w:p>
  </w:footnote>
  <w:footnote w:id="18">
    <w:p w14:paraId="44C8DFD5" w14:textId="3EF270C5" w:rsidR="005731C3" w:rsidRPr="005731C3" w:rsidRDefault="002C17BC" w:rsidP="005731C3">
      <w:pPr>
        <w:pStyle w:val="FootnoteText"/>
      </w:pPr>
      <w:r>
        <w:rPr>
          <w:rStyle w:val="FootnoteReference"/>
        </w:rPr>
        <w:footnoteRef/>
      </w:r>
      <w:r>
        <w:t xml:space="preserve"> </w:t>
      </w:r>
      <w:r w:rsidR="005731C3" w:rsidRPr="005731C3">
        <w:t>Berne Convention</w:t>
      </w:r>
      <w:r w:rsidR="005731C3">
        <w:t xml:space="preserve"> </w:t>
      </w:r>
      <w:r w:rsidR="005731C3" w:rsidRPr="005731C3">
        <w:t>for the Protection of Literary and Artistic Works</w:t>
      </w:r>
      <w:r w:rsidR="005731C3">
        <w:t xml:space="preserve"> 1886, as Amended through 1979. </w:t>
      </w:r>
    </w:p>
    <w:p w14:paraId="316AF472" w14:textId="4CC8F6D8" w:rsidR="002C17BC" w:rsidRDefault="002C17BC">
      <w:pPr>
        <w:pStyle w:val="FootnoteText"/>
      </w:pPr>
    </w:p>
  </w:footnote>
  <w:footnote w:id="19">
    <w:p w14:paraId="59397B56" w14:textId="77777777" w:rsidR="001E51CC" w:rsidRDefault="001E51CC" w:rsidP="001E51CC">
      <w:pPr>
        <w:pStyle w:val="FootnoteText"/>
      </w:pPr>
      <w:r>
        <w:rPr>
          <w:rStyle w:val="FootnoteReference"/>
        </w:rPr>
        <w:footnoteRef/>
      </w:r>
      <w:r w:rsidRPr="001E51CC">
        <w:t xml:space="preserve"> EU Directive 2019/790. </w:t>
      </w:r>
      <w:r>
        <w:t>According to paragraph 6, “</w:t>
      </w:r>
      <w:r w:rsidRPr="005556FE">
        <w:t>The exceptions and limitations provided for in this Directive seek to achieve a fair balance between the rights and interests of authors and other rightholders, on the one hand, and of users on the other. They can be applied only in certain special cases that do not conflict with the normal exploitation of the works or other subject matter and do not unreasonably prejudice the legitimate interests of the rightholders.</w:t>
      </w:r>
      <w:r>
        <w:t>”</w:t>
      </w:r>
    </w:p>
  </w:footnote>
  <w:footnote w:id="20">
    <w:p w14:paraId="0D3D67F7" w14:textId="77777777" w:rsidR="001E51CC" w:rsidRDefault="001E51CC" w:rsidP="001E51CC">
      <w:pPr>
        <w:pStyle w:val="FootnoteText"/>
      </w:pPr>
      <w:r>
        <w:rPr>
          <w:rStyle w:val="FootnoteReference"/>
        </w:rPr>
        <w:footnoteRef/>
      </w:r>
      <w:r>
        <w:t xml:space="preserve"> </w:t>
      </w:r>
      <w:r w:rsidRPr="005556FE">
        <w:t>EU Directive 2019/790.</w:t>
      </w:r>
      <w:r>
        <w:t xml:space="preserve"> Paragraph 14. “</w:t>
      </w:r>
      <w:r w:rsidRPr="005556FE">
        <w:t>Lawful access should be understood as covering access to content based on an open access policy or through contractual arrangements between rightholders and research organisations or cultural heritage institutions, such as subscriptions, or through other lawful means.</w:t>
      </w:r>
      <w:r>
        <w:t>”</w:t>
      </w:r>
    </w:p>
  </w:footnote>
  <w:footnote w:id="21">
    <w:p w14:paraId="39889485" w14:textId="0027AA78" w:rsidR="00F94D72" w:rsidRDefault="00F94D72">
      <w:pPr>
        <w:pStyle w:val="FootnoteText"/>
      </w:pPr>
      <w:r>
        <w:rPr>
          <w:rStyle w:val="FootnoteReference"/>
        </w:rPr>
        <w:footnoteRef/>
      </w:r>
      <w:r>
        <w:t xml:space="preserve"> </w:t>
      </w:r>
      <w:r w:rsidRPr="00F94D72">
        <w:t>‘YouTube’ and ‘Cyando’ joined cases (C</w:t>
      </w:r>
      <w:r w:rsidRPr="00F94D72">
        <w:rPr>
          <w:rFonts w:ascii="Cambria Math" w:hAnsi="Cambria Math" w:cs="Cambria Math"/>
        </w:rPr>
        <w:t>‑</w:t>
      </w:r>
      <w:r w:rsidRPr="00F94D72">
        <w:t>682/18 and C</w:t>
      </w:r>
      <w:r w:rsidRPr="00F94D72">
        <w:rPr>
          <w:rFonts w:ascii="Cambria Math" w:hAnsi="Cambria Math" w:cs="Cambria Math"/>
        </w:rPr>
        <w:t>‑</w:t>
      </w:r>
      <w:r w:rsidRPr="00F94D72">
        <w:t>683/18, EU:C:2021:503)</w:t>
      </w:r>
    </w:p>
  </w:footnote>
  <w:footnote w:id="22">
    <w:p w14:paraId="70F3879E" w14:textId="7BCFB62D" w:rsidR="00367FFA" w:rsidRPr="00367FFA" w:rsidRDefault="00367FFA">
      <w:pPr>
        <w:pStyle w:val="FootnoteText"/>
      </w:pPr>
      <w:r>
        <w:rPr>
          <w:rStyle w:val="FootnoteReference"/>
        </w:rPr>
        <w:footnoteRef/>
      </w:r>
      <w:r w:rsidRPr="00367FFA">
        <w:rPr>
          <w:lang w:val="nl-NL"/>
        </w:rPr>
        <w:t xml:space="preserve"> Code de la propriété intellectuelle,</w:t>
      </w:r>
      <w:r>
        <w:rPr>
          <w:lang w:val="nl-NL"/>
        </w:rPr>
        <w:t xml:space="preserve"> </w:t>
      </w:r>
      <w:r w:rsidRPr="00367FFA">
        <w:rPr>
          <w:lang w:val="nl-NL"/>
        </w:rPr>
        <w:t>Article L111-1</w:t>
      </w:r>
      <w:r>
        <w:rPr>
          <w:lang w:val="nl-NL"/>
        </w:rPr>
        <w:t xml:space="preserve">. </w:t>
      </w:r>
      <w:r w:rsidRPr="00367FFA">
        <w:t xml:space="preserve">Translated to English by ChatGpt. </w:t>
      </w:r>
    </w:p>
  </w:footnote>
  <w:footnote w:id="23">
    <w:p w14:paraId="01CCCCA0" w14:textId="22D3DB7C" w:rsidR="00F321D0" w:rsidRPr="00F321D0" w:rsidRDefault="00F321D0" w:rsidP="00F321D0">
      <w:pPr>
        <w:pStyle w:val="FootnoteText"/>
      </w:pPr>
      <w:r>
        <w:rPr>
          <w:rStyle w:val="FootnoteReference"/>
        </w:rPr>
        <w:footnoteRef/>
      </w:r>
      <w:r w:rsidRPr="00F321D0">
        <w:rPr>
          <w:lang w:val="nl-NL"/>
        </w:rPr>
        <w:t xml:space="preserve"> Code de la propriété intellectuelle</w:t>
      </w:r>
      <w:r>
        <w:rPr>
          <w:lang w:val="nl-NL"/>
        </w:rPr>
        <w:t xml:space="preserve">, Article L341. </w:t>
      </w:r>
      <w:r w:rsidRPr="00F321D0">
        <w:t>“</w:t>
      </w:r>
      <w:r>
        <w:t>The producer of a database, defined as the person who takes the initiative and bears the risk of the corresponding investments, benefits from protection of the content of the database when its creation, verification, or presentation demonstrates a substantial financial, material, or human investment. This protection is independent and applies without prejudice to any protection resulting from copyright or other rights in the database or any of its components.”</w:t>
      </w:r>
    </w:p>
  </w:footnote>
  <w:footnote w:id="24">
    <w:p w14:paraId="0BBB7F8F" w14:textId="08815930" w:rsidR="00D8756F" w:rsidRPr="00D8756F" w:rsidRDefault="00D8756F">
      <w:pPr>
        <w:pStyle w:val="FootnoteText"/>
      </w:pPr>
      <w:r>
        <w:rPr>
          <w:rStyle w:val="FootnoteReference"/>
        </w:rPr>
        <w:footnoteRef/>
      </w:r>
      <w:r>
        <w:t xml:space="preserve"> </w:t>
      </w:r>
      <w:r w:rsidRPr="00D8756F">
        <w:rPr>
          <w:i/>
          <w:iCs/>
          <w:lang w:val="fr-FR"/>
        </w:rPr>
        <w:t>Haute Autorité pour la Diffusion des Œuvres et la Protection des droits d'auteur sur Internet</w:t>
      </w:r>
      <w:r>
        <w:rPr>
          <w:i/>
          <w:iCs/>
          <w:lang w:val="fr-FR"/>
        </w:rPr>
        <w:t xml:space="preserve"> </w:t>
      </w:r>
      <w:r>
        <w:rPr>
          <w:lang w:val="fr-FR"/>
        </w:rPr>
        <w:t xml:space="preserve"> and </w:t>
      </w:r>
      <w:r w:rsidR="009F3ACB" w:rsidRPr="009F3ACB">
        <w:rPr>
          <w:i/>
          <w:iCs/>
          <w:lang w:val="fr-FR"/>
        </w:rPr>
        <w:t>Autorité de régulation de la communication audiovisuelle et numérique</w:t>
      </w:r>
      <w:r w:rsidR="009F3ACB">
        <w:rPr>
          <w:i/>
          <w:iCs/>
          <w:lang w:val="fr-FR"/>
        </w:rPr>
        <w:t xml:space="preserve">. </w:t>
      </w:r>
    </w:p>
  </w:footnote>
  <w:footnote w:id="25">
    <w:p w14:paraId="24FF9ED8" w14:textId="73872535" w:rsidR="008772BE" w:rsidRDefault="008772BE">
      <w:pPr>
        <w:pStyle w:val="FootnoteText"/>
      </w:pPr>
      <w:r>
        <w:rPr>
          <w:rStyle w:val="FootnoteReference"/>
        </w:rPr>
        <w:footnoteRef/>
      </w:r>
      <w:r>
        <w:t xml:space="preserve"> “</w:t>
      </w:r>
      <w:r w:rsidRPr="008772BE">
        <w:t>La Société des Gens de Lettres (SGDL), le Syndicat national des auteurs et des compositeurs (SNAC) et le Syndicat national de l’édition (SNE) agissent en justice contre Meta devant la 3e chambre du Tribunal judiciaire de Paris en raison d’une utilisation massive d’œuvres sous droits, sans autorisation de leurs auteurs et éditeurs, afin d’entraîner son modèle d’intelligence artificielle générative.</w:t>
      </w:r>
      <w:r>
        <w:t xml:space="preserve">” </w:t>
      </w:r>
      <w:r w:rsidRPr="008772BE">
        <w:t>https://www.sgdl.org/sgdl-accueil/l-actualite-sgdl/4641-communique-la-sgdl-le-snac-et-le-sne-assignent-meta-pour-imposer-le-respect-du-droit-dauteur-aux-developpeurs-doutils-dintelligence-artificielle-generative</w:t>
      </w:r>
    </w:p>
  </w:footnote>
  <w:footnote w:id="26">
    <w:p w14:paraId="21CBE3CA" w14:textId="0764CEAC" w:rsidR="00DA3DAC" w:rsidRDefault="00DA3DAC">
      <w:pPr>
        <w:pStyle w:val="FootnoteText"/>
      </w:pPr>
      <w:r>
        <w:rPr>
          <w:rStyle w:val="FootnoteReference"/>
        </w:rPr>
        <w:footnoteRef/>
      </w:r>
      <w:r>
        <w:t xml:space="preserve"> </w:t>
      </w:r>
      <w:r w:rsidRPr="00DA3DAC">
        <w:t>Reisner, A. (2025, September 10). These 183,000 books are fueling the biggest fight in publishing and tech. The Atlantic. https://www.theatlantic.com/technology/archive/2023/09/books3-database-generative-ai-training-copyright-infringement/675363/</w:t>
      </w:r>
    </w:p>
  </w:footnote>
  <w:footnote w:id="27">
    <w:p w14:paraId="3EF1543B" w14:textId="08875B8A" w:rsidR="00974C02" w:rsidRDefault="00974C02">
      <w:pPr>
        <w:pStyle w:val="FootnoteText"/>
      </w:pPr>
      <w:r>
        <w:rPr>
          <w:rStyle w:val="FootnoteReference"/>
        </w:rPr>
        <w:footnoteRef/>
      </w:r>
      <w:r>
        <w:t xml:space="preserve"> </w:t>
      </w:r>
      <w:r w:rsidRPr="00974C02">
        <w:t>Fincken, E. (2025, March 13). AI copyright legal battle reaches France. GLI. https://www.globallegalinsights.com/news/ai-copyright-legal-battle-reaches-france/</w:t>
      </w:r>
    </w:p>
  </w:footnote>
  <w:footnote w:id="28">
    <w:p w14:paraId="55C78E58" w14:textId="08BC6D99" w:rsidR="000B3A81" w:rsidRPr="000B3A81" w:rsidRDefault="000B3A81" w:rsidP="000B3A81">
      <w:pPr>
        <w:pStyle w:val="FootnoteText"/>
      </w:pPr>
      <w:r>
        <w:rPr>
          <w:rStyle w:val="FootnoteReference"/>
        </w:rPr>
        <w:footnoteRef/>
      </w:r>
      <w:r>
        <w:t xml:space="preserve"> Act on the Copyright Liability of Online Content Sharing Service Providers </w:t>
      </w:r>
      <w:r w:rsidRPr="000B3A81">
        <w:t>(Urheberrechts-Diensteanbieter-Gesetz – UrhDaG)</w:t>
      </w:r>
      <w:r>
        <w:t>.</w:t>
      </w:r>
    </w:p>
  </w:footnote>
  <w:footnote w:id="29">
    <w:p w14:paraId="49D6196A" w14:textId="64140310" w:rsidR="000B3A81" w:rsidRDefault="000B3A81">
      <w:pPr>
        <w:pStyle w:val="FootnoteText"/>
      </w:pPr>
      <w:r>
        <w:rPr>
          <w:rStyle w:val="FootnoteReference"/>
        </w:rPr>
        <w:footnoteRef/>
      </w:r>
      <w:r>
        <w:t xml:space="preserve"> UrhDaG, Section 4. </w:t>
      </w:r>
    </w:p>
  </w:footnote>
  <w:footnote w:id="30">
    <w:p w14:paraId="4F904C65" w14:textId="48B67265" w:rsidR="000B3A81" w:rsidRDefault="000B3A81">
      <w:pPr>
        <w:pStyle w:val="FootnoteText"/>
      </w:pPr>
      <w:r>
        <w:rPr>
          <w:rStyle w:val="FootnoteReference"/>
        </w:rPr>
        <w:footnoteRef/>
      </w:r>
      <w:r>
        <w:t xml:space="preserve"> </w:t>
      </w:r>
      <w:r w:rsidR="006C70A6" w:rsidRPr="006C70A6">
        <w:t>Verwertungsgesellschaftengesetz [Act on Collective Management Organizations], July 24, 2016, BGBl. I at 1857 (Ger.), last amended by Act of June 10, 2021, BGBl. I at 1654.</w:t>
      </w:r>
    </w:p>
  </w:footnote>
  <w:footnote w:id="31">
    <w:p w14:paraId="1090C610" w14:textId="35042718" w:rsidR="009642D8" w:rsidRDefault="009642D8">
      <w:pPr>
        <w:pStyle w:val="FootnoteText"/>
      </w:pPr>
      <w:r>
        <w:rPr>
          <w:rStyle w:val="FootnoteReference"/>
        </w:rPr>
        <w:footnoteRef/>
      </w:r>
      <w:r>
        <w:t xml:space="preserve"> According to sec. 97(2) of the UrhG, </w:t>
      </w:r>
      <w:r w:rsidRPr="009642D8">
        <w:rPr>
          <w:highlight w:val="yellow"/>
        </w:rPr>
        <w:t>&gt;&gt;&gt;&gt;&gt;&gt;&gt;&gt;</w:t>
      </w:r>
    </w:p>
  </w:footnote>
  <w:footnote w:id="32">
    <w:p w14:paraId="5012F8C6" w14:textId="2AF472AB" w:rsidR="006E6BC4" w:rsidRDefault="006E6BC4">
      <w:pPr>
        <w:pStyle w:val="FootnoteText"/>
      </w:pPr>
      <w:r>
        <w:rPr>
          <w:rStyle w:val="FootnoteReference"/>
        </w:rPr>
        <w:footnoteRef/>
      </w:r>
      <w:r>
        <w:t xml:space="preserve"> </w:t>
      </w:r>
      <w:r w:rsidR="00124300" w:rsidRPr="00124300">
        <w:t>Regional Court of Hamburg, 10th Civil Chamber. (2024, September 27). Robert Kneschke v. LAION e.V., 310 O 227/23 (ECLI: DE:LGHH:2024:0927.310O227.23.00).</w:t>
      </w:r>
      <w:r w:rsidRPr="006E6BC4">
        <w:t>https://www.landesrecht-hamburg.de/bsha/document/NJRE001588058</w:t>
      </w:r>
    </w:p>
  </w:footnote>
  <w:footnote w:id="33">
    <w:p w14:paraId="7544E812" w14:textId="72DAAE31" w:rsidR="006C70A6" w:rsidRDefault="006C70A6">
      <w:pPr>
        <w:pStyle w:val="FootnoteText"/>
      </w:pPr>
      <w:r>
        <w:rPr>
          <w:rStyle w:val="FootnoteReference"/>
        </w:rPr>
        <w:footnoteRef/>
      </w:r>
      <w:r>
        <w:t xml:space="preserve"> </w:t>
      </w:r>
      <w:r w:rsidRPr="006C70A6">
        <w:t>GEMA erhebt Musterklage zur Klärung der Vergütungspflicht von  KI-Anbietern in Europa. (2024, November 13). gema.de. https://www.gema.de/de/w/gema-erhebt-klage-gegen-openai</w:t>
      </w:r>
    </w:p>
  </w:footnote>
  <w:footnote w:id="34">
    <w:p w14:paraId="2B119E06" w14:textId="05638CFF" w:rsidR="006C70A6" w:rsidRDefault="006C70A6">
      <w:pPr>
        <w:pStyle w:val="FootnoteText"/>
      </w:pPr>
      <w:r>
        <w:rPr>
          <w:rStyle w:val="FootnoteReference"/>
        </w:rPr>
        <w:footnoteRef/>
      </w:r>
      <w:r>
        <w:t xml:space="preserve"> </w:t>
      </w:r>
      <w:r w:rsidRPr="006C70A6">
        <w:t>GEMA erhebt Musterklage zur Klärung der Vergütungspflicht von  KI-Anbietern in Europa. (2024, November 13). gema.de. https://www.gema.de/de/w/gema-erhebt-klage-gegen-openai</w:t>
      </w:r>
    </w:p>
  </w:footnote>
  <w:footnote w:id="35">
    <w:p w14:paraId="1E07C4F6" w14:textId="0E4B048F" w:rsidR="00292390" w:rsidRDefault="00292390">
      <w:pPr>
        <w:pStyle w:val="FootnoteText"/>
      </w:pPr>
      <w:r>
        <w:rPr>
          <w:rStyle w:val="FootnoteReference"/>
        </w:rPr>
        <w:footnoteRef/>
      </w:r>
      <w:r>
        <w:t xml:space="preserve"> </w:t>
      </w:r>
      <w:r w:rsidRPr="00292390">
        <w:t>Brein. (2025, January 27). BREIN haalt groot AI taalmodel offline - BREIN. BREIN. https://stichtingbrein.nl/brein-haalt-groot-ai-taalmodel-offline/</w:t>
      </w:r>
    </w:p>
  </w:footnote>
  <w:footnote w:id="36">
    <w:p w14:paraId="1F73FA90" w14:textId="45A46EFC" w:rsidR="00292390" w:rsidRDefault="00292390">
      <w:pPr>
        <w:pStyle w:val="FootnoteText"/>
      </w:pPr>
      <w:r>
        <w:rPr>
          <w:rStyle w:val="FootnoteReference"/>
        </w:rPr>
        <w:footnoteRef/>
      </w:r>
      <w:r>
        <w:t xml:space="preserve"> </w:t>
      </w:r>
      <w:r w:rsidRPr="00292390">
        <w:t>Brein. (2025, January 27). BREIN haalt groot AI taalmodel offline - BREIN. BREIN. https://stichtingbrein.nl/brein-haalt-groot-ai-taalmodel-offline/</w:t>
      </w:r>
    </w:p>
  </w:footnote>
  <w:footnote w:id="37">
    <w:p w14:paraId="2428C153" w14:textId="77777777" w:rsidR="00704BFF" w:rsidRDefault="0056614F" w:rsidP="00544675">
      <w:pPr>
        <w:spacing w:after="0"/>
        <w:rPr>
          <w:sz w:val="20"/>
          <w:szCs w:val="20"/>
        </w:rPr>
      </w:pPr>
      <w:r>
        <w:rPr>
          <w:rStyle w:val="FootnoteReference"/>
        </w:rPr>
        <w:footnoteRef/>
      </w:r>
      <w:r>
        <w:t xml:space="preserve"> </w:t>
      </w:r>
      <w:r w:rsidRPr="00704BFF">
        <w:rPr>
          <w:sz w:val="20"/>
          <w:szCs w:val="20"/>
        </w:rPr>
        <w:t>DPG Media B.V., Mediahuis Nederland B.V., &amp; Mediahuis NRC B.V. v. Knowledge Exchange B.V. (HowardsHome), Rechtbank Amsterdam, Oct. 30, 2024, No. C/13/737170 / HA ZA 23-690, ECLI:NL:RBAMS:2024:6563. The court identifies the 3 step test as, “Paragraph 5 of Article 5 of the Arl provides that the exceptions and limitations referred to in that article may only (i) be applied in certain special cases, provided that (ii) they do not conflict with a normal exploitation of the works or other subject-matter and (iii) do not unreasonably prejudice the interests of the rightholder (the 'three-step test').” Ph4.34</w:t>
      </w:r>
      <w:r w:rsidR="00704BFF" w:rsidRPr="00704BFF">
        <w:rPr>
          <w:sz w:val="20"/>
          <w:szCs w:val="20"/>
        </w:rPr>
        <w:t xml:space="preserve">. </w:t>
      </w:r>
    </w:p>
    <w:p w14:paraId="7B2B6E26" w14:textId="2166991C" w:rsidR="0056614F" w:rsidRDefault="00704BFF" w:rsidP="00544675">
      <w:pPr>
        <w:spacing w:after="0"/>
      </w:pPr>
      <w:r w:rsidRPr="00704BFF">
        <w:rPr>
          <w:sz w:val="20"/>
          <w:szCs w:val="20"/>
        </w:rPr>
        <w:t>Directive 2001/29/EC of the European Parliament and of the Council of 22 May 2001 on the harmonisation of certain aspects of copyright and related rights in the information society</w:t>
      </w:r>
      <w:r w:rsidR="00544675">
        <w:rPr>
          <w:sz w:val="20"/>
          <w:szCs w:val="20"/>
        </w:rPr>
        <w:t>.</w:t>
      </w:r>
    </w:p>
  </w:footnote>
  <w:footnote w:id="38">
    <w:p w14:paraId="23139C2F" w14:textId="1978F392" w:rsidR="00704BFF" w:rsidRDefault="00704BFF">
      <w:pPr>
        <w:pStyle w:val="FootnoteText"/>
      </w:pPr>
      <w:r>
        <w:rPr>
          <w:rStyle w:val="FootnoteReference"/>
        </w:rPr>
        <w:footnoteRef/>
      </w:r>
      <w:r>
        <w:t xml:space="preserve"> </w:t>
      </w:r>
      <w:r w:rsidRPr="00704BFF">
        <w:t>DPG Media et al vs. HowardsHome – A national ruling on DSM’s press publishers’ rights and TDM exceptions. (n.d.). Kluwer Copyright Blog. https://legalblogs.wolterskluwer.com/copyright-blog/dpg-media-et-al-vs-howardshome-a-national-ruling-on-dsms-press-publishers-rights-and-tdm-exceptions/</w:t>
      </w:r>
    </w:p>
  </w:footnote>
  <w:footnote w:id="39">
    <w:p w14:paraId="49353F2E" w14:textId="1DF23941" w:rsidR="00544675" w:rsidRDefault="00544675">
      <w:pPr>
        <w:pStyle w:val="FootnoteText"/>
      </w:pPr>
      <w:r>
        <w:rPr>
          <w:rStyle w:val="FootnoteReference"/>
        </w:rPr>
        <w:footnoteRef/>
      </w:r>
      <w:r>
        <w:t xml:space="preserve"> </w:t>
      </w:r>
      <w:r w:rsidRPr="00544675">
        <w:t>Stichting BREIN v. News-Service Europe B.V., Hoge Raad [Supreme Court], Jan. 27, 2023, ECLI:NL:HR:2023:94, No. 17/01135.</w:t>
      </w:r>
    </w:p>
  </w:footnote>
  <w:footnote w:id="40">
    <w:p w14:paraId="1F7BFB10" w14:textId="58E63327" w:rsidR="00743B18" w:rsidRDefault="00743B18">
      <w:pPr>
        <w:pStyle w:val="FootnoteText"/>
      </w:pPr>
      <w:r>
        <w:rPr>
          <w:rStyle w:val="FootnoteReference"/>
        </w:rPr>
        <w:footnoteRef/>
      </w:r>
      <w:r>
        <w:t xml:space="preserve"> </w:t>
      </w:r>
      <w:r w:rsidRPr="00743B18">
        <w:t>Arrangement of Act, UK ST 1988 c. 48</w:t>
      </w:r>
    </w:p>
  </w:footnote>
  <w:footnote w:id="41">
    <w:p w14:paraId="23A20158" w14:textId="3A28C499" w:rsidR="0058216D" w:rsidRDefault="0058216D">
      <w:pPr>
        <w:pStyle w:val="FootnoteText"/>
      </w:pPr>
      <w:r>
        <w:rPr>
          <w:rStyle w:val="FootnoteReference"/>
        </w:rPr>
        <w:footnoteRef/>
      </w:r>
      <w:r>
        <w:t xml:space="preserve"> </w:t>
      </w:r>
      <w:r w:rsidRPr="0058216D">
        <w:t>s. 107 Criminal liability for making or dealing with infringing articles, &amp;c., UK ST 1988 c. 48 Pt I c. VI s. 107</w:t>
      </w:r>
    </w:p>
  </w:footnote>
  <w:footnote w:id="42">
    <w:p w14:paraId="34032762" w14:textId="0C19D66B" w:rsidR="00D71760" w:rsidRDefault="00D71760">
      <w:pPr>
        <w:pStyle w:val="FootnoteText"/>
      </w:pPr>
      <w:r>
        <w:rPr>
          <w:rStyle w:val="FootnoteReference"/>
        </w:rPr>
        <w:footnoteRef/>
      </w:r>
      <w:r>
        <w:t xml:space="preserve"> US Constitution art I, § 8, cl. 8. </w:t>
      </w:r>
    </w:p>
  </w:footnote>
  <w:footnote w:id="43">
    <w:p w14:paraId="58E25ABF" w14:textId="198297A3" w:rsidR="006A1A60" w:rsidRDefault="006A1A60">
      <w:pPr>
        <w:pStyle w:val="FootnoteText"/>
      </w:pPr>
      <w:r>
        <w:rPr>
          <w:rStyle w:val="FootnoteReference"/>
        </w:rPr>
        <w:footnoteRef/>
      </w:r>
      <w:r>
        <w:t xml:space="preserve"> 17 U.S.C., also known as the Copyright Act </w:t>
      </w:r>
    </w:p>
  </w:footnote>
  <w:footnote w:id="44">
    <w:p w14:paraId="121E24E7" w14:textId="51DE07FB" w:rsidR="00D71760" w:rsidRDefault="00D71760">
      <w:pPr>
        <w:pStyle w:val="FootnoteText"/>
      </w:pPr>
      <w:r>
        <w:rPr>
          <w:rStyle w:val="FootnoteReference"/>
        </w:rPr>
        <w:footnoteRef/>
      </w:r>
      <w:r>
        <w:t xml:space="preserve"> Statute of Anne, Copyright Act of 1790. </w:t>
      </w:r>
    </w:p>
  </w:footnote>
  <w:footnote w:id="45">
    <w:p w14:paraId="7EAABADE" w14:textId="25CD0AD5" w:rsidR="006E207F" w:rsidRDefault="006E207F">
      <w:pPr>
        <w:pStyle w:val="FootnoteText"/>
      </w:pPr>
      <w:r>
        <w:rPr>
          <w:rStyle w:val="FootnoteReference"/>
        </w:rPr>
        <w:footnoteRef/>
      </w:r>
      <w:r>
        <w:t xml:space="preserve"> 17 U.S.C. §107. </w:t>
      </w:r>
    </w:p>
  </w:footnote>
  <w:footnote w:id="46">
    <w:p w14:paraId="7CA6188D" w14:textId="2A647072" w:rsidR="006A1A60" w:rsidRDefault="006A1A60">
      <w:pPr>
        <w:pStyle w:val="FootnoteText"/>
      </w:pPr>
      <w:r>
        <w:rPr>
          <w:rStyle w:val="FootnoteReference"/>
        </w:rPr>
        <w:footnoteRef/>
      </w:r>
      <w:r>
        <w:t xml:space="preserve"> </w:t>
      </w:r>
      <w:r w:rsidRPr="006A1A60">
        <w:t>18 U.S.C.A. § 2319</w:t>
      </w:r>
      <w:r>
        <w:t xml:space="preserve"> (a)</w:t>
      </w:r>
    </w:p>
  </w:footnote>
  <w:footnote w:id="47">
    <w:p w14:paraId="17D23CBD" w14:textId="79B8CFF3" w:rsidR="006A1A60" w:rsidRDefault="006A1A60">
      <w:pPr>
        <w:pStyle w:val="FootnoteText"/>
      </w:pPr>
      <w:r>
        <w:rPr>
          <w:rStyle w:val="FootnoteReference"/>
        </w:rPr>
        <w:footnoteRef/>
      </w:r>
      <w:r>
        <w:t xml:space="preserve"> </w:t>
      </w:r>
      <w:r w:rsidRPr="006A1A60">
        <w:t>18 U.S.C.A. § 2319</w:t>
      </w:r>
      <w:r>
        <w:t xml:space="preserve"> (b)(2)</w:t>
      </w:r>
    </w:p>
  </w:footnote>
  <w:footnote w:id="48">
    <w:p w14:paraId="47046264" w14:textId="048FF3D0" w:rsidR="006A1A60" w:rsidRDefault="006A1A60">
      <w:pPr>
        <w:pStyle w:val="FootnoteText"/>
      </w:pPr>
      <w:r>
        <w:rPr>
          <w:rStyle w:val="FootnoteReference"/>
        </w:rPr>
        <w:footnoteRef/>
      </w:r>
      <w:r>
        <w:t xml:space="preserve"> </w:t>
      </w:r>
      <w:r w:rsidRPr="006A1A60">
        <w:t>18 U.S.C.A. § 2319 (b)(</w:t>
      </w:r>
      <w:r>
        <w:t>1</w:t>
      </w:r>
      <w:r w:rsidRPr="006A1A60">
        <w:t>)</w:t>
      </w:r>
    </w:p>
  </w:footnote>
  <w:footnote w:id="49">
    <w:p w14:paraId="6D816F24" w14:textId="19380324" w:rsidR="003C5C17" w:rsidRDefault="003C5C17" w:rsidP="003C5C17">
      <w:pPr>
        <w:pStyle w:val="FootnoteText"/>
      </w:pPr>
      <w:r>
        <w:rPr>
          <w:rStyle w:val="FootnoteReference"/>
        </w:rPr>
        <w:footnoteRef/>
      </w:r>
      <w:r>
        <w:t xml:space="preserve"> The d</w:t>
      </w:r>
      <w:r w:rsidRPr="003C5C17">
        <w:t xml:space="preserve">issenting opinion of Justice Brandeis </w:t>
      </w:r>
      <w:r>
        <w:t xml:space="preserve">from the </w:t>
      </w:r>
      <w:r w:rsidRPr="003C5C17">
        <w:rPr>
          <w:i/>
          <w:iCs/>
        </w:rPr>
        <w:t xml:space="preserve">Louis K. Liggett Co. v. Lee </w:t>
      </w:r>
      <w:r w:rsidRPr="003C5C17">
        <w:t>(1933)</w:t>
      </w:r>
      <w:r>
        <w:t xml:space="preserve"> he addressed how “ “</w:t>
      </w:r>
      <w:r w:rsidRPr="003C5C17">
        <w:t>in states where the cost was lowest</w:t>
      </w:r>
      <w:r>
        <w:t xml:space="preserve"> </w:t>
      </w:r>
      <w:r w:rsidRPr="003C5C17">
        <w:t>and the laws least restrictive</w:t>
      </w:r>
      <w:r>
        <w:t xml:space="preserve">” </w:t>
      </w:r>
      <w:r w:rsidRPr="003C5C17">
        <w:t>due to removing limitations on firms, those states induced firms to</w:t>
      </w:r>
      <w:r>
        <w:t xml:space="preserve"> </w:t>
      </w:r>
      <w:r w:rsidRPr="003C5C17">
        <w:t>incorporate in those states.</w:t>
      </w:r>
      <w:r>
        <w:t>” (As quoted in Aubrecht 2024).</w:t>
      </w:r>
      <w:r w:rsidRPr="003C5C17">
        <w:t xml:space="preserve"> According to Justice Brandeis, </w:t>
      </w:r>
      <w:r>
        <w:t>“</w:t>
      </w:r>
      <w:r w:rsidRPr="003C5C17">
        <w:t>The</w:t>
      </w:r>
      <w:r>
        <w:t xml:space="preserve"> </w:t>
      </w:r>
      <w:r w:rsidRPr="003C5C17">
        <w:t>race was one not of diligence but of laxity. Incorporation under such laws was possible; and the great industrial States</w:t>
      </w:r>
      <w:r>
        <w:t xml:space="preserve"> </w:t>
      </w:r>
      <w:r w:rsidRPr="003C5C17">
        <w:t>yielded in order not to lose wholly the prospect of the revenue and the control incident to domestic incorporation.</w:t>
      </w:r>
      <w:r>
        <w:t xml:space="preserve">” </w:t>
      </w:r>
      <w:r w:rsidRPr="003C5C17">
        <w:rPr>
          <w:i/>
          <w:iCs/>
        </w:rPr>
        <w:t>Louis K. Liggett Co. v. Lee</w:t>
      </w:r>
      <w:r w:rsidRPr="003C5C17">
        <w:t>, (1933), pp. 559-560.</w:t>
      </w:r>
    </w:p>
  </w:footnote>
  <w:footnote w:id="50">
    <w:p w14:paraId="687C7399" w14:textId="2846F6EC" w:rsidR="000B073A" w:rsidRDefault="000B073A" w:rsidP="000B073A">
      <w:pPr>
        <w:pStyle w:val="FootnoteText"/>
      </w:pPr>
      <w:r>
        <w:rPr>
          <w:rStyle w:val="FootnoteReference"/>
        </w:rPr>
        <w:footnoteRef/>
      </w:r>
      <w:r>
        <w:t xml:space="preserve"> </w:t>
      </w:r>
      <w:r w:rsidRPr="000B073A">
        <w:t>FLEISCHER</w:t>
      </w:r>
      <w:r>
        <w:t xml:space="preserve"> comments on the issue of regulatory competition that:</w:t>
      </w:r>
      <w:r w:rsidRPr="000B073A">
        <w:t xml:space="preserve"> "The literature on regulatory competition routinely assumes that parties choose</w:t>
      </w:r>
      <w:r>
        <w:t xml:space="preserve"> </w:t>
      </w:r>
      <w:r w:rsidRPr="000B073A">
        <w:t>regulatory regimes in order to minimize transaction costs, which, in turn, is sometimes said to create a</w:t>
      </w:r>
      <w:r w:rsidRPr="000B073A">
        <w:rPr>
          <w:rFonts w:hint="eastAsia"/>
        </w:rPr>
        <w:t xml:space="preserve"> </w:t>
      </w:r>
      <w:r w:rsidRPr="000B073A">
        <w:t>“race to the</w:t>
      </w:r>
      <w:r>
        <w:t xml:space="preserve"> </w:t>
      </w:r>
      <w:r w:rsidRPr="000B073A">
        <w:t>top</w:t>
      </w:r>
      <w:r>
        <w:t>”</w:t>
      </w:r>
      <w:r w:rsidRPr="000B073A">
        <w:t xml:space="preserve"> as regulators adopt more efficient laws</w:t>
      </w:r>
      <w:r w:rsidRPr="000B073A">
        <w:rPr>
          <w:b/>
          <w:bCs/>
        </w:rPr>
        <w:t xml:space="preserve">. </w:t>
      </w:r>
      <w:r w:rsidRPr="000B073A">
        <w:t>But the presence of regulatory arbitrage distorts the process, leading to</w:t>
      </w:r>
      <w:r>
        <w:t xml:space="preserve"> </w:t>
      </w:r>
      <w:r w:rsidRPr="000B073A">
        <w:t>results that are inefficient in the short run and indeterminate in the long run. Because parties may choose to adopt a</w:t>
      </w:r>
      <w:r>
        <w:t xml:space="preserve"> </w:t>
      </w:r>
      <w:r w:rsidRPr="000B073A">
        <w:t>legal form either because it minimizes transaction costs or because it minimizes regulatory costs, or some combination</w:t>
      </w:r>
      <w:r>
        <w:t xml:space="preserve"> </w:t>
      </w:r>
      <w:r w:rsidRPr="000B073A">
        <w:t>of both, it</w:t>
      </w:r>
      <w:r>
        <w:t>’</w:t>
      </w:r>
      <w:r w:rsidRPr="000B073A">
        <w:t>s difficult to know whether new legal forms increase or decrease the overall efficiency of the system. When</w:t>
      </w:r>
      <w:r>
        <w:t xml:space="preserve"> </w:t>
      </w:r>
      <w:r w:rsidRPr="000B073A">
        <w:t>new forms are chosen because they reduce transaction costs, legal innovation presumptively increases efficiency. But</w:t>
      </w:r>
      <w:r>
        <w:t xml:space="preserve"> </w:t>
      </w:r>
      <w:r w:rsidRPr="000B073A">
        <w:t>when new forms are chosen because they reduce regulatory costs and increase transaction costs compared to the old</w:t>
      </w:r>
      <w:r>
        <w:t xml:space="preserve"> </w:t>
      </w:r>
      <w:r w:rsidRPr="000B073A">
        <w:t>structure, we lose twice: efficiency is reduced by the increase in transaction costs, and the regulatory burden is shifted</w:t>
      </w:r>
      <w:r>
        <w:t xml:space="preserve"> </w:t>
      </w:r>
      <w:r w:rsidRPr="000B073A">
        <w:t>onto those who cannot engage in arbitrage.</w:t>
      </w:r>
      <w:r w:rsidRPr="000B073A">
        <w:rPr>
          <w:rFonts w:hint="eastAsia"/>
        </w:rPr>
        <w:t>”</w:t>
      </w:r>
      <w:r w:rsidRPr="000B073A">
        <w:t xml:space="preserve"> FLEISCHER 2010, pp. 274-275.</w:t>
      </w:r>
    </w:p>
  </w:footnote>
  <w:footnote w:id="51">
    <w:p w14:paraId="0DEB34AA" w14:textId="286D4C6E" w:rsidR="003C5C17" w:rsidRDefault="003C5C17">
      <w:pPr>
        <w:pStyle w:val="FootnoteText"/>
      </w:pPr>
      <w:r>
        <w:rPr>
          <w:rStyle w:val="FootnoteReference"/>
        </w:rPr>
        <w:footnoteRef/>
      </w:r>
      <w:r>
        <w:t xml:space="preserve"> See: Aubrecht 2024 on regulatory competition. </w:t>
      </w:r>
    </w:p>
  </w:footnote>
  <w:footnote w:id="52">
    <w:p w14:paraId="12C40A1C" w14:textId="11BA3429" w:rsidR="0092633B" w:rsidRDefault="0092633B">
      <w:pPr>
        <w:pStyle w:val="FootnoteText"/>
      </w:pPr>
      <w:r>
        <w:rPr>
          <w:rStyle w:val="FootnoteReference"/>
        </w:rPr>
        <w:footnoteRef/>
      </w:r>
      <w:r>
        <w:t xml:space="preserve"> </w:t>
      </w:r>
      <w:r w:rsidRPr="0092633B">
        <w:t>POSNER 2014, p. 856.</w:t>
      </w:r>
    </w:p>
  </w:footnote>
  <w:footnote w:id="53">
    <w:p w14:paraId="2EC465F5" w14:textId="52448F4A" w:rsidR="00F00563" w:rsidRDefault="00F00563">
      <w:pPr>
        <w:pStyle w:val="FootnoteText"/>
      </w:pPr>
      <w:r>
        <w:rPr>
          <w:rStyle w:val="FootnoteReference"/>
        </w:rPr>
        <w:footnoteRef/>
      </w:r>
      <w:r>
        <w:t xml:space="preserve"> According to </w:t>
      </w:r>
      <w:r w:rsidR="00771556">
        <w:t xml:space="preserve">Caspari et al. </w:t>
      </w:r>
      <w:r>
        <w:t>“</w:t>
      </w:r>
      <w:r w:rsidRPr="00F00563">
        <w:t>Overall, few possibly memorized texts lead to possible copyright violations, meaning that individuals who sometimes use LLMs have a low risk. However, power users and companies almost certainly, at least sometimes, generate memorized content that could be protected by copyright.</w:t>
      </w:r>
      <w:r>
        <w:t>”</w:t>
      </w:r>
      <w:r w:rsidR="001B0CE8">
        <w:t xml:space="preserve">  </w:t>
      </w:r>
      <w:r w:rsidR="00A57805">
        <w:t>Caspari et al. “</w:t>
      </w:r>
      <w:r w:rsidR="007A361C">
        <w:t>Studying memorization of large language models using answers to Stack Overflow questions.</w:t>
      </w:r>
      <w:r w:rsidR="00A57805">
        <w:t xml:space="preserve">” </w:t>
      </w:r>
      <w:r w:rsidR="007A361C">
        <w:t xml:space="preserve">Transactions on Machine Learning Research. </w:t>
      </w:r>
      <w:r w:rsidR="00A57805">
        <w:t>(09/2025)</w:t>
      </w:r>
    </w:p>
  </w:footnote>
  <w:footnote w:id="54">
    <w:p w14:paraId="3556B0D4" w14:textId="18FE20C6" w:rsidR="00841BC9" w:rsidRDefault="00841BC9">
      <w:pPr>
        <w:pStyle w:val="FootnoteText"/>
      </w:pPr>
      <w:r>
        <w:rPr>
          <w:rStyle w:val="FootnoteReference"/>
        </w:rPr>
        <w:footnoteRef/>
      </w:r>
      <w:r>
        <w:t xml:space="preserve"> </w:t>
      </w:r>
      <w:r w:rsidRPr="00841BC9">
        <w:t>Bernoulli, Daniel “Exposition of a New Theory on the Measurement of Risk” Econometrica, Vol. 22, No. 1. (Jan., 1954), pp. 23-36. (originally published in 1738)</w:t>
      </w:r>
    </w:p>
  </w:footnote>
  <w:footnote w:id="55">
    <w:p w14:paraId="04C53E46" w14:textId="0BFA5814" w:rsidR="00E056A2" w:rsidRDefault="00E056A2">
      <w:pPr>
        <w:pStyle w:val="FootnoteText"/>
      </w:pPr>
      <w:r>
        <w:rPr>
          <w:rStyle w:val="FootnoteReference"/>
        </w:rPr>
        <w:footnoteRef/>
      </w:r>
      <w:r>
        <w:t xml:space="preserve"> </w:t>
      </w:r>
      <w:r w:rsidRPr="00E056A2">
        <w:t>Parisi 2013, P. 260.</w:t>
      </w:r>
    </w:p>
  </w:footnote>
  <w:footnote w:id="56">
    <w:p w14:paraId="06B0A44F" w14:textId="0FD4D0A9" w:rsidR="00771556" w:rsidRPr="00465D2C" w:rsidRDefault="00771556">
      <w:pPr>
        <w:pStyle w:val="FootnoteText"/>
      </w:pPr>
      <w:r>
        <w:rPr>
          <w:rStyle w:val="FootnoteReference"/>
        </w:rPr>
        <w:footnoteRef/>
      </w:r>
      <w:r>
        <w:t xml:space="preserve"> </w:t>
      </w:r>
      <w:r w:rsidRPr="00465D2C">
        <w:t xml:space="preserve">Path Dependency. According to Parisi, “path dependency indicates that “history matters,” in the sense that past decisions affect current economic choices.” </w:t>
      </w:r>
    </w:p>
  </w:footnote>
  <w:footnote w:id="57">
    <w:p w14:paraId="44E880ED" w14:textId="7549219B" w:rsidR="007C39C9" w:rsidRPr="00465D2C" w:rsidRDefault="007C39C9" w:rsidP="00771556">
      <w:pPr>
        <w:pStyle w:val="FootnoteText"/>
      </w:pPr>
      <w:r w:rsidRPr="00465D2C">
        <w:rPr>
          <w:rStyle w:val="FootnoteReference"/>
        </w:rPr>
        <w:footnoteRef/>
      </w:r>
      <w:r w:rsidRPr="00465D2C">
        <w:t xml:space="preserve"> According to Aubrecht “</w:t>
      </w:r>
      <w:r w:rsidR="00771556" w:rsidRPr="00465D2C">
        <w:t xml:space="preserve">The doctrine of stare decisis relies on common law judges making efficient and workable laws, or in other words, "good law". The doctrine of </w:t>
      </w:r>
      <w:r w:rsidR="00771556" w:rsidRPr="00465D2C">
        <w:rPr>
          <w:i/>
          <w:iCs/>
        </w:rPr>
        <w:t>jurisprudence constante</w:t>
      </w:r>
      <w:r w:rsidR="00771556" w:rsidRPr="00465D2C">
        <w:t xml:space="preserve"> used in civil law jurisdictions is also dependent, though to a different extent, on judges making "good" law.” Additionally, Aubrecht comments that “Code interpretation in civil law jurisdiction can also be considered as a type of public good, and the legal doctrine of </w:t>
      </w:r>
      <w:r w:rsidR="00771556" w:rsidRPr="00465D2C">
        <w:rPr>
          <w:i/>
          <w:iCs/>
        </w:rPr>
        <w:t>jurisprudence constante</w:t>
      </w:r>
      <w:r w:rsidR="00771556" w:rsidRPr="00465D2C">
        <w:t xml:space="preserve"> or </w:t>
      </w:r>
      <w:r w:rsidR="00771556" w:rsidRPr="00465D2C">
        <w:rPr>
          <w:i/>
          <w:iCs/>
        </w:rPr>
        <w:t>arret de principe</w:t>
      </w:r>
      <w:r w:rsidR="00771556" w:rsidRPr="00465D2C">
        <w:t xml:space="preserve"> (a “doctrine under which a court is required to take past decisions into account only if there is sufficient uniformity in previous case law”), which is used in some civil law jurisdictions, can be seen as a similar but distinct legal doctrine from </w:t>
      </w:r>
      <w:r w:rsidR="00771556" w:rsidRPr="00465D2C">
        <w:rPr>
          <w:i/>
          <w:iCs/>
        </w:rPr>
        <w:t>stare decisis</w:t>
      </w:r>
      <w:r w:rsidR="00771556" w:rsidRPr="00465D2C">
        <w:t xml:space="preserve">. While </w:t>
      </w:r>
      <w:r w:rsidR="00771556" w:rsidRPr="00465D2C">
        <w:rPr>
          <w:i/>
          <w:iCs/>
        </w:rPr>
        <w:t>jurisprudence constante</w:t>
      </w:r>
      <w:r w:rsidR="00771556" w:rsidRPr="00465D2C">
        <w:t xml:space="preserve"> influences how code interpretation and gap filling are produced by courts in civil law jurisdictions, both the </w:t>
      </w:r>
      <w:r w:rsidR="00771556" w:rsidRPr="00465D2C">
        <w:rPr>
          <w:i/>
          <w:iCs/>
        </w:rPr>
        <w:t>stare decisis</w:t>
      </w:r>
      <w:r w:rsidR="00771556" w:rsidRPr="00465D2C">
        <w:t xml:space="preserve"> and </w:t>
      </w:r>
      <w:r w:rsidR="00771556" w:rsidRPr="00465D2C">
        <w:rPr>
          <w:i/>
          <w:iCs/>
        </w:rPr>
        <w:t>jurisprudence constante</w:t>
      </w:r>
      <w:r w:rsidR="00771556" w:rsidRPr="00465D2C">
        <w:t xml:space="preserve"> doctrines play an important role in how public goods from litigation are produced by courts in common law and civil law legal traditions.”  Aubrecht 2024, pp. 50, 219. Citing to PARISI and FON 2009, p. 80.</w:t>
      </w:r>
    </w:p>
  </w:footnote>
  <w:footnote w:id="58">
    <w:p w14:paraId="33853C10" w14:textId="742344BB" w:rsidR="00465D2C" w:rsidRPr="00465D2C" w:rsidRDefault="00465D2C">
      <w:pPr>
        <w:pStyle w:val="FootnoteText"/>
      </w:pPr>
      <w:r w:rsidRPr="00465D2C">
        <w:rPr>
          <w:rStyle w:val="FootnoteReference"/>
        </w:rPr>
        <w:footnoteRef/>
      </w:r>
      <w:r w:rsidRPr="00465D2C">
        <w:t xml:space="preserve"> </w:t>
      </w:r>
      <w:r>
        <w:t xml:space="preserve">For a general analysis of strategic behavior in litigation by firms see: </w:t>
      </w:r>
      <w:r w:rsidRPr="00465D2C">
        <w:t>Galanter, Marc. "Why the “haves” come out ahead: Speculations on the limits of legal change." Law &amp; society review 9.1 (1974): 95-160.</w:t>
      </w:r>
    </w:p>
  </w:footnote>
  <w:footnote w:id="59">
    <w:p w14:paraId="01037D01" w14:textId="3F8BFA65" w:rsidR="008F0341" w:rsidRPr="00465D2C" w:rsidRDefault="008F0341" w:rsidP="008F0341">
      <w:pPr>
        <w:pStyle w:val="FootnoteText"/>
      </w:pPr>
      <w:r w:rsidRPr="00465D2C">
        <w:rPr>
          <w:rStyle w:val="FootnoteReference"/>
        </w:rPr>
        <w:footnoteRef/>
      </w:r>
      <w:r w:rsidRPr="00465D2C">
        <w:t xml:space="preserve"> This can be thought of in terms of the “Integral Accident” which was identified by Paul Virilio. According to Virilio “To invent the sailing ship or the steamer is to invent the shipwreck. To invent the train is to invent the rail accident of derailment. To invent the family automobile is to produce the pile-up on the highway.” P. Virilio, </w:t>
      </w:r>
      <w:r w:rsidRPr="00465D2C">
        <w:rPr>
          <w:i/>
          <w:iCs/>
        </w:rPr>
        <w:t>The original accident</w:t>
      </w:r>
      <w:r w:rsidRPr="00465D2C">
        <w:t xml:space="preserve">. (2007) Polity. P. 10. </w:t>
      </w:r>
    </w:p>
  </w:footnote>
  <w:footnote w:id="60">
    <w:p w14:paraId="473A3EB4" w14:textId="4697E04A" w:rsidR="005D25C2" w:rsidRDefault="005D25C2" w:rsidP="005D25C2">
      <w:pPr>
        <w:pStyle w:val="FootnoteText"/>
      </w:pPr>
      <w:r>
        <w:rPr>
          <w:rStyle w:val="FootnoteReference"/>
        </w:rPr>
        <w:footnoteRef/>
      </w:r>
      <w:r>
        <w:t xml:space="preserve"> According to Judge William Alsup, “the purpose and character of using copyrighted works to train LLMs to generate new text was quintessentially transformative. Like any reader aspiring to be a writer, Anthropic's LLMs trained upon works not to race ahead and replicate or supplant them — but to turn a hard corner and create something different. If this training process reasonably required making copies within the LLM or otherwise, those copies were engaged in a transformative use.” </w:t>
      </w:r>
      <w:r w:rsidRPr="005D25C2">
        <w:rPr>
          <w:i/>
          <w:iCs/>
        </w:rPr>
        <w:t>Bartz v. Anthropic PBC</w:t>
      </w:r>
      <w:r>
        <w:t>, No. C 24-05417 WHA, 2025 WL 1741691, at *8 (N.D. Cal. June 23, 2025)</w:t>
      </w:r>
    </w:p>
  </w:footnote>
  <w:footnote w:id="61">
    <w:p w14:paraId="02C8C075" w14:textId="77777777" w:rsidR="00771556" w:rsidRDefault="008F0341">
      <w:pPr>
        <w:pStyle w:val="FootnoteText"/>
      </w:pPr>
      <w:r>
        <w:rPr>
          <w:rStyle w:val="FootnoteReference"/>
        </w:rPr>
        <w:footnoteRef/>
      </w:r>
      <w:r>
        <w:t xml:space="preserve"> </w:t>
      </w:r>
      <w:r w:rsidRPr="008F0341">
        <w:t xml:space="preserve">The Associated Press. “Judge Skewers $1.5 Billion Anthropic Settlement With Authors in Pirated Books Case Over AI Training.” CNBC, 9 Sept. 2025, </w:t>
      </w:r>
      <w:hyperlink r:id="rId1" w:history="1">
        <w:r w:rsidR="00771556" w:rsidRPr="00842CD8">
          <w:rPr>
            <w:rStyle w:val="Hyperlink"/>
          </w:rPr>
          <w:t>www.cnbc.com/2025/09/08/judge-skewers-1point5-billion-anthropic-settlement-with-authors-in-pirated-books-case-over-ai-training.html</w:t>
        </w:r>
      </w:hyperlink>
      <w:r w:rsidRPr="008F0341">
        <w:t>.</w:t>
      </w:r>
      <w:r w:rsidR="00771556">
        <w:t xml:space="preserve"> </w:t>
      </w:r>
    </w:p>
    <w:p w14:paraId="23027D11" w14:textId="6A8BFC94" w:rsidR="008F0341" w:rsidRDefault="00771556">
      <w:pPr>
        <w:pStyle w:val="FootnoteText"/>
      </w:pPr>
      <w:r w:rsidRPr="00771556">
        <w:t>“Judge Skewers $1.5 Billion Anthropic Settlement With Authors in Pirated Books Case Over AI Training.” CNBC, 9 Sept. 2025, www.cnbc.com/2025/09/08/judge-skewers-1point5-billion-anthropic-settlement-with-authors-in-pirated-books-case-over-ai-training.html.</w:t>
      </w:r>
    </w:p>
  </w:footnote>
  <w:footnote w:id="62">
    <w:p w14:paraId="588A2FEC" w14:textId="77777777" w:rsidR="004162C3" w:rsidRDefault="004162C3" w:rsidP="004162C3">
      <w:pPr>
        <w:pStyle w:val="FootnoteText"/>
      </w:pPr>
      <w:r>
        <w:rPr>
          <w:rStyle w:val="FootnoteReference"/>
        </w:rPr>
        <w:footnoteRef/>
      </w:r>
      <w:r>
        <w:t xml:space="preserve"> </w:t>
      </w:r>
      <w:r w:rsidRPr="00503321">
        <w:rPr>
          <w:highlight w:val="yellow"/>
        </w:rPr>
        <w:t>Citation to how LLM Functions</w:t>
      </w:r>
    </w:p>
  </w:footnote>
  <w:footnote w:id="63">
    <w:p w14:paraId="485D5AAF" w14:textId="77777777" w:rsidR="004162C3" w:rsidRDefault="004162C3" w:rsidP="004162C3">
      <w:pPr>
        <w:pStyle w:val="FootnoteText"/>
      </w:pPr>
      <w:r>
        <w:rPr>
          <w:rStyle w:val="FootnoteReference"/>
        </w:rPr>
        <w:footnoteRef/>
      </w:r>
      <w:r>
        <w:t xml:space="preserve"> Creative Commons </w:t>
      </w:r>
    </w:p>
  </w:footnote>
  <w:footnote w:id="64">
    <w:p w14:paraId="406CBF45" w14:textId="77777777" w:rsidR="004162C3" w:rsidRDefault="004162C3" w:rsidP="004162C3">
      <w:pPr>
        <w:pStyle w:val="FootnoteText"/>
      </w:pPr>
      <w:r>
        <w:rPr>
          <w:rStyle w:val="FootnoteReference"/>
        </w:rPr>
        <w:footnoteRef/>
      </w:r>
      <w:r>
        <w:t xml:space="preserve"> One famous example of a copyright protected work becoming public domain is the film “It’s a Wonderful Life”, where the owner failed to renew the copyright and the film lapsed into public domain. Interestingly, the film became more popular once the rights had been lost due to broadcasters increasing telecasts of the film because they did not have to pay a licensing fee.</w:t>
      </w:r>
    </w:p>
  </w:footnote>
  <w:footnote w:id="65">
    <w:p w14:paraId="099E2071" w14:textId="700580D4" w:rsidR="009A147F" w:rsidRDefault="009A147F">
      <w:pPr>
        <w:pStyle w:val="FootnoteText"/>
      </w:pPr>
      <w:r>
        <w:rPr>
          <w:rStyle w:val="FootnoteReference"/>
        </w:rPr>
        <w:footnoteRef/>
      </w:r>
      <w:r>
        <w:t xml:space="preserve"> For ana analysis on strategic behavior by repeat player firms in litigation see: </w:t>
      </w:r>
      <w:r w:rsidRPr="009A147F">
        <w:t>Galanter, Marc. "Why the “haves” come out ahead: Speculations on the limits of legal change." Law &amp; society review 9.1 (1974): 95-160.</w:t>
      </w:r>
    </w:p>
  </w:footnote>
  <w:footnote w:id="66">
    <w:p w14:paraId="0413FEB4" w14:textId="6F477846" w:rsidR="00C351AD" w:rsidRDefault="00C351AD">
      <w:pPr>
        <w:pStyle w:val="FootnoteText"/>
      </w:pPr>
      <w:r>
        <w:rPr>
          <w:rStyle w:val="FootnoteReference"/>
        </w:rPr>
        <w:footnoteRef/>
      </w:r>
      <w:r>
        <w:t xml:space="preserve"> </w:t>
      </w:r>
      <w:r w:rsidRPr="00C351AD">
        <w:t xml:space="preserve">Becker, Gary S. </w:t>
      </w:r>
      <w:r w:rsidR="00530E38">
        <w:t>“</w:t>
      </w:r>
      <w:r w:rsidRPr="00C351AD">
        <w:t>Crime and punishment: An economic approach.</w:t>
      </w:r>
      <w:r w:rsidR="00530E38">
        <w:t>”</w:t>
      </w:r>
      <w:r w:rsidRPr="00C351AD">
        <w:t xml:space="preserve"> Journal of political economy 76.2 (1968): 169-217.</w:t>
      </w:r>
    </w:p>
  </w:footnote>
  <w:footnote w:id="67">
    <w:p w14:paraId="7415F710" w14:textId="5D690EFA" w:rsidR="00C351AD" w:rsidRDefault="00C351AD">
      <w:pPr>
        <w:pStyle w:val="FootnoteText"/>
      </w:pPr>
      <w:r>
        <w:rPr>
          <w:rStyle w:val="FootnoteReference"/>
        </w:rPr>
        <w:footnoteRef/>
      </w:r>
      <w:r>
        <w:t xml:space="preserve"> Parisi, Francesco </w:t>
      </w:r>
      <w:r w:rsidR="00530E38">
        <w:t>“</w:t>
      </w:r>
      <w:r>
        <w:t>The Language of law and Economics</w:t>
      </w:r>
      <w:r w:rsidR="00530E38">
        <w:t>.</w:t>
      </w:r>
      <w:r>
        <w:t>” 2013, Cambridge University Press. Page 24</w:t>
      </w:r>
      <w:r w:rsidR="00530E38">
        <w:t>.</w:t>
      </w:r>
    </w:p>
  </w:footnote>
  <w:footnote w:id="68">
    <w:p w14:paraId="674E9209" w14:textId="0AD01216" w:rsidR="00741854" w:rsidRDefault="00741854" w:rsidP="00741854">
      <w:pPr>
        <w:pStyle w:val="FootnoteText"/>
      </w:pPr>
      <w:r>
        <w:rPr>
          <w:rStyle w:val="FootnoteReference"/>
        </w:rPr>
        <w:footnoteRef/>
      </w:r>
      <w:r>
        <w:t xml:space="preserve"> Becker 1968, p 45. Furthermore “ ‘Optimal’ decisions are interpreted to mean decisions that minimize</w:t>
      </w:r>
    </w:p>
    <w:p w14:paraId="258C3711" w14:textId="0C5B4D4B" w:rsidR="00741854" w:rsidRDefault="00741854" w:rsidP="00741854">
      <w:pPr>
        <w:pStyle w:val="FootnoteText"/>
      </w:pPr>
      <w:r>
        <w:t xml:space="preserve">the social loss in income from offenses. This loss is the sum of damages, costs of apprehension and conviction, and costs of carrying out the punishments imposed”. Becker 1968, Page 43. </w:t>
      </w:r>
    </w:p>
  </w:footnote>
  <w:footnote w:id="69">
    <w:p w14:paraId="58DFCAD2" w14:textId="55CF777C" w:rsidR="00741854" w:rsidRDefault="00741854">
      <w:pPr>
        <w:pStyle w:val="FootnoteText"/>
      </w:pPr>
      <w:r>
        <w:rPr>
          <w:rStyle w:val="FootnoteReference"/>
        </w:rPr>
        <w:footnoteRef/>
      </w:r>
      <w:r>
        <w:t xml:space="preserve"> Parisi 2013, p. 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C6A3" w14:textId="7CDFEBA7" w:rsidR="00BB2A4E" w:rsidRDefault="007A6B46">
    <w:pPr>
      <w:pStyle w:val="Header"/>
    </w:pPr>
    <w:r>
      <w:rPr>
        <w:noProof/>
      </w:rPr>
      <w:pict w14:anchorId="28EF3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790204" o:spid="_x0000_s1026"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DBED" w14:textId="42425B64" w:rsidR="00BB2A4E" w:rsidRDefault="007A6B46">
    <w:pPr>
      <w:pStyle w:val="Header"/>
    </w:pPr>
    <w:r>
      <w:rPr>
        <w:noProof/>
      </w:rPr>
      <w:pict w14:anchorId="0E67E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790205" o:spid="_x0000_s1027"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3DF2" w14:textId="58379547" w:rsidR="00BB2A4E" w:rsidRDefault="007A6B46">
    <w:pPr>
      <w:pStyle w:val="Header"/>
    </w:pPr>
    <w:r>
      <w:rPr>
        <w:noProof/>
      </w:rPr>
      <w:pict w14:anchorId="46B63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790203" o:spid="_x0000_s1025"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C4CA9"/>
    <w:multiLevelType w:val="hybridMultilevel"/>
    <w:tmpl w:val="EFC4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98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1"/>
    <w:rsid w:val="000269E1"/>
    <w:rsid w:val="00027170"/>
    <w:rsid w:val="00030A30"/>
    <w:rsid w:val="000404D9"/>
    <w:rsid w:val="00041A72"/>
    <w:rsid w:val="00044196"/>
    <w:rsid w:val="0006428B"/>
    <w:rsid w:val="0008095C"/>
    <w:rsid w:val="00091BEF"/>
    <w:rsid w:val="000923AA"/>
    <w:rsid w:val="00094B40"/>
    <w:rsid w:val="0009679E"/>
    <w:rsid w:val="000A1CB1"/>
    <w:rsid w:val="000B073A"/>
    <w:rsid w:val="000B3A81"/>
    <w:rsid w:val="000C1822"/>
    <w:rsid w:val="000C37CE"/>
    <w:rsid w:val="000C4A62"/>
    <w:rsid w:val="000D2FAF"/>
    <w:rsid w:val="000D5305"/>
    <w:rsid w:val="000E30E3"/>
    <w:rsid w:val="000E7F37"/>
    <w:rsid w:val="000F278C"/>
    <w:rsid w:val="000F5389"/>
    <w:rsid w:val="0010332F"/>
    <w:rsid w:val="00104717"/>
    <w:rsid w:val="001206C2"/>
    <w:rsid w:val="00124300"/>
    <w:rsid w:val="0014024B"/>
    <w:rsid w:val="00142C80"/>
    <w:rsid w:val="00152239"/>
    <w:rsid w:val="00163180"/>
    <w:rsid w:val="00165B50"/>
    <w:rsid w:val="00170447"/>
    <w:rsid w:val="00177F75"/>
    <w:rsid w:val="0018106A"/>
    <w:rsid w:val="00187BA8"/>
    <w:rsid w:val="00190AEB"/>
    <w:rsid w:val="001A2EB6"/>
    <w:rsid w:val="001A4E64"/>
    <w:rsid w:val="001B067F"/>
    <w:rsid w:val="001B0CE8"/>
    <w:rsid w:val="001B3A85"/>
    <w:rsid w:val="001B49A5"/>
    <w:rsid w:val="001C0EF7"/>
    <w:rsid w:val="001D210D"/>
    <w:rsid w:val="001D5C0E"/>
    <w:rsid w:val="001E51CC"/>
    <w:rsid w:val="001F0218"/>
    <w:rsid w:val="00214428"/>
    <w:rsid w:val="00215300"/>
    <w:rsid w:val="002153C6"/>
    <w:rsid w:val="00215AED"/>
    <w:rsid w:val="00216925"/>
    <w:rsid w:val="00216CA5"/>
    <w:rsid w:val="00220E85"/>
    <w:rsid w:val="00226267"/>
    <w:rsid w:val="00235CB8"/>
    <w:rsid w:val="002442A9"/>
    <w:rsid w:val="002662FC"/>
    <w:rsid w:val="0027315F"/>
    <w:rsid w:val="00275F90"/>
    <w:rsid w:val="00280BB3"/>
    <w:rsid w:val="00292390"/>
    <w:rsid w:val="002B34C5"/>
    <w:rsid w:val="002C0021"/>
    <w:rsid w:val="002C086B"/>
    <w:rsid w:val="002C17BC"/>
    <w:rsid w:val="002C2E6F"/>
    <w:rsid w:val="002C7129"/>
    <w:rsid w:val="002F30BA"/>
    <w:rsid w:val="00304858"/>
    <w:rsid w:val="003056E0"/>
    <w:rsid w:val="0030731D"/>
    <w:rsid w:val="00320439"/>
    <w:rsid w:val="00322881"/>
    <w:rsid w:val="003303F0"/>
    <w:rsid w:val="003306B8"/>
    <w:rsid w:val="00333DD0"/>
    <w:rsid w:val="00340A4E"/>
    <w:rsid w:val="003435BD"/>
    <w:rsid w:val="00360474"/>
    <w:rsid w:val="00367FFA"/>
    <w:rsid w:val="00393F02"/>
    <w:rsid w:val="003A434B"/>
    <w:rsid w:val="003A50CF"/>
    <w:rsid w:val="003A6274"/>
    <w:rsid w:val="003A67D1"/>
    <w:rsid w:val="003B279A"/>
    <w:rsid w:val="003C2226"/>
    <w:rsid w:val="003C5C17"/>
    <w:rsid w:val="003C64EA"/>
    <w:rsid w:val="003C6CF5"/>
    <w:rsid w:val="003D3E5E"/>
    <w:rsid w:val="003E37C3"/>
    <w:rsid w:val="004035F5"/>
    <w:rsid w:val="004052A6"/>
    <w:rsid w:val="004162C3"/>
    <w:rsid w:val="00417607"/>
    <w:rsid w:val="0043174C"/>
    <w:rsid w:val="00432218"/>
    <w:rsid w:val="004346B6"/>
    <w:rsid w:val="00442BD2"/>
    <w:rsid w:val="004573FE"/>
    <w:rsid w:val="00465D2C"/>
    <w:rsid w:val="00471216"/>
    <w:rsid w:val="00477B63"/>
    <w:rsid w:val="004B0B95"/>
    <w:rsid w:val="004C6625"/>
    <w:rsid w:val="004D1D29"/>
    <w:rsid w:val="004D699C"/>
    <w:rsid w:val="004F6F70"/>
    <w:rsid w:val="0050085C"/>
    <w:rsid w:val="00503321"/>
    <w:rsid w:val="00512BD9"/>
    <w:rsid w:val="00530E38"/>
    <w:rsid w:val="005320F1"/>
    <w:rsid w:val="00535D22"/>
    <w:rsid w:val="00540CD2"/>
    <w:rsid w:val="00544675"/>
    <w:rsid w:val="005459D4"/>
    <w:rsid w:val="00550550"/>
    <w:rsid w:val="00554114"/>
    <w:rsid w:val="005556FE"/>
    <w:rsid w:val="00561DFF"/>
    <w:rsid w:val="0056614F"/>
    <w:rsid w:val="00572C75"/>
    <w:rsid w:val="005731C3"/>
    <w:rsid w:val="0058216D"/>
    <w:rsid w:val="00585CBD"/>
    <w:rsid w:val="00593F8A"/>
    <w:rsid w:val="005A5A6F"/>
    <w:rsid w:val="005B6211"/>
    <w:rsid w:val="005D25C2"/>
    <w:rsid w:val="005D49A7"/>
    <w:rsid w:val="005D77B2"/>
    <w:rsid w:val="005E6565"/>
    <w:rsid w:val="006112D2"/>
    <w:rsid w:val="00613C80"/>
    <w:rsid w:val="00622C38"/>
    <w:rsid w:val="00622CA9"/>
    <w:rsid w:val="00625FB6"/>
    <w:rsid w:val="00643CCA"/>
    <w:rsid w:val="00644496"/>
    <w:rsid w:val="00662459"/>
    <w:rsid w:val="006774DD"/>
    <w:rsid w:val="0068421D"/>
    <w:rsid w:val="0068683E"/>
    <w:rsid w:val="00695E47"/>
    <w:rsid w:val="0069687C"/>
    <w:rsid w:val="006A1A60"/>
    <w:rsid w:val="006A4924"/>
    <w:rsid w:val="006B1311"/>
    <w:rsid w:val="006B1CD9"/>
    <w:rsid w:val="006C70A6"/>
    <w:rsid w:val="006E207F"/>
    <w:rsid w:val="006E682D"/>
    <w:rsid w:val="006E6BC4"/>
    <w:rsid w:val="006E7195"/>
    <w:rsid w:val="00704BFF"/>
    <w:rsid w:val="007075D2"/>
    <w:rsid w:val="007152CE"/>
    <w:rsid w:val="007174C4"/>
    <w:rsid w:val="00726A74"/>
    <w:rsid w:val="0073200F"/>
    <w:rsid w:val="00741854"/>
    <w:rsid w:val="00743B18"/>
    <w:rsid w:val="00745A9A"/>
    <w:rsid w:val="00747027"/>
    <w:rsid w:val="0076158A"/>
    <w:rsid w:val="007642BF"/>
    <w:rsid w:val="007712F3"/>
    <w:rsid w:val="00771556"/>
    <w:rsid w:val="00774463"/>
    <w:rsid w:val="007A0D50"/>
    <w:rsid w:val="007A361C"/>
    <w:rsid w:val="007C0F36"/>
    <w:rsid w:val="007C29B8"/>
    <w:rsid w:val="007C39C9"/>
    <w:rsid w:val="007D6D3E"/>
    <w:rsid w:val="007F2BEB"/>
    <w:rsid w:val="007F6769"/>
    <w:rsid w:val="007F79D4"/>
    <w:rsid w:val="00814EE9"/>
    <w:rsid w:val="00820B05"/>
    <w:rsid w:val="00824C1A"/>
    <w:rsid w:val="00831858"/>
    <w:rsid w:val="00841BC9"/>
    <w:rsid w:val="00843791"/>
    <w:rsid w:val="00846664"/>
    <w:rsid w:val="00855A6E"/>
    <w:rsid w:val="008772BE"/>
    <w:rsid w:val="00882AA7"/>
    <w:rsid w:val="00894132"/>
    <w:rsid w:val="0089450B"/>
    <w:rsid w:val="008961B6"/>
    <w:rsid w:val="008A52FE"/>
    <w:rsid w:val="008C452B"/>
    <w:rsid w:val="008D44FA"/>
    <w:rsid w:val="008D5422"/>
    <w:rsid w:val="008E072F"/>
    <w:rsid w:val="008F0341"/>
    <w:rsid w:val="008F7F32"/>
    <w:rsid w:val="009005CC"/>
    <w:rsid w:val="009035CC"/>
    <w:rsid w:val="0092633B"/>
    <w:rsid w:val="009274CB"/>
    <w:rsid w:val="00947190"/>
    <w:rsid w:val="009642D8"/>
    <w:rsid w:val="0096520F"/>
    <w:rsid w:val="009658EC"/>
    <w:rsid w:val="00965907"/>
    <w:rsid w:val="00972E02"/>
    <w:rsid w:val="00974C02"/>
    <w:rsid w:val="0098350C"/>
    <w:rsid w:val="00983F0F"/>
    <w:rsid w:val="00984D63"/>
    <w:rsid w:val="00987BAF"/>
    <w:rsid w:val="009947A2"/>
    <w:rsid w:val="009A147F"/>
    <w:rsid w:val="009A6993"/>
    <w:rsid w:val="009B51BD"/>
    <w:rsid w:val="009B7745"/>
    <w:rsid w:val="009C43B4"/>
    <w:rsid w:val="009E3C9E"/>
    <w:rsid w:val="009E63D0"/>
    <w:rsid w:val="009F3ACB"/>
    <w:rsid w:val="009F73EC"/>
    <w:rsid w:val="00A06CB9"/>
    <w:rsid w:val="00A10B49"/>
    <w:rsid w:val="00A1173D"/>
    <w:rsid w:val="00A167E2"/>
    <w:rsid w:val="00A17239"/>
    <w:rsid w:val="00A22072"/>
    <w:rsid w:val="00A274C2"/>
    <w:rsid w:val="00A46259"/>
    <w:rsid w:val="00A57805"/>
    <w:rsid w:val="00A663A5"/>
    <w:rsid w:val="00A70DBE"/>
    <w:rsid w:val="00A8625A"/>
    <w:rsid w:val="00A96D46"/>
    <w:rsid w:val="00AC5B18"/>
    <w:rsid w:val="00AD1606"/>
    <w:rsid w:val="00AD3F28"/>
    <w:rsid w:val="00AD5D0D"/>
    <w:rsid w:val="00AE13F1"/>
    <w:rsid w:val="00AE2F7C"/>
    <w:rsid w:val="00AE436F"/>
    <w:rsid w:val="00AE5124"/>
    <w:rsid w:val="00AE57A5"/>
    <w:rsid w:val="00AE6922"/>
    <w:rsid w:val="00AE717B"/>
    <w:rsid w:val="00AE72C8"/>
    <w:rsid w:val="00B01B80"/>
    <w:rsid w:val="00B0329D"/>
    <w:rsid w:val="00B14E80"/>
    <w:rsid w:val="00B20C92"/>
    <w:rsid w:val="00B2763B"/>
    <w:rsid w:val="00B303DB"/>
    <w:rsid w:val="00B35DA6"/>
    <w:rsid w:val="00B40ACA"/>
    <w:rsid w:val="00B50AB1"/>
    <w:rsid w:val="00B53A56"/>
    <w:rsid w:val="00B75C8F"/>
    <w:rsid w:val="00B81164"/>
    <w:rsid w:val="00B93C8A"/>
    <w:rsid w:val="00B9740C"/>
    <w:rsid w:val="00BA4D83"/>
    <w:rsid w:val="00BB2A4E"/>
    <w:rsid w:val="00BB6F31"/>
    <w:rsid w:val="00BC0E6F"/>
    <w:rsid w:val="00BC7E90"/>
    <w:rsid w:val="00BD4089"/>
    <w:rsid w:val="00BD4FCE"/>
    <w:rsid w:val="00BD732E"/>
    <w:rsid w:val="00BE0273"/>
    <w:rsid w:val="00BE5760"/>
    <w:rsid w:val="00BF0EDE"/>
    <w:rsid w:val="00C02871"/>
    <w:rsid w:val="00C03A1D"/>
    <w:rsid w:val="00C11F0A"/>
    <w:rsid w:val="00C174EC"/>
    <w:rsid w:val="00C244C7"/>
    <w:rsid w:val="00C31EA0"/>
    <w:rsid w:val="00C351AD"/>
    <w:rsid w:val="00C35EF9"/>
    <w:rsid w:val="00C363C9"/>
    <w:rsid w:val="00C5069C"/>
    <w:rsid w:val="00C6520F"/>
    <w:rsid w:val="00C733EA"/>
    <w:rsid w:val="00C80B39"/>
    <w:rsid w:val="00CA7DF7"/>
    <w:rsid w:val="00CB35EE"/>
    <w:rsid w:val="00CB4A3C"/>
    <w:rsid w:val="00CD25EA"/>
    <w:rsid w:val="00CF601D"/>
    <w:rsid w:val="00D02734"/>
    <w:rsid w:val="00D038B1"/>
    <w:rsid w:val="00D34DEA"/>
    <w:rsid w:val="00D36262"/>
    <w:rsid w:val="00D410C9"/>
    <w:rsid w:val="00D63DEF"/>
    <w:rsid w:val="00D71760"/>
    <w:rsid w:val="00D86A67"/>
    <w:rsid w:val="00D8756F"/>
    <w:rsid w:val="00DA01B6"/>
    <w:rsid w:val="00DA3DAC"/>
    <w:rsid w:val="00DB1222"/>
    <w:rsid w:val="00DB48E5"/>
    <w:rsid w:val="00DC6908"/>
    <w:rsid w:val="00DD04F7"/>
    <w:rsid w:val="00DD0B81"/>
    <w:rsid w:val="00DE045D"/>
    <w:rsid w:val="00DE11C7"/>
    <w:rsid w:val="00DE3D46"/>
    <w:rsid w:val="00DF2CBE"/>
    <w:rsid w:val="00E04EF2"/>
    <w:rsid w:val="00E056A2"/>
    <w:rsid w:val="00E12DFE"/>
    <w:rsid w:val="00E14D64"/>
    <w:rsid w:val="00E249FC"/>
    <w:rsid w:val="00E31955"/>
    <w:rsid w:val="00E32CEB"/>
    <w:rsid w:val="00E33512"/>
    <w:rsid w:val="00E43402"/>
    <w:rsid w:val="00E72B82"/>
    <w:rsid w:val="00E86695"/>
    <w:rsid w:val="00EA14A6"/>
    <w:rsid w:val="00ED3E85"/>
    <w:rsid w:val="00ED74FA"/>
    <w:rsid w:val="00EE26BA"/>
    <w:rsid w:val="00EF4EFA"/>
    <w:rsid w:val="00F00563"/>
    <w:rsid w:val="00F01D62"/>
    <w:rsid w:val="00F0312F"/>
    <w:rsid w:val="00F10A85"/>
    <w:rsid w:val="00F154BD"/>
    <w:rsid w:val="00F16A9F"/>
    <w:rsid w:val="00F20E60"/>
    <w:rsid w:val="00F321D0"/>
    <w:rsid w:val="00F44AD7"/>
    <w:rsid w:val="00F623B6"/>
    <w:rsid w:val="00F73015"/>
    <w:rsid w:val="00F744EB"/>
    <w:rsid w:val="00F80D0E"/>
    <w:rsid w:val="00F8152E"/>
    <w:rsid w:val="00F87198"/>
    <w:rsid w:val="00F94D72"/>
    <w:rsid w:val="00F94F86"/>
    <w:rsid w:val="00FE3B25"/>
    <w:rsid w:val="00FF2135"/>
    <w:rsid w:val="00FF2F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176E8"/>
  <w15:chartTrackingRefBased/>
  <w15:docId w15:val="{996AAB78-179F-49DD-B27D-222D6485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1D"/>
    <w:rPr>
      <w:lang w:val="en-US"/>
    </w:rPr>
  </w:style>
  <w:style w:type="paragraph" w:styleId="Heading1">
    <w:name w:val="heading 1"/>
    <w:basedOn w:val="Normal"/>
    <w:next w:val="Normal"/>
    <w:link w:val="Heading1Char"/>
    <w:uiPriority w:val="9"/>
    <w:qFormat/>
    <w:rsid w:val="000A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B1"/>
    <w:rPr>
      <w:rFonts w:eastAsiaTheme="majorEastAsia" w:cstheme="majorBidi"/>
      <w:color w:val="272727" w:themeColor="text1" w:themeTint="D8"/>
    </w:rPr>
  </w:style>
  <w:style w:type="paragraph" w:styleId="Title">
    <w:name w:val="Title"/>
    <w:basedOn w:val="Normal"/>
    <w:next w:val="Normal"/>
    <w:link w:val="TitleChar"/>
    <w:uiPriority w:val="10"/>
    <w:qFormat/>
    <w:rsid w:val="000A1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B1"/>
    <w:pPr>
      <w:spacing w:before="160"/>
      <w:jc w:val="center"/>
    </w:pPr>
    <w:rPr>
      <w:i/>
      <w:iCs/>
      <w:color w:val="404040" w:themeColor="text1" w:themeTint="BF"/>
    </w:rPr>
  </w:style>
  <w:style w:type="character" w:customStyle="1" w:styleId="QuoteChar">
    <w:name w:val="Quote Char"/>
    <w:basedOn w:val="DefaultParagraphFont"/>
    <w:link w:val="Quote"/>
    <w:uiPriority w:val="29"/>
    <w:rsid w:val="000A1CB1"/>
    <w:rPr>
      <w:i/>
      <w:iCs/>
      <w:color w:val="404040" w:themeColor="text1" w:themeTint="BF"/>
    </w:rPr>
  </w:style>
  <w:style w:type="paragraph" w:styleId="ListParagraph">
    <w:name w:val="List Paragraph"/>
    <w:basedOn w:val="Normal"/>
    <w:uiPriority w:val="34"/>
    <w:qFormat/>
    <w:rsid w:val="000A1CB1"/>
    <w:pPr>
      <w:ind w:left="720"/>
      <w:contextualSpacing/>
    </w:pPr>
  </w:style>
  <w:style w:type="character" w:styleId="IntenseEmphasis">
    <w:name w:val="Intense Emphasis"/>
    <w:basedOn w:val="DefaultParagraphFont"/>
    <w:uiPriority w:val="21"/>
    <w:qFormat/>
    <w:rsid w:val="000A1CB1"/>
    <w:rPr>
      <w:i/>
      <w:iCs/>
      <w:color w:val="0F4761" w:themeColor="accent1" w:themeShade="BF"/>
    </w:rPr>
  </w:style>
  <w:style w:type="paragraph" w:styleId="IntenseQuote">
    <w:name w:val="Intense Quote"/>
    <w:basedOn w:val="Normal"/>
    <w:next w:val="Normal"/>
    <w:link w:val="IntenseQuoteChar"/>
    <w:uiPriority w:val="30"/>
    <w:qFormat/>
    <w:rsid w:val="000A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CB1"/>
    <w:rPr>
      <w:i/>
      <w:iCs/>
      <w:color w:val="0F4761" w:themeColor="accent1" w:themeShade="BF"/>
    </w:rPr>
  </w:style>
  <w:style w:type="character" w:styleId="IntenseReference">
    <w:name w:val="Intense Reference"/>
    <w:basedOn w:val="DefaultParagraphFont"/>
    <w:uiPriority w:val="32"/>
    <w:qFormat/>
    <w:rsid w:val="000A1CB1"/>
    <w:rPr>
      <w:b/>
      <w:bCs/>
      <w:smallCaps/>
      <w:color w:val="0F4761" w:themeColor="accent1" w:themeShade="BF"/>
      <w:spacing w:val="5"/>
    </w:rPr>
  </w:style>
  <w:style w:type="paragraph" w:styleId="FootnoteText">
    <w:name w:val="footnote text"/>
    <w:basedOn w:val="Normal"/>
    <w:link w:val="FootnoteTextChar"/>
    <w:uiPriority w:val="99"/>
    <w:semiHidden/>
    <w:unhideWhenUsed/>
    <w:rsid w:val="00367F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FA"/>
    <w:rPr>
      <w:sz w:val="20"/>
      <w:szCs w:val="20"/>
      <w:lang w:val="en-US"/>
    </w:rPr>
  </w:style>
  <w:style w:type="character" w:styleId="FootnoteReference">
    <w:name w:val="footnote reference"/>
    <w:basedOn w:val="DefaultParagraphFont"/>
    <w:uiPriority w:val="99"/>
    <w:semiHidden/>
    <w:unhideWhenUsed/>
    <w:rsid w:val="00367FFA"/>
    <w:rPr>
      <w:vertAlign w:val="superscript"/>
    </w:rPr>
  </w:style>
  <w:style w:type="paragraph" w:styleId="Header">
    <w:name w:val="header"/>
    <w:basedOn w:val="Normal"/>
    <w:link w:val="HeaderChar"/>
    <w:uiPriority w:val="99"/>
    <w:unhideWhenUsed/>
    <w:rsid w:val="004D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29"/>
    <w:rPr>
      <w:lang w:val="en-US"/>
    </w:rPr>
  </w:style>
  <w:style w:type="paragraph" w:styleId="Footer">
    <w:name w:val="footer"/>
    <w:basedOn w:val="Normal"/>
    <w:link w:val="FooterChar"/>
    <w:uiPriority w:val="99"/>
    <w:unhideWhenUsed/>
    <w:rsid w:val="004D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29"/>
    <w:rPr>
      <w:lang w:val="en-US"/>
    </w:rPr>
  </w:style>
  <w:style w:type="character" w:styleId="Hyperlink">
    <w:name w:val="Hyperlink"/>
    <w:basedOn w:val="DefaultParagraphFont"/>
    <w:uiPriority w:val="99"/>
    <w:unhideWhenUsed/>
    <w:rsid w:val="005B6211"/>
    <w:rPr>
      <w:color w:val="467886" w:themeColor="hyperlink"/>
      <w:u w:val="single"/>
    </w:rPr>
  </w:style>
  <w:style w:type="character" w:styleId="UnresolvedMention">
    <w:name w:val="Unresolved Mention"/>
    <w:basedOn w:val="DefaultParagraphFont"/>
    <w:uiPriority w:val="99"/>
    <w:semiHidden/>
    <w:unhideWhenUsed/>
    <w:rsid w:val="005B6211"/>
    <w:rPr>
      <w:color w:val="605E5C"/>
      <w:shd w:val="clear" w:color="auto" w:fill="E1DFDD"/>
    </w:rPr>
  </w:style>
  <w:style w:type="table" w:styleId="TableGrid">
    <w:name w:val="Table Grid"/>
    <w:basedOn w:val="TableNormal"/>
    <w:uiPriority w:val="39"/>
    <w:rsid w:val="00AE5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ma.de/en/news/ai-and-music/ai-lawsu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ipo.europa.eu/sk/law/recent-case-law/germany-hamburg-district-court-310-o-22723-laion-v-robert-kneschk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nbc.com/2025/09/08/judge-skewers-1point5-billion-anthropic-settlement-with-authors-in-pirated-books-case-over-ai-training.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217D51656359469CDF213DD1EBCD21" ma:contentTypeVersion="4" ma:contentTypeDescription="Ein neues Dokument erstellen." ma:contentTypeScope="" ma:versionID="f0ddc33e2a2a4e605550a6d4cc6eb931">
  <xsd:schema xmlns:xsd="http://www.w3.org/2001/XMLSchema" xmlns:xs="http://www.w3.org/2001/XMLSchema" xmlns:p="http://schemas.microsoft.com/office/2006/metadata/properties" xmlns:ns3="d6365d5d-568e-4440-8dcc-0668d217d4f4" targetNamespace="http://schemas.microsoft.com/office/2006/metadata/properties" ma:root="true" ma:fieldsID="94b7343b345b7d87dd14935993c490bc" ns3:_="">
    <xsd:import namespace="d6365d5d-568e-4440-8dcc-0668d217d4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65d5d-568e-4440-8dcc-0668d217d4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7DBB1C-7AEC-48C2-A84C-115D1C2AAD0C}">
  <ds:schemaRefs>
    <ds:schemaRef ds:uri="http://schemas.openxmlformats.org/officeDocument/2006/bibliography"/>
  </ds:schemaRefs>
</ds:datastoreItem>
</file>

<file path=customXml/itemProps2.xml><?xml version="1.0" encoding="utf-8"?>
<ds:datastoreItem xmlns:ds="http://schemas.openxmlformats.org/officeDocument/2006/customXml" ds:itemID="{1EF3A0BD-FE31-450C-8D50-9BF3BFFA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65d5d-568e-4440-8dcc-0668d217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70D6A-0F54-4A74-BB63-9D647F390CB8}">
  <ds:schemaRefs>
    <ds:schemaRef ds:uri="http://schemas.microsoft.com/sharepoint/v3/contenttype/forms"/>
  </ds:schemaRefs>
</ds:datastoreItem>
</file>

<file path=customXml/itemProps4.xml><?xml version="1.0" encoding="utf-8"?>
<ds:datastoreItem xmlns:ds="http://schemas.openxmlformats.org/officeDocument/2006/customXml" ds:itemID="{27F25E99-4E8B-4948-A027-5197F54ECC36}">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d6365d5d-568e-4440-8dcc-0668d217d4f4"/>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13600</Words>
  <Characters>77524</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Aubrecht</dc:creator>
  <cp:keywords/>
  <dc:description/>
  <cp:lastModifiedBy>Paul Aubrecht</cp:lastModifiedBy>
  <cp:revision>2</cp:revision>
  <dcterms:created xsi:type="dcterms:W3CDTF">2025-11-30T23:48:00Z</dcterms:created>
  <dcterms:modified xsi:type="dcterms:W3CDTF">2025-11-30T23:48:00Z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0x0101006F217D51656359469CDF213DD1EBCD21</vt:lpwstr>
  </property>
</Properties>
</file>