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1DB4F" w14:textId="77777777" w:rsidR="002C2CAA" w:rsidRPr="002C2CAA" w:rsidRDefault="002C2CAA" w:rsidP="002C2CAA">
      <w:pPr>
        <w:spacing w:after="0" w:line="240" w:lineRule="auto"/>
        <w:jc w:val="center"/>
        <w:outlineLvl w:val="0"/>
        <w:rPr>
          <w:rFonts w:ascii="Times New Roman" w:eastAsia="Times New Roman" w:hAnsi="Times New Roman" w:cs="Times New Roman"/>
          <w:b/>
          <w:sz w:val="24"/>
          <w:szCs w:val="24"/>
        </w:rPr>
      </w:pPr>
      <w:bookmarkStart w:id="0" w:name="_Toc159502575"/>
      <w:bookmarkStart w:id="1" w:name="_Toc160570730"/>
    </w:p>
    <w:p w14:paraId="1CD739C5" w14:textId="77777777" w:rsidR="002C2CAA" w:rsidRPr="002C2CAA" w:rsidRDefault="002C2CAA" w:rsidP="002C2CAA">
      <w:pPr>
        <w:spacing w:after="0" w:line="240" w:lineRule="auto"/>
        <w:jc w:val="center"/>
        <w:outlineLvl w:val="0"/>
        <w:rPr>
          <w:rFonts w:ascii="Times New Roman" w:eastAsia="Times New Roman" w:hAnsi="Times New Roman" w:cs="Times New Roman"/>
          <w:b/>
          <w:sz w:val="24"/>
          <w:szCs w:val="24"/>
        </w:rPr>
      </w:pPr>
      <w:bookmarkStart w:id="2" w:name="_Toc161147145"/>
      <w:bookmarkStart w:id="3" w:name="_Toc161147502"/>
      <w:bookmarkStart w:id="4" w:name="_Toc161174283"/>
      <w:bookmarkStart w:id="5" w:name="_Toc161174335"/>
      <w:bookmarkStart w:id="6" w:name="_Toc161174415"/>
      <w:r w:rsidRPr="002C2CAA">
        <w:rPr>
          <w:rFonts w:ascii="Times New Roman" w:eastAsia="Times New Roman" w:hAnsi="Times New Roman" w:cs="Times New Roman"/>
          <w:b/>
          <w:sz w:val="24"/>
          <w:szCs w:val="24"/>
        </w:rPr>
        <w:t>The Case Against Bank</w:t>
      </w:r>
      <w:bookmarkStart w:id="7" w:name="_Toc159502576"/>
      <w:bookmarkEnd w:id="0"/>
      <w:bookmarkEnd w:id="1"/>
      <w:r w:rsidRPr="002C2CAA">
        <w:rPr>
          <w:rFonts w:ascii="Times New Roman" w:eastAsia="Times New Roman" w:hAnsi="Times New Roman" w:cs="Times New Roman"/>
          <w:b/>
          <w:sz w:val="24"/>
          <w:szCs w:val="24"/>
        </w:rPr>
        <w:t xml:space="preserve">s and the Case </w:t>
      </w:r>
      <w:proofErr w:type="gramStart"/>
      <w:r w:rsidRPr="002C2CAA">
        <w:rPr>
          <w:rFonts w:ascii="Times New Roman" w:eastAsia="Times New Roman" w:hAnsi="Times New Roman" w:cs="Times New Roman"/>
          <w:b/>
          <w:sz w:val="24"/>
          <w:szCs w:val="24"/>
        </w:rPr>
        <w:t>For</w:t>
      </w:r>
      <w:proofErr w:type="gramEnd"/>
      <w:r w:rsidRPr="002C2CAA">
        <w:rPr>
          <w:rFonts w:ascii="Times New Roman" w:eastAsia="Times New Roman" w:hAnsi="Times New Roman" w:cs="Times New Roman"/>
          <w:b/>
          <w:sz w:val="24"/>
          <w:szCs w:val="24"/>
        </w:rPr>
        <w:t xml:space="preserve"> Banks</w:t>
      </w:r>
      <w:bookmarkEnd w:id="2"/>
      <w:bookmarkEnd w:id="3"/>
      <w:bookmarkEnd w:id="4"/>
      <w:bookmarkEnd w:id="5"/>
      <w:bookmarkEnd w:id="6"/>
    </w:p>
    <w:p w14:paraId="07D00CC4" w14:textId="77777777" w:rsidR="002C2CAA" w:rsidRPr="002C2CAA" w:rsidRDefault="002C2CAA" w:rsidP="002C2CAA">
      <w:pPr>
        <w:spacing w:after="0" w:line="240" w:lineRule="auto"/>
        <w:jc w:val="center"/>
        <w:outlineLvl w:val="0"/>
        <w:rPr>
          <w:rFonts w:ascii="Times New Roman" w:eastAsia="Times New Roman" w:hAnsi="Times New Roman" w:cs="Times New Roman"/>
          <w:b/>
          <w:sz w:val="24"/>
          <w:szCs w:val="24"/>
        </w:rPr>
      </w:pPr>
    </w:p>
    <w:p w14:paraId="538678A5" w14:textId="77777777" w:rsidR="002C2CAA" w:rsidRPr="002C2CAA" w:rsidRDefault="002C2CAA" w:rsidP="002C2CAA">
      <w:pPr>
        <w:spacing w:after="0" w:line="240" w:lineRule="auto"/>
        <w:jc w:val="center"/>
        <w:outlineLvl w:val="0"/>
        <w:rPr>
          <w:rFonts w:ascii="Times New Roman" w:eastAsia="Times New Roman" w:hAnsi="Times New Roman" w:cs="Times New Roman"/>
          <w:i/>
          <w:sz w:val="24"/>
          <w:szCs w:val="24"/>
        </w:rPr>
      </w:pPr>
    </w:p>
    <w:p w14:paraId="68CF29AE" w14:textId="77777777" w:rsidR="002C2CAA" w:rsidRPr="002C2CAA" w:rsidRDefault="002C2CAA" w:rsidP="002C2CAA">
      <w:pPr>
        <w:spacing w:after="0" w:line="240" w:lineRule="auto"/>
        <w:jc w:val="center"/>
        <w:outlineLvl w:val="0"/>
        <w:rPr>
          <w:rFonts w:ascii="Times New Roman" w:eastAsia="Times New Roman" w:hAnsi="Times New Roman" w:cs="Times New Roman"/>
          <w:i/>
          <w:sz w:val="24"/>
          <w:szCs w:val="24"/>
        </w:rPr>
      </w:pPr>
    </w:p>
    <w:p w14:paraId="6E7EECF2" w14:textId="77777777" w:rsidR="002C2CAA" w:rsidRPr="002C2CAA" w:rsidRDefault="002C2CAA" w:rsidP="002C2CAA">
      <w:pPr>
        <w:spacing w:after="0" w:line="240" w:lineRule="auto"/>
        <w:jc w:val="center"/>
        <w:outlineLvl w:val="0"/>
        <w:rPr>
          <w:rFonts w:ascii="Times New Roman" w:eastAsia="Times New Roman" w:hAnsi="Times New Roman" w:cs="Times New Roman"/>
          <w:sz w:val="24"/>
          <w:szCs w:val="24"/>
        </w:rPr>
      </w:pPr>
      <w:bookmarkStart w:id="8" w:name="_Toc160570731"/>
      <w:bookmarkStart w:id="9" w:name="_Toc161147146"/>
      <w:bookmarkStart w:id="10" w:name="_Toc161147503"/>
      <w:bookmarkStart w:id="11" w:name="_Toc161174284"/>
      <w:bookmarkStart w:id="12" w:name="_Toc161174336"/>
      <w:bookmarkStart w:id="13" w:name="_Toc161174416"/>
      <w:r w:rsidRPr="002C2CAA">
        <w:rPr>
          <w:rFonts w:ascii="Times New Roman" w:eastAsia="Times New Roman" w:hAnsi="Times New Roman" w:cs="Times New Roman"/>
          <w:sz w:val="24"/>
          <w:szCs w:val="24"/>
        </w:rPr>
        <w:t>Jonathan R. Macey</w:t>
      </w:r>
      <w:bookmarkEnd w:id="7"/>
      <w:bookmarkEnd w:id="8"/>
      <w:bookmarkEnd w:id="9"/>
      <w:bookmarkEnd w:id="10"/>
      <w:bookmarkEnd w:id="11"/>
      <w:bookmarkEnd w:id="12"/>
      <w:bookmarkEnd w:id="13"/>
    </w:p>
    <w:p w14:paraId="1654FFF8" w14:textId="77777777" w:rsidR="002C2CAA" w:rsidRPr="002C2CAA" w:rsidRDefault="002C2CAA" w:rsidP="002C2CAA">
      <w:pPr>
        <w:spacing w:after="0" w:line="240" w:lineRule="auto"/>
        <w:jc w:val="center"/>
        <w:outlineLvl w:val="0"/>
        <w:rPr>
          <w:rFonts w:ascii="Times New Roman" w:eastAsia="Times New Roman" w:hAnsi="Times New Roman" w:cs="Times New Roman"/>
          <w:i/>
          <w:sz w:val="24"/>
          <w:szCs w:val="24"/>
        </w:rPr>
      </w:pPr>
    </w:p>
    <w:p w14:paraId="55EC90E7" w14:textId="77777777" w:rsidR="002C2CAA" w:rsidRPr="002C2CAA" w:rsidRDefault="002C2CAA" w:rsidP="002C2CAA">
      <w:pPr>
        <w:spacing w:after="0" w:line="240" w:lineRule="auto"/>
        <w:jc w:val="center"/>
        <w:outlineLvl w:val="0"/>
        <w:rPr>
          <w:rFonts w:ascii="Times New Roman" w:eastAsia="Times New Roman" w:hAnsi="Times New Roman" w:cs="Times New Roman"/>
          <w:sz w:val="24"/>
          <w:szCs w:val="24"/>
        </w:rPr>
      </w:pPr>
      <w:bookmarkStart w:id="14" w:name="_Toc161147147"/>
      <w:bookmarkStart w:id="15" w:name="_Toc161147504"/>
      <w:bookmarkStart w:id="16" w:name="_Toc161174285"/>
      <w:bookmarkStart w:id="17" w:name="_Toc161174337"/>
      <w:bookmarkStart w:id="18" w:name="_Toc161174417"/>
      <w:r w:rsidRPr="002C2CAA">
        <w:rPr>
          <w:rFonts w:ascii="Times New Roman" w:eastAsia="Times New Roman" w:hAnsi="Times New Roman" w:cs="Times New Roman"/>
          <w:sz w:val="24"/>
          <w:szCs w:val="24"/>
        </w:rPr>
        <w:t>Sam Harris Professor of Corporate Law, Corporate Finance and Securities Law, Yale Law School</w:t>
      </w:r>
      <w:bookmarkEnd w:id="14"/>
      <w:bookmarkEnd w:id="15"/>
      <w:bookmarkEnd w:id="16"/>
      <w:bookmarkEnd w:id="17"/>
      <w:bookmarkEnd w:id="18"/>
    </w:p>
    <w:p w14:paraId="6F7FD684" w14:textId="77777777" w:rsidR="002C2CAA" w:rsidRPr="002C2CAA" w:rsidRDefault="002C2CAA" w:rsidP="002C2CAA">
      <w:pPr>
        <w:spacing w:after="0" w:line="240" w:lineRule="auto"/>
        <w:jc w:val="center"/>
        <w:outlineLvl w:val="0"/>
        <w:rPr>
          <w:rFonts w:ascii="Times New Roman" w:eastAsia="Times New Roman" w:hAnsi="Times New Roman" w:cs="Times New Roman"/>
          <w:sz w:val="24"/>
          <w:szCs w:val="24"/>
        </w:rPr>
      </w:pPr>
    </w:p>
    <w:p w14:paraId="165575AD" w14:textId="77777777" w:rsidR="002C2CAA" w:rsidRPr="002C2CAA" w:rsidRDefault="002C2CAA" w:rsidP="002C2CAA">
      <w:pPr>
        <w:spacing w:after="0" w:line="240" w:lineRule="auto"/>
        <w:jc w:val="center"/>
        <w:outlineLvl w:val="0"/>
        <w:rPr>
          <w:rFonts w:ascii="Times New Roman" w:eastAsia="Times New Roman" w:hAnsi="Times New Roman" w:cs="Times New Roman"/>
          <w:sz w:val="24"/>
          <w:szCs w:val="24"/>
        </w:rPr>
      </w:pPr>
    </w:p>
    <w:p w14:paraId="67901ABA" w14:textId="77777777" w:rsidR="002C2CAA" w:rsidRPr="002C2CAA" w:rsidRDefault="002C2CAA" w:rsidP="002C2CAA">
      <w:pPr>
        <w:spacing w:after="0" w:line="240" w:lineRule="auto"/>
        <w:jc w:val="center"/>
        <w:outlineLvl w:val="0"/>
        <w:rPr>
          <w:rFonts w:ascii="Times New Roman" w:eastAsia="Times New Roman" w:hAnsi="Times New Roman" w:cs="Times New Roman"/>
          <w:sz w:val="24"/>
          <w:szCs w:val="24"/>
        </w:rPr>
      </w:pPr>
    </w:p>
    <w:p w14:paraId="1E5E4A35" w14:textId="77777777" w:rsidR="002C2CAA" w:rsidRPr="002C2CAA" w:rsidRDefault="002C2CAA" w:rsidP="002C2CAA">
      <w:pPr>
        <w:spacing w:after="0" w:line="240" w:lineRule="auto"/>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“Here we go again. The Federal government is bailing out the banking industry, and the American people, who have seen this show far too often, have every right to be furious.” The New York Times, March 14, 2023</w:t>
      </w:r>
    </w:p>
    <w:p w14:paraId="225197AA" w14:textId="77777777" w:rsidR="002C2CAA" w:rsidRPr="002C2CAA" w:rsidRDefault="002C2CAA" w:rsidP="002C2CAA">
      <w:pPr>
        <w:spacing w:after="0" w:line="240" w:lineRule="auto"/>
        <w:rPr>
          <w:rFonts w:ascii="Times New Roman" w:eastAsia="Times New Roman" w:hAnsi="Times New Roman" w:cs="Times New Roman"/>
          <w:sz w:val="24"/>
          <w:szCs w:val="24"/>
        </w:rPr>
      </w:pPr>
    </w:p>
    <w:p w14:paraId="2F342861" w14:textId="77777777" w:rsidR="002C2CAA" w:rsidRPr="002C2CAA" w:rsidRDefault="002C2CAA" w:rsidP="002C2CAA">
      <w:pPr>
        <w:spacing w:after="0" w:line="240" w:lineRule="auto"/>
        <w:outlineLvl w:val="0"/>
        <w:rPr>
          <w:rFonts w:ascii="Times New Roman" w:eastAsia="Times New Roman" w:hAnsi="Times New Roman" w:cs="Times New Roman"/>
          <w:sz w:val="24"/>
          <w:szCs w:val="24"/>
        </w:rPr>
      </w:pPr>
      <w:bookmarkStart w:id="19" w:name="_Toc161147148"/>
      <w:bookmarkStart w:id="20" w:name="_Toc161147505"/>
      <w:bookmarkStart w:id="21" w:name="_Toc161174286"/>
      <w:bookmarkStart w:id="22" w:name="_Toc161174338"/>
      <w:bookmarkStart w:id="23" w:name="_Toc161174418"/>
      <w:r w:rsidRPr="002C2CAA">
        <w:rPr>
          <w:rFonts w:ascii="Times New Roman" w:eastAsia="Times New Roman" w:hAnsi="Times New Roman" w:cs="Times New Roman"/>
          <w:sz w:val="24"/>
          <w:szCs w:val="24"/>
        </w:rPr>
        <w:t>“The disconcerting truth about banking business: in good times, it is run for private profit by private firms but, in bad times, it becomes a direct public responsibility and a public expense.”  Saule Omarova, Public Banking as an Institutional Design Challenge, forthcoming, forthcoming, Yale J. Reg. 2024</w:t>
      </w:r>
      <w:bookmarkEnd w:id="19"/>
      <w:bookmarkEnd w:id="20"/>
      <w:bookmarkEnd w:id="21"/>
      <w:bookmarkEnd w:id="22"/>
      <w:bookmarkEnd w:id="23"/>
    </w:p>
    <w:p w14:paraId="7EFDDFFC" w14:textId="77777777" w:rsidR="002C2CAA" w:rsidRPr="002C2CAA" w:rsidRDefault="002C2CAA" w:rsidP="002C2CAA">
      <w:pPr>
        <w:spacing w:after="0" w:line="240" w:lineRule="auto"/>
        <w:outlineLvl w:val="0"/>
        <w:rPr>
          <w:rFonts w:ascii="Times New Roman" w:eastAsia="Times New Roman" w:hAnsi="Times New Roman" w:cs="Times New Roman"/>
          <w:sz w:val="24"/>
          <w:szCs w:val="24"/>
        </w:rPr>
      </w:pPr>
    </w:p>
    <w:p w14:paraId="6C86C313" w14:textId="77777777" w:rsidR="002C2CAA" w:rsidRPr="002C2CAA" w:rsidRDefault="002C2CAA" w:rsidP="002C2CAA">
      <w:pPr>
        <w:spacing w:after="0" w:line="240" w:lineRule="auto"/>
        <w:outlineLvl w:val="0"/>
        <w:rPr>
          <w:rFonts w:ascii="Times New Roman" w:eastAsia="Times New Roman" w:hAnsi="Times New Roman" w:cs="Times New Roman"/>
          <w:i/>
          <w:sz w:val="24"/>
          <w:szCs w:val="24"/>
        </w:rPr>
      </w:pPr>
      <w:bookmarkStart w:id="24" w:name="_Toc161147149"/>
      <w:bookmarkStart w:id="25" w:name="_Toc161147506"/>
      <w:bookmarkStart w:id="26" w:name="_Toc161174287"/>
      <w:bookmarkStart w:id="27" w:name="_Toc161174339"/>
      <w:bookmarkStart w:id="28" w:name="_Toc161174419"/>
      <w:r w:rsidRPr="002C2CAA">
        <w:rPr>
          <w:rFonts w:ascii="Times New Roman" w:eastAsia="Times New Roman" w:hAnsi="Times New Roman" w:cs="Times New Roman"/>
          <w:sz w:val="24"/>
          <w:szCs w:val="24"/>
        </w:rPr>
        <w:t xml:space="preserve">“The vulnerability of highly leveraged financial institutions engaging in maturity transformation to shocks that create systemic risk, and the deleterious economic aftereffects of financial crises lasting far longer than downturns of the business cycle are sources of utmost public policy concern.”  Roberta Romano, Are There Empirical Foundations for the Iron Law of Financial </w:t>
      </w:r>
      <w:proofErr w:type="gramStart"/>
      <w:r w:rsidRPr="002C2CAA">
        <w:rPr>
          <w:rFonts w:ascii="Times New Roman" w:eastAsia="Times New Roman" w:hAnsi="Times New Roman" w:cs="Times New Roman"/>
          <w:sz w:val="24"/>
          <w:szCs w:val="24"/>
        </w:rPr>
        <w:t>Regulation?,</w:t>
      </w:r>
      <w:proofErr w:type="gramEnd"/>
      <w:r w:rsidRPr="002C2CAA">
        <w:rPr>
          <w:rFonts w:ascii="Times New Roman" w:eastAsia="Times New Roman" w:hAnsi="Times New Roman" w:cs="Times New Roman"/>
          <w:sz w:val="24"/>
          <w:szCs w:val="24"/>
        </w:rPr>
        <w:t xml:space="preserve"> American Law &amp; Economics Review, </w:t>
      </w:r>
      <w:r w:rsidRPr="002C2CAA">
        <w:rPr>
          <w:rFonts w:ascii="Times New Roman" w:eastAsia="Times New Roman" w:hAnsi="Times New Roman" w:cs="Times New Roman"/>
          <w:i/>
          <w:sz w:val="24"/>
          <w:szCs w:val="24"/>
        </w:rPr>
        <w:t>forthcoming</w:t>
      </w:r>
      <w:r w:rsidRPr="002C2CAA">
        <w:rPr>
          <w:rFonts w:ascii="Times New Roman" w:eastAsia="Times New Roman" w:hAnsi="Times New Roman" w:cs="Times New Roman"/>
          <w:sz w:val="24"/>
          <w:szCs w:val="24"/>
        </w:rPr>
        <w:t xml:space="preserve"> 2024</w:t>
      </w:r>
      <w:bookmarkEnd w:id="24"/>
      <w:bookmarkEnd w:id="25"/>
      <w:bookmarkEnd w:id="26"/>
      <w:bookmarkEnd w:id="27"/>
      <w:bookmarkEnd w:id="28"/>
    </w:p>
    <w:p w14:paraId="08F6ABEA" w14:textId="77777777" w:rsidR="002C2CAA" w:rsidRPr="002C2CAA" w:rsidRDefault="002C2CAA" w:rsidP="002C2CAA">
      <w:pPr>
        <w:spacing w:after="0" w:line="240" w:lineRule="auto"/>
        <w:rPr>
          <w:rFonts w:ascii="Times New Roman" w:eastAsia="Times New Roman" w:hAnsi="Times New Roman" w:cs="Times New Roman"/>
          <w:b/>
          <w:sz w:val="24"/>
          <w:szCs w:val="24"/>
        </w:rPr>
      </w:pPr>
      <w:r w:rsidRPr="002C2CAA">
        <w:rPr>
          <w:rFonts w:ascii="Times New Roman" w:eastAsia="Times New Roman" w:hAnsi="Times New Roman" w:cs="Times New Roman"/>
          <w:b/>
          <w:sz w:val="24"/>
          <w:szCs w:val="24"/>
        </w:rPr>
        <w:br w:type="page"/>
      </w:r>
    </w:p>
    <w:p w14:paraId="7A2DD4CB" w14:textId="77777777" w:rsidR="002C2CAA" w:rsidRPr="002C2CAA" w:rsidRDefault="002C2CAA" w:rsidP="002C2CAA">
      <w:pPr>
        <w:spacing w:after="0" w:line="240" w:lineRule="auto"/>
        <w:jc w:val="center"/>
        <w:outlineLvl w:val="0"/>
        <w:rPr>
          <w:rFonts w:ascii="Times New Roman" w:eastAsia="Times New Roman" w:hAnsi="Times New Roman" w:cs="Times New Roman"/>
          <w:b/>
          <w:sz w:val="24"/>
          <w:szCs w:val="24"/>
        </w:rPr>
      </w:pPr>
    </w:p>
    <w:p w14:paraId="4B497711" w14:textId="77777777" w:rsidR="002C2CAA" w:rsidRPr="002C2CAA" w:rsidRDefault="002C2CAA" w:rsidP="002C2CAA">
      <w:pPr>
        <w:spacing w:after="0" w:line="240" w:lineRule="auto"/>
        <w:jc w:val="center"/>
        <w:outlineLvl w:val="0"/>
        <w:rPr>
          <w:rFonts w:ascii="Times New Roman" w:eastAsia="Times New Roman" w:hAnsi="Times New Roman" w:cs="Times New Roman"/>
          <w:i/>
          <w:sz w:val="24"/>
          <w:szCs w:val="24"/>
        </w:rPr>
      </w:pPr>
      <w:bookmarkStart w:id="29" w:name="_Toc160570732"/>
      <w:bookmarkStart w:id="30" w:name="_Toc161147150"/>
      <w:bookmarkStart w:id="31" w:name="_Toc161174420"/>
      <w:r w:rsidRPr="002C2CAA">
        <w:rPr>
          <w:rFonts w:ascii="Times New Roman" w:eastAsia="Times New Roman" w:hAnsi="Times New Roman" w:cs="Times New Roman"/>
          <w:i/>
          <w:sz w:val="24"/>
          <w:szCs w:val="24"/>
        </w:rPr>
        <w:t>Abstract</w:t>
      </w:r>
      <w:bookmarkEnd w:id="29"/>
      <w:bookmarkEnd w:id="30"/>
      <w:bookmarkEnd w:id="31"/>
    </w:p>
    <w:p w14:paraId="5C69A2D0" w14:textId="77777777" w:rsidR="002C2CAA" w:rsidRPr="002C2CAA" w:rsidRDefault="002C2CAA" w:rsidP="002C2CAA">
      <w:pPr>
        <w:spacing w:after="0" w:line="240" w:lineRule="auto"/>
        <w:jc w:val="center"/>
        <w:outlineLvl w:val="0"/>
        <w:rPr>
          <w:rFonts w:ascii="Times New Roman" w:eastAsia="Times New Roman" w:hAnsi="Times New Roman" w:cs="Times New Roman"/>
          <w:i/>
          <w:sz w:val="24"/>
          <w:szCs w:val="24"/>
        </w:rPr>
      </w:pPr>
    </w:p>
    <w:p w14:paraId="5B97E505" w14:textId="1682AA51" w:rsidR="002C2CAA" w:rsidRPr="002C2CAA" w:rsidRDefault="002C2CAA" w:rsidP="002C2CAA">
      <w:pPr>
        <w:spacing w:after="0" w:line="240" w:lineRule="auto"/>
        <w:jc w:val="both"/>
        <w:rPr>
          <w:rFonts w:ascii="Times New Roman" w:eastAsia="Times New Roman" w:hAnsi="Times New Roman" w:cs="Times New Roman"/>
          <w:i/>
          <w:sz w:val="24"/>
          <w:szCs w:val="24"/>
        </w:rPr>
      </w:pPr>
      <w:r w:rsidRPr="002C2CAA">
        <w:rPr>
          <w:rFonts w:ascii="Times New Roman" w:eastAsia="Times New Roman" w:hAnsi="Times New Roman" w:cs="Times New Roman"/>
          <w:i/>
          <w:sz w:val="24"/>
          <w:szCs w:val="24"/>
        </w:rPr>
        <w:t xml:space="preserve">Banks, which are businesses that simultaneously make loans and take deposits that are available to customers on demand, are inherently unstable. The instability exists because the mismatch in the (long-term) maturity of banks’ assets and the (short term) maturity of their liabilities makes them susceptible to runs and panics that destabilize the </w:t>
      </w:r>
      <w:r w:rsidR="0099575B" w:rsidRPr="002C2CAA">
        <w:rPr>
          <w:rFonts w:ascii="Times New Roman" w:eastAsia="Times New Roman" w:hAnsi="Times New Roman" w:cs="Times New Roman"/>
          <w:i/>
          <w:sz w:val="24"/>
          <w:szCs w:val="24"/>
        </w:rPr>
        <w:t>economy and</w:t>
      </w:r>
      <w:r w:rsidRPr="002C2CAA">
        <w:rPr>
          <w:rFonts w:ascii="Times New Roman" w:eastAsia="Times New Roman" w:hAnsi="Times New Roman" w:cs="Times New Roman"/>
          <w:i/>
          <w:sz w:val="24"/>
          <w:szCs w:val="24"/>
        </w:rPr>
        <w:t xml:space="preserve"> require bailouts on a regular basis. As such, banks essentially hold society hostage.  They must be continuously propped up by government to prevent them from collapsing and bringing the rest of the economy down with them. </w:t>
      </w:r>
    </w:p>
    <w:p w14:paraId="6D39DA63" w14:textId="77777777" w:rsidR="002C2CAA" w:rsidRPr="002C2CAA" w:rsidRDefault="002C2CAA" w:rsidP="002C2CAA">
      <w:pPr>
        <w:spacing w:after="0" w:line="240" w:lineRule="auto"/>
        <w:jc w:val="both"/>
        <w:rPr>
          <w:rFonts w:ascii="Times New Roman" w:eastAsia="Times New Roman" w:hAnsi="Times New Roman" w:cs="Times New Roman"/>
          <w:i/>
          <w:sz w:val="24"/>
          <w:szCs w:val="24"/>
        </w:rPr>
      </w:pPr>
    </w:p>
    <w:p w14:paraId="5F7C058B" w14:textId="3CEB16F8" w:rsidR="002C2CAA" w:rsidRPr="002C2CAA" w:rsidRDefault="002C2CAA" w:rsidP="002C2CAA">
      <w:pPr>
        <w:spacing w:after="0" w:line="240" w:lineRule="auto"/>
        <w:jc w:val="both"/>
        <w:rPr>
          <w:rFonts w:ascii="Times New Roman" w:eastAsia="Times New Roman" w:hAnsi="Times New Roman" w:cs="Times New Roman"/>
          <w:i/>
          <w:sz w:val="24"/>
          <w:szCs w:val="24"/>
        </w:rPr>
      </w:pPr>
      <w:r w:rsidRPr="002C2CAA">
        <w:rPr>
          <w:rFonts w:ascii="Times New Roman" w:eastAsia="Times New Roman" w:hAnsi="Times New Roman" w:cs="Times New Roman"/>
          <w:i/>
          <w:sz w:val="24"/>
          <w:szCs w:val="24"/>
        </w:rPr>
        <w:t xml:space="preserve">There is a strong need for the transaction-account services provided by banks, and there is a strong need for the loans provided by banks.  The issue why it is necessary to combine lending and deposit taking, within a single firm, rather than have them supplied by separate firms, such as commercial lending companies and money market mutual funds has received surprisingly little attention. The main arguments in favor of banks are that economies of scope can be achieved by </w:t>
      </w:r>
      <w:r w:rsidR="0099575B">
        <w:rPr>
          <w:rFonts w:ascii="Times New Roman" w:eastAsia="Times New Roman" w:hAnsi="Times New Roman" w:cs="Times New Roman"/>
          <w:i/>
          <w:sz w:val="24"/>
          <w:szCs w:val="24"/>
        </w:rPr>
        <w:t>combining lending and deposit taking</w:t>
      </w:r>
      <w:r w:rsidRPr="002C2CAA">
        <w:rPr>
          <w:rFonts w:ascii="Times New Roman" w:eastAsia="Times New Roman" w:hAnsi="Times New Roman" w:cs="Times New Roman"/>
          <w:i/>
          <w:sz w:val="24"/>
          <w:szCs w:val="24"/>
        </w:rPr>
        <w:t xml:space="preserve">. For example, by offering checking accounts to borrowers, banks obtain private information about these borrowers that is not available to rival, non-bank lenders.  This private information from depositors </w:t>
      </w:r>
      <w:r w:rsidR="0099575B">
        <w:rPr>
          <w:rFonts w:ascii="Times New Roman" w:eastAsia="Times New Roman" w:hAnsi="Times New Roman" w:cs="Times New Roman"/>
          <w:i/>
          <w:sz w:val="24"/>
          <w:szCs w:val="24"/>
        </w:rPr>
        <w:t xml:space="preserve">is thought to </w:t>
      </w:r>
      <w:r w:rsidRPr="002C2CAA">
        <w:rPr>
          <w:rFonts w:ascii="Times New Roman" w:eastAsia="Times New Roman" w:hAnsi="Times New Roman" w:cs="Times New Roman"/>
          <w:i/>
          <w:sz w:val="24"/>
          <w:szCs w:val="24"/>
        </w:rPr>
        <w:t xml:space="preserve">made banks unusually efficient as lenders.  </w:t>
      </w:r>
    </w:p>
    <w:p w14:paraId="33ED8FD2" w14:textId="77777777" w:rsidR="002C2CAA" w:rsidRPr="002C2CAA" w:rsidRDefault="002C2CAA" w:rsidP="002C2CAA">
      <w:pPr>
        <w:spacing w:after="0" w:line="240" w:lineRule="auto"/>
        <w:jc w:val="both"/>
        <w:rPr>
          <w:rFonts w:ascii="Times New Roman" w:eastAsia="Times New Roman" w:hAnsi="Times New Roman" w:cs="Times New Roman"/>
          <w:i/>
          <w:sz w:val="24"/>
          <w:szCs w:val="24"/>
        </w:rPr>
      </w:pPr>
    </w:p>
    <w:p w14:paraId="3BB33B77" w14:textId="77777777" w:rsidR="002C2CAA" w:rsidRPr="002C2CAA" w:rsidRDefault="002C2CAA" w:rsidP="002C2CAA">
      <w:pPr>
        <w:spacing w:after="0" w:line="240" w:lineRule="auto"/>
        <w:jc w:val="both"/>
        <w:rPr>
          <w:rFonts w:ascii="Times New Roman" w:eastAsia="Times New Roman" w:hAnsi="Times New Roman" w:cs="Times New Roman"/>
          <w:i/>
          <w:sz w:val="24"/>
          <w:szCs w:val="24"/>
        </w:rPr>
      </w:pPr>
      <w:r w:rsidRPr="002C2CAA">
        <w:rPr>
          <w:rFonts w:ascii="Times New Roman" w:eastAsia="Times New Roman" w:hAnsi="Times New Roman" w:cs="Times New Roman"/>
          <w:i/>
          <w:sz w:val="24"/>
          <w:szCs w:val="24"/>
        </w:rPr>
        <w:t>In this Article I first argue that improvements in technology and information retrieval and sharing have reduced or eliminated the traditional efficiency justification for combining deposit-taking and lending. At the same time, other improvements in technology have made banks even more fragile by making it easier for depositors to trigger runs by withdrawing their funds electronically.</w:t>
      </w:r>
    </w:p>
    <w:p w14:paraId="65FD0557" w14:textId="77777777" w:rsidR="002C2CAA" w:rsidRPr="002C2CAA" w:rsidRDefault="002C2CAA" w:rsidP="002C2CAA">
      <w:pPr>
        <w:spacing w:after="0" w:line="240" w:lineRule="auto"/>
        <w:jc w:val="both"/>
        <w:rPr>
          <w:rFonts w:ascii="Times New Roman" w:eastAsia="Times New Roman" w:hAnsi="Times New Roman" w:cs="Times New Roman"/>
          <w:i/>
          <w:sz w:val="24"/>
          <w:szCs w:val="24"/>
        </w:rPr>
      </w:pPr>
    </w:p>
    <w:p w14:paraId="36C2D4E4" w14:textId="77777777" w:rsidR="002C2CAA" w:rsidRPr="002C2CAA" w:rsidRDefault="002C2CAA" w:rsidP="002C2CAA">
      <w:pPr>
        <w:spacing w:after="0" w:line="240" w:lineRule="auto"/>
        <w:jc w:val="both"/>
        <w:rPr>
          <w:rFonts w:ascii="Times New Roman" w:eastAsia="Times New Roman" w:hAnsi="Times New Roman" w:cs="Times New Roman"/>
          <w:i/>
          <w:sz w:val="24"/>
          <w:szCs w:val="24"/>
        </w:rPr>
      </w:pPr>
      <w:r w:rsidRPr="002C2CAA">
        <w:rPr>
          <w:rFonts w:ascii="Times New Roman" w:eastAsia="Times New Roman" w:hAnsi="Times New Roman" w:cs="Times New Roman"/>
          <w:i/>
          <w:sz w:val="24"/>
          <w:szCs w:val="24"/>
        </w:rPr>
        <w:t>Previous scholars have argued for “narrow banks” that would unbundle the provision of lending and deposit-taking. Here I observe that these scholars do not consider the rationales offered by financial economists to explain why these activities are combined.  They ignore the sparse but important literature in economics and finance that models how combining lending and deposit taking generates efficiencies in the form of synergies.  Thus, these scholars focus on the costs of combining lending and deposit taking without considering the benefits.</w:t>
      </w:r>
    </w:p>
    <w:p w14:paraId="6B6DF316" w14:textId="77777777" w:rsidR="002C2CAA" w:rsidRPr="002C2CAA" w:rsidRDefault="002C2CAA" w:rsidP="002C2CAA">
      <w:pPr>
        <w:spacing w:after="0" w:line="240" w:lineRule="auto"/>
        <w:jc w:val="both"/>
        <w:rPr>
          <w:rFonts w:ascii="Times New Roman" w:eastAsia="Times New Roman" w:hAnsi="Times New Roman" w:cs="Times New Roman"/>
          <w:i/>
          <w:sz w:val="24"/>
          <w:szCs w:val="24"/>
        </w:rPr>
      </w:pPr>
    </w:p>
    <w:p w14:paraId="74137F09" w14:textId="6D7DE088" w:rsidR="002C2CAA" w:rsidRPr="002C2CAA" w:rsidRDefault="002C2CAA" w:rsidP="002C2CAA">
      <w:pPr>
        <w:spacing w:after="0" w:line="240" w:lineRule="auto"/>
        <w:jc w:val="both"/>
        <w:rPr>
          <w:rFonts w:ascii="Times New Roman" w:eastAsia="MS Gothic" w:hAnsi="Times New Roman" w:cs="Times New Roman"/>
          <w:sz w:val="24"/>
          <w:szCs w:val="24"/>
        </w:rPr>
      </w:pPr>
      <w:r w:rsidRPr="002C2CAA">
        <w:rPr>
          <w:rFonts w:ascii="Times New Roman" w:eastAsia="Times New Roman" w:hAnsi="Times New Roman" w:cs="Times New Roman"/>
          <w:i/>
          <w:sz w:val="24"/>
          <w:szCs w:val="24"/>
        </w:rPr>
        <w:t xml:space="preserve">While the scholars who argue for narrow banks ignore the beneficial efficiencies associated with combining lending and deposit taking, the financial economists who argue that combining lending and deposit taking is efficient ignore the harmful costs associated with combining these two functions. </w:t>
      </w:r>
      <w:proofErr w:type="gramStart"/>
      <w:r w:rsidRPr="002C2CAA">
        <w:rPr>
          <w:rFonts w:ascii="Times New Roman" w:eastAsia="Times New Roman" w:hAnsi="Times New Roman" w:cs="Times New Roman"/>
          <w:i/>
          <w:sz w:val="24"/>
          <w:szCs w:val="24"/>
        </w:rPr>
        <w:t>In particular, combining</w:t>
      </w:r>
      <w:proofErr w:type="gramEnd"/>
      <w:r w:rsidRPr="002C2CAA">
        <w:rPr>
          <w:rFonts w:ascii="Times New Roman" w:eastAsia="Times New Roman" w:hAnsi="Times New Roman" w:cs="Times New Roman"/>
          <w:i/>
          <w:sz w:val="24"/>
          <w:szCs w:val="24"/>
        </w:rPr>
        <w:t xml:space="preserve"> lending and deposit taking makes banks unstable, requires massive regulation to deal with th</w:t>
      </w:r>
      <w:r w:rsidR="004B63B1">
        <w:rPr>
          <w:rFonts w:ascii="Times New Roman" w:eastAsia="Times New Roman" w:hAnsi="Times New Roman" w:cs="Times New Roman"/>
          <w:i/>
          <w:sz w:val="24"/>
          <w:szCs w:val="24"/>
        </w:rPr>
        <w:t>at</w:t>
      </w:r>
      <w:r w:rsidRPr="002C2CAA">
        <w:rPr>
          <w:rFonts w:ascii="Times New Roman" w:eastAsia="Times New Roman" w:hAnsi="Times New Roman" w:cs="Times New Roman"/>
          <w:i/>
          <w:sz w:val="24"/>
          <w:szCs w:val="24"/>
        </w:rPr>
        <w:t xml:space="preserve"> instability, and causes periodic runs and panics. This Article concludes that when the costs associated with combining lending and deposit taking are properly considered, the arguments that traditional banking is efficient appear highly doubtful.</w:t>
      </w:r>
      <w:bookmarkStart w:id="32" w:name="_Toc159501543"/>
      <w:bookmarkStart w:id="33" w:name="_Toc159502577"/>
      <w:bookmarkStart w:id="34" w:name="_Toc160570733"/>
    </w:p>
    <w:p w14:paraId="2AFD79C7" w14:textId="77777777" w:rsidR="002C2CAA" w:rsidRPr="002C2CAA" w:rsidRDefault="002C2CAA" w:rsidP="002C2CAA">
      <w:pPr>
        <w:spacing w:after="0" w:line="240" w:lineRule="auto"/>
        <w:rPr>
          <w:rFonts w:ascii="Times New Roman" w:eastAsia="Times New Roman" w:hAnsi="Times New Roman" w:cs="Times New Roman"/>
          <w:sz w:val="24"/>
          <w:szCs w:val="24"/>
        </w:rPr>
      </w:pPr>
      <w:bookmarkStart w:id="35" w:name="_Toc161147151"/>
      <w:r w:rsidRPr="002C2CAA">
        <w:rPr>
          <w:rFonts w:ascii="Times New Roman" w:eastAsia="Times New Roman" w:hAnsi="Times New Roman" w:cs="Times New Roman"/>
          <w:sz w:val="24"/>
          <w:szCs w:val="24"/>
        </w:rPr>
        <w:br w:type="page"/>
      </w:r>
    </w:p>
    <w:p w14:paraId="5935845C" w14:textId="77777777" w:rsidR="002C2CAA" w:rsidRPr="002C2CAA" w:rsidRDefault="002C2CAA" w:rsidP="002C2CAA">
      <w:pPr>
        <w:spacing w:after="0" w:line="240" w:lineRule="auto"/>
        <w:jc w:val="center"/>
        <w:rPr>
          <w:rFonts w:ascii="Times New Roman" w:eastAsia="Times New Roman" w:hAnsi="Times New Roman" w:cs="Times New Roman"/>
          <w:b/>
          <w:bCs/>
          <w:noProof/>
          <w:sz w:val="24"/>
          <w:szCs w:val="24"/>
        </w:rPr>
      </w:pPr>
      <w:r w:rsidRPr="002C2CAA">
        <w:rPr>
          <w:rFonts w:ascii="Times New Roman" w:eastAsia="Times New Roman" w:hAnsi="Times New Roman" w:cs="Times New Roman"/>
          <w:b/>
          <w:bCs/>
          <w:noProof/>
          <w:sz w:val="24"/>
          <w:szCs w:val="24"/>
        </w:rPr>
        <w:t>Table of Contents</w:t>
      </w:r>
    </w:p>
    <w:sdt>
      <w:sdtPr>
        <w:rPr>
          <w:rFonts w:ascii="Times New Roman" w:eastAsia="Times New Roman" w:hAnsi="Times New Roman" w:cs="Times New Roman"/>
          <w:sz w:val="24"/>
          <w:szCs w:val="24"/>
        </w:rPr>
        <w:id w:val="725645311"/>
        <w:docPartObj>
          <w:docPartGallery w:val="Table of Contents"/>
          <w:docPartUnique/>
        </w:docPartObj>
      </w:sdtPr>
      <w:sdtEndPr>
        <w:rPr>
          <w:b/>
          <w:bCs/>
          <w:noProof/>
        </w:rPr>
      </w:sdtEndPr>
      <w:sdtContent>
        <w:p w14:paraId="752398AE" w14:textId="77777777" w:rsidR="002C2CAA" w:rsidRPr="002C2CAA" w:rsidRDefault="002C2CAA" w:rsidP="002C2CAA">
          <w:pPr>
            <w:keepNext/>
            <w:keepLines/>
            <w:spacing w:before="240" w:after="0"/>
            <w:rPr>
              <w:rFonts w:ascii="Calibri" w:eastAsia="MS Gothic" w:hAnsi="Calibri" w:cs="Times New Roman"/>
              <w:color w:val="365F91"/>
              <w:sz w:val="32"/>
              <w:szCs w:val="32"/>
            </w:rPr>
          </w:pPr>
        </w:p>
        <w:p w14:paraId="71A5548D" w14:textId="40D96D07" w:rsidR="002C2CAA" w:rsidRPr="002C2CAA" w:rsidRDefault="002C2CAA" w:rsidP="002C2CAA">
          <w:pPr>
            <w:tabs>
              <w:tab w:val="right" w:leader="dot" w:pos="8630"/>
            </w:tabs>
            <w:spacing w:before="120" w:after="0" w:line="240" w:lineRule="auto"/>
            <w:rPr>
              <w:rFonts w:ascii="Cambria" w:eastAsia="MS Mincho" w:hAnsi="Cambria" w:cs="Times New Roman"/>
              <w:b/>
              <w:bCs/>
              <w:i/>
              <w:iCs/>
              <w:noProof/>
              <w:kern w:val="2"/>
              <w:sz w:val="24"/>
              <w:szCs w:val="24"/>
              <w:lang w:eastAsia="zh-CN"/>
              <w14:ligatures w14:val="standardContextual"/>
            </w:rPr>
          </w:pPr>
          <w:r w:rsidRPr="002C2CAA">
            <w:rPr>
              <w:rFonts w:ascii="Cambria" w:eastAsia="Times New Roman" w:hAnsi="Cambria" w:cs="Times New Roman"/>
              <w:b/>
              <w:bCs/>
              <w:i/>
              <w:iCs/>
              <w:sz w:val="24"/>
              <w:szCs w:val="24"/>
            </w:rPr>
            <w:fldChar w:fldCharType="begin"/>
          </w:r>
          <w:r w:rsidRPr="002C2CAA">
            <w:rPr>
              <w:rFonts w:ascii="Cambria" w:eastAsia="Times New Roman" w:hAnsi="Cambria" w:cs="Times New Roman"/>
              <w:b/>
              <w:bCs/>
              <w:i/>
              <w:iCs/>
              <w:sz w:val="24"/>
              <w:szCs w:val="24"/>
            </w:rPr>
            <w:instrText xml:space="preserve"> TOC \o "1-3" \h \z \u </w:instrText>
          </w:r>
          <w:r w:rsidRPr="002C2CAA">
            <w:rPr>
              <w:rFonts w:ascii="Cambria" w:eastAsia="Times New Roman" w:hAnsi="Cambria" w:cs="Times New Roman"/>
              <w:b/>
              <w:bCs/>
              <w:i/>
              <w:iCs/>
              <w:sz w:val="24"/>
              <w:szCs w:val="24"/>
            </w:rPr>
            <w:fldChar w:fldCharType="separate"/>
          </w:r>
          <w:hyperlink w:anchor="_Toc161174420" w:history="1">
            <w:r w:rsidRPr="002C2CAA">
              <w:rPr>
                <w:rFonts w:ascii="Cambria" w:eastAsia="Times New Roman" w:hAnsi="Cambria" w:cs="Times New Roman"/>
                <w:b/>
                <w:bCs/>
                <w:i/>
                <w:iCs/>
                <w:noProof/>
                <w:color w:val="0000FF"/>
                <w:sz w:val="24"/>
                <w:szCs w:val="24"/>
                <w:u w:val="single"/>
              </w:rPr>
              <w:t>Abstract</w:t>
            </w:r>
            <w:r w:rsidRPr="002C2CAA">
              <w:rPr>
                <w:rFonts w:ascii="Cambria" w:eastAsia="Times New Roman" w:hAnsi="Cambria" w:cs="Times New Roman"/>
                <w:b/>
                <w:bCs/>
                <w:i/>
                <w:iCs/>
                <w:noProof/>
                <w:webHidden/>
                <w:sz w:val="24"/>
                <w:szCs w:val="24"/>
              </w:rPr>
              <w:tab/>
            </w:r>
            <w:r w:rsidRPr="002C2CAA">
              <w:rPr>
                <w:rFonts w:ascii="Cambria" w:eastAsia="Times New Roman" w:hAnsi="Cambria" w:cs="Times New Roman"/>
                <w:b/>
                <w:bCs/>
                <w:i/>
                <w:iCs/>
                <w:noProof/>
                <w:webHidden/>
                <w:sz w:val="24"/>
                <w:szCs w:val="24"/>
              </w:rPr>
              <w:fldChar w:fldCharType="begin"/>
            </w:r>
            <w:r w:rsidRPr="002C2CAA">
              <w:rPr>
                <w:rFonts w:ascii="Cambria" w:eastAsia="Times New Roman" w:hAnsi="Cambria" w:cs="Times New Roman"/>
                <w:b/>
                <w:bCs/>
                <w:i/>
                <w:iCs/>
                <w:noProof/>
                <w:webHidden/>
                <w:sz w:val="24"/>
                <w:szCs w:val="24"/>
              </w:rPr>
              <w:instrText xml:space="preserve"> PAGEREF _Toc161174420 \h </w:instrText>
            </w:r>
            <w:r w:rsidRPr="002C2CAA">
              <w:rPr>
                <w:rFonts w:ascii="Cambria" w:eastAsia="Times New Roman" w:hAnsi="Cambria" w:cs="Times New Roman"/>
                <w:b/>
                <w:bCs/>
                <w:i/>
                <w:iCs/>
                <w:noProof/>
                <w:webHidden/>
                <w:sz w:val="24"/>
                <w:szCs w:val="24"/>
              </w:rPr>
            </w:r>
            <w:r w:rsidRPr="002C2CAA">
              <w:rPr>
                <w:rFonts w:ascii="Cambria" w:eastAsia="Times New Roman" w:hAnsi="Cambria" w:cs="Times New Roman"/>
                <w:b/>
                <w:bCs/>
                <w:i/>
                <w:iCs/>
                <w:noProof/>
                <w:webHidden/>
                <w:sz w:val="24"/>
                <w:szCs w:val="24"/>
              </w:rPr>
              <w:fldChar w:fldCharType="separate"/>
            </w:r>
            <w:r w:rsidR="00D85FE7">
              <w:rPr>
                <w:rFonts w:ascii="Cambria" w:eastAsia="Times New Roman" w:hAnsi="Cambria" w:cs="Times New Roman"/>
                <w:b/>
                <w:bCs/>
                <w:i/>
                <w:iCs/>
                <w:noProof/>
                <w:webHidden/>
                <w:sz w:val="24"/>
                <w:szCs w:val="24"/>
              </w:rPr>
              <w:t>2</w:t>
            </w:r>
            <w:r w:rsidRPr="002C2CAA">
              <w:rPr>
                <w:rFonts w:ascii="Cambria" w:eastAsia="Times New Roman" w:hAnsi="Cambria" w:cs="Times New Roman"/>
                <w:b/>
                <w:bCs/>
                <w:i/>
                <w:iCs/>
                <w:noProof/>
                <w:webHidden/>
                <w:sz w:val="24"/>
                <w:szCs w:val="24"/>
              </w:rPr>
              <w:fldChar w:fldCharType="end"/>
            </w:r>
          </w:hyperlink>
        </w:p>
        <w:p w14:paraId="6EA9A379" w14:textId="7A645CD3" w:rsidR="002C2CAA" w:rsidRPr="002C2CAA" w:rsidRDefault="002C2CAA" w:rsidP="002C2CAA">
          <w:pPr>
            <w:tabs>
              <w:tab w:val="right" w:leader="dot" w:pos="8630"/>
            </w:tabs>
            <w:spacing w:before="120" w:after="0" w:line="240" w:lineRule="auto"/>
            <w:rPr>
              <w:rFonts w:ascii="Cambria" w:eastAsia="MS Mincho" w:hAnsi="Cambria" w:cs="Times New Roman"/>
              <w:b/>
              <w:bCs/>
              <w:i/>
              <w:iCs/>
              <w:noProof/>
              <w:kern w:val="2"/>
              <w:sz w:val="24"/>
              <w:szCs w:val="24"/>
              <w:lang w:eastAsia="zh-CN"/>
              <w14:ligatures w14:val="standardContextual"/>
            </w:rPr>
          </w:pPr>
          <w:hyperlink w:anchor="_Toc161174421" w:history="1">
            <w:r w:rsidRPr="002C2CAA">
              <w:rPr>
                <w:rFonts w:ascii="Cambria" w:eastAsia="Times New Roman" w:hAnsi="Cambria" w:cs="Times New Roman"/>
                <w:b/>
                <w:bCs/>
                <w:i/>
                <w:iCs/>
                <w:noProof/>
                <w:color w:val="0000FF"/>
                <w:sz w:val="24"/>
                <w:szCs w:val="24"/>
                <w:u w:val="single"/>
              </w:rPr>
              <w:t>I. Introduction</w:t>
            </w:r>
            <w:r w:rsidRPr="002C2CAA">
              <w:rPr>
                <w:rFonts w:ascii="Cambria" w:eastAsia="Times New Roman" w:hAnsi="Cambria" w:cs="Times New Roman"/>
                <w:b/>
                <w:bCs/>
                <w:i/>
                <w:iCs/>
                <w:noProof/>
                <w:webHidden/>
                <w:sz w:val="24"/>
                <w:szCs w:val="24"/>
              </w:rPr>
              <w:tab/>
            </w:r>
            <w:r w:rsidRPr="002C2CAA">
              <w:rPr>
                <w:rFonts w:ascii="Cambria" w:eastAsia="Times New Roman" w:hAnsi="Cambria" w:cs="Times New Roman"/>
                <w:b/>
                <w:bCs/>
                <w:i/>
                <w:iCs/>
                <w:noProof/>
                <w:webHidden/>
                <w:sz w:val="24"/>
                <w:szCs w:val="24"/>
              </w:rPr>
              <w:fldChar w:fldCharType="begin"/>
            </w:r>
            <w:r w:rsidRPr="002C2CAA">
              <w:rPr>
                <w:rFonts w:ascii="Cambria" w:eastAsia="Times New Roman" w:hAnsi="Cambria" w:cs="Times New Roman"/>
                <w:b/>
                <w:bCs/>
                <w:i/>
                <w:iCs/>
                <w:noProof/>
                <w:webHidden/>
                <w:sz w:val="24"/>
                <w:szCs w:val="24"/>
              </w:rPr>
              <w:instrText xml:space="preserve"> PAGEREF _Toc161174421 \h </w:instrText>
            </w:r>
            <w:r w:rsidRPr="002C2CAA">
              <w:rPr>
                <w:rFonts w:ascii="Cambria" w:eastAsia="Times New Roman" w:hAnsi="Cambria" w:cs="Times New Roman"/>
                <w:b/>
                <w:bCs/>
                <w:i/>
                <w:iCs/>
                <w:noProof/>
                <w:webHidden/>
                <w:sz w:val="24"/>
                <w:szCs w:val="24"/>
              </w:rPr>
            </w:r>
            <w:r w:rsidRPr="002C2CAA">
              <w:rPr>
                <w:rFonts w:ascii="Cambria" w:eastAsia="Times New Roman" w:hAnsi="Cambria" w:cs="Times New Roman"/>
                <w:b/>
                <w:bCs/>
                <w:i/>
                <w:iCs/>
                <w:noProof/>
                <w:webHidden/>
                <w:sz w:val="24"/>
                <w:szCs w:val="24"/>
              </w:rPr>
              <w:fldChar w:fldCharType="separate"/>
            </w:r>
            <w:r w:rsidR="00D85FE7">
              <w:rPr>
                <w:rFonts w:ascii="Cambria" w:eastAsia="Times New Roman" w:hAnsi="Cambria" w:cs="Times New Roman"/>
                <w:b/>
                <w:bCs/>
                <w:i/>
                <w:iCs/>
                <w:noProof/>
                <w:webHidden/>
                <w:sz w:val="24"/>
                <w:szCs w:val="24"/>
              </w:rPr>
              <w:t>4</w:t>
            </w:r>
            <w:r w:rsidRPr="002C2CAA">
              <w:rPr>
                <w:rFonts w:ascii="Cambria" w:eastAsia="Times New Roman" w:hAnsi="Cambria" w:cs="Times New Roman"/>
                <w:b/>
                <w:bCs/>
                <w:i/>
                <w:iCs/>
                <w:noProof/>
                <w:webHidden/>
                <w:sz w:val="24"/>
                <w:szCs w:val="24"/>
              </w:rPr>
              <w:fldChar w:fldCharType="end"/>
            </w:r>
          </w:hyperlink>
        </w:p>
        <w:p w14:paraId="7CF15BB4" w14:textId="6C2B00ED" w:rsidR="002C2CAA" w:rsidRPr="002C2CAA" w:rsidRDefault="002C2CAA" w:rsidP="002C2CAA">
          <w:pPr>
            <w:tabs>
              <w:tab w:val="right" w:leader="dot" w:pos="8630"/>
            </w:tabs>
            <w:spacing w:before="120" w:after="0" w:line="240" w:lineRule="auto"/>
            <w:rPr>
              <w:rFonts w:ascii="Cambria" w:eastAsia="MS Mincho" w:hAnsi="Cambria" w:cs="Times New Roman"/>
              <w:b/>
              <w:bCs/>
              <w:i/>
              <w:iCs/>
              <w:noProof/>
              <w:kern w:val="2"/>
              <w:sz w:val="24"/>
              <w:szCs w:val="24"/>
              <w:lang w:eastAsia="zh-CN"/>
              <w14:ligatures w14:val="standardContextual"/>
            </w:rPr>
          </w:pPr>
          <w:hyperlink w:anchor="_Toc161174422" w:history="1">
            <w:r w:rsidRPr="002C2CAA">
              <w:rPr>
                <w:rFonts w:ascii="Cambria" w:eastAsia="Times New Roman" w:hAnsi="Cambria" w:cs="Times New Roman"/>
                <w:b/>
                <w:bCs/>
                <w:i/>
                <w:iCs/>
                <w:noProof/>
                <w:color w:val="0000FF"/>
                <w:sz w:val="24"/>
                <w:szCs w:val="24"/>
                <w:u w:val="single"/>
              </w:rPr>
              <w:t>II. What is Banking and Why is it Inherently Unstable?</w:t>
            </w:r>
            <w:r w:rsidRPr="002C2CAA">
              <w:rPr>
                <w:rFonts w:ascii="Cambria" w:eastAsia="Times New Roman" w:hAnsi="Cambria" w:cs="Times New Roman"/>
                <w:b/>
                <w:bCs/>
                <w:i/>
                <w:iCs/>
                <w:noProof/>
                <w:webHidden/>
                <w:sz w:val="24"/>
                <w:szCs w:val="24"/>
              </w:rPr>
              <w:tab/>
            </w:r>
            <w:r w:rsidRPr="002C2CAA">
              <w:rPr>
                <w:rFonts w:ascii="Cambria" w:eastAsia="Times New Roman" w:hAnsi="Cambria" w:cs="Times New Roman"/>
                <w:b/>
                <w:bCs/>
                <w:i/>
                <w:iCs/>
                <w:noProof/>
                <w:webHidden/>
                <w:sz w:val="24"/>
                <w:szCs w:val="24"/>
              </w:rPr>
              <w:fldChar w:fldCharType="begin"/>
            </w:r>
            <w:r w:rsidRPr="002C2CAA">
              <w:rPr>
                <w:rFonts w:ascii="Cambria" w:eastAsia="Times New Roman" w:hAnsi="Cambria" w:cs="Times New Roman"/>
                <w:b/>
                <w:bCs/>
                <w:i/>
                <w:iCs/>
                <w:noProof/>
                <w:webHidden/>
                <w:sz w:val="24"/>
                <w:szCs w:val="24"/>
              </w:rPr>
              <w:instrText xml:space="preserve"> PAGEREF _Toc161174422 \h </w:instrText>
            </w:r>
            <w:r w:rsidRPr="002C2CAA">
              <w:rPr>
                <w:rFonts w:ascii="Cambria" w:eastAsia="Times New Roman" w:hAnsi="Cambria" w:cs="Times New Roman"/>
                <w:b/>
                <w:bCs/>
                <w:i/>
                <w:iCs/>
                <w:noProof/>
                <w:webHidden/>
                <w:sz w:val="24"/>
                <w:szCs w:val="24"/>
              </w:rPr>
            </w:r>
            <w:r w:rsidRPr="002C2CAA">
              <w:rPr>
                <w:rFonts w:ascii="Cambria" w:eastAsia="Times New Roman" w:hAnsi="Cambria" w:cs="Times New Roman"/>
                <w:b/>
                <w:bCs/>
                <w:i/>
                <w:iCs/>
                <w:noProof/>
                <w:webHidden/>
                <w:sz w:val="24"/>
                <w:szCs w:val="24"/>
              </w:rPr>
              <w:fldChar w:fldCharType="separate"/>
            </w:r>
            <w:r w:rsidR="00D85FE7">
              <w:rPr>
                <w:rFonts w:ascii="Cambria" w:eastAsia="Times New Roman" w:hAnsi="Cambria" w:cs="Times New Roman"/>
                <w:b/>
                <w:bCs/>
                <w:i/>
                <w:iCs/>
                <w:noProof/>
                <w:webHidden/>
                <w:sz w:val="24"/>
                <w:szCs w:val="24"/>
              </w:rPr>
              <w:t>5</w:t>
            </w:r>
            <w:r w:rsidRPr="002C2CAA">
              <w:rPr>
                <w:rFonts w:ascii="Cambria" w:eastAsia="Times New Roman" w:hAnsi="Cambria" w:cs="Times New Roman"/>
                <w:b/>
                <w:bCs/>
                <w:i/>
                <w:iCs/>
                <w:noProof/>
                <w:webHidden/>
                <w:sz w:val="24"/>
                <w:szCs w:val="24"/>
              </w:rPr>
              <w:fldChar w:fldCharType="end"/>
            </w:r>
          </w:hyperlink>
        </w:p>
        <w:p w14:paraId="5258073E" w14:textId="57AC826A" w:rsidR="002C2CAA" w:rsidRPr="002C2CAA" w:rsidRDefault="002C2CAA" w:rsidP="002C2CAA">
          <w:pPr>
            <w:tabs>
              <w:tab w:val="right" w:leader="dot" w:pos="8630"/>
            </w:tabs>
            <w:spacing w:before="120" w:after="0" w:line="240" w:lineRule="auto"/>
            <w:rPr>
              <w:rFonts w:ascii="Cambria" w:eastAsia="MS Mincho" w:hAnsi="Cambria" w:cs="Times New Roman"/>
              <w:b/>
              <w:bCs/>
              <w:i/>
              <w:iCs/>
              <w:noProof/>
              <w:sz w:val="24"/>
              <w:szCs w:val="24"/>
            </w:rPr>
          </w:pPr>
          <w:hyperlink w:anchor="_Toc161174423" w:history="1">
            <w:r w:rsidRPr="002C2CAA">
              <w:rPr>
                <w:rFonts w:ascii="Cambria" w:eastAsia="Times New Roman" w:hAnsi="Cambria" w:cs="Times New Roman"/>
                <w:b/>
                <w:bCs/>
                <w:i/>
                <w:iCs/>
                <w:noProof/>
                <w:color w:val="0000FF"/>
                <w:sz w:val="24"/>
                <w:szCs w:val="24"/>
                <w:u w:val="single"/>
              </w:rPr>
              <w:t>III. The Economic Rationales for Combining Lending and Deposit Taking</w:t>
            </w:r>
            <w:r w:rsidRPr="002C2CAA">
              <w:rPr>
                <w:rFonts w:ascii="Cambria" w:eastAsia="Times New Roman" w:hAnsi="Cambria" w:cs="Times New Roman"/>
                <w:b/>
                <w:bCs/>
                <w:i/>
                <w:iCs/>
                <w:noProof/>
                <w:webHidden/>
                <w:sz w:val="24"/>
                <w:szCs w:val="24"/>
              </w:rPr>
              <w:tab/>
            </w:r>
            <w:r w:rsidRPr="002C2CAA">
              <w:rPr>
                <w:rFonts w:ascii="Cambria" w:eastAsia="Times New Roman" w:hAnsi="Cambria" w:cs="Times New Roman"/>
                <w:b/>
                <w:bCs/>
                <w:i/>
                <w:iCs/>
                <w:noProof/>
                <w:webHidden/>
                <w:sz w:val="24"/>
                <w:szCs w:val="24"/>
              </w:rPr>
              <w:fldChar w:fldCharType="begin"/>
            </w:r>
            <w:r w:rsidRPr="002C2CAA">
              <w:rPr>
                <w:rFonts w:ascii="Cambria" w:eastAsia="Times New Roman" w:hAnsi="Cambria" w:cs="Times New Roman"/>
                <w:b/>
                <w:bCs/>
                <w:i/>
                <w:iCs/>
                <w:noProof/>
                <w:webHidden/>
                <w:sz w:val="24"/>
                <w:szCs w:val="24"/>
              </w:rPr>
              <w:instrText xml:space="preserve"> PAGEREF _Toc161174423 \h </w:instrText>
            </w:r>
            <w:r w:rsidRPr="002C2CAA">
              <w:rPr>
                <w:rFonts w:ascii="Cambria" w:eastAsia="Times New Roman" w:hAnsi="Cambria" w:cs="Times New Roman"/>
                <w:b/>
                <w:bCs/>
                <w:i/>
                <w:iCs/>
                <w:noProof/>
                <w:webHidden/>
                <w:sz w:val="24"/>
                <w:szCs w:val="24"/>
              </w:rPr>
            </w:r>
            <w:r w:rsidRPr="002C2CAA">
              <w:rPr>
                <w:rFonts w:ascii="Cambria" w:eastAsia="Times New Roman" w:hAnsi="Cambria" w:cs="Times New Roman"/>
                <w:b/>
                <w:bCs/>
                <w:i/>
                <w:iCs/>
                <w:noProof/>
                <w:webHidden/>
                <w:sz w:val="24"/>
                <w:szCs w:val="24"/>
              </w:rPr>
              <w:fldChar w:fldCharType="separate"/>
            </w:r>
            <w:r w:rsidR="00D85FE7">
              <w:rPr>
                <w:rFonts w:ascii="Cambria" w:eastAsia="Times New Roman" w:hAnsi="Cambria" w:cs="Times New Roman"/>
                <w:b/>
                <w:bCs/>
                <w:i/>
                <w:iCs/>
                <w:noProof/>
                <w:webHidden/>
                <w:sz w:val="24"/>
                <w:szCs w:val="24"/>
              </w:rPr>
              <w:t>10</w:t>
            </w:r>
            <w:r w:rsidRPr="002C2CAA">
              <w:rPr>
                <w:rFonts w:ascii="Cambria" w:eastAsia="Times New Roman" w:hAnsi="Cambria" w:cs="Times New Roman"/>
                <w:b/>
                <w:bCs/>
                <w:i/>
                <w:iCs/>
                <w:noProof/>
                <w:webHidden/>
                <w:sz w:val="24"/>
                <w:szCs w:val="24"/>
              </w:rPr>
              <w:fldChar w:fldCharType="end"/>
            </w:r>
          </w:hyperlink>
        </w:p>
        <w:p w14:paraId="161AC34C" w14:textId="6A799382" w:rsidR="002C2CAA" w:rsidRPr="002C2CAA" w:rsidRDefault="002C2CAA" w:rsidP="002C2CAA">
          <w:pPr>
            <w:tabs>
              <w:tab w:val="right" w:leader="dot" w:pos="8630"/>
            </w:tabs>
            <w:spacing w:before="120" w:after="0" w:line="240" w:lineRule="auto"/>
            <w:rPr>
              <w:rFonts w:ascii="Cambria" w:eastAsia="MS Mincho" w:hAnsi="Cambria" w:cs="Times New Roman"/>
              <w:b/>
              <w:bCs/>
              <w:i/>
              <w:iCs/>
              <w:noProof/>
              <w:kern w:val="2"/>
              <w:sz w:val="24"/>
              <w:szCs w:val="24"/>
              <w:lang w:eastAsia="zh-CN"/>
              <w14:ligatures w14:val="standardContextual"/>
            </w:rPr>
          </w:pPr>
          <w:hyperlink w:anchor="_Toc161174424" w:history="1">
            <w:r w:rsidRPr="002C2CAA">
              <w:rPr>
                <w:rFonts w:ascii="Cambria" w:eastAsia="Times New Roman" w:hAnsi="Cambria" w:cs="Times New Roman"/>
                <w:b/>
                <w:bCs/>
                <w:i/>
                <w:iCs/>
                <w:noProof/>
                <w:color w:val="0000FF"/>
                <w:sz w:val="24"/>
                <w:szCs w:val="24"/>
                <w:u w:val="single"/>
              </w:rPr>
              <w:t>IV.  What is Left of the Argument that Combining lending and Deposit Taking is Efficient?</w:t>
            </w:r>
            <w:r w:rsidRPr="002C2CAA">
              <w:rPr>
                <w:rFonts w:ascii="Cambria" w:eastAsia="Times New Roman" w:hAnsi="Cambria" w:cs="Times New Roman"/>
                <w:b/>
                <w:bCs/>
                <w:i/>
                <w:iCs/>
                <w:noProof/>
                <w:webHidden/>
                <w:sz w:val="24"/>
                <w:szCs w:val="24"/>
              </w:rPr>
              <w:tab/>
            </w:r>
            <w:r w:rsidRPr="002C2CAA">
              <w:rPr>
                <w:rFonts w:ascii="Cambria" w:eastAsia="Times New Roman" w:hAnsi="Cambria" w:cs="Times New Roman"/>
                <w:b/>
                <w:bCs/>
                <w:i/>
                <w:iCs/>
                <w:noProof/>
                <w:webHidden/>
                <w:sz w:val="24"/>
                <w:szCs w:val="24"/>
              </w:rPr>
              <w:fldChar w:fldCharType="begin"/>
            </w:r>
            <w:r w:rsidRPr="002C2CAA">
              <w:rPr>
                <w:rFonts w:ascii="Cambria" w:eastAsia="Times New Roman" w:hAnsi="Cambria" w:cs="Times New Roman"/>
                <w:b/>
                <w:bCs/>
                <w:i/>
                <w:iCs/>
                <w:noProof/>
                <w:webHidden/>
                <w:sz w:val="24"/>
                <w:szCs w:val="24"/>
              </w:rPr>
              <w:instrText xml:space="preserve"> PAGEREF _Toc161174424 \h </w:instrText>
            </w:r>
            <w:r w:rsidRPr="002C2CAA">
              <w:rPr>
                <w:rFonts w:ascii="Cambria" w:eastAsia="Times New Roman" w:hAnsi="Cambria" w:cs="Times New Roman"/>
                <w:b/>
                <w:bCs/>
                <w:i/>
                <w:iCs/>
                <w:noProof/>
                <w:webHidden/>
                <w:sz w:val="24"/>
                <w:szCs w:val="24"/>
              </w:rPr>
            </w:r>
            <w:r w:rsidRPr="002C2CAA">
              <w:rPr>
                <w:rFonts w:ascii="Cambria" w:eastAsia="Times New Roman" w:hAnsi="Cambria" w:cs="Times New Roman"/>
                <w:b/>
                <w:bCs/>
                <w:i/>
                <w:iCs/>
                <w:noProof/>
                <w:webHidden/>
                <w:sz w:val="24"/>
                <w:szCs w:val="24"/>
              </w:rPr>
              <w:fldChar w:fldCharType="separate"/>
            </w:r>
            <w:r w:rsidR="00D85FE7">
              <w:rPr>
                <w:rFonts w:ascii="Cambria" w:eastAsia="Times New Roman" w:hAnsi="Cambria" w:cs="Times New Roman"/>
                <w:b/>
                <w:bCs/>
                <w:i/>
                <w:iCs/>
                <w:noProof/>
                <w:webHidden/>
                <w:sz w:val="24"/>
                <w:szCs w:val="24"/>
              </w:rPr>
              <w:t>38</w:t>
            </w:r>
            <w:r w:rsidRPr="002C2CAA">
              <w:rPr>
                <w:rFonts w:ascii="Cambria" w:eastAsia="Times New Roman" w:hAnsi="Cambria" w:cs="Times New Roman"/>
                <w:b/>
                <w:bCs/>
                <w:i/>
                <w:iCs/>
                <w:noProof/>
                <w:webHidden/>
                <w:sz w:val="24"/>
                <w:szCs w:val="24"/>
              </w:rPr>
              <w:fldChar w:fldCharType="end"/>
            </w:r>
          </w:hyperlink>
        </w:p>
        <w:p w14:paraId="1BC2F20F" w14:textId="4E026055" w:rsidR="002C2CAA" w:rsidRPr="002C2CAA" w:rsidRDefault="002C2CAA" w:rsidP="002C2CAA">
          <w:pPr>
            <w:tabs>
              <w:tab w:val="right" w:leader="dot" w:pos="8630"/>
            </w:tabs>
            <w:spacing w:before="120" w:after="0" w:line="240" w:lineRule="auto"/>
            <w:rPr>
              <w:rFonts w:ascii="Cambria" w:eastAsia="MS Mincho" w:hAnsi="Cambria" w:cs="Times New Roman"/>
              <w:b/>
              <w:bCs/>
              <w:i/>
              <w:iCs/>
              <w:noProof/>
              <w:kern w:val="2"/>
              <w:sz w:val="24"/>
              <w:szCs w:val="24"/>
              <w:lang w:eastAsia="zh-CN"/>
              <w14:ligatures w14:val="standardContextual"/>
            </w:rPr>
          </w:pPr>
          <w:hyperlink w:anchor="_Toc161174425" w:history="1">
            <w:r w:rsidRPr="002C2CAA">
              <w:rPr>
                <w:rFonts w:ascii="Cambria" w:eastAsia="Times New Roman" w:hAnsi="Cambria" w:cs="Times New Roman"/>
                <w:b/>
                <w:bCs/>
                <w:i/>
                <w:iCs/>
                <w:noProof/>
                <w:color w:val="0000FF"/>
                <w:sz w:val="24"/>
                <w:szCs w:val="24"/>
                <w:u w:val="single"/>
              </w:rPr>
              <w:t>V.  Conclusion</w:t>
            </w:r>
            <w:r w:rsidRPr="002C2CAA">
              <w:rPr>
                <w:rFonts w:ascii="Cambria" w:eastAsia="Times New Roman" w:hAnsi="Cambria" w:cs="Times New Roman"/>
                <w:b/>
                <w:bCs/>
                <w:i/>
                <w:iCs/>
                <w:noProof/>
                <w:webHidden/>
                <w:sz w:val="24"/>
                <w:szCs w:val="24"/>
              </w:rPr>
              <w:tab/>
            </w:r>
            <w:r w:rsidRPr="002C2CAA">
              <w:rPr>
                <w:rFonts w:ascii="Cambria" w:eastAsia="Times New Roman" w:hAnsi="Cambria" w:cs="Times New Roman"/>
                <w:b/>
                <w:bCs/>
                <w:i/>
                <w:iCs/>
                <w:noProof/>
                <w:webHidden/>
                <w:sz w:val="24"/>
                <w:szCs w:val="24"/>
              </w:rPr>
              <w:fldChar w:fldCharType="begin"/>
            </w:r>
            <w:r w:rsidRPr="002C2CAA">
              <w:rPr>
                <w:rFonts w:ascii="Cambria" w:eastAsia="Times New Roman" w:hAnsi="Cambria" w:cs="Times New Roman"/>
                <w:b/>
                <w:bCs/>
                <w:i/>
                <w:iCs/>
                <w:noProof/>
                <w:webHidden/>
                <w:sz w:val="24"/>
                <w:szCs w:val="24"/>
              </w:rPr>
              <w:instrText xml:space="preserve"> PAGEREF _Toc161174425 \h </w:instrText>
            </w:r>
            <w:r w:rsidRPr="002C2CAA">
              <w:rPr>
                <w:rFonts w:ascii="Cambria" w:eastAsia="Times New Roman" w:hAnsi="Cambria" w:cs="Times New Roman"/>
                <w:b/>
                <w:bCs/>
                <w:i/>
                <w:iCs/>
                <w:noProof/>
                <w:webHidden/>
                <w:sz w:val="24"/>
                <w:szCs w:val="24"/>
              </w:rPr>
            </w:r>
            <w:r w:rsidRPr="002C2CAA">
              <w:rPr>
                <w:rFonts w:ascii="Cambria" w:eastAsia="Times New Roman" w:hAnsi="Cambria" w:cs="Times New Roman"/>
                <w:b/>
                <w:bCs/>
                <w:i/>
                <w:iCs/>
                <w:noProof/>
                <w:webHidden/>
                <w:sz w:val="24"/>
                <w:szCs w:val="24"/>
              </w:rPr>
              <w:fldChar w:fldCharType="separate"/>
            </w:r>
            <w:r w:rsidR="00D85FE7">
              <w:rPr>
                <w:rFonts w:ascii="Cambria" w:eastAsia="Times New Roman" w:hAnsi="Cambria" w:cs="Times New Roman"/>
                <w:b/>
                <w:bCs/>
                <w:i/>
                <w:iCs/>
                <w:noProof/>
                <w:webHidden/>
                <w:sz w:val="24"/>
                <w:szCs w:val="24"/>
              </w:rPr>
              <w:t>45</w:t>
            </w:r>
            <w:r w:rsidRPr="002C2CAA">
              <w:rPr>
                <w:rFonts w:ascii="Cambria" w:eastAsia="Times New Roman" w:hAnsi="Cambria" w:cs="Times New Roman"/>
                <w:b/>
                <w:bCs/>
                <w:i/>
                <w:iCs/>
                <w:noProof/>
                <w:webHidden/>
                <w:sz w:val="24"/>
                <w:szCs w:val="24"/>
              </w:rPr>
              <w:fldChar w:fldCharType="end"/>
            </w:r>
          </w:hyperlink>
        </w:p>
        <w:p w14:paraId="20CCECD0" w14:textId="77777777" w:rsidR="002C2CAA" w:rsidRPr="002C2CAA" w:rsidRDefault="002C2CAA" w:rsidP="002C2CAA">
          <w:pPr>
            <w:spacing w:after="0" w:line="240" w:lineRule="auto"/>
            <w:rPr>
              <w:rFonts w:ascii="Times New Roman" w:eastAsia="Times New Roman" w:hAnsi="Times New Roman" w:cs="Times New Roman"/>
              <w:sz w:val="24"/>
              <w:szCs w:val="24"/>
            </w:rPr>
          </w:pPr>
          <w:r w:rsidRPr="002C2CAA">
            <w:rPr>
              <w:rFonts w:ascii="Cambria" w:eastAsia="Times New Roman" w:hAnsi="Cambria" w:cs="Times New Roman"/>
              <w:b/>
              <w:bCs/>
              <w:i/>
              <w:iCs/>
              <w:sz w:val="24"/>
              <w:szCs w:val="24"/>
            </w:rPr>
            <w:fldChar w:fldCharType="end"/>
          </w:r>
        </w:p>
      </w:sdtContent>
    </w:sdt>
    <w:p w14:paraId="70A5A65A" w14:textId="77777777" w:rsidR="002C2CAA" w:rsidRPr="002C2CAA" w:rsidRDefault="002C2CAA" w:rsidP="002C2CAA">
      <w:pPr>
        <w:keepNext/>
        <w:spacing w:before="240" w:after="60" w:line="240" w:lineRule="auto"/>
        <w:outlineLvl w:val="0"/>
        <w:rPr>
          <w:rFonts w:ascii="Times New Roman" w:eastAsia="MS Gothic" w:hAnsi="Times New Roman" w:cs="Times New Roman"/>
          <w:kern w:val="32"/>
          <w:sz w:val="24"/>
          <w:szCs w:val="24"/>
          <w:lang w:eastAsia="zh-CN"/>
        </w:rPr>
      </w:pPr>
      <w:r w:rsidRPr="002C2CAA">
        <w:rPr>
          <w:rFonts w:ascii="Times New Roman" w:eastAsia="MS Gothic" w:hAnsi="Times New Roman" w:cs="Times New Roman"/>
          <w:smallCaps/>
          <w:kern w:val="32"/>
          <w:sz w:val="24"/>
          <w:szCs w:val="24"/>
        </w:rPr>
        <w:br w:type="page"/>
      </w:r>
    </w:p>
    <w:p w14:paraId="1DEBACC7" w14:textId="77777777" w:rsidR="002C2CAA" w:rsidRPr="002C2CAA" w:rsidRDefault="002C2CAA" w:rsidP="002C2CAA">
      <w:pPr>
        <w:keepNext/>
        <w:spacing w:before="240" w:after="60" w:line="240" w:lineRule="auto"/>
        <w:jc w:val="center"/>
        <w:outlineLvl w:val="0"/>
        <w:rPr>
          <w:rFonts w:ascii="Times New Roman" w:eastAsia="MS Gothic" w:hAnsi="Times New Roman" w:cs="Times New Roman"/>
          <w:smallCaps/>
          <w:kern w:val="32"/>
          <w:sz w:val="24"/>
          <w:szCs w:val="24"/>
        </w:rPr>
      </w:pPr>
      <w:bookmarkStart w:id="36" w:name="_Toc161174421"/>
      <w:r w:rsidRPr="002C2CAA">
        <w:rPr>
          <w:rFonts w:ascii="Times New Roman" w:eastAsia="MS Gothic" w:hAnsi="Times New Roman" w:cs="Times New Roman"/>
          <w:smallCaps/>
          <w:kern w:val="32"/>
          <w:sz w:val="24"/>
          <w:szCs w:val="24"/>
        </w:rPr>
        <w:t>I. Introduction</w:t>
      </w:r>
      <w:bookmarkEnd w:id="32"/>
      <w:bookmarkEnd w:id="33"/>
      <w:bookmarkEnd w:id="34"/>
      <w:bookmarkEnd w:id="35"/>
      <w:bookmarkEnd w:id="36"/>
    </w:p>
    <w:p w14:paraId="75501F4A"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1DCD4149" w14:textId="6C146F9B"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Banking combines deposit taking and lending. Surprisingly, the rich theoretical and empirical literature in finance has “with few exceptions not addressed a fundamental question: why is it important that </w:t>
      </w:r>
      <w:r w:rsidRPr="002C2CAA">
        <w:rPr>
          <w:rFonts w:ascii="Times New Roman" w:eastAsia="Times New Roman" w:hAnsi="Times New Roman" w:cs="Times New Roman"/>
          <w:i/>
          <w:sz w:val="24"/>
          <w:szCs w:val="24"/>
        </w:rPr>
        <w:t>one institution carry out both functions under the same roof?</w:t>
      </w:r>
      <w:r w:rsidRPr="002C2CAA">
        <w:rPr>
          <w:rFonts w:ascii="Times New Roman" w:eastAsia="Times New Roman" w:hAnsi="Times New Roman" w:cs="Times New Roman"/>
          <w:sz w:val="24"/>
          <w:szCs w:val="24"/>
        </w:rPr>
        <w:t>”</w:t>
      </w:r>
      <w:r w:rsidRPr="002C2CAA">
        <w:rPr>
          <w:rFonts w:ascii="Times New Roman" w:eastAsia="Times New Roman" w:hAnsi="Times New Roman" w:cs="Times New Roman"/>
          <w:sz w:val="24"/>
          <w:szCs w:val="24"/>
          <w:vertAlign w:val="superscript"/>
        </w:rPr>
        <w:footnoteReference w:id="1"/>
      </w:r>
      <w:r w:rsidRPr="002C2CAA">
        <w:rPr>
          <w:rFonts w:ascii="Times New Roman" w:eastAsia="Times New Roman" w:hAnsi="Times New Roman" w:cs="Times New Roman"/>
          <w:sz w:val="24"/>
          <w:szCs w:val="24"/>
        </w:rPr>
        <w:t xml:space="preserve">  In the absence of an explanation for why lending and deposit taking </w:t>
      </w:r>
      <w:r w:rsidR="0099575B">
        <w:rPr>
          <w:rFonts w:ascii="Times New Roman" w:eastAsia="Times New Roman" w:hAnsi="Times New Roman" w:cs="Times New Roman"/>
          <w:sz w:val="24"/>
          <w:szCs w:val="24"/>
        </w:rPr>
        <w:t xml:space="preserve"> a</w:t>
      </w:r>
      <w:r w:rsidRPr="002C2CAA">
        <w:rPr>
          <w:rFonts w:ascii="Times New Roman" w:eastAsia="Times New Roman" w:hAnsi="Times New Roman" w:cs="Times New Roman"/>
          <w:sz w:val="24"/>
          <w:szCs w:val="24"/>
        </w:rPr>
        <w:t xml:space="preserve">re combined, one is left wondering whether the banking industry exists as it does today is a result of distortions caused by regulation, and whether </w:t>
      </w:r>
      <w:r w:rsidR="0099575B">
        <w:rPr>
          <w:rFonts w:ascii="Times New Roman" w:eastAsia="Times New Roman" w:hAnsi="Times New Roman" w:cs="Times New Roman"/>
          <w:sz w:val="24"/>
          <w:szCs w:val="24"/>
        </w:rPr>
        <w:t xml:space="preserve">the traditional form in which banks are organized </w:t>
      </w:r>
      <w:r w:rsidRPr="002C2CAA">
        <w:rPr>
          <w:rFonts w:ascii="Times New Roman" w:eastAsia="Times New Roman" w:hAnsi="Times New Roman" w:cs="Times New Roman"/>
          <w:sz w:val="24"/>
          <w:szCs w:val="24"/>
        </w:rPr>
        <w:t>remains a socially desirable and efficient organizational structure.</w:t>
      </w:r>
    </w:p>
    <w:p w14:paraId="664E5A78"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66F19C56"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This inquiry seems important because banks receive copious government subsidies and bailouts.</w:t>
      </w:r>
      <w:r w:rsidRPr="002C2CAA">
        <w:rPr>
          <w:rFonts w:ascii="Times New Roman" w:eastAsia="Times New Roman" w:hAnsi="Times New Roman" w:cs="Times New Roman"/>
          <w:sz w:val="24"/>
          <w:szCs w:val="24"/>
          <w:vertAlign w:val="superscript"/>
        </w:rPr>
        <w:footnoteReference w:id="2"/>
      </w:r>
      <w:r w:rsidRPr="002C2CAA">
        <w:rPr>
          <w:rFonts w:ascii="Times New Roman" w:eastAsia="Times New Roman" w:hAnsi="Times New Roman" w:cs="Times New Roman"/>
          <w:sz w:val="24"/>
          <w:szCs w:val="24"/>
        </w:rPr>
        <w:t xml:space="preserve"> Such subsidies and bailouts are necessary because combining lending and deposit taking makes for a very risky way to organize a business.</w:t>
      </w:r>
    </w:p>
    <w:p w14:paraId="5E077AEA"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60033D85"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most conspicuous form of government support for banks comes in the form of deposit insurance, which, from the point of view of the banks whose depositors are protected by such insurance, serves as a form of credit enhancement that enables banks whose deposits are insured to fund their loans and other assets at rates far lower than their non-bank competitors. Outright bailouts of banks are very common. Other subsidies take the form of access to the Federal Reserve’s discount window, direct access to the Federal Reserve’s payment system,</w:t>
      </w:r>
      <w:r w:rsidRPr="002C2CAA">
        <w:rPr>
          <w:rFonts w:ascii="Times New Roman" w:eastAsia="Times New Roman" w:hAnsi="Times New Roman" w:cs="Times New Roman"/>
          <w:sz w:val="24"/>
          <w:szCs w:val="24"/>
          <w:vertAlign w:val="superscript"/>
        </w:rPr>
        <w:footnoteReference w:id="3"/>
      </w:r>
      <w:r w:rsidRPr="002C2CAA">
        <w:rPr>
          <w:rFonts w:ascii="Times New Roman" w:eastAsia="Times New Roman" w:hAnsi="Times New Roman" w:cs="Times New Roman"/>
          <w:sz w:val="24"/>
          <w:szCs w:val="24"/>
        </w:rPr>
        <w:t xml:space="preserve"> and access to cheap loans from Federal Home Loan Banks.</w:t>
      </w:r>
      <w:r w:rsidRPr="002C2CAA">
        <w:rPr>
          <w:rFonts w:ascii="Times New Roman" w:eastAsia="Times New Roman" w:hAnsi="Times New Roman" w:cs="Times New Roman"/>
          <w:sz w:val="24"/>
          <w:szCs w:val="24"/>
          <w:vertAlign w:val="superscript"/>
        </w:rPr>
        <w:footnoteReference w:id="4"/>
      </w:r>
      <w:r w:rsidRPr="002C2CAA">
        <w:rPr>
          <w:rFonts w:ascii="Times New Roman" w:eastAsia="Times New Roman" w:hAnsi="Times New Roman" w:cs="Times New Roman"/>
          <w:sz w:val="24"/>
          <w:szCs w:val="24"/>
        </w:rPr>
        <w:t xml:space="preserve"> And, it seems, the bigger the bank, the bigger the subsidy, as banks considered “too big to fail” not only borrow at lower rates of interest, but they also take bigger risks.</w:t>
      </w:r>
      <w:r w:rsidRPr="002C2CAA">
        <w:rPr>
          <w:rFonts w:ascii="Times New Roman" w:eastAsia="Times New Roman" w:hAnsi="Times New Roman" w:cs="Times New Roman"/>
          <w:sz w:val="24"/>
          <w:szCs w:val="24"/>
          <w:vertAlign w:val="superscript"/>
        </w:rPr>
        <w:footnoteReference w:id="5"/>
      </w:r>
    </w:p>
    <w:p w14:paraId="775C0156"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1FAC4145"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The subsidies and bailouts of banks can be viewed as a form of industrial policy, as industrial policy is defined as any type of intervention or government policy that attempts to improve the business environment or to alter the structure of economic activity of particular sectors, technologies, or tasks.</w:t>
      </w:r>
      <w:r w:rsidRPr="002C2CAA">
        <w:rPr>
          <w:rFonts w:ascii="Times New Roman" w:eastAsia="Times New Roman" w:hAnsi="Times New Roman" w:cs="Times New Roman"/>
          <w:sz w:val="24"/>
          <w:szCs w:val="24"/>
          <w:vertAlign w:val="superscript"/>
        </w:rPr>
        <w:footnoteReference w:id="6"/>
      </w:r>
      <w:r w:rsidRPr="002C2CAA">
        <w:rPr>
          <w:rFonts w:ascii="Times New Roman" w:eastAsia="Times New Roman" w:hAnsi="Times New Roman" w:cs="Times New Roman"/>
          <w:sz w:val="24"/>
          <w:szCs w:val="24"/>
        </w:rPr>
        <w:t xml:space="preserve"> In fact the global subsidies and bailouts of banks combine to make the banking industry and banks arguably the greatest beneficiaries of industrial policy in history.</w:t>
      </w:r>
    </w:p>
    <w:p w14:paraId="2E50C5D1"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6BC19CEB" w14:textId="5D4F04C6"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The subsidies and bailouts routinely provided to banks make it impossible to know whether banks as we know them today would exist in the absence of such subsidies.  Simply put, </w:t>
      </w:r>
      <w:r w:rsidR="004B63B1">
        <w:rPr>
          <w:rFonts w:ascii="Times New Roman" w:eastAsia="Times New Roman" w:hAnsi="Times New Roman" w:cs="Times New Roman"/>
          <w:sz w:val="24"/>
          <w:szCs w:val="24"/>
        </w:rPr>
        <w:t xml:space="preserve">these </w:t>
      </w:r>
      <w:r w:rsidRPr="002C2CAA">
        <w:rPr>
          <w:rFonts w:ascii="Times New Roman" w:eastAsia="Times New Roman" w:hAnsi="Times New Roman" w:cs="Times New Roman"/>
          <w:sz w:val="24"/>
          <w:szCs w:val="24"/>
        </w:rPr>
        <w:t xml:space="preserve">subsidies and bailouts prevent the critical process of </w:t>
      </w:r>
      <w:r w:rsidR="004B63B1">
        <w:rPr>
          <w:rFonts w:ascii="Times New Roman" w:eastAsia="Times New Roman" w:hAnsi="Times New Roman" w:cs="Times New Roman"/>
          <w:sz w:val="24"/>
          <w:szCs w:val="24"/>
        </w:rPr>
        <w:t>“</w:t>
      </w:r>
      <w:r w:rsidRPr="002C2CAA">
        <w:rPr>
          <w:rFonts w:ascii="Times New Roman" w:eastAsia="Times New Roman" w:hAnsi="Times New Roman" w:cs="Times New Roman"/>
          <w:sz w:val="24"/>
          <w:szCs w:val="24"/>
        </w:rPr>
        <w:t>Creative Destruction</w:t>
      </w:r>
      <w:r w:rsidR="004B63B1">
        <w:rPr>
          <w:rFonts w:ascii="Times New Roman" w:eastAsia="Times New Roman" w:hAnsi="Times New Roman" w:cs="Times New Roman"/>
          <w:sz w:val="24"/>
          <w:szCs w:val="24"/>
        </w:rPr>
        <w:t>”</w:t>
      </w:r>
      <w:r w:rsidRPr="002C2CAA">
        <w:rPr>
          <w:rFonts w:ascii="Times New Roman" w:eastAsia="Times New Roman" w:hAnsi="Times New Roman" w:cs="Times New Roman"/>
          <w:sz w:val="24"/>
          <w:szCs w:val="24"/>
        </w:rPr>
        <w:t xml:space="preserve"> from working in the banking industry</w:t>
      </w:r>
      <w:r w:rsidR="004B63B1">
        <w:rPr>
          <w:rFonts w:ascii="Times New Roman" w:eastAsia="Times New Roman" w:hAnsi="Times New Roman" w:cs="Times New Roman"/>
          <w:sz w:val="24"/>
          <w:szCs w:val="24"/>
        </w:rPr>
        <w:t xml:space="preserve"> to weed out obsolete ways of doing business in order to make way for newer ones</w:t>
      </w:r>
      <w:r w:rsidRPr="002C2CAA">
        <w:rPr>
          <w:rFonts w:ascii="Times New Roman" w:eastAsia="Times New Roman" w:hAnsi="Times New Roman" w:cs="Times New Roman"/>
          <w:sz w:val="24"/>
          <w:szCs w:val="24"/>
        </w:rPr>
        <w:t>.</w:t>
      </w:r>
      <w:r w:rsidR="004B63B1">
        <w:rPr>
          <w:rStyle w:val="FootnoteReference"/>
          <w:rFonts w:ascii="Times New Roman" w:eastAsia="Times New Roman" w:hAnsi="Times New Roman" w:cs="Times New Roman"/>
          <w:sz w:val="24"/>
          <w:szCs w:val="24"/>
        </w:rPr>
        <w:footnoteReference w:id="7"/>
      </w:r>
      <w:r w:rsidRPr="002C2CAA">
        <w:rPr>
          <w:rFonts w:ascii="Times New Roman" w:eastAsia="Times New Roman" w:hAnsi="Times New Roman" w:cs="Times New Roman"/>
          <w:sz w:val="24"/>
          <w:szCs w:val="24"/>
        </w:rPr>
        <w:t xml:space="preserve"> </w:t>
      </w:r>
      <w:r w:rsidR="004B63B1">
        <w:rPr>
          <w:rFonts w:ascii="Times New Roman" w:eastAsia="Times New Roman" w:hAnsi="Times New Roman" w:cs="Times New Roman"/>
          <w:sz w:val="24"/>
          <w:szCs w:val="24"/>
        </w:rPr>
        <w:t>For all we know</w:t>
      </w:r>
      <w:r w:rsidRPr="002C2CAA">
        <w:rPr>
          <w:rFonts w:ascii="Times New Roman" w:eastAsia="Times New Roman" w:hAnsi="Times New Roman" w:cs="Times New Roman"/>
          <w:sz w:val="24"/>
          <w:szCs w:val="24"/>
        </w:rPr>
        <w:t xml:space="preserve">, banking might well be an obsolete industry without people really being aware of its obsolescence.  </w:t>
      </w:r>
    </w:p>
    <w:p w14:paraId="7DADD3D6"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10A4AB50"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The central insight offered in this Article is that there is a strong argument to be made that banks are, in fact, obsolete. The argument that banks are obsolete is based on the simple premise that as markets and technology have evolved over the past several decades, close substitutes for banks have emerged that provide services to bank customers that are likely superior to the services provided by banks. These subsidies and bailouts that are routinely and predictably provided to banks have prevented these alternatives services from competing with banks on a level playing field. </w:t>
      </w:r>
    </w:p>
    <w:p w14:paraId="184CC533"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543604A7"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In the following section of this Article I explain what banking is and why it is inherently unstable. I then provide a brief history of bank bailouts and argue that such bailouts are inevitable. Then, turning to the main arguments in the paper, in the following two sections I survey the economic rationales for banks and then show that close substitutes for banks have emerged that bring into serious doubt the notion that the banking industry remains economically relevant. </w:t>
      </w:r>
      <w:proofErr w:type="gramStart"/>
      <w:r w:rsidRPr="002C2CAA">
        <w:rPr>
          <w:rFonts w:ascii="Times New Roman" w:eastAsia="Times New Roman" w:hAnsi="Times New Roman" w:cs="Times New Roman"/>
          <w:sz w:val="24"/>
          <w:szCs w:val="24"/>
        </w:rPr>
        <w:t>In light of</w:t>
      </w:r>
      <w:proofErr w:type="gramEnd"/>
      <w:r w:rsidRPr="002C2CAA">
        <w:rPr>
          <w:rFonts w:ascii="Times New Roman" w:eastAsia="Times New Roman" w:hAnsi="Times New Roman" w:cs="Times New Roman"/>
          <w:sz w:val="24"/>
          <w:szCs w:val="24"/>
        </w:rPr>
        <w:t xml:space="preserve"> the emergence of close substitutes for the deposit-taking and lending functions of banks, I propose that deposit insurance be fully and competitively priced and that the historical system of multiple liability for bank shareholders be reintroduced.</w:t>
      </w:r>
    </w:p>
    <w:p w14:paraId="375D4D51"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116BDD51" w14:textId="77777777" w:rsidR="002C2CAA" w:rsidRPr="002C2CAA" w:rsidRDefault="002C2CAA" w:rsidP="002C2CAA">
      <w:pPr>
        <w:keepNext/>
        <w:spacing w:before="240" w:after="60" w:line="240" w:lineRule="auto"/>
        <w:jc w:val="center"/>
        <w:outlineLvl w:val="0"/>
        <w:rPr>
          <w:rFonts w:ascii="Times New Roman" w:eastAsia="MS Gothic" w:hAnsi="Times New Roman" w:cs="Times New Roman"/>
          <w:smallCaps/>
          <w:kern w:val="32"/>
          <w:sz w:val="24"/>
          <w:szCs w:val="24"/>
        </w:rPr>
      </w:pPr>
      <w:bookmarkStart w:id="37" w:name="_Toc159502578"/>
      <w:bookmarkStart w:id="38" w:name="_Toc160570734"/>
      <w:bookmarkStart w:id="39" w:name="_Toc161147152"/>
      <w:bookmarkStart w:id="40" w:name="_Toc161174422"/>
      <w:r w:rsidRPr="002C2CAA">
        <w:rPr>
          <w:rFonts w:ascii="Times New Roman" w:eastAsia="MS Gothic" w:hAnsi="Times New Roman" w:cs="Times New Roman"/>
          <w:smallCaps/>
          <w:kern w:val="32"/>
          <w:sz w:val="24"/>
          <w:szCs w:val="24"/>
        </w:rPr>
        <w:t>II. What is Banking and Why is it Inherently Unstable?</w:t>
      </w:r>
      <w:bookmarkEnd w:id="37"/>
      <w:bookmarkEnd w:id="38"/>
      <w:bookmarkEnd w:id="39"/>
      <w:bookmarkEnd w:id="40"/>
    </w:p>
    <w:p w14:paraId="72162B70" w14:textId="77777777" w:rsidR="002C2CAA" w:rsidRPr="002C2CAA" w:rsidRDefault="002C2CAA" w:rsidP="002C2CAA">
      <w:pPr>
        <w:spacing w:after="0" w:line="240" w:lineRule="auto"/>
        <w:ind w:left="720"/>
        <w:jc w:val="both"/>
        <w:rPr>
          <w:rFonts w:ascii="Times New Roman" w:eastAsia="Times New Roman" w:hAnsi="Times New Roman" w:cs="Times New Roman"/>
          <w:sz w:val="24"/>
          <w:szCs w:val="24"/>
        </w:rPr>
      </w:pPr>
    </w:p>
    <w:p w14:paraId="578D5EAC"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term “bank” refers to firms that simultaneously take deposits and make loans.</w:t>
      </w:r>
      <w:r w:rsidRPr="002C2CAA">
        <w:rPr>
          <w:rFonts w:ascii="Times New Roman" w:eastAsia="Times New Roman" w:hAnsi="Times New Roman" w:cs="Times New Roman"/>
          <w:sz w:val="24"/>
          <w:szCs w:val="24"/>
          <w:vertAlign w:val="superscript"/>
        </w:rPr>
        <w:footnoteReference w:id="8"/>
      </w:r>
      <w:r w:rsidRPr="002C2CAA">
        <w:rPr>
          <w:rFonts w:ascii="Times New Roman" w:eastAsia="Times New Roman" w:hAnsi="Times New Roman" w:cs="Times New Roman"/>
          <w:sz w:val="24"/>
          <w:szCs w:val="24"/>
        </w:rPr>
        <w:t xml:space="preserve"> The simultaneous provision of liquidity services to lender/depositors in the form of transaction accounts that provide clients with immediate access to their deposited funds and lending services, which involve assessing credit risk and funding and monitoring investment projects,</w:t>
      </w:r>
      <w:r w:rsidRPr="002C2CAA">
        <w:rPr>
          <w:rFonts w:ascii="Times New Roman" w:eastAsia="Times New Roman" w:hAnsi="Times New Roman" w:cs="Times New Roman"/>
          <w:sz w:val="24"/>
          <w:szCs w:val="24"/>
          <w:vertAlign w:val="superscript"/>
        </w:rPr>
        <w:footnoteReference w:id="9"/>
      </w:r>
      <w:r w:rsidRPr="002C2CAA">
        <w:rPr>
          <w:rFonts w:ascii="Times New Roman" w:eastAsia="Times New Roman" w:hAnsi="Times New Roman" w:cs="Times New Roman"/>
          <w:sz w:val="24"/>
          <w:szCs w:val="24"/>
        </w:rPr>
        <w:t xml:space="preserve"> is unusual. </w:t>
      </w:r>
      <w:proofErr w:type="gramStart"/>
      <w:r w:rsidRPr="002C2CAA">
        <w:rPr>
          <w:rFonts w:ascii="Times New Roman" w:eastAsia="Times New Roman" w:hAnsi="Times New Roman" w:cs="Times New Roman"/>
          <w:sz w:val="24"/>
          <w:szCs w:val="24"/>
        </w:rPr>
        <w:t>Generally speaking, businesses</w:t>
      </w:r>
      <w:proofErr w:type="gramEnd"/>
      <w:r w:rsidRPr="002C2CAA">
        <w:rPr>
          <w:rFonts w:ascii="Times New Roman" w:eastAsia="Times New Roman" w:hAnsi="Times New Roman" w:cs="Times New Roman"/>
          <w:sz w:val="24"/>
          <w:szCs w:val="24"/>
        </w:rPr>
        <w:t xml:space="preserve"> attempt to match the term (maturity) structure of their assets and liabilities,</w:t>
      </w:r>
      <w:r w:rsidRPr="002C2CAA">
        <w:rPr>
          <w:rFonts w:ascii="Times New Roman" w:eastAsia="Times New Roman" w:hAnsi="Times New Roman" w:cs="Times New Roman"/>
          <w:sz w:val="24"/>
          <w:szCs w:val="24"/>
          <w:vertAlign w:val="superscript"/>
        </w:rPr>
        <w:footnoteReference w:id="10"/>
      </w:r>
      <w:r w:rsidRPr="002C2CAA">
        <w:rPr>
          <w:rFonts w:ascii="Times New Roman" w:eastAsia="Times New Roman" w:hAnsi="Times New Roman" w:cs="Times New Roman"/>
          <w:sz w:val="24"/>
          <w:szCs w:val="24"/>
        </w:rPr>
        <w:t xml:space="preserve"> but banks do not do this.</w:t>
      </w:r>
    </w:p>
    <w:p w14:paraId="6575D768"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74D59256"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Matching the maturity structure of assets and liabilities would seem to be a matter of simple logic. After all, if one is borrowing money to finance a project that is not expected to generate revenues for 18 months, it hardly makes sense for the borrower to pledge to repay the loan immediately, before there are any funds available to repay the loan.  Similarly, if someone is lending money to a business, it does not seem sensible to expect repayment on demand if one knows that the money is being used to buy assets that cannot be sold immediately on terms that will generate sufficient funds to repay the loan.</w:t>
      </w:r>
    </w:p>
    <w:p w14:paraId="405BDA1D"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1ECB6187"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Another distinct, but related feature of banks that is quite unusual is that the liquidity of their assets and liabilities are highly asymmetrical. Banks assets are highly illiquid, while bank deposits are highly liquid. Bank’s liabilities are predominantly in the form of deposits that are available to depositors on demand. In other words, deposits are the equivalent of cash. The Federal Reserve Bank of New York recently estimated that “deposits make up roughly 80 percent of bank liabilities.” Moreover, “[t]he </w:t>
      </w:r>
      <w:proofErr w:type="gramStart"/>
      <w:r w:rsidRPr="002C2CAA">
        <w:rPr>
          <w:rFonts w:ascii="Times New Roman" w:eastAsia="Times New Roman" w:hAnsi="Times New Roman" w:cs="Times New Roman"/>
          <w:sz w:val="24"/>
          <w:szCs w:val="24"/>
        </w:rPr>
        <w:t>bulk</w:t>
      </w:r>
      <w:proofErr w:type="gramEnd"/>
      <w:r w:rsidRPr="002C2CAA">
        <w:rPr>
          <w:rFonts w:ascii="Times New Roman" w:eastAsia="Times New Roman" w:hAnsi="Times New Roman" w:cs="Times New Roman"/>
          <w:sz w:val="24"/>
          <w:szCs w:val="24"/>
        </w:rPr>
        <w:t xml:space="preserve"> of deposits are demand deposits, available for withdrawal without notice. This suggests that deposits are a short-maturity, floating-rate liability.”</w:t>
      </w:r>
      <w:r w:rsidRPr="002C2CAA">
        <w:rPr>
          <w:rFonts w:ascii="Times New Roman" w:eastAsia="Times New Roman" w:hAnsi="Times New Roman" w:cs="Times New Roman"/>
          <w:sz w:val="24"/>
          <w:szCs w:val="24"/>
          <w:vertAlign w:val="superscript"/>
        </w:rPr>
        <w:footnoteReference w:id="11"/>
      </w:r>
      <w:r w:rsidRPr="002C2CAA">
        <w:rPr>
          <w:rFonts w:ascii="Times New Roman" w:eastAsia="Times New Roman" w:hAnsi="Times New Roman" w:cs="Times New Roman"/>
          <w:sz w:val="24"/>
          <w:szCs w:val="24"/>
        </w:rPr>
        <w:t xml:space="preserve"> In contrast, over 44 percent of the assets of U.S. commercial banks is in the form of loans.</w:t>
      </w:r>
      <w:r w:rsidRPr="002C2CAA">
        <w:rPr>
          <w:rFonts w:ascii="Times New Roman" w:eastAsia="Times New Roman" w:hAnsi="Times New Roman" w:cs="Times New Roman"/>
          <w:sz w:val="24"/>
          <w:szCs w:val="24"/>
          <w:vertAlign w:val="superscript"/>
        </w:rPr>
        <w:footnoteReference w:id="12"/>
      </w:r>
      <w:r w:rsidRPr="002C2CAA">
        <w:rPr>
          <w:rFonts w:ascii="Times New Roman" w:eastAsia="Times New Roman" w:hAnsi="Times New Roman" w:cs="Times New Roman"/>
          <w:sz w:val="24"/>
          <w:szCs w:val="24"/>
        </w:rPr>
        <w:t xml:space="preserve"> Unlike deposits, loans are highly illiquid.  There is no ready secondary market for most commercial loans, and they are considered financially opaque in the sense that it is difficult to estimate their value.  As </w:t>
      </w:r>
      <w:proofErr w:type="spellStart"/>
      <w:r w:rsidRPr="002C2CAA">
        <w:rPr>
          <w:rFonts w:ascii="Times New Roman" w:eastAsia="Times New Roman" w:hAnsi="Times New Roman" w:cs="Times New Roman"/>
          <w:sz w:val="24"/>
          <w:szCs w:val="24"/>
        </w:rPr>
        <w:t>Kayshap</w:t>
      </w:r>
      <w:proofErr w:type="spellEnd"/>
      <w:r w:rsidRPr="002C2CAA">
        <w:rPr>
          <w:rFonts w:ascii="Times New Roman" w:eastAsia="Times New Roman" w:hAnsi="Times New Roman" w:cs="Times New Roman"/>
          <w:sz w:val="24"/>
          <w:szCs w:val="24"/>
        </w:rPr>
        <w:t xml:space="preserve">,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 point out, “[l]ending involves acquiring costly information about opaque borrowers, and extending credit based on that information.”</w:t>
      </w:r>
      <w:r w:rsidRPr="002C2CAA">
        <w:rPr>
          <w:rFonts w:ascii="Times New Roman" w:eastAsia="Times New Roman" w:hAnsi="Times New Roman" w:cs="Times New Roman"/>
          <w:sz w:val="24"/>
          <w:szCs w:val="24"/>
          <w:vertAlign w:val="superscript"/>
        </w:rPr>
        <w:footnoteReference w:id="13"/>
      </w:r>
      <w:r w:rsidRPr="002C2CAA">
        <w:rPr>
          <w:rFonts w:ascii="Times New Roman" w:eastAsia="Times New Roman" w:hAnsi="Times New Roman" w:cs="Times New Roman"/>
          <w:sz w:val="24"/>
          <w:szCs w:val="24"/>
        </w:rPr>
        <w:t xml:space="preserve"> This means that banks’ balance sheets often are dominated by assets that cannot be readily sold at a price close to their fair market value as estimated by a discounted cash flow analysis.</w:t>
      </w:r>
    </w:p>
    <w:p w14:paraId="7B694D75"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11CD8468" w14:textId="47A1F701"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 third unusual feature of banks is that they are very thinly capitalized relative to other sorts of firms, where capitalization is defined as the amount of equity relative to debt. Specifically, “banks tend to have very little equity relative to other firms. Although it is not uncommon for typical manufacturing firms to finance themselves with more equity than debt, banks typically receive 90 percent or more of their funding from debt.”</w:t>
      </w:r>
      <w:r w:rsidRPr="002C2CAA">
        <w:rPr>
          <w:rFonts w:ascii="Times New Roman" w:eastAsia="Times New Roman" w:hAnsi="Times New Roman" w:cs="Times New Roman"/>
          <w:sz w:val="24"/>
          <w:szCs w:val="24"/>
          <w:vertAlign w:val="superscript"/>
        </w:rPr>
        <w:footnoteReference w:id="14"/>
      </w:r>
    </w:p>
    <w:p w14:paraId="145D49D9"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59E6C8EC"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These odd features of banks’ balance sheets are easy to explain. The way that banks generate profits is by obtaining a return on their loan portfolios that is sufficient to cover their costs, including the costs of managing and maintaining the liabilities, particularly their customers’ deposit accounts, along with their other borrowing. </w:t>
      </w:r>
      <w:proofErr w:type="gramStart"/>
      <w:r w:rsidRPr="002C2CAA">
        <w:rPr>
          <w:rFonts w:ascii="Times New Roman" w:eastAsia="Times New Roman" w:hAnsi="Times New Roman" w:cs="Times New Roman"/>
          <w:sz w:val="24"/>
          <w:szCs w:val="24"/>
        </w:rPr>
        <w:t>Generally speaking, interest</w:t>
      </w:r>
      <w:proofErr w:type="gramEnd"/>
      <w:r w:rsidRPr="002C2CAA">
        <w:rPr>
          <w:rFonts w:ascii="Times New Roman" w:eastAsia="Times New Roman" w:hAnsi="Times New Roman" w:cs="Times New Roman"/>
          <w:sz w:val="24"/>
          <w:szCs w:val="24"/>
        </w:rPr>
        <w:t xml:space="preserve"> rates on borrowing increases with the maturity of such borrowing. Borrowers of funds that mature in the near term pay lower rates of interest than borrowers of funds that mature in the distant future. </w:t>
      </w:r>
    </w:p>
    <w:p w14:paraId="05B6DD54"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53559FF4"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 yield curve is a graphical depiction of the relationship between short-term interest rates and long-term interest rates. Typically, though not always, the yield curve is positively sloped.</w:t>
      </w:r>
      <w:r w:rsidRPr="002C2CAA">
        <w:rPr>
          <w:rFonts w:ascii="Times New Roman" w:eastAsia="Times New Roman" w:hAnsi="Times New Roman" w:cs="Times New Roman"/>
          <w:sz w:val="24"/>
          <w:szCs w:val="24"/>
          <w:vertAlign w:val="superscript"/>
        </w:rPr>
        <w:footnoteReference w:id="15"/>
      </w:r>
      <w:r w:rsidRPr="002C2CAA">
        <w:rPr>
          <w:rFonts w:ascii="Times New Roman" w:eastAsia="Times New Roman" w:hAnsi="Times New Roman" w:cs="Times New Roman"/>
          <w:sz w:val="24"/>
          <w:szCs w:val="24"/>
        </w:rPr>
        <w:t xml:space="preserve"> Because banks can borrow money at (generally) lower short term rates of interest, and lend money at (generally) higher long term rates of interest, they profit from the positive slope of the yield curve. As market conditions cause the slope of the yield curve to steepen, banks’ profits increase.</w:t>
      </w:r>
      <w:r w:rsidRPr="002C2CAA">
        <w:rPr>
          <w:rFonts w:ascii="Times New Roman" w:eastAsia="Times New Roman" w:hAnsi="Times New Roman" w:cs="Times New Roman"/>
          <w:sz w:val="24"/>
          <w:szCs w:val="24"/>
          <w:vertAlign w:val="superscript"/>
        </w:rPr>
        <w:footnoteReference w:id="16"/>
      </w:r>
      <w:r w:rsidRPr="002C2CAA">
        <w:rPr>
          <w:rFonts w:ascii="Times New Roman" w:eastAsia="Times New Roman" w:hAnsi="Times New Roman" w:cs="Times New Roman"/>
          <w:sz w:val="24"/>
          <w:szCs w:val="24"/>
        </w:rPr>
        <w:t xml:space="preserve">  </w:t>
      </w:r>
    </w:p>
    <w:p w14:paraId="16E63593"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18A20B64"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Similarly, the ability of banks to offer depositors instant liquidity for their deposits lowers banks’ costs of borrowing, while banks can demand higher interest rates from borrowers for funding illiquid assets. And </w:t>
      </w:r>
      <w:proofErr w:type="gramStart"/>
      <w:r w:rsidRPr="002C2CAA">
        <w:rPr>
          <w:rFonts w:ascii="Times New Roman" w:eastAsia="Times New Roman" w:hAnsi="Times New Roman" w:cs="Times New Roman"/>
          <w:sz w:val="24"/>
          <w:szCs w:val="24"/>
        </w:rPr>
        <w:t>of course</w:t>
      </w:r>
      <w:proofErr w:type="gramEnd"/>
      <w:r w:rsidRPr="002C2CAA">
        <w:rPr>
          <w:rFonts w:ascii="Times New Roman" w:eastAsia="Times New Roman" w:hAnsi="Times New Roman" w:cs="Times New Roman"/>
          <w:sz w:val="24"/>
          <w:szCs w:val="24"/>
        </w:rPr>
        <w:t xml:space="preserve"> the government guarantees associated with deposit insurance are an additional important source of profitability</w:t>
      </w:r>
    </w:p>
    <w:p w14:paraId="1B9BBDA4"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40C70CE7"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For banks, one of the costs of doing business is the necessity of keeping sufficient funds on hand to cover the expected liquidity needs of their customers. The more reserves banks </w:t>
      </w:r>
      <w:proofErr w:type="gramStart"/>
      <w:r w:rsidRPr="002C2CAA">
        <w:rPr>
          <w:rFonts w:ascii="Times New Roman" w:eastAsia="Times New Roman" w:hAnsi="Times New Roman" w:cs="Times New Roman"/>
          <w:sz w:val="24"/>
          <w:szCs w:val="24"/>
        </w:rPr>
        <w:t>have to</w:t>
      </w:r>
      <w:proofErr w:type="gramEnd"/>
      <w:r w:rsidRPr="002C2CAA">
        <w:rPr>
          <w:rFonts w:ascii="Times New Roman" w:eastAsia="Times New Roman" w:hAnsi="Times New Roman" w:cs="Times New Roman"/>
          <w:sz w:val="24"/>
          <w:szCs w:val="24"/>
        </w:rPr>
        <w:t xml:space="preserve"> keep on hand to meet their demands for cash from their customers, the lower their expected profits will be.  </w:t>
      </w:r>
    </w:p>
    <w:p w14:paraId="2F46C8F8"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49989DC5"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These fundamental characteristics of banks render them inherently unstable, and essentially unworkable in the absence of government-sponsored deposit insurance: “Deposit insurance, created during the Great Depression in 1933, has sharply reduced the frequency of bank runs that once were common in the U.S. … [A]bout 40% of all U.S. banks disappeared between 1929 and 1933: ‘They failed, closed, or were absorbed by other banks. That happened because there were massive runs, bank runs, where people lost confidence in the banks and pulled out their money…The ones that were closed couldn’t make loans, obviously, and the ones that survived became extremely cautious being very reluctant to make loans.”</w:t>
      </w:r>
      <w:r w:rsidRPr="002C2CAA">
        <w:rPr>
          <w:rFonts w:ascii="Times New Roman" w:eastAsia="Times New Roman" w:hAnsi="Times New Roman" w:cs="Times New Roman"/>
          <w:sz w:val="24"/>
          <w:szCs w:val="24"/>
          <w:vertAlign w:val="superscript"/>
        </w:rPr>
        <w:footnoteReference w:id="17"/>
      </w:r>
    </w:p>
    <w:p w14:paraId="7EE979EF"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5DF7D130"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A critical skill for bankers is estimating how much cash and high-quality liquid assets to keep in reserve to meet customers’ liquidity demands. Just as insurance companies must make probability estimates of the number and magnitude of insured events that will occur during any particular time frame, so too must banks make probability estimates of the number and size of withdrawals that will occur during any particular time period, so that they can have enough cash on hand to meet those needs. As in the insurance industry, the key to survival in the banking industry is ensuring that depositors’ demands for funds are uncorrelated.  </w:t>
      </w:r>
    </w:p>
    <w:p w14:paraId="072118F3"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1BC6D515"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The business of banking thus involves a sort of financial alchemy in the form of maturity transformation and liquidity transformation. Maturity transformation refers to the process of utilizing short-term funds to finance longer-term assets. Liquidity transformation is a closely related concept that describes the use of liquid, cash-like liabilities to buy illiquid assets.  </w:t>
      </w:r>
    </w:p>
    <w:p w14:paraId="35E93FF3"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50472564"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Thus, three characteristics combine to make banks inherently risky businesses.  First, they issue liabilities that are due on demand and use the money they receive from those loans to fund long-term assets. Second, they fund illiquid assets with illiquid liabilities. Finally, banks are risky because they have relatively little capital (equity) with which to absorb losses and prevent them from exposing their creditors to losses.  </w:t>
      </w:r>
    </w:p>
    <w:p w14:paraId="54725E8B"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42A1E5F2"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These characteristics of banks mean that banks are inherently unstable. The primary source of this instability is the game-theoretic collective action problem facing bank depositors. Depositors are well aware of the fact that as a group it is impossible for them to obtain repayment of their deposits simultaneously for the simple reason that if all depositors ask for their funds back at the same time, the bank will not have enough money on reserve to repay them. Too many requests for repayment by depositors likely will require the bank “to take value-reducing actions such as liquidating commercial loans at distress prices or calling loans prematurely.”</w:t>
      </w:r>
      <w:r w:rsidRPr="002C2CAA">
        <w:rPr>
          <w:rFonts w:ascii="Times New Roman" w:eastAsia="Times New Roman" w:hAnsi="Times New Roman" w:cs="Times New Roman"/>
          <w:sz w:val="24"/>
          <w:szCs w:val="24"/>
          <w:vertAlign w:val="superscript"/>
        </w:rPr>
        <w:footnoteReference w:id="18"/>
      </w:r>
      <w:r w:rsidRPr="002C2CAA">
        <w:rPr>
          <w:rFonts w:ascii="Times New Roman" w:eastAsia="Times New Roman" w:hAnsi="Times New Roman" w:cs="Times New Roman"/>
          <w:sz w:val="24"/>
          <w:szCs w:val="24"/>
        </w:rPr>
        <w:t xml:space="preserve"> The collective action problem takes the form of a prisoner’s dilemma in which “everyone rushes in to withdraw their deposits before the bank gives out all of its assets.”</w:t>
      </w:r>
      <w:bookmarkStart w:id="41" w:name="_Ref143421977"/>
      <w:r w:rsidRPr="002C2CAA">
        <w:rPr>
          <w:rFonts w:ascii="Times New Roman" w:eastAsia="Times New Roman" w:hAnsi="Times New Roman" w:cs="Times New Roman"/>
          <w:sz w:val="24"/>
          <w:szCs w:val="24"/>
          <w:vertAlign w:val="superscript"/>
        </w:rPr>
        <w:footnoteReference w:id="19"/>
      </w:r>
      <w:bookmarkEnd w:id="41"/>
      <w:r w:rsidRPr="002C2CAA">
        <w:rPr>
          <w:rFonts w:ascii="Times New Roman" w:eastAsia="Times New Roman" w:hAnsi="Times New Roman" w:cs="Times New Roman"/>
          <w:sz w:val="24"/>
          <w:szCs w:val="24"/>
        </w:rPr>
        <w:t xml:space="preserve">  </w:t>
      </w:r>
    </w:p>
    <w:p w14:paraId="57FF3A85"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7574F6B3"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Because it is far cheaper for bank depositors simply to withdraw their funds from their bank rather than investigate the quality of their bank’s assets, rational uninsured depositors will quickly withdraw their money from banks on the slightest hint of a problem.   For this reason, banks </w:t>
      </w:r>
      <w:proofErr w:type="gramStart"/>
      <w:r w:rsidRPr="002C2CAA">
        <w:rPr>
          <w:rFonts w:ascii="Times New Roman" w:eastAsia="Times New Roman" w:hAnsi="Times New Roman" w:cs="Times New Roman"/>
          <w:sz w:val="24"/>
          <w:szCs w:val="24"/>
        </w:rPr>
        <w:t>runs</w:t>
      </w:r>
      <w:proofErr w:type="gramEnd"/>
      <w:r w:rsidRPr="002C2CAA">
        <w:rPr>
          <w:rFonts w:ascii="Times New Roman" w:eastAsia="Times New Roman" w:hAnsi="Times New Roman" w:cs="Times New Roman"/>
          <w:sz w:val="24"/>
          <w:szCs w:val="24"/>
        </w:rPr>
        <w:t xml:space="preserve"> that cause the failure of an entirely solvent bank can easily occur.  </w:t>
      </w:r>
    </w:p>
    <w:p w14:paraId="232930EF"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7E46F6B2"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inherent riskiness of banks would not be particularly concerning if the costs of bank failure were borne solely by bank creditors. But of course, that is not the case. Bank failures impose massive costs on society.  As Saule Omarova trenchantly has observed, every banking crisis, even small “mini crises” exposes “the disconcerting truth about banking business: in good times, it is run for private profit by private firms but, in bad times, it becomes a direct public responsibility and a public expense.”</w:t>
      </w:r>
      <w:r w:rsidRPr="002C2CAA">
        <w:rPr>
          <w:rFonts w:ascii="Times New Roman" w:eastAsia="Times New Roman" w:hAnsi="Times New Roman" w:cs="Times New Roman"/>
          <w:sz w:val="24"/>
          <w:szCs w:val="24"/>
          <w:vertAlign w:val="superscript"/>
        </w:rPr>
        <w:t xml:space="preserve"> </w:t>
      </w:r>
      <w:r w:rsidRPr="002C2CAA">
        <w:rPr>
          <w:rFonts w:ascii="Times New Roman" w:eastAsia="Times New Roman" w:hAnsi="Times New Roman" w:cs="Times New Roman"/>
          <w:sz w:val="24"/>
          <w:szCs w:val="24"/>
          <w:vertAlign w:val="superscript"/>
        </w:rPr>
        <w:footnoteReference w:id="20"/>
      </w:r>
      <w:r w:rsidRPr="002C2CAA">
        <w:rPr>
          <w:rFonts w:ascii="Times New Roman" w:eastAsia="Times New Roman" w:hAnsi="Times New Roman" w:cs="Times New Roman"/>
          <w:sz w:val="24"/>
          <w:szCs w:val="24"/>
        </w:rPr>
        <w:t xml:space="preserve"> Moreover, bank failures impose macroeconomic shocks on the financial </w:t>
      </w:r>
      <w:proofErr w:type="gramStart"/>
      <w:r w:rsidRPr="002C2CAA">
        <w:rPr>
          <w:rFonts w:ascii="Times New Roman" w:eastAsia="Times New Roman" w:hAnsi="Times New Roman" w:cs="Times New Roman"/>
          <w:sz w:val="24"/>
          <w:szCs w:val="24"/>
        </w:rPr>
        <w:t>system as a whole</w:t>
      </w:r>
      <w:proofErr w:type="gramEnd"/>
      <w:r w:rsidRPr="002C2CAA">
        <w:rPr>
          <w:rFonts w:ascii="Times New Roman" w:eastAsia="Times New Roman" w:hAnsi="Times New Roman" w:cs="Times New Roman"/>
          <w:sz w:val="24"/>
          <w:szCs w:val="24"/>
        </w:rPr>
        <w:t xml:space="preserve">. As Diamond and </w:t>
      </w:r>
      <w:proofErr w:type="spellStart"/>
      <w:r w:rsidRPr="002C2CAA">
        <w:rPr>
          <w:rFonts w:ascii="Times New Roman" w:eastAsia="Times New Roman" w:hAnsi="Times New Roman" w:cs="Times New Roman"/>
          <w:sz w:val="24"/>
          <w:szCs w:val="24"/>
        </w:rPr>
        <w:t>Dybvig</w:t>
      </w:r>
      <w:proofErr w:type="spellEnd"/>
      <w:r w:rsidRPr="002C2CAA">
        <w:rPr>
          <w:rFonts w:ascii="Times New Roman" w:eastAsia="Times New Roman" w:hAnsi="Times New Roman" w:cs="Times New Roman"/>
          <w:sz w:val="24"/>
          <w:szCs w:val="24"/>
        </w:rPr>
        <w:t xml:space="preserve"> famously have observed:</w:t>
      </w:r>
    </w:p>
    <w:p w14:paraId="0372FB83"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6D2772FB" w14:textId="77777777" w:rsidR="002C2CAA" w:rsidRPr="002C2CAA" w:rsidRDefault="002C2CAA" w:rsidP="002C2CAA">
      <w:pPr>
        <w:spacing w:after="0" w:line="240" w:lineRule="auto"/>
        <w:ind w:left="1296" w:right="1296"/>
        <w:jc w:val="both"/>
        <w:rPr>
          <w:rFonts w:ascii="Times New Roman" w:eastAsia="Times New Roman" w:hAnsi="Times New Roman" w:cs="Times New Roman"/>
          <w:iCs/>
          <w:sz w:val="24"/>
          <w:szCs w:val="24"/>
        </w:rPr>
      </w:pPr>
      <w:r w:rsidRPr="002C2CAA">
        <w:rPr>
          <w:rFonts w:ascii="Times New Roman" w:eastAsia="Times New Roman" w:hAnsi="Times New Roman" w:cs="Times New Roman"/>
          <w:iCs/>
          <w:sz w:val="24"/>
          <w:szCs w:val="24"/>
        </w:rPr>
        <w:t>Bank runs are a common feature of the extreme crises that have played a prominent role in monetary history. During a bank run, depositors rush to withdraw their deposits because they expect the bank to fail. In fact, the sudden withdrawals can force the bank to liquidate many of its assets at a loss and to fail. In a panic with many bank failures, there is a disruption of the monetary system and a reduction in production</w:t>
      </w:r>
      <w:r w:rsidRPr="002C2CAA">
        <w:rPr>
          <w:rFonts w:ascii="Times New Roman" w:eastAsia="Times New Roman" w:hAnsi="Times New Roman" w:cs="Times New Roman"/>
          <w:sz w:val="24"/>
          <w:szCs w:val="24"/>
        </w:rPr>
        <w:t>.</w:t>
      </w:r>
      <w:r w:rsidRPr="002C2CAA">
        <w:rPr>
          <w:rFonts w:ascii="Times New Roman" w:eastAsia="Times New Roman" w:hAnsi="Times New Roman" w:cs="Times New Roman"/>
          <w:sz w:val="24"/>
          <w:szCs w:val="24"/>
          <w:vertAlign w:val="superscript"/>
        </w:rPr>
        <w:footnoteReference w:id="21"/>
      </w:r>
      <w:r w:rsidRPr="002C2CAA">
        <w:rPr>
          <w:rFonts w:ascii="Times New Roman" w:eastAsia="Times New Roman" w:hAnsi="Times New Roman" w:cs="Times New Roman"/>
          <w:sz w:val="24"/>
          <w:szCs w:val="24"/>
        </w:rPr>
        <w:t xml:space="preserve"> </w:t>
      </w:r>
    </w:p>
    <w:p w14:paraId="1D72EF56"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5D547C4C"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Diamond and </w:t>
      </w:r>
      <w:proofErr w:type="spellStart"/>
      <w:r w:rsidRPr="002C2CAA">
        <w:rPr>
          <w:rFonts w:ascii="Times New Roman" w:eastAsia="Times New Roman" w:hAnsi="Times New Roman" w:cs="Times New Roman"/>
          <w:sz w:val="24"/>
          <w:szCs w:val="24"/>
        </w:rPr>
        <w:t>Dybvig’s</w:t>
      </w:r>
      <w:proofErr w:type="spellEnd"/>
      <w:r w:rsidRPr="002C2CAA">
        <w:rPr>
          <w:rFonts w:ascii="Times New Roman" w:eastAsia="Times New Roman" w:hAnsi="Times New Roman" w:cs="Times New Roman"/>
          <w:sz w:val="24"/>
          <w:szCs w:val="24"/>
        </w:rPr>
        <w:t xml:space="preserve"> formal model showed that deposit insurance is likely the logical and inevitable regulatory mechanism for mitigating the social costs imposed by the combination of illiquid assets and liquid liabilities that characterize banks.</w:t>
      </w:r>
      <w:r w:rsidRPr="002C2CAA">
        <w:rPr>
          <w:rFonts w:ascii="Times New Roman" w:eastAsia="Times New Roman" w:hAnsi="Times New Roman" w:cs="Times New Roman"/>
          <w:sz w:val="24"/>
          <w:szCs w:val="24"/>
          <w:vertAlign w:val="superscript"/>
        </w:rPr>
        <w:footnoteReference w:id="22"/>
      </w:r>
      <w:r w:rsidRPr="002C2CAA">
        <w:rPr>
          <w:rFonts w:ascii="Times New Roman" w:eastAsia="Times New Roman" w:hAnsi="Times New Roman" w:cs="Times New Roman"/>
          <w:sz w:val="24"/>
          <w:szCs w:val="24"/>
        </w:rPr>
        <w:t xml:space="preserve"> The policy justification for government-sponsored deposit insurance programs is based on the premise that the capital structure of banks is worth defending and protecting even at great cost.  </w:t>
      </w:r>
    </w:p>
    <w:p w14:paraId="0D316972"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3BA6FB3A" w14:textId="10B853C3"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 fundamental conundrum in finance that has not been</w:t>
      </w:r>
      <w:r w:rsidR="0003207C">
        <w:rPr>
          <w:rFonts w:ascii="Times New Roman" w:eastAsia="Times New Roman" w:hAnsi="Times New Roman" w:cs="Times New Roman"/>
          <w:sz w:val="24"/>
          <w:szCs w:val="24"/>
        </w:rPr>
        <w:t xml:space="preserve"> adequately</w:t>
      </w:r>
      <w:r w:rsidRPr="002C2CAA">
        <w:rPr>
          <w:rFonts w:ascii="Times New Roman" w:eastAsia="Times New Roman" w:hAnsi="Times New Roman" w:cs="Times New Roman"/>
          <w:sz w:val="24"/>
          <w:szCs w:val="24"/>
        </w:rPr>
        <w:t xml:space="preserve"> addressed </w:t>
      </w:r>
      <w:r w:rsidR="0003207C">
        <w:rPr>
          <w:rFonts w:ascii="Times New Roman" w:eastAsia="Times New Roman" w:hAnsi="Times New Roman" w:cs="Times New Roman"/>
          <w:sz w:val="24"/>
          <w:szCs w:val="24"/>
        </w:rPr>
        <w:t>i</w:t>
      </w:r>
      <w:r w:rsidRPr="002C2CAA">
        <w:rPr>
          <w:rFonts w:ascii="Times New Roman" w:eastAsia="Times New Roman" w:hAnsi="Times New Roman" w:cs="Times New Roman"/>
          <w:sz w:val="24"/>
          <w:szCs w:val="24"/>
        </w:rPr>
        <w:t>n the literature is why a single institution simultaneously conducts both lending and deposit taking in light of the inherent instability caused by doing so.</w:t>
      </w:r>
      <w:r w:rsidRPr="002C2CAA">
        <w:rPr>
          <w:rFonts w:ascii="Times New Roman" w:eastAsia="Times New Roman" w:hAnsi="Times New Roman" w:cs="Times New Roman"/>
          <w:sz w:val="24"/>
          <w:szCs w:val="24"/>
          <w:vertAlign w:val="superscript"/>
        </w:rPr>
        <w:footnoteReference w:id="23"/>
      </w:r>
      <w:r w:rsidRPr="002C2CAA">
        <w:rPr>
          <w:rFonts w:ascii="Times New Roman" w:eastAsia="Times New Roman" w:hAnsi="Times New Roman" w:cs="Times New Roman"/>
          <w:sz w:val="24"/>
          <w:szCs w:val="24"/>
        </w:rPr>
        <w:t xml:space="preserve"> As </w:t>
      </w:r>
      <w:proofErr w:type="spellStart"/>
      <w:r w:rsidRPr="002C2CAA">
        <w:rPr>
          <w:rFonts w:ascii="Times New Roman" w:eastAsia="Times New Roman" w:hAnsi="Times New Roman" w:cs="Times New Roman"/>
          <w:sz w:val="24"/>
          <w:szCs w:val="24"/>
        </w:rPr>
        <w:t>Kayshap</w:t>
      </w:r>
      <w:proofErr w:type="spellEnd"/>
      <w:r w:rsidRPr="002C2CAA">
        <w:rPr>
          <w:rFonts w:ascii="Times New Roman" w:eastAsia="Times New Roman" w:hAnsi="Times New Roman" w:cs="Times New Roman"/>
          <w:sz w:val="24"/>
          <w:szCs w:val="24"/>
        </w:rPr>
        <w:t xml:space="preserve">,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 observe, it is far from clear why loans should not be funded with debt rather than demand deposits, or why demand deposits cannot be backed by liquid securities like high grade commercial paper and T-bills, rather than with loans.</w:t>
      </w:r>
      <w:r w:rsidRPr="002C2CAA">
        <w:rPr>
          <w:rFonts w:ascii="Times New Roman" w:eastAsia="Times New Roman" w:hAnsi="Times New Roman" w:cs="Times New Roman"/>
          <w:sz w:val="24"/>
          <w:szCs w:val="24"/>
          <w:vertAlign w:val="superscript"/>
        </w:rPr>
        <w:footnoteReference w:id="24"/>
      </w:r>
    </w:p>
    <w:p w14:paraId="1000BE7C"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0798496E"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following section of this Article reviews and critiques the existing economic justifications for combining deposit-taking and lending in a single firm and argues that these justifications have not withstood the test of time. Market innovations and improvements in information technology have obviated traditional justifications for combining lending and deposit taking under one roof. In the absence of an efficiency explanation for banks, one is left to conclude that the traditional commercial bank continues to exist because of a vestigial industrial policy that props banks up by bailing their lenders (depositors) out when they fail, and by enabling banks to fund themselves at below-market rates through the provision of federally-subsidized deposit insurance.</w:t>
      </w:r>
    </w:p>
    <w:p w14:paraId="7845C524" w14:textId="77777777" w:rsidR="002C2CAA" w:rsidRPr="002C2CAA" w:rsidRDefault="002C2CAA" w:rsidP="002C2CAA">
      <w:pPr>
        <w:keepNext/>
        <w:spacing w:before="240" w:after="60" w:line="240" w:lineRule="auto"/>
        <w:jc w:val="center"/>
        <w:outlineLvl w:val="0"/>
        <w:rPr>
          <w:rFonts w:ascii="Times New Roman" w:eastAsia="MS Gothic" w:hAnsi="Times New Roman" w:cs="Times New Roman"/>
          <w:smallCaps/>
          <w:kern w:val="32"/>
          <w:sz w:val="24"/>
          <w:szCs w:val="24"/>
        </w:rPr>
      </w:pPr>
      <w:bookmarkStart w:id="42" w:name="_Toc160570735"/>
      <w:bookmarkStart w:id="43" w:name="_Toc161147153"/>
      <w:bookmarkStart w:id="44" w:name="_Toc161174423"/>
      <w:r w:rsidRPr="002C2CAA">
        <w:rPr>
          <w:rFonts w:ascii="Times New Roman" w:eastAsia="MS Gothic" w:hAnsi="Times New Roman" w:cs="Times New Roman"/>
          <w:smallCaps/>
          <w:kern w:val="32"/>
          <w:sz w:val="24"/>
          <w:szCs w:val="24"/>
        </w:rPr>
        <w:t>III. The Economic Rationales for Combining Lending and Deposit Taking</w:t>
      </w:r>
      <w:bookmarkEnd w:id="42"/>
      <w:bookmarkEnd w:id="43"/>
      <w:bookmarkEnd w:id="44"/>
    </w:p>
    <w:p w14:paraId="27A90186"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19AC2682"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Scholars have justified combining lending and deposit-taking on the grounds that banks can achieve economies of scope by doing so. Economies of scope (as a distinct from economies of scale) exist when cost savings can be achieved by combining two or more products or services in one firm rather than producing them separately.</w:t>
      </w:r>
      <w:r w:rsidRPr="002C2CAA">
        <w:rPr>
          <w:rFonts w:ascii="Times New Roman" w:eastAsia="Times New Roman" w:hAnsi="Times New Roman" w:cs="Times New Roman"/>
          <w:sz w:val="24"/>
          <w:szCs w:val="24"/>
          <w:vertAlign w:val="superscript"/>
        </w:rPr>
        <w:footnoteReference w:id="25"/>
      </w:r>
      <w:r w:rsidRPr="002C2CAA">
        <w:rPr>
          <w:rFonts w:ascii="Times New Roman" w:eastAsia="Times New Roman" w:hAnsi="Times New Roman" w:cs="Times New Roman"/>
          <w:sz w:val="24"/>
          <w:szCs w:val="24"/>
        </w:rPr>
        <w:t xml:space="preserve">  </w:t>
      </w:r>
    </w:p>
    <w:p w14:paraId="7C4DFEDF"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5737B350"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economies of scope associated with combining lending and deposit-taking derive from three sources. First, it is argued that banks obtain valuable “inside information” in their role as administrators of their borrowers’ depository accounts, and this inside information makes them superior lenders.</w:t>
      </w:r>
      <w:r w:rsidRPr="002C2CAA">
        <w:rPr>
          <w:rFonts w:ascii="Times New Roman" w:eastAsia="Times New Roman" w:hAnsi="Times New Roman" w:cs="Times New Roman"/>
          <w:sz w:val="24"/>
          <w:szCs w:val="24"/>
          <w:vertAlign w:val="superscript"/>
        </w:rPr>
        <w:footnoteReference w:id="26"/>
      </w:r>
      <w:r w:rsidRPr="002C2CAA">
        <w:rPr>
          <w:rFonts w:ascii="Times New Roman" w:eastAsia="Times New Roman" w:hAnsi="Times New Roman" w:cs="Times New Roman"/>
          <w:sz w:val="24"/>
          <w:szCs w:val="24"/>
        </w:rPr>
        <w:t xml:space="preserve">  Second, it is argued that, while bank deposits are a very cheap source of funding for banks, they are not as risky as they appear to be because bank deposits are “sticky” in the sense that, while depositors have the contractual right to withdraw their funds on demand, in fact they tend to leave their money in banks for long period of times. In addition, it is thought that banks can successfully predict when depositors will withdraw their funds, enabling them to plan accordingly. The stickiness and predictability of deposits is thought to make banking safer than it appears to be.  </w:t>
      </w:r>
    </w:p>
    <w:p w14:paraId="0EE6D91C"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Finally, and perhaps most importantly, the combination of lending and deposit taking is thought to be efficient because it is efficient to combine deposit-taking with “contingency lending.” Contingency lending consists of a promise to provide financing to a borrower at some future date or for some specified </w:t>
      </w:r>
      <w:proofErr w:type="gramStart"/>
      <w:r w:rsidRPr="002C2CAA">
        <w:rPr>
          <w:rFonts w:ascii="Times New Roman" w:eastAsia="Times New Roman" w:hAnsi="Times New Roman" w:cs="Times New Roman"/>
          <w:sz w:val="24"/>
          <w:szCs w:val="24"/>
        </w:rPr>
        <w:t>period of time</w:t>
      </w:r>
      <w:proofErr w:type="gramEnd"/>
      <w:r w:rsidRPr="002C2CAA">
        <w:rPr>
          <w:rFonts w:ascii="Times New Roman" w:eastAsia="Times New Roman" w:hAnsi="Times New Roman" w:cs="Times New Roman"/>
          <w:sz w:val="24"/>
          <w:szCs w:val="24"/>
        </w:rPr>
        <w:t xml:space="preserve">. Lines of credit and loan commitments are examples of contingency lending. </w:t>
      </w:r>
      <w:proofErr w:type="spellStart"/>
      <w:r w:rsidRPr="002C2CAA">
        <w:rPr>
          <w:rFonts w:ascii="Times New Roman" w:eastAsia="Times New Roman" w:hAnsi="Times New Roman" w:cs="Times New Roman"/>
          <w:sz w:val="24"/>
          <w:szCs w:val="24"/>
        </w:rPr>
        <w:t>Kashap</w:t>
      </w:r>
      <w:proofErr w:type="spellEnd"/>
      <w:r w:rsidRPr="002C2CAA">
        <w:rPr>
          <w:rFonts w:ascii="Times New Roman" w:eastAsia="Times New Roman" w:hAnsi="Times New Roman" w:cs="Times New Roman"/>
          <w:sz w:val="24"/>
          <w:szCs w:val="24"/>
        </w:rPr>
        <w:t xml:space="preserve">,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 defend the combination of lending and deposit taking as efficient because there are synergies between the two activities to the extent that there is an imperfect correlation between the liquidity demands of depositors and the liquidity demands of borrowers with lines of credits or loan commitments from banks.</w:t>
      </w:r>
      <w:r w:rsidRPr="002C2CAA">
        <w:rPr>
          <w:rFonts w:ascii="Times New Roman" w:eastAsia="Times New Roman" w:hAnsi="Times New Roman" w:cs="Times New Roman"/>
          <w:sz w:val="24"/>
          <w:szCs w:val="24"/>
          <w:vertAlign w:val="superscript"/>
        </w:rPr>
        <w:footnoteReference w:id="27"/>
      </w:r>
    </w:p>
    <w:p w14:paraId="4923C0DE"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7BAAD93D"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The argument that the strange structure of banks’ balance sheets survives only because of the existence of the regulatory safety net must confront the fact that banks made loans backed by demand deposits long before there was government safety net. In fact, </w:t>
      </w:r>
      <w:proofErr w:type="gramStart"/>
      <w:r w:rsidRPr="002C2CAA">
        <w:rPr>
          <w:rFonts w:ascii="Times New Roman" w:eastAsia="Times New Roman" w:hAnsi="Times New Roman" w:cs="Times New Roman"/>
          <w:sz w:val="24"/>
          <w:szCs w:val="24"/>
        </w:rPr>
        <w:t>banks’</w:t>
      </w:r>
      <w:proofErr w:type="gramEnd"/>
      <w:r w:rsidRPr="002C2CAA">
        <w:rPr>
          <w:rFonts w:ascii="Times New Roman" w:eastAsia="Times New Roman" w:hAnsi="Times New Roman" w:cs="Times New Roman"/>
          <w:sz w:val="24"/>
          <w:szCs w:val="24"/>
        </w:rPr>
        <w:t xml:space="preserve"> funded medium and long-term loans with demand deposits long before deposit insurance. As Mark Flannery has observed, “[b]</w:t>
      </w:r>
      <w:proofErr w:type="spellStart"/>
      <w:r w:rsidRPr="002C2CAA">
        <w:rPr>
          <w:rFonts w:ascii="Times New Roman" w:eastAsia="Times New Roman" w:hAnsi="Times New Roman" w:cs="Times New Roman"/>
          <w:sz w:val="24"/>
          <w:szCs w:val="24"/>
        </w:rPr>
        <w:t>anking</w:t>
      </w:r>
      <w:proofErr w:type="spellEnd"/>
      <w:r w:rsidRPr="002C2CAA">
        <w:rPr>
          <w:rFonts w:ascii="Times New Roman" w:eastAsia="Times New Roman" w:hAnsi="Times New Roman" w:cs="Times New Roman"/>
          <w:sz w:val="24"/>
          <w:szCs w:val="24"/>
        </w:rPr>
        <w:t xml:space="preserve"> trade publications from the early 1930’s contain numerous references to bank liquidity risks, including the assertion that “Every commercial banker knows that his deposits can and may be withdrawn at any time.”</w:t>
      </w:r>
      <w:r w:rsidRPr="002C2CAA">
        <w:rPr>
          <w:rFonts w:ascii="Times New Roman" w:eastAsia="Times New Roman" w:hAnsi="Times New Roman" w:cs="Times New Roman"/>
          <w:sz w:val="24"/>
          <w:szCs w:val="24"/>
          <w:vertAlign w:val="superscript"/>
        </w:rPr>
        <w:footnoteReference w:id="28"/>
      </w:r>
      <w:r w:rsidRPr="002C2CAA">
        <w:rPr>
          <w:rFonts w:ascii="Times New Roman" w:eastAsia="Times New Roman" w:hAnsi="Times New Roman" w:cs="Times New Roman"/>
          <w:sz w:val="24"/>
          <w:szCs w:val="24"/>
        </w:rPr>
        <w:t xml:space="preserve"> In fact, outside of the U.S., banking remained “essentially unregulated” in various parts of the world until at least the mid-1960s.</w:t>
      </w:r>
      <w:r w:rsidRPr="002C2CAA">
        <w:rPr>
          <w:rFonts w:ascii="Times New Roman" w:eastAsia="Times New Roman" w:hAnsi="Times New Roman" w:cs="Times New Roman"/>
          <w:sz w:val="24"/>
          <w:szCs w:val="24"/>
          <w:vertAlign w:val="superscript"/>
        </w:rPr>
        <w:footnoteReference w:id="29"/>
      </w:r>
    </w:p>
    <w:p w14:paraId="645CFC22"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5E4191AC"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fact that banks survived without bailouts and subsidies prior to the New Deal would support the proposition that they combining lending and deposit-taking is efficient except for the fact that, prior to regulation and bailouts banking panics were regular events in which “even solvent banks could not [meet] the demands of depositors trying to withdraw funds at one time.”</w:t>
      </w:r>
      <w:r w:rsidRPr="002C2CAA">
        <w:rPr>
          <w:rFonts w:ascii="Times New Roman" w:eastAsia="Times New Roman" w:hAnsi="Times New Roman" w:cs="Times New Roman"/>
          <w:sz w:val="24"/>
          <w:szCs w:val="24"/>
          <w:vertAlign w:val="superscript"/>
        </w:rPr>
        <w:footnoteReference w:id="30"/>
      </w:r>
      <w:r w:rsidRPr="002C2CAA">
        <w:rPr>
          <w:rFonts w:ascii="Times New Roman" w:eastAsia="Times New Roman" w:hAnsi="Times New Roman" w:cs="Times New Roman"/>
          <w:sz w:val="24"/>
          <w:szCs w:val="24"/>
        </w:rPr>
        <w:t xml:space="preserve"> Banking panics, in other words, are a “nearly universal experience”</w:t>
      </w:r>
      <w:r w:rsidRPr="002C2CAA">
        <w:rPr>
          <w:rFonts w:ascii="Times New Roman" w:eastAsia="Times New Roman" w:hAnsi="Times New Roman" w:cs="Times New Roman"/>
          <w:sz w:val="24"/>
          <w:szCs w:val="24"/>
          <w:vertAlign w:val="superscript"/>
        </w:rPr>
        <w:footnoteReference w:id="31"/>
      </w:r>
      <w:r w:rsidRPr="002C2CAA">
        <w:rPr>
          <w:rFonts w:ascii="Times New Roman" w:eastAsia="Times New Roman" w:hAnsi="Times New Roman" w:cs="Times New Roman"/>
          <w:sz w:val="24"/>
          <w:szCs w:val="24"/>
        </w:rPr>
        <w:t xml:space="preserve"> in countries with banks, and the recurring incidence of banking panics “has led many governments to regulate the banking industry.”</w:t>
      </w:r>
      <w:r w:rsidRPr="002C2CAA">
        <w:rPr>
          <w:rFonts w:ascii="Times New Roman" w:eastAsia="Times New Roman" w:hAnsi="Times New Roman" w:cs="Times New Roman"/>
          <w:sz w:val="24"/>
          <w:szCs w:val="24"/>
          <w:vertAlign w:val="superscript"/>
        </w:rPr>
        <w:footnoteReference w:id="32"/>
      </w:r>
      <w:r w:rsidRPr="002C2CAA">
        <w:rPr>
          <w:rFonts w:ascii="Times New Roman" w:eastAsia="Times New Roman" w:hAnsi="Times New Roman" w:cs="Times New Roman"/>
          <w:sz w:val="24"/>
          <w:szCs w:val="24"/>
        </w:rPr>
        <w:t xml:space="preserve"> </w:t>
      </w:r>
    </w:p>
    <w:p w14:paraId="147E4DDA"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4C7D59EB"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In other words, the argument that combining lending and deposit-taking is no longer efficient does not mean that combining lending and deposit-taking was never efficient. In the context, however, describing the pre-New Deal banking system as “efficient” means only that it was better than the next best alternative at the time. And the world today is vastly different than it was 100 years ago.  </w:t>
      </w:r>
    </w:p>
    <w:p w14:paraId="7FEF6F46"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1F8CC7A5"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Not only did banking failures and panics cause substantial economic dislocation prior to the introduction of deposit insurance, it also is significant that prior to the implementation of deposit insurance, depositors gained protection of their funds by requiring banks to operate under a system of multiple liability. Legal regimes imposing multiple liability required bank shareholders to pledge to contribute additional funds beyond the amount of their initial investments to meet their banks’ obligations to depositors in the case of insolvency.</w:t>
      </w:r>
      <w:r w:rsidRPr="002C2CAA">
        <w:rPr>
          <w:rFonts w:ascii="Times New Roman" w:eastAsia="Times New Roman" w:hAnsi="Times New Roman" w:cs="Times New Roman"/>
          <w:sz w:val="24"/>
          <w:szCs w:val="24"/>
          <w:vertAlign w:val="superscript"/>
        </w:rPr>
        <w:footnoteReference w:id="33"/>
      </w:r>
    </w:p>
    <w:p w14:paraId="76D3B81D"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334B3310"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Significantly, arguments about the historical efficiency of combining lending and deposit taking have focused on the positive effects of depositor monitoring in reducing agency costs by disciplining bank managers.  For example, Charles </w:t>
      </w:r>
      <w:proofErr w:type="spellStart"/>
      <w:r w:rsidRPr="002C2CAA">
        <w:rPr>
          <w:rFonts w:ascii="Times New Roman" w:eastAsia="Times New Roman" w:hAnsi="Times New Roman" w:cs="Times New Roman"/>
          <w:sz w:val="24"/>
          <w:szCs w:val="24"/>
        </w:rPr>
        <w:t>Calomoris</w:t>
      </w:r>
      <w:proofErr w:type="spellEnd"/>
      <w:r w:rsidRPr="002C2CAA">
        <w:rPr>
          <w:rFonts w:ascii="Times New Roman" w:eastAsia="Times New Roman" w:hAnsi="Times New Roman" w:cs="Times New Roman"/>
          <w:sz w:val="24"/>
          <w:szCs w:val="24"/>
        </w:rPr>
        <w:t xml:space="preserve"> and Charles Kahn posit that where “demandable debt (deposits) has an important advantage as part of an incentive scheme for disciplining the banker” who makes loan decisions.</w:t>
      </w:r>
      <w:r w:rsidRPr="002C2CAA">
        <w:rPr>
          <w:rFonts w:ascii="Times New Roman" w:eastAsia="Times New Roman" w:hAnsi="Times New Roman" w:cs="Times New Roman"/>
          <w:sz w:val="24"/>
          <w:szCs w:val="24"/>
          <w:vertAlign w:val="superscript"/>
        </w:rPr>
        <w:footnoteReference w:id="34"/>
      </w:r>
      <w:r w:rsidRPr="002C2CAA">
        <w:rPr>
          <w:rFonts w:ascii="Times New Roman" w:eastAsia="Times New Roman" w:hAnsi="Times New Roman" w:cs="Times New Roman"/>
          <w:sz w:val="24"/>
          <w:szCs w:val="24"/>
        </w:rPr>
        <w:t xml:space="preserve"> On this view, demandable debt enables and incentivizes depositors to monitor their bankers’ loan decisions because depositors can “vote with their feet” by withdrawing their funds.</w:t>
      </w:r>
      <w:r w:rsidRPr="002C2CAA">
        <w:rPr>
          <w:rFonts w:ascii="Times New Roman" w:eastAsia="Times New Roman" w:hAnsi="Times New Roman" w:cs="Times New Roman"/>
          <w:sz w:val="24"/>
          <w:szCs w:val="24"/>
          <w:vertAlign w:val="superscript"/>
        </w:rPr>
        <w:footnoteReference w:id="35"/>
      </w:r>
      <w:r w:rsidRPr="002C2CAA">
        <w:rPr>
          <w:rFonts w:ascii="Times New Roman" w:eastAsia="Times New Roman" w:hAnsi="Times New Roman" w:cs="Times New Roman"/>
          <w:sz w:val="24"/>
          <w:szCs w:val="24"/>
        </w:rPr>
        <w:t xml:space="preserve"> And because depositors are repaid on a “first-come, first-served basis,” depositors who monitor are rewarded by obtaining access to their deposits, while those who don’t risk losing out.</w:t>
      </w:r>
      <w:r w:rsidRPr="002C2CAA">
        <w:rPr>
          <w:rFonts w:ascii="Times New Roman" w:eastAsia="Times New Roman" w:hAnsi="Times New Roman" w:cs="Times New Roman"/>
          <w:sz w:val="24"/>
          <w:szCs w:val="24"/>
          <w:vertAlign w:val="superscript"/>
        </w:rPr>
        <w:footnoteReference w:id="36"/>
      </w:r>
      <w:r w:rsidRPr="002C2CAA">
        <w:rPr>
          <w:rFonts w:ascii="Times New Roman" w:eastAsia="Times New Roman" w:hAnsi="Times New Roman" w:cs="Times New Roman"/>
          <w:sz w:val="24"/>
          <w:szCs w:val="24"/>
        </w:rPr>
        <w:t xml:space="preserve"> Those depositors who do not monitor receive benefits from depositors who do monitor because “the active monitors keep the banker in line and thereby provide a benefit to the passive depositors.”</w:t>
      </w:r>
      <w:r w:rsidRPr="002C2CAA">
        <w:rPr>
          <w:rFonts w:ascii="Times New Roman" w:eastAsia="Times New Roman" w:hAnsi="Times New Roman" w:cs="Times New Roman"/>
          <w:sz w:val="24"/>
          <w:szCs w:val="24"/>
          <w:vertAlign w:val="superscript"/>
        </w:rPr>
        <w:footnoteReference w:id="37"/>
      </w:r>
      <w:r w:rsidRPr="002C2CAA">
        <w:rPr>
          <w:rFonts w:ascii="Times New Roman" w:eastAsia="Times New Roman" w:hAnsi="Times New Roman" w:cs="Times New Roman"/>
          <w:sz w:val="24"/>
          <w:szCs w:val="24"/>
        </w:rPr>
        <w:t xml:space="preserve"> The bankers benefit because the monitoring by depositors who are allowed access to their funds on demand allows them to make a credible commitment that they will not abscond with depositors’ funds.</w:t>
      </w:r>
      <w:r w:rsidRPr="002C2CAA">
        <w:rPr>
          <w:rFonts w:ascii="Times New Roman" w:eastAsia="Times New Roman" w:hAnsi="Times New Roman" w:cs="Times New Roman"/>
          <w:sz w:val="24"/>
          <w:szCs w:val="24"/>
          <w:vertAlign w:val="superscript"/>
        </w:rPr>
        <w:footnoteReference w:id="38"/>
      </w:r>
    </w:p>
    <w:p w14:paraId="66F2B078"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0768ECA0"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Of course, in a world of deposit insurance,</w:t>
      </w:r>
      <w:r w:rsidRPr="002C2CAA">
        <w:rPr>
          <w:rFonts w:ascii="Times New Roman" w:eastAsia="Times New Roman" w:hAnsi="Times New Roman" w:cs="Times New Roman"/>
          <w:sz w:val="24"/>
          <w:szCs w:val="24"/>
          <w:vertAlign w:val="superscript"/>
        </w:rPr>
        <w:footnoteReference w:id="39"/>
      </w:r>
      <w:r w:rsidRPr="002C2CAA">
        <w:rPr>
          <w:rFonts w:ascii="Times New Roman" w:eastAsia="Times New Roman" w:hAnsi="Times New Roman" w:cs="Times New Roman"/>
          <w:sz w:val="24"/>
          <w:szCs w:val="24"/>
        </w:rPr>
        <w:t xml:space="preserve"> depositors lack incentives to monitor the quality of the loans and other assets that banks invest in with their money. In a world of deposit insurance, we must look for explanations other than depositor discipline to explain why banks combine lending and deposit taking. As </w:t>
      </w:r>
      <w:proofErr w:type="spellStart"/>
      <w:r w:rsidRPr="002C2CAA">
        <w:rPr>
          <w:rFonts w:ascii="Times New Roman" w:eastAsia="Times New Roman" w:hAnsi="Times New Roman" w:cs="Times New Roman"/>
          <w:sz w:val="24"/>
          <w:szCs w:val="24"/>
        </w:rPr>
        <w:t>Calomoris</w:t>
      </w:r>
      <w:proofErr w:type="spellEnd"/>
      <w:r w:rsidRPr="002C2CAA">
        <w:rPr>
          <w:rFonts w:ascii="Times New Roman" w:eastAsia="Times New Roman" w:hAnsi="Times New Roman" w:cs="Times New Roman"/>
          <w:sz w:val="24"/>
          <w:szCs w:val="24"/>
        </w:rPr>
        <w:t xml:space="preserve"> and Kahn themselves recognize, “where … deposit insurance makes depositor monitoring less important, demandable debt may persist simply as an artifact of regulation.”</w:t>
      </w:r>
      <w:r w:rsidRPr="002C2CAA">
        <w:rPr>
          <w:rFonts w:ascii="Times New Roman" w:eastAsia="Times New Roman" w:hAnsi="Times New Roman" w:cs="Times New Roman"/>
          <w:sz w:val="24"/>
          <w:szCs w:val="24"/>
          <w:vertAlign w:val="superscript"/>
        </w:rPr>
        <w:footnoteReference w:id="40"/>
      </w:r>
      <w:r w:rsidRPr="002C2CAA">
        <w:rPr>
          <w:rFonts w:ascii="Times New Roman" w:eastAsia="Times New Roman" w:hAnsi="Times New Roman" w:cs="Times New Roman"/>
          <w:sz w:val="24"/>
          <w:szCs w:val="24"/>
        </w:rPr>
        <w:t xml:space="preserve">  </w:t>
      </w:r>
    </w:p>
    <w:p w14:paraId="5F4A615B"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4385D8D8"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Thus, while it is true that banks combined deposit taking and lending for eons before deposit insurance came on the scene, the cost was that banks placed financial systems in a constant state of peril. The constant danger of bank runs and bank collapse “led to a search or mechanisms capable of protecting banks from liquidity shocks induced by deposit runs. Diamond and </w:t>
      </w:r>
      <w:proofErr w:type="spellStart"/>
      <w:r w:rsidRPr="002C2CAA">
        <w:rPr>
          <w:rFonts w:ascii="Times New Roman" w:eastAsia="Times New Roman" w:hAnsi="Times New Roman" w:cs="Times New Roman"/>
          <w:sz w:val="24"/>
          <w:szCs w:val="24"/>
        </w:rPr>
        <w:t>Dybvig</w:t>
      </w:r>
      <w:proofErr w:type="spellEnd"/>
      <w:r w:rsidRPr="002C2CAA">
        <w:rPr>
          <w:rFonts w:ascii="Times New Roman" w:eastAsia="Times New Roman" w:hAnsi="Times New Roman" w:cs="Times New Roman"/>
          <w:sz w:val="24"/>
          <w:szCs w:val="24"/>
        </w:rPr>
        <w:t xml:space="preserve"> (1986) showed that deposit insurance could offer banks such a protection while still affording them the opportunity to provide liquidity services to depositors.”</w:t>
      </w:r>
      <w:r w:rsidRPr="002C2CAA">
        <w:rPr>
          <w:rFonts w:ascii="Times New Roman" w:eastAsia="Times New Roman" w:hAnsi="Times New Roman" w:cs="Times New Roman"/>
          <w:sz w:val="24"/>
          <w:szCs w:val="24"/>
          <w:vertAlign w:val="superscript"/>
        </w:rPr>
        <w:footnoteReference w:id="41"/>
      </w:r>
      <w:r w:rsidRPr="002C2CAA">
        <w:rPr>
          <w:rFonts w:ascii="Times New Roman" w:eastAsia="Times New Roman" w:hAnsi="Times New Roman" w:cs="Times New Roman"/>
          <w:sz w:val="24"/>
          <w:szCs w:val="24"/>
        </w:rPr>
        <w:t xml:space="preserve"> In other words, the traditional thinking is that banking is a necessary evil, and that deposit insurance is required in order to mitigate the social costs of having a banking system.</w:t>
      </w:r>
      <w:r w:rsidRPr="002C2CAA">
        <w:rPr>
          <w:rFonts w:ascii="Times New Roman" w:eastAsia="Times New Roman" w:hAnsi="Times New Roman" w:cs="Times New Roman"/>
          <w:sz w:val="24"/>
          <w:szCs w:val="24"/>
          <w:vertAlign w:val="superscript"/>
        </w:rPr>
        <w:footnoteReference w:id="42"/>
      </w:r>
    </w:p>
    <w:p w14:paraId="00DCA8D2"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2C45254E"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following section of this Essay explores the reasons why it is necessary to combine lending and deposit-taking.</w:t>
      </w:r>
    </w:p>
    <w:p w14:paraId="73B4F0D5"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7F881C5D" w14:textId="77777777" w:rsidR="002C2CAA" w:rsidRPr="002C2CAA" w:rsidRDefault="002C2CAA" w:rsidP="002C2CAA">
      <w:pPr>
        <w:numPr>
          <w:ilvl w:val="0"/>
          <w:numId w:val="5"/>
        </w:numPr>
        <w:spacing w:after="0" w:line="240" w:lineRule="auto"/>
        <w:contextualSpacing/>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‘Checking Account’ Hypothesis</w:t>
      </w:r>
    </w:p>
    <w:p w14:paraId="23B5237B"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771EFDB9"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Another issue that has received far too little attention in the legal academy is the extent to which theories about credit markets and banking “have centered on information and information flows.”</w:t>
      </w:r>
      <w:r w:rsidRPr="002C2CAA">
        <w:rPr>
          <w:rFonts w:ascii="Times New Roman" w:eastAsia="Times New Roman" w:hAnsi="Times New Roman" w:cs="Times New Roman"/>
          <w:sz w:val="24"/>
          <w:szCs w:val="24"/>
          <w:vertAlign w:val="superscript"/>
        </w:rPr>
        <w:footnoteReference w:id="43"/>
      </w:r>
      <w:r w:rsidRPr="002C2CAA">
        <w:rPr>
          <w:rFonts w:ascii="Times New Roman" w:eastAsia="Times New Roman" w:hAnsi="Times New Roman" w:cs="Times New Roman"/>
          <w:sz w:val="24"/>
          <w:szCs w:val="24"/>
        </w:rPr>
        <w:t xml:space="preserve"> The “fundamental proposition of this theory, which was developed by Fisher Black and elaborated on by Eugene Fama, is that information is crucial to bankers both in determining risk premiums which set the price of credit, and in collecting loans, ensuring that lenders are repaid as much as possible within the terms of the contract.”</w:t>
      </w:r>
      <w:r w:rsidRPr="002C2CAA">
        <w:rPr>
          <w:rFonts w:ascii="Times New Roman" w:eastAsia="Times New Roman" w:hAnsi="Times New Roman" w:cs="Times New Roman"/>
          <w:sz w:val="24"/>
          <w:szCs w:val="24"/>
          <w:vertAlign w:val="superscript"/>
        </w:rPr>
        <w:footnoteReference w:id="44"/>
      </w:r>
      <w:r w:rsidRPr="002C2CAA">
        <w:rPr>
          <w:rFonts w:ascii="Times New Roman" w:eastAsia="Times New Roman" w:hAnsi="Times New Roman" w:cs="Times New Roman"/>
          <w:sz w:val="24"/>
          <w:szCs w:val="24"/>
        </w:rPr>
        <w:t xml:space="preserve"> The implication of the theory, of course, is that the lenders with the best information will perform better and thus out-compete rivals with inferior access to timely, high quality information.   </w:t>
      </w:r>
    </w:p>
    <w:p w14:paraId="7AF88C74"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According to this theory, banks succeed because the “asymmetric information,” i.e. information that banks have that their rivals do not have, gives them a competitive advantage. The hypothesis that banks have informational advantages, “has been the foundation of modern theories of commercial banking that justify the ‘special’ character of banks and the unique regulatory treatment that banks receive.</w:t>
      </w:r>
      <w:r w:rsidRPr="002C2CAA">
        <w:rPr>
          <w:rFonts w:ascii="Times New Roman" w:eastAsia="Times New Roman" w:hAnsi="Times New Roman" w:cs="Times New Roman"/>
          <w:sz w:val="24"/>
          <w:szCs w:val="24"/>
          <w:vertAlign w:val="superscript"/>
        </w:rPr>
        <w:footnoteReference w:id="45"/>
      </w:r>
    </w:p>
    <w:p w14:paraId="2C312DDC"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75B9242A"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In a nutshell, then, the economic theory of banking as presented in the standard models, is that “banks act on behalf of depositors to monitor borrowers, a role known as delegated monitoring.”</w:t>
      </w:r>
      <w:r w:rsidRPr="002C2CAA">
        <w:rPr>
          <w:rFonts w:ascii="Times New Roman" w:eastAsia="Times New Roman" w:hAnsi="Times New Roman" w:cs="Times New Roman"/>
          <w:sz w:val="24"/>
          <w:szCs w:val="24"/>
          <w:vertAlign w:val="superscript"/>
        </w:rPr>
        <w:footnoteReference w:id="46"/>
      </w:r>
      <w:r w:rsidRPr="002C2CAA">
        <w:rPr>
          <w:rFonts w:ascii="Times New Roman" w:eastAsia="Times New Roman" w:hAnsi="Times New Roman" w:cs="Times New Roman"/>
          <w:sz w:val="24"/>
          <w:szCs w:val="24"/>
        </w:rPr>
        <w:t xml:space="preserve"> The theory, was first articulated by Fisher Black and later advanced by Eugene Fama, who pointed out that banks have a cost advantage over non-banks because their borrowers are also depositors:</w:t>
      </w:r>
    </w:p>
    <w:p w14:paraId="5AAD57E4"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4711B0C0" w14:textId="77777777" w:rsidR="002C2CAA" w:rsidRPr="002C2CAA" w:rsidRDefault="002C2CAA" w:rsidP="002C2CAA">
      <w:pPr>
        <w:spacing w:after="0" w:line="240" w:lineRule="auto"/>
        <w:ind w:left="1296" w:right="1296"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Banks have a cost advantage in making loans to depositors. The ongoing history of a borrower as a depositor </w:t>
      </w:r>
      <w:r w:rsidRPr="002C2CAA">
        <w:rPr>
          <w:rFonts w:ascii="Times New Roman" w:eastAsia="Times New Roman" w:hAnsi="Times New Roman" w:cs="Times New Roman"/>
          <w:i/>
          <w:sz w:val="24"/>
          <w:szCs w:val="24"/>
        </w:rPr>
        <w:t>provides information that allows a bank to identify the risks to loans to depositors and to monitor the loans at lower cost than other (non-bank) lenders</w:t>
      </w:r>
      <w:r w:rsidRPr="002C2CAA">
        <w:rPr>
          <w:rFonts w:ascii="Times New Roman" w:eastAsia="Times New Roman" w:hAnsi="Times New Roman" w:cs="Times New Roman"/>
          <w:sz w:val="24"/>
          <w:szCs w:val="24"/>
        </w:rPr>
        <w:t xml:space="preserve">. The inside information provided by the ongoing history of a bank deposit is especially valuable for making and monitoring the repeating short-term loans (rollovers) typically offered by banks. Information from an ongoing deposit history also has special value when the borrower is a small organization (or individual) that does not find it economical to generate the range of publicly available information needed to finance with outside debt or equity.  </w:t>
      </w:r>
    </w:p>
    <w:p w14:paraId="0CB6974F" w14:textId="77777777" w:rsidR="002C2CAA" w:rsidRPr="002C2CAA" w:rsidRDefault="002C2CAA" w:rsidP="002C2CAA">
      <w:pPr>
        <w:spacing w:after="0" w:line="240" w:lineRule="auto"/>
        <w:ind w:left="1296" w:right="1296" w:firstLine="720"/>
        <w:jc w:val="both"/>
        <w:rPr>
          <w:rFonts w:ascii="Times New Roman" w:eastAsia="Times New Roman" w:hAnsi="Times New Roman" w:cs="Times New Roman"/>
          <w:sz w:val="24"/>
          <w:szCs w:val="24"/>
        </w:rPr>
      </w:pPr>
    </w:p>
    <w:p w14:paraId="53D77835" w14:textId="77777777" w:rsidR="002C2CAA" w:rsidRPr="002C2CAA" w:rsidRDefault="002C2CAA" w:rsidP="002C2CAA">
      <w:pPr>
        <w:spacing w:after="0" w:line="240" w:lineRule="auto"/>
        <w:ind w:left="1296" w:right="1296"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Two facts tend to support these arguments. First, banks usually require that borrowers maintain deposits (often called compensating balances). Second, banks are the dominant suppliers of short-term inside debt. The inside debt or private placements offered by insurance and finance companies (which do not have the monitoring information provided by ongoing deposit histories) are usually much longer-term than bank loans.</w:t>
      </w:r>
      <w:r w:rsidRPr="002C2CAA">
        <w:rPr>
          <w:rFonts w:ascii="Times New Roman" w:eastAsia="Times New Roman" w:hAnsi="Times New Roman" w:cs="Times New Roman"/>
          <w:sz w:val="24"/>
          <w:szCs w:val="24"/>
          <w:vertAlign w:val="superscript"/>
        </w:rPr>
        <w:footnoteReference w:id="47"/>
      </w:r>
    </w:p>
    <w:p w14:paraId="0C2B602D" w14:textId="77777777" w:rsidR="002C2CAA" w:rsidRPr="002C2CAA" w:rsidRDefault="002C2CAA" w:rsidP="002C2CAA">
      <w:pPr>
        <w:spacing w:after="0" w:line="240" w:lineRule="auto"/>
        <w:rPr>
          <w:rFonts w:ascii="Times New Roman" w:eastAsia="Times New Roman" w:hAnsi="Times New Roman" w:cs="Times New Roman"/>
          <w:sz w:val="24"/>
          <w:szCs w:val="24"/>
        </w:rPr>
      </w:pPr>
    </w:p>
    <w:p w14:paraId="7715466E"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observation that banks obtain information from their borrowers’ checking accounts that enhances their ability to make and monitor their commercial loans has been dubbed the “checking account hypothesis.”</w:t>
      </w:r>
      <w:r w:rsidRPr="002C2CAA">
        <w:rPr>
          <w:rFonts w:ascii="Times New Roman" w:eastAsia="Times New Roman" w:hAnsi="Times New Roman" w:cs="Times New Roman"/>
          <w:sz w:val="24"/>
          <w:szCs w:val="24"/>
          <w:vertAlign w:val="superscript"/>
        </w:rPr>
        <w:footnoteReference w:id="48"/>
      </w:r>
      <w:r w:rsidRPr="002C2CAA">
        <w:rPr>
          <w:rFonts w:ascii="Times New Roman" w:eastAsia="Times New Roman" w:hAnsi="Times New Roman" w:cs="Times New Roman"/>
          <w:sz w:val="24"/>
          <w:szCs w:val="24"/>
        </w:rPr>
        <w:t xml:space="preserve"> The core claim is that banks have a competitive advantage over nonbanks as commercial lenders because of their privileged access to the information that can be derived from observing the ebbs and flows of money in and out of customers’ checking accounts.</w:t>
      </w:r>
      <w:r w:rsidRPr="002C2CAA">
        <w:rPr>
          <w:rFonts w:ascii="Times New Roman" w:eastAsia="Times New Roman" w:hAnsi="Times New Roman" w:cs="Times New Roman"/>
          <w:sz w:val="24"/>
          <w:szCs w:val="24"/>
          <w:vertAlign w:val="superscript"/>
        </w:rPr>
        <w:footnoteReference w:id="49"/>
      </w:r>
      <w:r w:rsidRPr="002C2CAA">
        <w:rPr>
          <w:rFonts w:ascii="Times New Roman" w:eastAsia="Times New Roman" w:hAnsi="Times New Roman" w:cs="Times New Roman"/>
          <w:sz w:val="24"/>
          <w:szCs w:val="24"/>
        </w:rPr>
        <w:t xml:space="preserve"> However there is reason to doubt the continued validity of the checking hypothesis, arguing that improvements in technology have made it possible for non-bank lenders to access the same high quality information that traditionally has only been available through checking accounts.</w:t>
      </w:r>
      <w:r w:rsidRPr="002C2CAA">
        <w:rPr>
          <w:rFonts w:ascii="Times New Roman" w:eastAsia="Times New Roman" w:hAnsi="Times New Roman" w:cs="Times New Roman"/>
          <w:sz w:val="24"/>
          <w:szCs w:val="24"/>
          <w:vertAlign w:val="superscript"/>
        </w:rPr>
        <w:footnoteReference w:id="50"/>
      </w:r>
      <w:r w:rsidRPr="002C2CAA">
        <w:rPr>
          <w:rFonts w:ascii="Times New Roman" w:eastAsia="Times New Roman" w:hAnsi="Times New Roman" w:cs="Times New Roman"/>
          <w:sz w:val="24"/>
          <w:szCs w:val="24"/>
        </w:rPr>
        <w:t xml:space="preserve"> </w:t>
      </w:r>
    </w:p>
    <w:p w14:paraId="063BF0FC"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498B350"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The idea that the information in checking accounts is useful to banks in their role as lenders is predicated on the fundamental principal that “[i]n the world of finance, the most precious commodity is </w:t>
      </w:r>
      <w:r w:rsidRPr="002C2CAA">
        <w:rPr>
          <w:rFonts w:ascii="Times New Roman" w:eastAsia="Times New Roman" w:hAnsi="Times New Roman" w:cs="Times New Roman"/>
          <w:i/>
          <w:sz w:val="24"/>
          <w:szCs w:val="24"/>
        </w:rPr>
        <w:t>information</w:t>
      </w:r>
      <w:r w:rsidRPr="002C2CAA">
        <w:rPr>
          <w:rFonts w:ascii="Times New Roman" w:eastAsia="Times New Roman" w:hAnsi="Times New Roman" w:cs="Times New Roman"/>
          <w:sz w:val="24"/>
          <w:szCs w:val="24"/>
        </w:rPr>
        <w:t>.”</w:t>
      </w:r>
      <w:r w:rsidRPr="002C2CAA">
        <w:rPr>
          <w:rFonts w:ascii="Times New Roman" w:eastAsia="Times New Roman" w:hAnsi="Times New Roman" w:cs="Times New Roman"/>
          <w:sz w:val="24"/>
          <w:szCs w:val="24"/>
          <w:vertAlign w:val="superscript"/>
        </w:rPr>
        <w:footnoteReference w:id="51"/>
      </w:r>
      <w:r w:rsidRPr="002C2CAA">
        <w:rPr>
          <w:rFonts w:ascii="Times New Roman" w:eastAsia="Times New Roman" w:hAnsi="Times New Roman" w:cs="Times New Roman"/>
          <w:sz w:val="24"/>
          <w:szCs w:val="24"/>
        </w:rPr>
        <w:t xml:space="preserve"> The “golden rule of conventional finance” is that “the party that can obtain and control the flow of information ultimately gets the gold.”</w:t>
      </w:r>
      <w:r w:rsidRPr="002C2CAA">
        <w:rPr>
          <w:rFonts w:ascii="Times New Roman" w:eastAsia="Times New Roman" w:hAnsi="Times New Roman" w:cs="Times New Roman"/>
          <w:sz w:val="24"/>
          <w:szCs w:val="24"/>
          <w:vertAlign w:val="superscript"/>
        </w:rPr>
        <w:footnoteReference w:id="52"/>
      </w:r>
      <w:r w:rsidRPr="002C2CAA">
        <w:rPr>
          <w:rFonts w:ascii="Times New Roman" w:eastAsia="Times New Roman" w:hAnsi="Times New Roman" w:cs="Times New Roman"/>
          <w:sz w:val="24"/>
          <w:szCs w:val="24"/>
        </w:rPr>
        <w:t xml:space="preserve"> The checking account hypothesis provides the justification for allowing depository institutions to make risky loans.  </w:t>
      </w:r>
    </w:p>
    <w:p w14:paraId="3123CDA5"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594F4A7"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As Alan Greenspan observed:</w:t>
      </w:r>
    </w:p>
    <w:p w14:paraId="7E7A8FF8"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3EF20D1D" w14:textId="77777777" w:rsidR="002C2CAA" w:rsidRPr="002C2CAA" w:rsidRDefault="002C2CAA" w:rsidP="002C2CAA">
      <w:pPr>
        <w:spacing w:after="0" w:line="240" w:lineRule="auto"/>
        <w:ind w:left="1296" w:right="1296" w:firstLine="36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heart of financial intermediation is the ability to obtain and use information. The high cost of gathering and using facts in the past meant that banks and other intermediaries could profit from their cumulative store of knowledge about borrowers by making significantly more informed credit decisions than most other market participants. These other market participants were thus obliged to permit depository intermediaries to make credit decisions in financial markets and therefore allow bank credit to substitute for what would otherwise be their own direct acquisition of credit market instruments</w:t>
      </w:r>
      <w:r w:rsidRPr="002C2CAA">
        <w:rPr>
          <w:rFonts w:ascii="Times New Roman" w:eastAsia="Times New Roman" w:hAnsi="Times New Roman" w:cs="Times New Roman"/>
          <w:sz w:val="24"/>
          <w:szCs w:val="24"/>
          <w:vertAlign w:val="superscript"/>
        </w:rPr>
        <w:footnoteReference w:id="53"/>
      </w:r>
      <w:r w:rsidRPr="002C2CAA">
        <w:rPr>
          <w:rFonts w:ascii="Times New Roman" w:eastAsia="Times New Roman" w:hAnsi="Times New Roman" w:cs="Times New Roman"/>
          <w:sz w:val="24"/>
          <w:szCs w:val="24"/>
        </w:rPr>
        <w:t>.</w:t>
      </w:r>
    </w:p>
    <w:p w14:paraId="66EDDA4A"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DDC3108"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argument is that depriving lenders of their ability to offer demand deposits would “come at a substantial cost in the efficiency of financial intermediation” because banks would lack access to the valuable “inside information” about their borrowers that make them superior lenders.</w:t>
      </w:r>
      <w:r w:rsidRPr="002C2CAA">
        <w:rPr>
          <w:rFonts w:ascii="Times New Roman" w:eastAsia="Times New Roman" w:hAnsi="Times New Roman" w:cs="Times New Roman"/>
          <w:sz w:val="24"/>
          <w:szCs w:val="24"/>
          <w:vertAlign w:val="superscript"/>
        </w:rPr>
        <w:footnoteReference w:id="54"/>
      </w:r>
      <w:r w:rsidRPr="002C2CAA">
        <w:rPr>
          <w:rFonts w:ascii="Times New Roman" w:eastAsia="Times New Roman" w:hAnsi="Times New Roman" w:cs="Times New Roman"/>
          <w:sz w:val="24"/>
          <w:szCs w:val="24"/>
        </w:rPr>
        <w:t xml:space="preserve">      </w:t>
      </w:r>
    </w:p>
    <w:p w14:paraId="1351EC2E"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8DE663F"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It is difficult to overstate the centrality of the checking account hypothesis as a justification for combining deposit-taking and lending. As Ben Bernanke observed long ago, the business model of banks is based on private information about borrowers and loan quality.</w:t>
      </w:r>
      <w:r w:rsidRPr="002C2CAA">
        <w:rPr>
          <w:rFonts w:ascii="Times New Roman" w:eastAsia="Times New Roman" w:hAnsi="Times New Roman" w:cs="Times New Roman"/>
          <w:sz w:val="24"/>
          <w:szCs w:val="24"/>
          <w:vertAlign w:val="superscript"/>
        </w:rPr>
        <w:footnoteReference w:id="55"/>
      </w:r>
      <w:r w:rsidRPr="002C2CAA">
        <w:rPr>
          <w:rFonts w:ascii="Times New Roman" w:eastAsia="Times New Roman" w:hAnsi="Times New Roman" w:cs="Times New Roman"/>
          <w:sz w:val="24"/>
          <w:szCs w:val="24"/>
        </w:rPr>
        <w:t xml:space="preserve"> The “real services performed by the banking system is the differentiation between good and bad borrowers,”</w:t>
      </w:r>
      <w:r w:rsidRPr="002C2CAA">
        <w:rPr>
          <w:rFonts w:ascii="Times New Roman" w:eastAsia="Times New Roman" w:hAnsi="Times New Roman" w:cs="Times New Roman"/>
          <w:sz w:val="24"/>
          <w:szCs w:val="24"/>
          <w:vertAlign w:val="superscript"/>
        </w:rPr>
        <w:footnoteReference w:id="56"/>
      </w:r>
      <w:r w:rsidRPr="002C2CAA">
        <w:rPr>
          <w:rFonts w:ascii="Times New Roman" w:eastAsia="Times New Roman" w:hAnsi="Times New Roman" w:cs="Times New Roman"/>
          <w:sz w:val="24"/>
          <w:szCs w:val="24"/>
        </w:rPr>
        <w:t xml:space="preserve"> and the costs of providing these services include screening, monitoring and accounting costs, all of which can, it is thought, be minimized by access to the information contained in banks’ checking accounts.</w:t>
      </w:r>
    </w:p>
    <w:p w14:paraId="170547F2"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0A5C636"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checking account hypothesis, however, is predicated on a critical assumption about the information contained in bank transaction accounts that is no longer valid for several reasons. The assumption is that the valuable information contained in bank checking accounts is, in fact, “inside information” that is proprietary and not available to other, non-bank financial institutions.</w:t>
      </w:r>
      <w:r w:rsidRPr="002C2CAA">
        <w:rPr>
          <w:rFonts w:ascii="Times New Roman" w:eastAsia="Times New Roman" w:hAnsi="Times New Roman" w:cs="Times New Roman"/>
          <w:sz w:val="24"/>
          <w:szCs w:val="24"/>
          <w:vertAlign w:val="superscript"/>
        </w:rPr>
        <w:footnoteReference w:id="57"/>
      </w:r>
      <w:r w:rsidRPr="002C2CAA">
        <w:rPr>
          <w:rFonts w:ascii="Times New Roman" w:eastAsia="Times New Roman" w:hAnsi="Times New Roman" w:cs="Times New Roman"/>
          <w:sz w:val="24"/>
          <w:szCs w:val="24"/>
        </w:rPr>
        <w:t xml:space="preserve"> This assumption is invalid for two reasons.</w:t>
      </w:r>
    </w:p>
    <w:p w14:paraId="32B1E168"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6D2119D0"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First, small businesses, including sole proprietors increasingly are using online and web-based systems like QuickBooks and Quicken to manage their finances and accounting, and to provide budgeting, payroll, invoicing, automatic payments, tax preparation, and other business needs.</w:t>
      </w:r>
      <w:r w:rsidRPr="002C2CAA">
        <w:rPr>
          <w:rFonts w:ascii="Times New Roman" w:eastAsia="Times New Roman" w:hAnsi="Times New Roman" w:cs="Times New Roman"/>
          <w:sz w:val="24"/>
          <w:szCs w:val="24"/>
          <w:vertAlign w:val="superscript"/>
        </w:rPr>
        <w:footnoteReference w:id="58"/>
      </w:r>
      <w:r w:rsidRPr="002C2CAA">
        <w:rPr>
          <w:rFonts w:ascii="Times New Roman" w:eastAsia="Times New Roman" w:hAnsi="Times New Roman" w:cs="Times New Roman"/>
          <w:sz w:val="24"/>
          <w:szCs w:val="24"/>
        </w:rPr>
        <w:t xml:space="preserve"> QuickBooks provides lenders with even more detailed and higher quality information than the information available from checking accounts because it includes not only account balances and records of cash flows in and out of bank accounts, it also provides information about sales trends and seasonality of cash flows, profitability over time, and invoices and cash flow forecasts.</w:t>
      </w:r>
      <w:r w:rsidRPr="002C2CAA">
        <w:rPr>
          <w:rFonts w:ascii="Times New Roman" w:eastAsia="Times New Roman" w:hAnsi="Times New Roman" w:cs="Times New Roman"/>
          <w:sz w:val="24"/>
          <w:szCs w:val="24"/>
          <w:vertAlign w:val="superscript"/>
        </w:rPr>
        <w:footnoteReference w:id="59"/>
      </w:r>
      <w:r w:rsidRPr="002C2CAA">
        <w:rPr>
          <w:rFonts w:ascii="Times New Roman" w:eastAsia="Times New Roman" w:hAnsi="Times New Roman" w:cs="Times New Roman"/>
          <w:sz w:val="24"/>
          <w:szCs w:val="24"/>
        </w:rPr>
        <w:t xml:space="preserve"> In fact, it is now possible for individuals and small businesses to apply for loans with banks and other lenders directly from their accounts at accounting software companies like QuickBooks.</w:t>
      </w:r>
      <w:r w:rsidRPr="002C2CAA">
        <w:rPr>
          <w:rFonts w:ascii="Times New Roman" w:eastAsia="Times New Roman" w:hAnsi="Times New Roman" w:cs="Times New Roman"/>
          <w:sz w:val="24"/>
          <w:szCs w:val="24"/>
          <w:vertAlign w:val="superscript"/>
        </w:rPr>
        <w:footnoteReference w:id="60"/>
      </w:r>
      <w:r w:rsidRPr="002C2CAA">
        <w:rPr>
          <w:rFonts w:ascii="Times New Roman" w:eastAsia="Times New Roman" w:hAnsi="Times New Roman" w:cs="Times New Roman"/>
          <w:sz w:val="24"/>
          <w:szCs w:val="24"/>
        </w:rPr>
        <w:t xml:space="preserve"> Thus, lenders often no longer obtain information about prospective and current borrowers from the information gleaned from resident checking accounts, but from information gleaned from online accounting and financial applications.</w:t>
      </w:r>
    </w:p>
    <w:p w14:paraId="29E821E5"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969263B"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Second, we now live in a world of “open banking” (sometimes called “open finance”), in which third-party developers access financial data in traditional banking systems through so-called “Application Programming Interfaces.”</w:t>
      </w:r>
      <w:r w:rsidRPr="002C2CAA">
        <w:rPr>
          <w:rFonts w:ascii="Times New Roman" w:eastAsia="Times New Roman" w:hAnsi="Times New Roman" w:cs="Times New Roman"/>
          <w:sz w:val="24"/>
          <w:szCs w:val="24"/>
          <w:vertAlign w:val="superscript"/>
        </w:rPr>
        <w:footnoteReference w:id="61"/>
      </w:r>
      <w:r w:rsidRPr="002C2CAA">
        <w:rPr>
          <w:rFonts w:ascii="Times New Roman" w:eastAsia="Times New Roman" w:hAnsi="Times New Roman" w:cs="Times New Roman"/>
          <w:sz w:val="24"/>
          <w:szCs w:val="24"/>
        </w:rPr>
        <w:t xml:space="preserve"> This data can then be freely shared with anyone that borrowers and consumers select to be recipients of such information.   </w:t>
      </w:r>
    </w:p>
    <w:p w14:paraId="61EC8FAE"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B50F5C7"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checking account hypothesis has long been invalid as applied to large borrowers, who borrow from multiple banks and from non-bank lenders, and who have publicly-traded equity and/or debt that provides an ongoing, real time assessment of the financial condition of such borrowers.</w:t>
      </w:r>
      <w:r w:rsidRPr="002C2CAA">
        <w:rPr>
          <w:rFonts w:ascii="Times New Roman" w:eastAsia="Times New Roman" w:hAnsi="Times New Roman" w:cs="Times New Roman"/>
          <w:sz w:val="24"/>
          <w:szCs w:val="24"/>
          <w:vertAlign w:val="superscript"/>
        </w:rPr>
        <w:footnoteReference w:id="62"/>
      </w:r>
      <w:r w:rsidRPr="002C2CAA">
        <w:rPr>
          <w:rFonts w:ascii="Times New Roman" w:eastAsia="Times New Roman" w:hAnsi="Times New Roman" w:cs="Times New Roman"/>
          <w:sz w:val="24"/>
          <w:szCs w:val="24"/>
        </w:rPr>
        <w:t xml:space="preserve">  However, the hypothesis was thought to retain at least some validity as applied to small borrowers.</w:t>
      </w:r>
      <w:r w:rsidRPr="002C2CAA">
        <w:rPr>
          <w:rFonts w:ascii="Times New Roman" w:eastAsia="Times New Roman" w:hAnsi="Times New Roman" w:cs="Times New Roman"/>
          <w:sz w:val="24"/>
          <w:szCs w:val="24"/>
          <w:vertAlign w:val="superscript"/>
        </w:rPr>
        <w:footnoteReference w:id="63"/>
      </w:r>
      <w:r w:rsidRPr="002C2CAA">
        <w:rPr>
          <w:rFonts w:ascii="Times New Roman" w:eastAsia="Times New Roman" w:hAnsi="Times New Roman" w:cs="Times New Roman"/>
          <w:sz w:val="24"/>
          <w:szCs w:val="24"/>
        </w:rPr>
        <w:t xml:space="preserve"> Technology has caught up with the checking account hypothesis even as it applies to small borrowers. Online lenders and nonbank credit providers are increasingly serving small borrowers, including small business borrowers.</w:t>
      </w:r>
      <w:r w:rsidRPr="002C2CAA">
        <w:rPr>
          <w:rFonts w:ascii="Times New Roman" w:eastAsia="Times New Roman" w:hAnsi="Times New Roman" w:cs="Times New Roman"/>
          <w:sz w:val="24"/>
          <w:szCs w:val="24"/>
          <w:vertAlign w:val="superscript"/>
        </w:rPr>
        <w:footnoteReference w:id="64"/>
      </w:r>
      <w:r w:rsidRPr="002C2CAA">
        <w:rPr>
          <w:rFonts w:ascii="Times New Roman" w:eastAsia="Times New Roman" w:hAnsi="Times New Roman" w:cs="Times New Roman"/>
          <w:sz w:val="24"/>
          <w:szCs w:val="24"/>
        </w:rPr>
        <w:t xml:space="preserve"> </w:t>
      </w:r>
    </w:p>
    <w:p w14:paraId="7BF1BEE3"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04350461"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Significantly, data from the Small Business Credit Survey administered by the 12 Federal Reserve Banks, indicate that “smaller, newer, and minority-owned firms are more likely to apply to online lenders” than to traditional banks.</w:t>
      </w:r>
      <w:r w:rsidRPr="002C2CAA">
        <w:rPr>
          <w:rFonts w:ascii="Times New Roman" w:eastAsia="Times New Roman" w:hAnsi="Times New Roman" w:cs="Times New Roman"/>
          <w:sz w:val="24"/>
          <w:szCs w:val="24"/>
          <w:vertAlign w:val="superscript"/>
        </w:rPr>
        <w:footnoteReference w:id="65"/>
      </w:r>
      <w:r w:rsidRPr="002C2CAA">
        <w:rPr>
          <w:rFonts w:ascii="Times New Roman" w:eastAsia="Times New Roman" w:hAnsi="Times New Roman" w:cs="Times New Roman"/>
          <w:sz w:val="24"/>
          <w:szCs w:val="24"/>
        </w:rPr>
        <w:t xml:space="preserve"> In addition, “the data suggest medium- and high-credit-risk applicants have had greater success obtaining credit at online lenders than at traditional banks (approval rates at 76 percent versus 34 percent at large banks and 47 percent at small banks).”</w:t>
      </w:r>
      <w:r w:rsidRPr="002C2CAA">
        <w:rPr>
          <w:rFonts w:ascii="Times New Roman" w:eastAsia="Times New Roman" w:hAnsi="Times New Roman" w:cs="Times New Roman"/>
          <w:sz w:val="24"/>
          <w:szCs w:val="24"/>
          <w:vertAlign w:val="superscript"/>
        </w:rPr>
        <w:footnoteReference w:id="66"/>
      </w:r>
    </w:p>
    <w:p w14:paraId="00F59EBC"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69D74D30"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core components of open banking are data access, sharing, portability, and interoperability.</w:t>
      </w:r>
      <w:r w:rsidRPr="002C2CAA">
        <w:rPr>
          <w:rFonts w:ascii="Times New Roman" w:eastAsia="Times New Roman" w:hAnsi="Times New Roman" w:cs="Times New Roman"/>
          <w:sz w:val="24"/>
          <w:szCs w:val="24"/>
          <w:vertAlign w:val="superscript"/>
        </w:rPr>
        <w:footnoteReference w:id="67"/>
      </w:r>
      <w:r w:rsidRPr="002C2CAA">
        <w:rPr>
          <w:rFonts w:ascii="Times New Roman" w:eastAsia="Times New Roman" w:hAnsi="Times New Roman" w:cs="Times New Roman"/>
          <w:sz w:val="24"/>
          <w:szCs w:val="24"/>
        </w:rPr>
        <w:t xml:space="preserve"> Open banking allows customers to have access to all of the personal, financial and transactional information that their financial institution collects and maintains, and it gives customers the ability to instruct their financial institutions to share this information with third parties.</w:t>
      </w:r>
      <w:r w:rsidRPr="002C2CAA">
        <w:rPr>
          <w:rFonts w:ascii="Times New Roman" w:eastAsia="Times New Roman" w:hAnsi="Times New Roman" w:cs="Times New Roman"/>
          <w:sz w:val="24"/>
          <w:szCs w:val="24"/>
          <w:vertAlign w:val="superscript"/>
        </w:rPr>
        <w:footnoteReference w:id="68"/>
      </w:r>
      <w:r w:rsidRPr="002C2CAA">
        <w:rPr>
          <w:rFonts w:ascii="Times New Roman" w:eastAsia="Times New Roman" w:hAnsi="Times New Roman" w:cs="Times New Roman"/>
          <w:sz w:val="24"/>
          <w:szCs w:val="24"/>
        </w:rPr>
        <w:t xml:space="preserve">  </w:t>
      </w:r>
    </w:p>
    <w:p w14:paraId="03B921CE"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705281F9"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Open banking fundamentally undermines the traditional “closed system in which … personal and transactional information resides within legal, technological, and economic vaults to which only incumbents enjoy access.”</w:t>
      </w:r>
      <w:r w:rsidRPr="002C2CAA">
        <w:rPr>
          <w:rFonts w:ascii="Times New Roman" w:eastAsia="Times New Roman" w:hAnsi="Times New Roman" w:cs="Times New Roman"/>
          <w:sz w:val="24"/>
          <w:szCs w:val="24"/>
          <w:vertAlign w:val="superscript"/>
        </w:rPr>
        <w:footnoteReference w:id="69"/>
      </w:r>
      <w:r w:rsidRPr="002C2CAA">
        <w:rPr>
          <w:rFonts w:ascii="Times New Roman" w:eastAsia="Times New Roman" w:hAnsi="Times New Roman" w:cs="Times New Roman"/>
          <w:sz w:val="24"/>
          <w:szCs w:val="24"/>
        </w:rPr>
        <w:t xml:space="preserve"> The “entrenched (competitive) advantage over both their own customers and any potential competitors” that banks’ exclusive access to its customers’ financial data has disappeared because the essential information about borrowers to which banks had access through their administration of borrowers’ deposit accounts is no longer the exclusive domain of banks. This essential information is increasingly freely available to banks’ competitors.</w:t>
      </w:r>
    </w:p>
    <w:p w14:paraId="285118C2"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A2F8226"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roofErr w:type="gramStart"/>
      <w:r w:rsidRPr="002C2CAA">
        <w:rPr>
          <w:rFonts w:ascii="Times New Roman" w:eastAsia="Times New Roman" w:hAnsi="Times New Roman" w:cs="Times New Roman"/>
          <w:sz w:val="24"/>
          <w:szCs w:val="24"/>
        </w:rPr>
        <w:t>In essence, open</w:t>
      </w:r>
      <w:proofErr w:type="gramEnd"/>
      <w:r w:rsidRPr="002C2CAA">
        <w:rPr>
          <w:rFonts w:ascii="Times New Roman" w:eastAsia="Times New Roman" w:hAnsi="Times New Roman" w:cs="Times New Roman"/>
          <w:sz w:val="24"/>
          <w:szCs w:val="24"/>
        </w:rPr>
        <w:t xml:space="preserve"> banking consists of the secure exchange of financial information of exactly the kind that is reflected in bank transaction accounts, and more between banks and non-bank third-party providers. Open Finance provides access to account information, account balances, and transaction history.</w:t>
      </w:r>
      <w:r w:rsidRPr="002C2CAA">
        <w:rPr>
          <w:rFonts w:ascii="Times New Roman" w:eastAsia="Times New Roman" w:hAnsi="Times New Roman" w:cs="Times New Roman"/>
          <w:sz w:val="24"/>
          <w:szCs w:val="24"/>
          <w:vertAlign w:val="superscript"/>
        </w:rPr>
        <w:footnoteReference w:id="70"/>
      </w:r>
      <w:r w:rsidRPr="002C2CAA">
        <w:rPr>
          <w:rFonts w:ascii="Times New Roman" w:eastAsia="Times New Roman" w:hAnsi="Times New Roman" w:cs="Times New Roman"/>
          <w:sz w:val="24"/>
          <w:szCs w:val="24"/>
        </w:rPr>
        <w:t xml:space="preserve"> In other words, it provides access to </w:t>
      </w:r>
      <w:proofErr w:type="gramStart"/>
      <w:r w:rsidRPr="002C2CAA">
        <w:rPr>
          <w:rFonts w:ascii="Times New Roman" w:eastAsia="Times New Roman" w:hAnsi="Times New Roman" w:cs="Times New Roman"/>
          <w:sz w:val="24"/>
          <w:szCs w:val="24"/>
        </w:rPr>
        <w:t>all of</w:t>
      </w:r>
      <w:proofErr w:type="gramEnd"/>
      <w:r w:rsidRPr="002C2CAA">
        <w:rPr>
          <w:rFonts w:ascii="Times New Roman" w:eastAsia="Times New Roman" w:hAnsi="Times New Roman" w:cs="Times New Roman"/>
          <w:sz w:val="24"/>
          <w:szCs w:val="24"/>
        </w:rPr>
        <w:t xml:space="preserve"> the information reflected in bank transaction accounts. In addition, APIs can </w:t>
      </w:r>
      <w:proofErr w:type="gramStart"/>
      <w:r w:rsidRPr="002C2CAA">
        <w:rPr>
          <w:rFonts w:ascii="Times New Roman" w:eastAsia="Times New Roman" w:hAnsi="Times New Roman" w:cs="Times New Roman"/>
          <w:sz w:val="24"/>
          <w:szCs w:val="24"/>
        </w:rPr>
        <w:t>actually function</w:t>
      </w:r>
      <w:proofErr w:type="gramEnd"/>
      <w:r w:rsidRPr="002C2CAA">
        <w:rPr>
          <w:rFonts w:ascii="Times New Roman" w:eastAsia="Times New Roman" w:hAnsi="Times New Roman" w:cs="Times New Roman"/>
          <w:sz w:val="24"/>
          <w:szCs w:val="24"/>
        </w:rPr>
        <w:t xml:space="preserve"> as banks, allowing for the transfer of funds, the initiation of payments and direct debits and deposits, and for the advertisement of financial products, including rates and terms posted on websites and internet marketplaces.</w:t>
      </w:r>
      <w:r w:rsidRPr="002C2CAA">
        <w:rPr>
          <w:rFonts w:ascii="Times New Roman" w:eastAsia="Times New Roman" w:hAnsi="Times New Roman" w:cs="Times New Roman"/>
          <w:sz w:val="24"/>
          <w:szCs w:val="24"/>
          <w:vertAlign w:val="superscript"/>
        </w:rPr>
        <w:footnoteReference w:id="71"/>
      </w:r>
    </w:p>
    <w:p w14:paraId="1BA0C413"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018EBF55"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Of course, incumbent banks have strong incentives to decline to share customers’ valuable information with their competitors. As the Consumer Financial Protection Bureau has observed, “[p]</w:t>
      </w:r>
      <w:proofErr w:type="spellStart"/>
      <w:r w:rsidRPr="002C2CAA">
        <w:rPr>
          <w:rFonts w:ascii="Times New Roman" w:eastAsia="Times New Roman" w:hAnsi="Times New Roman" w:cs="Times New Roman"/>
          <w:sz w:val="24"/>
          <w:szCs w:val="24"/>
        </w:rPr>
        <w:t>eople</w:t>
      </w:r>
      <w:proofErr w:type="spellEnd"/>
      <w:r w:rsidRPr="002C2CAA">
        <w:rPr>
          <w:rFonts w:ascii="Times New Roman" w:eastAsia="Times New Roman" w:hAnsi="Times New Roman" w:cs="Times New Roman"/>
          <w:sz w:val="24"/>
          <w:szCs w:val="24"/>
        </w:rPr>
        <w:t xml:space="preserve"> can become trapped by providers that hold their data.”</w:t>
      </w:r>
      <w:r w:rsidRPr="002C2CAA">
        <w:rPr>
          <w:rFonts w:ascii="Times New Roman" w:eastAsia="Times New Roman" w:hAnsi="Times New Roman" w:cs="Times New Roman"/>
          <w:sz w:val="24"/>
          <w:szCs w:val="24"/>
          <w:vertAlign w:val="superscript"/>
        </w:rPr>
        <w:footnoteReference w:id="72"/>
      </w:r>
      <w:r w:rsidRPr="002C2CAA">
        <w:rPr>
          <w:rFonts w:ascii="Times New Roman" w:eastAsia="Times New Roman" w:hAnsi="Times New Roman" w:cs="Times New Roman"/>
          <w:sz w:val="24"/>
          <w:szCs w:val="24"/>
        </w:rPr>
        <w:t xml:space="preserve"> If loans could not be made to borrowers without the data contained in checking accounts, then only banks, which are the only businesses that offer checking accounts, could make loans.</w:t>
      </w:r>
    </w:p>
    <w:p w14:paraId="5C4EDCB8"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58766B91"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banking industry is clearly losing the political battle over the allocation of property rights in customers’ financial information in the United States and elsewhere. In the U.S., Section 1033 of the Dodd-Frank Wall Street Reform and Consumer Protection Act, passed in the aftermath of the 2007-08 financial crisis requires banks and other financial institutions to make available, “in an electronic form usable by consumers”</w:t>
      </w:r>
      <w:r w:rsidRPr="002C2CAA">
        <w:rPr>
          <w:rFonts w:ascii="Times New Roman" w:eastAsia="Times New Roman" w:hAnsi="Times New Roman" w:cs="Times New Roman"/>
          <w:sz w:val="24"/>
          <w:szCs w:val="24"/>
          <w:vertAlign w:val="superscript"/>
        </w:rPr>
        <w:footnoteReference w:id="73"/>
      </w:r>
      <w:r w:rsidRPr="002C2CAA">
        <w:rPr>
          <w:rFonts w:ascii="Times New Roman" w:eastAsia="Times New Roman" w:hAnsi="Times New Roman" w:cs="Times New Roman"/>
          <w:sz w:val="24"/>
          <w:szCs w:val="24"/>
        </w:rPr>
        <w:t xml:space="preserve"> information they control or possess “relating to any transaction, series of transactions, or to the account including costs, charges and usage data.”</w:t>
      </w:r>
      <w:r w:rsidRPr="002C2CAA">
        <w:rPr>
          <w:rFonts w:ascii="Times New Roman" w:eastAsia="Times New Roman" w:hAnsi="Times New Roman" w:cs="Times New Roman"/>
          <w:sz w:val="24"/>
          <w:szCs w:val="24"/>
          <w:vertAlign w:val="superscript"/>
        </w:rPr>
        <w:footnoteReference w:id="74"/>
      </w:r>
      <w:r w:rsidRPr="002C2CAA">
        <w:rPr>
          <w:rFonts w:ascii="Times New Roman" w:eastAsia="Times New Roman" w:hAnsi="Times New Roman" w:cs="Times New Roman"/>
          <w:sz w:val="24"/>
          <w:szCs w:val="24"/>
        </w:rPr>
        <w:t xml:space="preserve"> The Consumer Financial Protection Bureau (CFPB) was directed to promulgate rules to implement Section 1033.  These rules must “promote the development and use of standardized formats for information, including through the use of machine readable files to be made available to consumers.”</w:t>
      </w:r>
      <w:r w:rsidRPr="002C2CAA">
        <w:rPr>
          <w:rFonts w:ascii="Times New Roman" w:eastAsia="Times New Roman" w:hAnsi="Times New Roman" w:cs="Times New Roman"/>
          <w:sz w:val="24"/>
          <w:szCs w:val="24"/>
          <w:vertAlign w:val="superscript"/>
        </w:rPr>
        <w:footnoteReference w:id="75"/>
      </w:r>
      <w:r w:rsidRPr="002C2CAA">
        <w:rPr>
          <w:rFonts w:ascii="Times New Roman" w:eastAsia="Times New Roman" w:hAnsi="Times New Roman" w:cs="Times New Roman"/>
          <w:sz w:val="24"/>
          <w:szCs w:val="24"/>
        </w:rPr>
        <w:t xml:space="preserve"> On October 19, 2023, the CFPB released a proposed rule on Personal Financial Data Rights. The proposed rule “establishes a comprehensive regulatory framework providing consumers and their authorized third parties with rights to receive structured, consistent and timely access to consumers’ personal financial data held by financial institutions and by imposing limitations on authorized third parties’ collection, use and retention of that data.”</w:t>
      </w:r>
      <w:r w:rsidRPr="002C2CAA">
        <w:rPr>
          <w:rFonts w:ascii="Times New Roman" w:eastAsia="Times New Roman" w:hAnsi="Times New Roman" w:cs="Times New Roman"/>
          <w:sz w:val="24"/>
          <w:szCs w:val="24"/>
          <w:vertAlign w:val="superscript"/>
        </w:rPr>
        <w:footnoteReference w:id="76"/>
      </w:r>
    </w:p>
    <w:p w14:paraId="52096E1F"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ED269F0"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proposed Personal Financial Data Rights rule has several components. It would prohibit banks and other data providers from charging fees for sharing data.</w:t>
      </w:r>
      <w:r w:rsidRPr="002C2CAA">
        <w:rPr>
          <w:rFonts w:ascii="Times New Roman" w:eastAsia="Times New Roman" w:hAnsi="Times New Roman" w:cs="Times New Roman"/>
          <w:sz w:val="24"/>
          <w:szCs w:val="24"/>
          <w:vertAlign w:val="superscript"/>
        </w:rPr>
        <w:footnoteReference w:id="77"/>
      </w:r>
      <w:r w:rsidRPr="002C2CAA">
        <w:rPr>
          <w:rFonts w:ascii="Times New Roman" w:eastAsia="Times New Roman" w:hAnsi="Times New Roman" w:cs="Times New Roman"/>
          <w:sz w:val="24"/>
          <w:szCs w:val="24"/>
        </w:rPr>
        <w:t xml:space="preserve"> Banks and other providers subject to the rule would have to make personal financial data available, at no charge to consumers or their agents, through dedicated digital interfaces.</w:t>
      </w:r>
      <w:r w:rsidRPr="002C2CAA">
        <w:rPr>
          <w:rFonts w:ascii="Times New Roman" w:eastAsia="Times New Roman" w:hAnsi="Times New Roman" w:cs="Times New Roman"/>
          <w:sz w:val="24"/>
          <w:szCs w:val="24"/>
          <w:vertAlign w:val="superscript"/>
        </w:rPr>
        <w:footnoteReference w:id="78"/>
      </w:r>
      <w:r w:rsidRPr="002C2CAA">
        <w:rPr>
          <w:rFonts w:ascii="Times New Roman" w:eastAsia="Times New Roman" w:hAnsi="Times New Roman" w:cs="Times New Roman"/>
          <w:sz w:val="24"/>
          <w:szCs w:val="24"/>
        </w:rPr>
        <w:t xml:space="preserve"> Bank customers would have a legal right to grant third parties access to information associated with their credit card, checking, prepaid, and digital wallet accounts.</w:t>
      </w:r>
      <w:r w:rsidRPr="002C2CAA">
        <w:rPr>
          <w:rFonts w:ascii="Times New Roman" w:eastAsia="Times New Roman" w:hAnsi="Times New Roman" w:cs="Times New Roman"/>
          <w:sz w:val="24"/>
          <w:szCs w:val="24"/>
          <w:vertAlign w:val="superscript"/>
        </w:rPr>
        <w:footnoteReference w:id="79"/>
      </w:r>
      <w:r w:rsidRPr="002C2CAA">
        <w:rPr>
          <w:rFonts w:ascii="Times New Roman" w:eastAsia="Times New Roman" w:hAnsi="Times New Roman" w:cs="Times New Roman"/>
          <w:sz w:val="24"/>
          <w:szCs w:val="24"/>
        </w:rPr>
        <w:t xml:space="preserve"> </w:t>
      </w:r>
    </w:p>
    <w:p w14:paraId="7936EB62"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AF10E94"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CFPB is ideologically committed to open banking.</w:t>
      </w:r>
      <w:r w:rsidRPr="002C2CAA">
        <w:rPr>
          <w:rFonts w:ascii="Times New Roman" w:eastAsia="Times New Roman" w:hAnsi="Times New Roman" w:cs="Times New Roman"/>
          <w:sz w:val="24"/>
          <w:szCs w:val="24"/>
          <w:vertAlign w:val="superscript"/>
        </w:rPr>
        <w:footnoteReference w:id="80"/>
      </w:r>
      <w:r w:rsidRPr="002C2CAA">
        <w:rPr>
          <w:rFonts w:ascii="Times New Roman" w:eastAsia="Times New Roman" w:hAnsi="Times New Roman" w:cs="Times New Roman"/>
          <w:sz w:val="24"/>
          <w:szCs w:val="24"/>
        </w:rPr>
        <w:t xml:space="preserve"> As the Bureau observed in 2023:  </w:t>
      </w:r>
    </w:p>
    <w:p w14:paraId="1CC926E6"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6BE604F1" w14:textId="77777777" w:rsidR="002C2CAA" w:rsidRPr="002C2CAA" w:rsidRDefault="002C2CAA" w:rsidP="002C2CAA">
      <w:pPr>
        <w:spacing w:after="0" w:line="240" w:lineRule="auto"/>
        <w:ind w:left="1296" w:right="1296" w:firstLine="36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New digital banking technologies have the power to expand and open market access for American consumers and emerging businesses. In a more competitive market, Americans will be able to earn higher rates on their savings, pay lower rates on their loans, and more efficiently manage their finances. But the new technologies, and the competition they can fuel, have not yet reached their full potential. Consumers continue to encounter all too familiar obstacles when trying to switch banks or apply for loans.</w:t>
      </w:r>
    </w:p>
    <w:p w14:paraId="72588503" w14:textId="77777777" w:rsidR="002C2CAA" w:rsidRPr="002C2CAA" w:rsidRDefault="002C2CAA" w:rsidP="002C2CAA">
      <w:pPr>
        <w:spacing w:after="0" w:line="240" w:lineRule="auto"/>
        <w:ind w:left="1296" w:right="1296" w:firstLine="360"/>
        <w:jc w:val="both"/>
        <w:rPr>
          <w:rFonts w:ascii="Times New Roman" w:eastAsia="Times New Roman" w:hAnsi="Times New Roman" w:cs="Times New Roman"/>
          <w:sz w:val="24"/>
          <w:szCs w:val="24"/>
        </w:rPr>
      </w:pPr>
    </w:p>
    <w:p w14:paraId="48F3C0D8" w14:textId="77777777" w:rsidR="002C2CAA" w:rsidRPr="002C2CAA" w:rsidRDefault="002C2CAA" w:rsidP="002C2CAA">
      <w:pPr>
        <w:spacing w:after="0" w:line="240" w:lineRule="auto"/>
        <w:ind w:left="1296" w:right="1296" w:firstLine="36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CFPB is working to accelerate the shift to open banking through a new personal data rights rule intended to break down these obstacles, jumpstart competition, and protect financial privacy. To do this, the CFPB is formalizing an unused legal authority enacted by Congress in 2010. This authority gives consumers the right to control their personal financial data. These rights will become a practical reality after the CFPB implements a rule that sets expectations for the market. We expect to solicit comments on our formal proposal in a few months and finalize in 2024.</w:t>
      </w:r>
      <w:r w:rsidRPr="002C2CAA">
        <w:rPr>
          <w:rFonts w:ascii="Times New Roman" w:eastAsia="Times New Roman" w:hAnsi="Times New Roman" w:cs="Times New Roman"/>
          <w:sz w:val="24"/>
          <w:szCs w:val="24"/>
          <w:vertAlign w:val="superscript"/>
        </w:rPr>
        <w:footnoteReference w:id="81"/>
      </w:r>
    </w:p>
    <w:p w14:paraId="4A3A08F1"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2F75E3A9"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Open banking is growing outside of the U.S. as well.</w:t>
      </w:r>
      <w:r w:rsidRPr="002C2CAA">
        <w:rPr>
          <w:rFonts w:ascii="Times New Roman" w:eastAsia="Times New Roman" w:hAnsi="Times New Roman" w:cs="Times New Roman"/>
          <w:sz w:val="24"/>
          <w:szCs w:val="24"/>
          <w:vertAlign w:val="superscript"/>
        </w:rPr>
        <w:footnoteReference w:id="82"/>
      </w:r>
      <w:r w:rsidRPr="002C2CAA">
        <w:rPr>
          <w:rFonts w:ascii="Times New Roman" w:eastAsia="Times New Roman" w:hAnsi="Times New Roman" w:cs="Times New Roman"/>
          <w:sz w:val="24"/>
          <w:szCs w:val="24"/>
        </w:rPr>
        <w:t xml:space="preserve"> Since 2017 the United Kingdom has mandated open banking by requiring virtually all banks to make customer information available to third party competitors in a standardized format.</w:t>
      </w:r>
      <w:r w:rsidRPr="002C2CAA">
        <w:rPr>
          <w:rFonts w:ascii="Times New Roman" w:eastAsia="Times New Roman" w:hAnsi="Times New Roman" w:cs="Times New Roman"/>
          <w:sz w:val="24"/>
          <w:szCs w:val="24"/>
          <w:vertAlign w:val="superscript"/>
        </w:rPr>
        <w:footnoteReference w:id="83"/>
      </w:r>
      <w:r w:rsidRPr="002C2CAA">
        <w:rPr>
          <w:rFonts w:ascii="Times New Roman" w:eastAsia="Times New Roman" w:hAnsi="Times New Roman" w:cs="Times New Roman"/>
          <w:sz w:val="24"/>
          <w:szCs w:val="24"/>
        </w:rPr>
        <w:t xml:space="preserve"> Australia and the European Union are also moving towards implementing open banking.</w:t>
      </w:r>
      <w:r w:rsidRPr="002C2CAA">
        <w:rPr>
          <w:rFonts w:ascii="Times New Roman" w:eastAsia="Times New Roman" w:hAnsi="Times New Roman" w:cs="Times New Roman"/>
          <w:sz w:val="24"/>
          <w:szCs w:val="24"/>
          <w:vertAlign w:val="superscript"/>
        </w:rPr>
        <w:footnoteReference w:id="84"/>
      </w:r>
      <w:r w:rsidRPr="002C2CAA">
        <w:rPr>
          <w:rFonts w:ascii="Times New Roman" w:eastAsia="Times New Roman" w:hAnsi="Times New Roman" w:cs="Times New Roman"/>
          <w:sz w:val="24"/>
          <w:szCs w:val="24"/>
        </w:rPr>
        <w:t xml:space="preserve"> Open banking is not merely the future of the financial services industry. It is the present. Data aggregators like Plaid provides API connectivity to more than 12,000 financial institutions and fintech firms.</w:t>
      </w:r>
      <w:r w:rsidRPr="002C2CAA">
        <w:rPr>
          <w:rFonts w:ascii="Times New Roman" w:eastAsia="Times New Roman" w:hAnsi="Times New Roman" w:cs="Times New Roman"/>
          <w:sz w:val="24"/>
          <w:szCs w:val="24"/>
          <w:vertAlign w:val="superscript"/>
        </w:rPr>
        <w:footnoteReference w:id="85"/>
      </w:r>
      <w:r w:rsidRPr="002C2CAA">
        <w:rPr>
          <w:rFonts w:ascii="Times New Roman" w:eastAsia="Times New Roman" w:hAnsi="Times New Roman" w:cs="Times New Roman"/>
          <w:sz w:val="24"/>
          <w:szCs w:val="24"/>
        </w:rPr>
        <w:t xml:space="preserve">    </w:t>
      </w:r>
    </w:p>
    <w:p w14:paraId="58ABA9A1"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C975A28"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Plaid is a “fintech solution built for developers and financial technology companies that require access to users’ banking and financial information securely. Plaid facilitates the connection between users’ bank accounts and third-party applications.”</w:t>
      </w:r>
      <w:r w:rsidRPr="002C2CAA">
        <w:rPr>
          <w:rFonts w:ascii="Times New Roman" w:eastAsia="Times New Roman" w:hAnsi="Times New Roman" w:cs="Times New Roman"/>
          <w:sz w:val="24"/>
          <w:szCs w:val="24"/>
          <w:vertAlign w:val="superscript"/>
        </w:rPr>
        <w:footnoteReference w:id="86"/>
      </w:r>
      <w:r w:rsidRPr="002C2CAA">
        <w:rPr>
          <w:rFonts w:ascii="Times New Roman" w:eastAsia="Times New Roman" w:hAnsi="Times New Roman" w:cs="Times New Roman"/>
          <w:sz w:val="24"/>
          <w:szCs w:val="24"/>
        </w:rPr>
        <w:t xml:space="preserve"> Plaid and other APIs “gather and analyze financial data… serving developers and financial technology companies that require secure access to bank account information.”</w:t>
      </w:r>
      <w:r w:rsidRPr="002C2CAA">
        <w:rPr>
          <w:rFonts w:ascii="Times New Roman" w:eastAsia="Times New Roman" w:hAnsi="Times New Roman" w:cs="Times New Roman"/>
          <w:sz w:val="24"/>
          <w:szCs w:val="24"/>
          <w:vertAlign w:val="superscript"/>
        </w:rPr>
        <w:footnoteReference w:id="87"/>
      </w:r>
      <w:r w:rsidRPr="002C2CAA">
        <w:rPr>
          <w:rFonts w:ascii="Times New Roman" w:eastAsia="Times New Roman" w:hAnsi="Times New Roman" w:cs="Times New Roman"/>
          <w:sz w:val="24"/>
          <w:szCs w:val="24"/>
        </w:rPr>
        <w:t xml:space="preserve"> </w:t>
      </w:r>
      <w:proofErr w:type="spellStart"/>
      <w:r w:rsidRPr="002C2CAA">
        <w:rPr>
          <w:rFonts w:ascii="Times New Roman" w:eastAsia="Times New Roman" w:hAnsi="Times New Roman" w:cs="Times New Roman"/>
          <w:sz w:val="24"/>
          <w:szCs w:val="24"/>
        </w:rPr>
        <w:t>Yodle</w:t>
      </w:r>
      <w:proofErr w:type="spellEnd"/>
      <w:r w:rsidRPr="002C2CAA">
        <w:rPr>
          <w:rFonts w:ascii="Times New Roman" w:eastAsia="Times New Roman" w:hAnsi="Times New Roman" w:cs="Times New Roman"/>
          <w:sz w:val="24"/>
          <w:szCs w:val="24"/>
        </w:rPr>
        <w:t xml:space="preserve">, </w:t>
      </w:r>
      <w:proofErr w:type="spellStart"/>
      <w:r w:rsidRPr="002C2CAA">
        <w:rPr>
          <w:rFonts w:ascii="Times New Roman" w:eastAsia="Times New Roman" w:hAnsi="Times New Roman" w:cs="Times New Roman"/>
          <w:sz w:val="24"/>
          <w:szCs w:val="24"/>
        </w:rPr>
        <w:t>TrueLayer</w:t>
      </w:r>
      <w:proofErr w:type="spellEnd"/>
      <w:r w:rsidRPr="002C2CAA">
        <w:rPr>
          <w:rFonts w:ascii="Times New Roman" w:eastAsia="Times New Roman" w:hAnsi="Times New Roman" w:cs="Times New Roman"/>
          <w:sz w:val="24"/>
          <w:szCs w:val="24"/>
        </w:rPr>
        <w:t xml:space="preserve">, </w:t>
      </w:r>
      <w:proofErr w:type="spellStart"/>
      <w:r w:rsidRPr="002C2CAA">
        <w:rPr>
          <w:rFonts w:ascii="Times New Roman" w:eastAsia="Times New Roman" w:hAnsi="Times New Roman" w:cs="Times New Roman"/>
          <w:sz w:val="24"/>
          <w:szCs w:val="24"/>
        </w:rPr>
        <w:t>Finbox</w:t>
      </w:r>
      <w:proofErr w:type="spellEnd"/>
      <w:r w:rsidRPr="002C2CAA">
        <w:rPr>
          <w:rFonts w:ascii="Times New Roman" w:eastAsia="Times New Roman" w:hAnsi="Times New Roman" w:cs="Times New Roman"/>
          <w:sz w:val="24"/>
          <w:szCs w:val="24"/>
        </w:rPr>
        <w:t>, and Tink provide similar services.</w:t>
      </w:r>
      <w:r w:rsidRPr="002C2CAA">
        <w:rPr>
          <w:rFonts w:ascii="Times New Roman" w:eastAsia="Times New Roman" w:hAnsi="Times New Roman" w:cs="Times New Roman"/>
          <w:sz w:val="24"/>
          <w:szCs w:val="24"/>
          <w:vertAlign w:val="superscript"/>
        </w:rPr>
        <w:footnoteReference w:id="88"/>
      </w:r>
    </w:p>
    <w:p w14:paraId="656A941C"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4C0DF5F"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It is far from clear whether the regulators who are working hard to “accelerate the shift to open banking”</w:t>
      </w:r>
      <w:r w:rsidRPr="002C2CAA">
        <w:rPr>
          <w:rFonts w:ascii="Times New Roman" w:eastAsia="Times New Roman" w:hAnsi="Times New Roman" w:cs="Times New Roman"/>
          <w:sz w:val="24"/>
          <w:szCs w:val="24"/>
          <w:vertAlign w:val="superscript"/>
        </w:rPr>
        <w:footnoteReference w:id="89"/>
      </w:r>
      <w:r w:rsidRPr="002C2CAA">
        <w:rPr>
          <w:rFonts w:ascii="Times New Roman" w:eastAsia="Times New Roman" w:hAnsi="Times New Roman" w:cs="Times New Roman"/>
          <w:sz w:val="24"/>
          <w:szCs w:val="24"/>
        </w:rPr>
        <w:t xml:space="preserve"> through new data rights rules, fully recognize the existential threat that open banking poses for the traditional model of banking.</w:t>
      </w:r>
      <w:r w:rsidRPr="002C2CAA">
        <w:rPr>
          <w:rFonts w:ascii="Times New Roman" w:eastAsia="Times New Roman" w:hAnsi="Times New Roman" w:cs="Times New Roman"/>
          <w:sz w:val="24"/>
          <w:szCs w:val="24"/>
          <w:vertAlign w:val="superscript"/>
        </w:rPr>
        <w:footnoteReference w:id="90"/>
      </w:r>
      <w:r w:rsidRPr="002C2CAA">
        <w:rPr>
          <w:rFonts w:ascii="Times New Roman" w:eastAsia="Times New Roman" w:hAnsi="Times New Roman" w:cs="Times New Roman"/>
          <w:sz w:val="24"/>
          <w:szCs w:val="24"/>
        </w:rPr>
        <w:t xml:space="preserve"> In particular, despite the centrality of the checking account hypothesis to the economic theory of banking, regulators and policy makers have never addressed the profound way that open banking undermines the checking account hypothesis. Technology and law are conspiring to give non-bank competitors of banks access to precisely the same high quality, real time information that traditionally gave banks a competitive advantage over their non-deposit-taking rivals.  Bank no longer are unique in their ability to “identify the risks to loans to depositors and to monitor the loans at lower cost than other (non-bank) lenders.”</w:t>
      </w:r>
      <w:r w:rsidRPr="002C2CAA">
        <w:rPr>
          <w:rFonts w:ascii="Times New Roman" w:eastAsia="Times New Roman" w:hAnsi="Times New Roman" w:cs="Times New Roman"/>
          <w:sz w:val="24"/>
          <w:szCs w:val="24"/>
          <w:vertAlign w:val="superscript"/>
        </w:rPr>
        <w:footnoteReference w:id="91"/>
      </w:r>
      <w:r w:rsidRPr="002C2CAA">
        <w:rPr>
          <w:rFonts w:ascii="Times New Roman" w:eastAsia="Times New Roman" w:hAnsi="Times New Roman" w:cs="Times New Roman"/>
          <w:sz w:val="24"/>
          <w:szCs w:val="24"/>
        </w:rPr>
        <w:t xml:space="preserve"> </w:t>
      </w:r>
    </w:p>
    <w:p w14:paraId="36461A40"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3A69E1D1"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Luckily for banks, however, free market competition is not something that they have to worry about. Unlike their non-bank rivals, commercial banks have access to a government-funded safety net through deposit insurance, which lowers banks’ funding costs by making the costs of funding bank activities from deposits largely insensitive to traditional credit risk factors, such as asset quality, bank liquidity and interest rate risk.  </w:t>
      </w:r>
      <w:proofErr w:type="gramStart"/>
      <w:r w:rsidRPr="002C2CAA">
        <w:rPr>
          <w:rFonts w:ascii="Times New Roman" w:eastAsia="Times New Roman" w:hAnsi="Times New Roman" w:cs="Times New Roman"/>
          <w:sz w:val="24"/>
          <w:szCs w:val="24"/>
        </w:rPr>
        <w:t>Of course</w:t>
      </w:r>
      <w:proofErr w:type="gramEnd"/>
      <w:r w:rsidRPr="002C2CAA">
        <w:rPr>
          <w:rFonts w:ascii="Times New Roman" w:eastAsia="Times New Roman" w:hAnsi="Times New Roman" w:cs="Times New Roman"/>
          <w:sz w:val="24"/>
          <w:szCs w:val="24"/>
        </w:rPr>
        <w:t xml:space="preserve"> banks’ are only subsidized and insulated from competition by deposit insurance to the extent that deposit insurance is not fully priced.  </w:t>
      </w:r>
    </w:p>
    <w:p w14:paraId="0B08DD3B"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6E1BCCCA"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Unfortunately, deposit insurance is not fully priced. In particular, the current deposit insurance limit is $250,000, but in practice deposits above $250,000 often receive protection.</w:t>
      </w:r>
      <w:r w:rsidRPr="002C2CAA">
        <w:rPr>
          <w:rFonts w:ascii="Times New Roman" w:eastAsia="Times New Roman" w:hAnsi="Times New Roman" w:cs="Times New Roman"/>
          <w:sz w:val="24"/>
          <w:szCs w:val="24"/>
          <w:vertAlign w:val="superscript"/>
        </w:rPr>
        <w:footnoteReference w:id="92"/>
      </w:r>
      <w:r w:rsidRPr="002C2CAA">
        <w:rPr>
          <w:rFonts w:ascii="Times New Roman" w:eastAsia="Times New Roman" w:hAnsi="Times New Roman" w:cs="Times New Roman"/>
          <w:sz w:val="24"/>
          <w:szCs w:val="24"/>
        </w:rPr>
        <w:t xml:space="preserve"> This fact was amply in evidence in March, 2023 when the FDIC covered billions of dollars in deposits above the $250,000 insurance limit when Silicon Valley Bank and Signature Bank failed.</w:t>
      </w:r>
      <w:r w:rsidRPr="002C2CAA">
        <w:rPr>
          <w:rFonts w:ascii="Times New Roman" w:eastAsia="Times New Roman" w:hAnsi="Times New Roman" w:cs="Times New Roman"/>
          <w:sz w:val="24"/>
          <w:szCs w:val="24"/>
          <w:vertAlign w:val="superscript"/>
        </w:rPr>
        <w:footnoteReference w:id="93"/>
      </w:r>
      <w:r w:rsidRPr="002C2CAA">
        <w:rPr>
          <w:rFonts w:ascii="Times New Roman" w:eastAsia="Times New Roman" w:hAnsi="Times New Roman" w:cs="Times New Roman"/>
          <w:sz w:val="24"/>
          <w:szCs w:val="24"/>
        </w:rPr>
        <w:t xml:space="preserve"> This oddity in deposit insurance pricing creates an anomalous and perverse set of incentives in which banks are strongly incentivized to attract large, uninsured deposits for which they obtain free government-sponsored deposit insurance.</w:t>
      </w:r>
    </w:p>
    <w:p w14:paraId="3B8C4F9A"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10D6A848"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Besides open banking, further existential challenges to the checking account hypothesis come from the emergence of cryptocurrencies and central bank digital currencies. Simply put, the checking account hypothesis is based on the fundamental premise that people will continue to keep their money in checking accounts. And, </w:t>
      </w:r>
      <w:proofErr w:type="gramStart"/>
      <w:r w:rsidRPr="002C2CAA">
        <w:rPr>
          <w:rFonts w:ascii="Times New Roman" w:eastAsia="Times New Roman" w:hAnsi="Times New Roman" w:cs="Times New Roman"/>
          <w:sz w:val="24"/>
          <w:szCs w:val="24"/>
        </w:rPr>
        <w:t>at the moment</w:t>
      </w:r>
      <w:proofErr w:type="gramEnd"/>
      <w:r w:rsidRPr="002C2CAA">
        <w:rPr>
          <w:rFonts w:ascii="Times New Roman" w:eastAsia="Times New Roman" w:hAnsi="Times New Roman" w:cs="Times New Roman"/>
          <w:sz w:val="24"/>
          <w:szCs w:val="24"/>
        </w:rPr>
        <w:t>, this is true.  In excess of 97% of the money in circulation today is emanated from checking deposits.</w:t>
      </w:r>
      <w:r w:rsidRPr="002C2CAA">
        <w:rPr>
          <w:rFonts w:ascii="Times New Roman" w:eastAsia="Times New Roman" w:hAnsi="Times New Roman" w:cs="Times New Roman"/>
          <w:sz w:val="24"/>
          <w:szCs w:val="24"/>
          <w:vertAlign w:val="superscript"/>
        </w:rPr>
        <w:footnoteReference w:id="94"/>
      </w:r>
      <w:r w:rsidRPr="002C2CAA">
        <w:rPr>
          <w:rFonts w:ascii="Times New Roman" w:eastAsia="Times New Roman" w:hAnsi="Times New Roman" w:cs="Times New Roman"/>
          <w:sz w:val="24"/>
          <w:szCs w:val="24"/>
        </w:rPr>
        <w:t xml:space="preserve"> While cash has largely become digitized, with the emergence of credit and debit card transactions and banking apps, these systems generally rely on customers linking their payment services to their bank debit and credit cards.</w:t>
      </w:r>
      <w:r w:rsidRPr="002C2CAA">
        <w:rPr>
          <w:rFonts w:ascii="Times New Roman" w:eastAsia="Times New Roman" w:hAnsi="Times New Roman" w:cs="Times New Roman"/>
          <w:sz w:val="24"/>
          <w:szCs w:val="24"/>
          <w:vertAlign w:val="superscript"/>
        </w:rPr>
        <w:footnoteReference w:id="95"/>
      </w:r>
      <w:r w:rsidRPr="002C2CAA">
        <w:rPr>
          <w:rFonts w:ascii="Times New Roman" w:eastAsia="Times New Roman" w:hAnsi="Times New Roman" w:cs="Times New Roman"/>
          <w:sz w:val="24"/>
          <w:szCs w:val="24"/>
        </w:rPr>
        <w:t xml:space="preserve"> As such, at least for the moment, the traditional transactional checking account remains at the core of the banking system.</w:t>
      </w:r>
    </w:p>
    <w:p w14:paraId="160283C3"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79858CC1"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But the system may well be unraveling. The emergence of cryptocurrencies, particularly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and the parallel emergence of central bank digital currencies threatens fundamentally to the long-standing role of the checking account as the centerpiece of the payments system.  </w:t>
      </w:r>
    </w:p>
    <w:p w14:paraId="1375BBCE"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26B292B2" w14:textId="77777777" w:rsidR="002C2CAA" w:rsidRPr="002C2CAA" w:rsidRDefault="002C2CAA" w:rsidP="002C2CAA">
      <w:pPr>
        <w:spacing w:after="0" w:line="240" w:lineRule="auto"/>
        <w:ind w:firstLine="360"/>
        <w:jc w:val="both"/>
        <w:rPr>
          <w:rFonts w:ascii="Times New Roman" w:eastAsia="Times New Roman" w:hAnsi="Times New Roman" w:cs="Times New Roman"/>
          <w:i/>
          <w:sz w:val="24"/>
          <w:szCs w:val="24"/>
        </w:rPr>
      </w:pPr>
      <w:proofErr w:type="spellStart"/>
      <w:r w:rsidRPr="002C2CAA">
        <w:rPr>
          <w:rFonts w:ascii="Times New Roman" w:eastAsia="Times New Roman" w:hAnsi="Times New Roman" w:cs="Times New Roman"/>
          <w:i/>
          <w:sz w:val="24"/>
          <w:szCs w:val="24"/>
        </w:rPr>
        <w:t>Stablecoins</w:t>
      </w:r>
      <w:proofErr w:type="spellEnd"/>
      <w:r w:rsidRPr="002C2CAA">
        <w:rPr>
          <w:rFonts w:ascii="Times New Roman" w:eastAsia="Times New Roman" w:hAnsi="Times New Roman" w:cs="Times New Roman"/>
          <w:i/>
          <w:sz w:val="24"/>
          <w:szCs w:val="24"/>
        </w:rPr>
        <w:t xml:space="preserve"> and “</w:t>
      </w:r>
      <w:proofErr w:type="spellStart"/>
      <w:r w:rsidRPr="002C2CAA">
        <w:rPr>
          <w:rFonts w:ascii="Times New Roman" w:eastAsia="Times New Roman" w:hAnsi="Times New Roman" w:cs="Times New Roman"/>
          <w:i/>
          <w:sz w:val="24"/>
          <w:szCs w:val="24"/>
        </w:rPr>
        <w:t>DeFi</w:t>
      </w:r>
      <w:proofErr w:type="spellEnd"/>
      <w:r w:rsidRPr="002C2CAA">
        <w:rPr>
          <w:rFonts w:ascii="Times New Roman" w:eastAsia="Times New Roman" w:hAnsi="Times New Roman" w:cs="Times New Roman"/>
          <w:i/>
          <w:sz w:val="24"/>
          <w:szCs w:val="24"/>
        </w:rPr>
        <w:t>”</w:t>
      </w:r>
    </w:p>
    <w:p w14:paraId="2BB28DBB" w14:textId="77777777" w:rsidR="002C2CAA" w:rsidRPr="002C2CAA" w:rsidRDefault="002C2CAA" w:rsidP="002C2CAA">
      <w:pPr>
        <w:spacing w:after="0" w:line="240" w:lineRule="auto"/>
        <w:ind w:firstLine="360"/>
        <w:jc w:val="both"/>
        <w:rPr>
          <w:rFonts w:ascii="Times New Roman" w:eastAsia="Times New Roman" w:hAnsi="Times New Roman" w:cs="Times New Roman"/>
          <w:i/>
          <w:sz w:val="24"/>
          <w:szCs w:val="24"/>
        </w:rPr>
      </w:pPr>
    </w:p>
    <w:p w14:paraId="7BF41B51"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 </w:t>
      </w:r>
      <w:r w:rsidRPr="002C2CAA">
        <w:rPr>
          <w:rFonts w:ascii="Times New Roman" w:eastAsia="Times New Roman" w:hAnsi="Times New Roman" w:cs="Times New Roman"/>
          <w:sz w:val="24"/>
          <w:szCs w:val="24"/>
        </w:rPr>
        <w:tab/>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are digital currencies recorded on distributed ledger technologies (blockchains) that peg their value to an external reference value, usually the U.S. dollar.</w:t>
      </w:r>
      <w:r w:rsidRPr="002C2CAA">
        <w:rPr>
          <w:rFonts w:ascii="Times New Roman" w:eastAsia="Times New Roman" w:hAnsi="Times New Roman" w:cs="Times New Roman"/>
          <w:sz w:val="24"/>
          <w:szCs w:val="24"/>
          <w:vertAlign w:val="superscript"/>
        </w:rPr>
        <w:footnoteReference w:id="96"/>
      </w:r>
      <w:r w:rsidRPr="002C2CAA">
        <w:rPr>
          <w:rFonts w:ascii="Times New Roman" w:eastAsia="Times New Roman" w:hAnsi="Times New Roman" w:cs="Times New Roman"/>
          <w:sz w:val="24"/>
          <w:szCs w:val="24"/>
        </w:rPr>
        <w:t xml:space="preserve">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also can be pegged to other currencies, and to other cryptocurrencies such as Bitcoin, and even to commodities like gold.</w:t>
      </w:r>
      <w:r w:rsidRPr="002C2CAA">
        <w:rPr>
          <w:rFonts w:ascii="Times New Roman" w:eastAsia="Times New Roman" w:hAnsi="Times New Roman" w:cs="Times New Roman"/>
          <w:sz w:val="24"/>
          <w:szCs w:val="24"/>
          <w:vertAlign w:val="superscript"/>
        </w:rPr>
        <w:footnoteReference w:id="97"/>
      </w:r>
      <w:r w:rsidRPr="002C2CAA">
        <w:rPr>
          <w:rFonts w:ascii="Times New Roman" w:eastAsia="Times New Roman" w:hAnsi="Times New Roman" w:cs="Times New Roman"/>
          <w:sz w:val="24"/>
          <w:szCs w:val="24"/>
        </w:rPr>
        <w:t xml:space="preserve"> The use of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has surged in recent years, with growth averaging 30 percent per month for the first five months of 2021.</w:t>
      </w:r>
      <w:r w:rsidRPr="002C2CAA">
        <w:rPr>
          <w:rFonts w:ascii="Times New Roman" w:eastAsia="Times New Roman" w:hAnsi="Times New Roman" w:cs="Times New Roman"/>
          <w:sz w:val="24"/>
          <w:szCs w:val="24"/>
          <w:vertAlign w:val="superscript"/>
        </w:rPr>
        <w:footnoteReference w:id="98"/>
      </w:r>
      <w:r w:rsidRPr="002C2CAA">
        <w:rPr>
          <w:rFonts w:ascii="Times New Roman" w:eastAsia="Times New Roman" w:hAnsi="Times New Roman" w:cs="Times New Roman"/>
          <w:sz w:val="24"/>
          <w:szCs w:val="24"/>
        </w:rPr>
        <w:t xml:space="preserve"> The market capitalization of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rose from $5 billion to $120 billion between 2020 and 2021.</w:t>
      </w:r>
      <w:r w:rsidRPr="002C2CAA">
        <w:rPr>
          <w:rFonts w:ascii="Times New Roman" w:eastAsia="Times New Roman" w:hAnsi="Times New Roman" w:cs="Times New Roman"/>
          <w:sz w:val="24"/>
          <w:szCs w:val="24"/>
          <w:vertAlign w:val="superscript"/>
        </w:rPr>
        <w:footnoteReference w:id="99"/>
      </w:r>
      <w:r w:rsidRPr="002C2CAA">
        <w:rPr>
          <w:rFonts w:ascii="Times New Roman" w:eastAsia="Times New Roman" w:hAnsi="Times New Roman" w:cs="Times New Roman"/>
          <w:sz w:val="24"/>
          <w:szCs w:val="24"/>
        </w:rPr>
        <w:t xml:space="preserve"> A primary use of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is a “bridge between fiat currencies and crypto-assets,” with 75 percent of all trading on crypto trading platforms involving the use of a </w:t>
      </w:r>
      <w:proofErr w:type="spellStart"/>
      <w:r w:rsidRPr="002C2CAA">
        <w:rPr>
          <w:rFonts w:ascii="Times New Roman" w:eastAsia="Times New Roman" w:hAnsi="Times New Roman" w:cs="Times New Roman"/>
          <w:sz w:val="24"/>
          <w:szCs w:val="24"/>
        </w:rPr>
        <w:t>stablecoin</w:t>
      </w:r>
      <w:proofErr w:type="spellEnd"/>
      <w:r w:rsidRPr="002C2CAA">
        <w:rPr>
          <w:rFonts w:ascii="Times New Roman" w:eastAsia="Times New Roman" w:hAnsi="Times New Roman" w:cs="Times New Roman"/>
          <w:sz w:val="24"/>
          <w:szCs w:val="24"/>
        </w:rPr>
        <w:t>.</w:t>
      </w:r>
      <w:r w:rsidRPr="002C2CAA">
        <w:rPr>
          <w:rFonts w:ascii="Times New Roman" w:eastAsia="Times New Roman" w:hAnsi="Times New Roman" w:cs="Times New Roman"/>
          <w:sz w:val="24"/>
          <w:szCs w:val="24"/>
          <w:vertAlign w:val="superscript"/>
        </w:rPr>
        <w:footnoteReference w:id="100"/>
      </w:r>
    </w:p>
    <w:p w14:paraId="5EC8F134"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5DDA3E9E"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In theory, and generally in practice as well, most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are backed by cash-equivalent reserves such as bank deposits, Treasury bills and commercial paper and offer 1-for-1 redemption for U.S. dollars or other fiat currencies.”</w:t>
      </w:r>
      <w:r w:rsidRPr="002C2CAA">
        <w:rPr>
          <w:rFonts w:ascii="Times New Roman" w:eastAsia="Times New Roman" w:hAnsi="Times New Roman" w:cs="Times New Roman"/>
          <w:sz w:val="24"/>
          <w:szCs w:val="24"/>
          <w:vertAlign w:val="superscript"/>
        </w:rPr>
        <w:footnoteReference w:id="101"/>
      </w:r>
      <w:r w:rsidRPr="002C2CAA">
        <w:rPr>
          <w:rFonts w:ascii="Times New Roman" w:eastAsia="Times New Roman" w:hAnsi="Times New Roman" w:cs="Times New Roman"/>
          <w:sz w:val="24"/>
          <w:szCs w:val="24"/>
        </w:rPr>
        <w:t xml:space="preserve"> Other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known as algorithmic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are governed by smart contracts that purchase and sell the assets invested by the buyers of the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to maintain the value of the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For example, sometimes a </w:t>
      </w:r>
      <w:proofErr w:type="spellStart"/>
      <w:r w:rsidRPr="002C2CAA">
        <w:rPr>
          <w:rFonts w:ascii="Times New Roman" w:eastAsia="Times New Roman" w:hAnsi="Times New Roman" w:cs="Times New Roman"/>
          <w:sz w:val="24"/>
          <w:szCs w:val="24"/>
        </w:rPr>
        <w:t>stablecoin</w:t>
      </w:r>
      <w:proofErr w:type="spellEnd"/>
      <w:r w:rsidRPr="002C2CAA">
        <w:rPr>
          <w:rFonts w:ascii="Times New Roman" w:eastAsia="Times New Roman" w:hAnsi="Times New Roman" w:cs="Times New Roman"/>
          <w:sz w:val="24"/>
          <w:szCs w:val="24"/>
        </w:rPr>
        <w:t xml:space="preserve"> that is pegged to an established value of $1.00 will issue a cryptocurrency to back up the </w:t>
      </w:r>
      <w:proofErr w:type="spellStart"/>
      <w:r w:rsidRPr="002C2CAA">
        <w:rPr>
          <w:rFonts w:ascii="Times New Roman" w:eastAsia="Times New Roman" w:hAnsi="Times New Roman" w:cs="Times New Roman"/>
          <w:sz w:val="24"/>
          <w:szCs w:val="24"/>
        </w:rPr>
        <w:t>stablecoin</w:t>
      </w:r>
      <w:proofErr w:type="spellEnd"/>
      <w:r w:rsidRPr="002C2CAA">
        <w:rPr>
          <w:rFonts w:ascii="Times New Roman" w:eastAsia="Times New Roman" w:hAnsi="Times New Roman" w:cs="Times New Roman"/>
          <w:sz w:val="24"/>
          <w:szCs w:val="24"/>
        </w:rPr>
        <w:t xml:space="preserve">. If the market value of the underlying cryptocurrency goes below the established value (known as the “peg”), the algorithm will remove (“burn”) cryptocurrency from the market until the value increases to the peg. If the value of the market value of the cryptocurrency goes above the peg, the algorithm will mint additional cryptocurrency until the value declines to the peg. Other, more complex algorithmic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will buy and sell multiple cryptocurrencies </w:t>
      </w:r>
      <w:proofErr w:type="gramStart"/>
      <w:r w:rsidRPr="002C2CAA">
        <w:rPr>
          <w:rFonts w:ascii="Times New Roman" w:eastAsia="Times New Roman" w:hAnsi="Times New Roman" w:cs="Times New Roman"/>
          <w:sz w:val="24"/>
          <w:szCs w:val="24"/>
        </w:rPr>
        <w:t>in order to</w:t>
      </w:r>
      <w:proofErr w:type="gramEnd"/>
      <w:r w:rsidRPr="002C2CAA">
        <w:rPr>
          <w:rFonts w:ascii="Times New Roman" w:eastAsia="Times New Roman" w:hAnsi="Times New Roman" w:cs="Times New Roman"/>
          <w:sz w:val="24"/>
          <w:szCs w:val="24"/>
        </w:rPr>
        <w:t xml:space="preserve"> maintain a stable peg.</w:t>
      </w:r>
    </w:p>
    <w:p w14:paraId="18A10E5D"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75B0CCE4"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offer a direct competitive alternative to bank transaction accounts, both as a repository for cash and as a mechanism for effectuating payments:  </w:t>
      </w:r>
    </w:p>
    <w:p w14:paraId="1AB12F22"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1A69D8D6" w14:textId="77777777" w:rsidR="002C2CAA" w:rsidRPr="002C2CAA" w:rsidRDefault="002C2CAA" w:rsidP="002C2CAA">
      <w:pPr>
        <w:spacing w:after="0" w:line="240" w:lineRule="auto"/>
        <w:ind w:left="1296" w:right="1296" w:firstLine="360"/>
        <w:jc w:val="both"/>
        <w:rPr>
          <w:rFonts w:ascii="Times New Roman" w:eastAsia="Times New Roman" w:hAnsi="Times New Roman" w:cs="Times New Roman"/>
          <w:sz w:val="24"/>
          <w:szCs w:val="24"/>
        </w:rPr>
      </w:pP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have the potential to spur growth and innovation in payment systems, allowing for faster, cheaper payments. Because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can be used to transfer funds near-instantaneously peer-to-peer between digital wallets for potentially low fees,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may lower payment barriers and exert pressure on existing payment systems to provide better services. This is especially important for cross-border transfers, which can take several days to clear and carry high fees. These fees and delays are a burden on low and middle-income countries, which receive financial support from remittances.</w:t>
      </w:r>
      <w:r w:rsidRPr="002C2CAA">
        <w:rPr>
          <w:rFonts w:ascii="Times New Roman" w:eastAsia="Times New Roman" w:hAnsi="Times New Roman" w:cs="Times New Roman"/>
          <w:sz w:val="24"/>
          <w:szCs w:val="24"/>
          <w:vertAlign w:val="superscript"/>
        </w:rPr>
        <w:footnoteReference w:id="102"/>
      </w:r>
    </w:p>
    <w:p w14:paraId="69B04708" w14:textId="77777777" w:rsidR="002C2CAA" w:rsidRPr="002C2CAA" w:rsidRDefault="002C2CAA" w:rsidP="002C2CAA">
      <w:pPr>
        <w:spacing w:after="0" w:line="240" w:lineRule="auto"/>
        <w:ind w:left="1296" w:right="1296" w:firstLine="360"/>
        <w:jc w:val="both"/>
        <w:rPr>
          <w:rFonts w:ascii="Times New Roman" w:eastAsia="Times New Roman" w:hAnsi="Times New Roman" w:cs="Times New Roman"/>
          <w:sz w:val="24"/>
          <w:szCs w:val="24"/>
        </w:rPr>
      </w:pPr>
    </w:p>
    <w:p w14:paraId="2AA1EE13"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There is no question that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have the potential to disrupt bank-led credit intermediation should they become widely used as a substitute for bank deposits.</w:t>
      </w:r>
      <w:r w:rsidRPr="002C2CAA">
        <w:rPr>
          <w:rFonts w:ascii="Times New Roman" w:eastAsia="Times New Roman" w:hAnsi="Times New Roman" w:cs="Times New Roman"/>
          <w:sz w:val="24"/>
          <w:szCs w:val="24"/>
          <w:vertAlign w:val="superscript"/>
        </w:rPr>
        <w:footnoteReference w:id="103"/>
      </w:r>
      <w:r w:rsidRPr="002C2CAA">
        <w:rPr>
          <w:rFonts w:ascii="Times New Roman" w:eastAsia="Times New Roman" w:hAnsi="Times New Roman" w:cs="Times New Roman"/>
          <w:sz w:val="24"/>
          <w:szCs w:val="24"/>
        </w:rPr>
        <w:t xml:space="preserve"> Of course, to the extent that issuers of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are themselves commercial banks, or to the extent that non-bank issuers of stable coins deposit customers’ funds dollar-for-dollar in commercial banks, then commercial banks will not be affected.</w:t>
      </w:r>
    </w:p>
    <w:p w14:paraId="21372586"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5BA73841"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Decentralized finance, often referred to as “</w:t>
      </w:r>
      <w:proofErr w:type="spellStart"/>
      <w:r w:rsidRPr="002C2CAA">
        <w:rPr>
          <w:rFonts w:ascii="Times New Roman" w:eastAsia="Times New Roman" w:hAnsi="Times New Roman" w:cs="Times New Roman"/>
          <w:sz w:val="24"/>
          <w:szCs w:val="24"/>
        </w:rPr>
        <w:t>DeFi</w:t>
      </w:r>
      <w:proofErr w:type="spellEnd"/>
      <w:r w:rsidRPr="002C2CAA">
        <w:rPr>
          <w:rFonts w:ascii="Times New Roman" w:eastAsia="Times New Roman" w:hAnsi="Times New Roman" w:cs="Times New Roman"/>
          <w:sz w:val="24"/>
          <w:szCs w:val="24"/>
        </w:rPr>
        <w:t xml:space="preserve">,” which has been </w:t>
      </w:r>
      <w:proofErr w:type="spellStart"/>
      <w:r w:rsidRPr="002C2CAA">
        <w:rPr>
          <w:rFonts w:ascii="Times New Roman" w:eastAsia="Times New Roman" w:hAnsi="Times New Roman" w:cs="Times New Roman"/>
          <w:sz w:val="24"/>
          <w:szCs w:val="24"/>
        </w:rPr>
        <w:t>descriged</w:t>
      </w:r>
      <w:proofErr w:type="spellEnd"/>
      <w:r w:rsidRPr="002C2CAA">
        <w:rPr>
          <w:rFonts w:ascii="Times New Roman" w:eastAsia="Times New Roman" w:hAnsi="Times New Roman" w:cs="Times New Roman"/>
          <w:sz w:val="24"/>
          <w:szCs w:val="24"/>
        </w:rPr>
        <w:t xml:space="preserve"> as “one of the hottest trends in finance,”</w:t>
      </w:r>
      <w:r w:rsidRPr="002C2CAA">
        <w:rPr>
          <w:rFonts w:ascii="Times New Roman" w:eastAsia="Times New Roman" w:hAnsi="Times New Roman" w:cs="Times New Roman"/>
          <w:sz w:val="24"/>
          <w:szCs w:val="24"/>
          <w:vertAlign w:val="superscript"/>
        </w:rPr>
        <w:footnoteReference w:id="104"/>
      </w:r>
      <w:r w:rsidRPr="002C2CAA">
        <w:rPr>
          <w:rFonts w:ascii="Times New Roman" w:eastAsia="Times New Roman" w:hAnsi="Times New Roman" w:cs="Times New Roman"/>
          <w:sz w:val="24"/>
          <w:szCs w:val="24"/>
        </w:rPr>
        <w:t xml:space="preserve"> presents a challenge to commercial banking related to the challenge presented by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w:t>
      </w:r>
      <w:proofErr w:type="spellStart"/>
      <w:r w:rsidRPr="002C2CAA">
        <w:rPr>
          <w:rFonts w:ascii="Times New Roman" w:eastAsia="Times New Roman" w:hAnsi="Times New Roman" w:cs="Times New Roman"/>
          <w:sz w:val="24"/>
          <w:szCs w:val="24"/>
        </w:rPr>
        <w:t>DeFi</w:t>
      </w:r>
      <w:proofErr w:type="spellEnd"/>
      <w:r w:rsidRPr="002C2CAA">
        <w:rPr>
          <w:rFonts w:ascii="Times New Roman" w:eastAsia="Times New Roman" w:hAnsi="Times New Roman" w:cs="Times New Roman"/>
          <w:sz w:val="24"/>
          <w:szCs w:val="24"/>
        </w:rPr>
        <w:t xml:space="preserve"> describes the provision of a wide range of financial services on public blockchains such as Ethereum.</w:t>
      </w:r>
      <w:r w:rsidRPr="002C2CAA">
        <w:rPr>
          <w:rFonts w:ascii="Times New Roman" w:eastAsia="Times New Roman" w:hAnsi="Times New Roman" w:cs="Times New Roman"/>
          <w:sz w:val="24"/>
          <w:szCs w:val="24"/>
          <w:vertAlign w:val="superscript"/>
        </w:rPr>
        <w:footnoteReference w:id="105"/>
      </w:r>
      <w:r w:rsidRPr="002C2CAA">
        <w:rPr>
          <w:rFonts w:ascii="Times New Roman" w:eastAsia="Times New Roman" w:hAnsi="Times New Roman" w:cs="Times New Roman"/>
          <w:sz w:val="24"/>
          <w:szCs w:val="24"/>
        </w:rPr>
        <w:t xml:space="preserve"> Customers utilize </w:t>
      </w:r>
      <w:proofErr w:type="spellStart"/>
      <w:r w:rsidRPr="002C2CAA">
        <w:rPr>
          <w:rFonts w:ascii="Times New Roman" w:eastAsia="Times New Roman" w:hAnsi="Times New Roman" w:cs="Times New Roman"/>
          <w:sz w:val="24"/>
          <w:szCs w:val="24"/>
        </w:rPr>
        <w:t>DeFi</w:t>
      </w:r>
      <w:proofErr w:type="spellEnd"/>
      <w:r w:rsidRPr="002C2CAA">
        <w:rPr>
          <w:rFonts w:ascii="Times New Roman" w:eastAsia="Times New Roman" w:hAnsi="Times New Roman" w:cs="Times New Roman"/>
          <w:sz w:val="24"/>
          <w:szCs w:val="24"/>
        </w:rPr>
        <w:t xml:space="preserve"> by downloading an app, which runs on a blockchain, which allows users to store cash, make loans (usually by lending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receive loans, and to purchase and sell various assets, particularly crypto assets. In </w:t>
      </w:r>
      <w:proofErr w:type="gramStart"/>
      <w:r w:rsidRPr="002C2CAA">
        <w:rPr>
          <w:rFonts w:ascii="Times New Roman" w:eastAsia="Times New Roman" w:hAnsi="Times New Roman" w:cs="Times New Roman"/>
          <w:sz w:val="24"/>
          <w:szCs w:val="24"/>
        </w:rPr>
        <w:t>fact</w:t>
      </w:r>
      <w:proofErr w:type="gramEnd"/>
      <w:r w:rsidRPr="002C2CAA">
        <w:rPr>
          <w:rFonts w:ascii="Times New Roman" w:eastAsia="Times New Roman" w:hAnsi="Times New Roman" w:cs="Times New Roman"/>
          <w:sz w:val="24"/>
          <w:szCs w:val="24"/>
        </w:rPr>
        <w:t xml:space="preserve"> the whole focus of </w:t>
      </w:r>
      <w:proofErr w:type="spellStart"/>
      <w:r w:rsidRPr="002C2CAA">
        <w:rPr>
          <w:rFonts w:ascii="Times New Roman" w:eastAsia="Times New Roman" w:hAnsi="Times New Roman" w:cs="Times New Roman"/>
          <w:sz w:val="24"/>
          <w:szCs w:val="24"/>
        </w:rPr>
        <w:t>DeFi</w:t>
      </w:r>
      <w:proofErr w:type="spellEnd"/>
      <w:r w:rsidRPr="002C2CAA">
        <w:rPr>
          <w:rFonts w:ascii="Times New Roman" w:eastAsia="Times New Roman" w:hAnsi="Times New Roman" w:cs="Times New Roman"/>
          <w:sz w:val="24"/>
          <w:szCs w:val="24"/>
        </w:rPr>
        <w:t xml:space="preserve"> is “building a new, internet-native financial system, using blockchains to replace traditional intermediaries (i.e. banks) and trust mechanisms.</w:t>
      </w:r>
      <w:r w:rsidRPr="002C2CAA">
        <w:rPr>
          <w:rFonts w:ascii="Times New Roman" w:eastAsia="Times New Roman" w:hAnsi="Times New Roman" w:cs="Times New Roman"/>
          <w:sz w:val="24"/>
          <w:szCs w:val="24"/>
          <w:vertAlign w:val="superscript"/>
        </w:rPr>
        <w:footnoteReference w:id="106"/>
      </w:r>
      <w:r w:rsidRPr="002C2CAA">
        <w:rPr>
          <w:rFonts w:ascii="Times New Roman" w:eastAsia="Times New Roman" w:hAnsi="Times New Roman" w:cs="Times New Roman"/>
          <w:sz w:val="24"/>
          <w:szCs w:val="24"/>
        </w:rPr>
        <w:t xml:space="preserve">  </w:t>
      </w:r>
    </w:p>
    <w:p w14:paraId="392606C1"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02DDFE99"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With </w:t>
      </w:r>
      <w:proofErr w:type="spellStart"/>
      <w:r w:rsidRPr="002C2CAA">
        <w:rPr>
          <w:rFonts w:ascii="Times New Roman" w:eastAsia="Times New Roman" w:hAnsi="Times New Roman" w:cs="Times New Roman"/>
          <w:sz w:val="24"/>
          <w:szCs w:val="24"/>
        </w:rPr>
        <w:t>DeFi</w:t>
      </w:r>
      <w:proofErr w:type="spellEnd"/>
      <w:r w:rsidRPr="002C2CAA">
        <w:rPr>
          <w:rFonts w:ascii="Times New Roman" w:eastAsia="Times New Roman" w:hAnsi="Times New Roman" w:cs="Times New Roman"/>
          <w:sz w:val="24"/>
          <w:szCs w:val="24"/>
        </w:rPr>
        <w:t>, “instead of transacting through banks, people trade directly with one another,” using distributed ledgers to maintain records of their transactions.</w:t>
      </w:r>
      <w:r w:rsidRPr="002C2CAA">
        <w:rPr>
          <w:rFonts w:ascii="Times New Roman" w:eastAsia="Times New Roman" w:hAnsi="Times New Roman" w:cs="Times New Roman"/>
          <w:sz w:val="24"/>
          <w:szCs w:val="24"/>
          <w:vertAlign w:val="superscript"/>
        </w:rPr>
        <w:footnoteReference w:id="107"/>
      </w:r>
      <w:r w:rsidRPr="002C2CAA">
        <w:rPr>
          <w:rFonts w:ascii="Times New Roman" w:eastAsia="Times New Roman" w:hAnsi="Times New Roman" w:cs="Times New Roman"/>
          <w:sz w:val="24"/>
          <w:szCs w:val="24"/>
        </w:rPr>
        <w:t xml:space="preserve"> </w:t>
      </w:r>
      <w:proofErr w:type="spellStart"/>
      <w:r w:rsidRPr="002C2CAA">
        <w:rPr>
          <w:rFonts w:ascii="Times New Roman" w:eastAsia="Times New Roman" w:hAnsi="Times New Roman" w:cs="Times New Roman"/>
          <w:sz w:val="24"/>
          <w:szCs w:val="24"/>
        </w:rPr>
        <w:t>DeFi</w:t>
      </w:r>
      <w:proofErr w:type="spellEnd"/>
      <w:r w:rsidRPr="002C2CAA">
        <w:rPr>
          <w:rFonts w:ascii="Times New Roman" w:eastAsia="Times New Roman" w:hAnsi="Times New Roman" w:cs="Times New Roman"/>
          <w:sz w:val="24"/>
          <w:szCs w:val="24"/>
        </w:rPr>
        <w:t xml:space="preserve"> is already a reasonably significant part of the financial landscape, with about $77 billion in assets, making it roughly equivalent in size to the 38</w:t>
      </w:r>
      <w:r w:rsidRPr="002C2CAA">
        <w:rPr>
          <w:rFonts w:ascii="Times New Roman" w:eastAsia="Times New Roman" w:hAnsi="Times New Roman" w:cs="Times New Roman"/>
          <w:sz w:val="24"/>
          <w:szCs w:val="24"/>
          <w:vertAlign w:val="superscript"/>
        </w:rPr>
        <w:t>th</w:t>
      </w:r>
      <w:r w:rsidRPr="002C2CAA">
        <w:rPr>
          <w:rFonts w:ascii="Times New Roman" w:eastAsia="Times New Roman" w:hAnsi="Times New Roman" w:cs="Times New Roman"/>
          <w:sz w:val="24"/>
          <w:szCs w:val="24"/>
        </w:rPr>
        <w:t xml:space="preserve"> largest bank in the U.S. by deposits.</w:t>
      </w:r>
      <w:r w:rsidRPr="002C2CAA">
        <w:rPr>
          <w:rFonts w:ascii="Times New Roman" w:eastAsia="Times New Roman" w:hAnsi="Times New Roman" w:cs="Times New Roman"/>
          <w:sz w:val="24"/>
          <w:szCs w:val="24"/>
          <w:vertAlign w:val="superscript"/>
        </w:rPr>
        <w:footnoteReference w:id="108"/>
      </w:r>
      <w:r w:rsidRPr="002C2CAA">
        <w:rPr>
          <w:rFonts w:ascii="Times New Roman" w:eastAsia="Times New Roman" w:hAnsi="Times New Roman" w:cs="Times New Roman"/>
          <w:sz w:val="24"/>
          <w:szCs w:val="24"/>
        </w:rPr>
        <w:t xml:space="preserve">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“are a critical part of the </w:t>
      </w:r>
      <w:proofErr w:type="spellStart"/>
      <w:r w:rsidRPr="002C2CAA">
        <w:rPr>
          <w:rFonts w:ascii="Times New Roman" w:eastAsia="Times New Roman" w:hAnsi="Times New Roman" w:cs="Times New Roman"/>
          <w:sz w:val="24"/>
          <w:szCs w:val="24"/>
        </w:rPr>
        <w:t>DeFi</w:t>
      </w:r>
      <w:proofErr w:type="spellEnd"/>
      <w:r w:rsidRPr="002C2CAA">
        <w:rPr>
          <w:rFonts w:ascii="Times New Roman" w:eastAsia="Times New Roman" w:hAnsi="Times New Roman" w:cs="Times New Roman"/>
          <w:sz w:val="24"/>
          <w:szCs w:val="24"/>
        </w:rPr>
        <w:t xml:space="preserve"> market” because they are the currency used to effectuate </w:t>
      </w:r>
      <w:proofErr w:type="spellStart"/>
      <w:r w:rsidRPr="002C2CAA">
        <w:rPr>
          <w:rFonts w:ascii="Times New Roman" w:eastAsia="Times New Roman" w:hAnsi="Times New Roman" w:cs="Times New Roman"/>
          <w:sz w:val="24"/>
          <w:szCs w:val="24"/>
        </w:rPr>
        <w:t>DeFi</w:t>
      </w:r>
      <w:proofErr w:type="spellEnd"/>
      <w:r w:rsidRPr="002C2CAA">
        <w:rPr>
          <w:rFonts w:ascii="Times New Roman" w:eastAsia="Times New Roman" w:hAnsi="Times New Roman" w:cs="Times New Roman"/>
          <w:sz w:val="24"/>
          <w:szCs w:val="24"/>
        </w:rPr>
        <w:t xml:space="preserve"> transactions.</w:t>
      </w:r>
      <w:r w:rsidRPr="002C2CAA">
        <w:rPr>
          <w:rFonts w:ascii="Times New Roman" w:eastAsia="Times New Roman" w:hAnsi="Times New Roman" w:cs="Times New Roman"/>
          <w:sz w:val="24"/>
          <w:szCs w:val="24"/>
          <w:vertAlign w:val="superscript"/>
        </w:rPr>
        <w:footnoteReference w:id="109"/>
      </w:r>
      <w:r w:rsidRPr="002C2CAA">
        <w:rPr>
          <w:rFonts w:ascii="Times New Roman" w:eastAsia="Times New Roman" w:hAnsi="Times New Roman" w:cs="Times New Roman"/>
          <w:sz w:val="24"/>
          <w:szCs w:val="24"/>
        </w:rPr>
        <w:t xml:space="preserve">   </w:t>
      </w:r>
    </w:p>
    <w:p w14:paraId="197CD6F3"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654EF7ED"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roofErr w:type="spellStart"/>
      <w:r w:rsidRPr="002C2CAA">
        <w:rPr>
          <w:rFonts w:ascii="Times New Roman" w:eastAsia="Times New Roman" w:hAnsi="Times New Roman" w:cs="Times New Roman"/>
          <w:sz w:val="24"/>
          <w:szCs w:val="24"/>
        </w:rPr>
        <w:t>DeFi</w:t>
      </w:r>
      <w:proofErr w:type="spellEnd"/>
      <w:r w:rsidRPr="002C2CAA">
        <w:rPr>
          <w:rFonts w:ascii="Times New Roman" w:eastAsia="Times New Roman" w:hAnsi="Times New Roman" w:cs="Times New Roman"/>
          <w:sz w:val="24"/>
          <w:szCs w:val="24"/>
        </w:rPr>
        <w:t xml:space="preserve"> is a challenge to traditional banking because it provides a way for customers to store their own funds without using an intermediary such as a bank. </w:t>
      </w:r>
      <w:proofErr w:type="spellStart"/>
      <w:r w:rsidRPr="002C2CAA">
        <w:rPr>
          <w:rFonts w:ascii="Times New Roman" w:eastAsia="Times New Roman" w:hAnsi="Times New Roman" w:cs="Times New Roman"/>
          <w:sz w:val="24"/>
          <w:szCs w:val="24"/>
        </w:rPr>
        <w:t>DeFi</w:t>
      </w:r>
      <w:proofErr w:type="spellEnd"/>
      <w:r w:rsidRPr="002C2CAA">
        <w:rPr>
          <w:rFonts w:ascii="Times New Roman" w:eastAsia="Times New Roman" w:hAnsi="Times New Roman" w:cs="Times New Roman"/>
          <w:sz w:val="24"/>
          <w:szCs w:val="24"/>
        </w:rPr>
        <w:t xml:space="preserve"> allows customers to borrow money using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and other cryptocurrencies as collateral. </w:t>
      </w:r>
      <w:proofErr w:type="spellStart"/>
      <w:r w:rsidRPr="002C2CAA">
        <w:rPr>
          <w:rFonts w:ascii="Times New Roman" w:eastAsia="Times New Roman" w:hAnsi="Times New Roman" w:cs="Times New Roman"/>
          <w:sz w:val="24"/>
          <w:szCs w:val="24"/>
        </w:rPr>
        <w:t>DeFi</w:t>
      </w:r>
      <w:proofErr w:type="spellEnd"/>
      <w:r w:rsidRPr="002C2CAA">
        <w:rPr>
          <w:rFonts w:ascii="Times New Roman" w:eastAsia="Times New Roman" w:hAnsi="Times New Roman" w:cs="Times New Roman"/>
          <w:sz w:val="24"/>
          <w:szCs w:val="24"/>
        </w:rPr>
        <w:t xml:space="preserve"> also threatens to disrupt bank’s transaction account franchise because it allows users to deposit </w:t>
      </w:r>
      <w:proofErr w:type="spellStart"/>
      <w:r w:rsidRPr="002C2CAA">
        <w:rPr>
          <w:rFonts w:ascii="Times New Roman" w:eastAsia="Times New Roman" w:hAnsi="Times New Roman" w:cs="Times New Roman"/>
          <w:sz w:val="24"/>
          <w:szCs w:val="24"/>
        </w:rPr>
        <w:t>stablecoins</w:t>
      </w:r>
      <w:proofErr w:type="spellEnd"/>
      <w:r w:rsidRPr="002C2CAA">
        <w:rPr>
          <w:rFonts w:ascii="Times New Roman" w:eastAsia="Times New Roman" w:hAnsi="Times New Roman" w:cs="Times New Roman"/>
          <w:sz w:val="24"/>
          <w:szCs w:val="24"/>
        </w:rPr>
        <w:t xml:space="preserve"> and other cryptocurrencies on a platform or protocol that pays interest.  </w:t>
      </w:r>
    </w:p>
    <w:p w14:paraId="218A332A"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DD99398"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One can easily compare the interest rates offered on </w:t>
      </w:r>
      <w:proofErr w:type="spellStart"/>
      <w:r w:rsidRPr="002C2CAA">
        <w:rPr>
          <w:rFonts w:ascii="Times New Roman" w:eastAsia="Times New Roman" w:hAnsi="Times New Roman" w:cs="Times New Roman"/>
          <w:sz w:val="24"/>
          <w:szCs w:val="24"/>
        </w:rPr>
        <w:t>DeFi</w:t>
      </w:r>
      <w:proofErr w:type="spellEnd"/>
      <w:r w:rsidRPr="002C2CAA">
        <w:rPr>
          <w:rFonts w:ascii="Times New Roman" w:eastAsia="Times New Roman" w:hAnsi="Times New Roman" w:cs="Times New Roman"/>
          <w:sz w:val="24"/>
          <w:szCs w:val="24"/>
        </w:rPr>
        <w:t xml:space="preserve"> accounts with the interest rates offered by traditional banks. For example, on February 19, 2024, the average bank saving account offered an interest rate of 0.58 percent. In contrast, accounts denominated in USD Coin (known as USDC), a digital </w:t>
      </w:r>
      <w:proofErr w:type="spellStart"/>
      <w:r w:rsidRPr="002C2CAA">
        <w:rPr>
          <w:rFonts w:ascii="Times New Roman" w:eastAsia="Times New Roman" w:hAnsi="Times New Roman" w:cs="Times New Roman"/>
          <w:sz w:val="24"/>
          <w:szCs w:val="24"/>
        </w:rPr>
        <w:t>stablecoin</w:t>
      </w:r>
      <w:proofErr w:type="spellEnd"/>
      <w:r w:rsidRPr="002C2CAA">
        <w:rPr>
          <w:rFonts w:ascii="Times New Roman" w:eastAsia="Times New Roman" w:hAnsi="Times New Roman" w:cs="Times New Roman"/>
          <w:sz w:val="24"/>
          <w:szCs w:val="24"/>
        </w:rPr>
        <w:t xml:space="preserve"> cryptocurrency pegged to the U.S. dollar and managed by Circle,</w:t>
      </w:r>
      <w:r w:rsidRPr="002C2CAA">
        <w:rPr>
          <w:rFonts w:ascii="Times New Roman" w:eastAsia="Times New Roman" w:hAnsi="Times New Roman" w:cs="Times New Roman"/>
          <w:sz w:val="24"/>
          <w:szCs w:val="24"/>
          <w:vertAlign w:val="superscript"/>
        </w:rPr>
        <w:footnoteReference w:id="110"/>
      </w:r>
      <w:r w:rsidRPr="002C2CAA">
        <w:rPr>
          <w:rFonts w:ascii="Times New Roman" w:eastAsia="Times New Roman" w:hAnsi="Times New Roman" w:cs="Times New Roman"/>
          <w:sz w:val="24"/>
          <w:szCs w:val="24"/>
        </w:rPr>
        <w:t xml:space="preserve"> paid 6.15 percent.</w:t>
      </w:r>
      <w:r w:rsidRPr="002C2CAA">
        <w:rPr>
          <w:rFonts w:ascii="Times New Roman" w:eastAsia="Times New Roman" w:hAnsi="Times New Roman" w:cs="Times New Roman"/>
          <w:sz w:val="24"/>
          <w:szCs w:val="24"/>
          <w:vertAlign w:val="superscript"/>
        </w:rPr>
        <w:footnoteReference w:id="111"/>
      </w:r>
      <w:r w:rsidRPr="002C2CAA">
        <w:rPr>
          <w:rFonts w:ascii="Times New Roman" w:eastAsia="Times New Roman" w:hAnsi="Times New Roman" w:cs="Times New Roman"/>
          <w:sz w:val="24"/>
          <w:szCs w:val="24"/>
        </w:rPr>
        <w:t xml:space="preserve"> Those denominated in USDT, the </w:t>
      </w:r>
      <w:proofErr w:type="spellStart"/>
      <w:r w:rsidRPr="002C2CAA">
        <w:rPr>
          <w:rFonts w:ascii="Times New Roman" w:eastAsia="Times New Roman" w:hAnsi="Times New Roman" w:cs="Times New Roman"/>
          <w:sz w:val="24"/>
          <w:szCs w:val="24"/>
        </w:rPr>
        <w:t>stablecoin</w:t>
      </w:r>
      <w:proofErr w:type="spellEnd"/>
      <w:r w:rsidRPr="002C2CAA">
        <w:rPr>
          <w:rFonts w:ascii="Times New Roman" w:eastAsia="Times New Roman" w:hAnsi="Times New Roman" w:cs="Times New Roman"/>
          <w:sz w:val="24"/>
          <w:szCs w:val="24"/>
        </w:rPr>
        <w:t xml:space="preserve"> created by Tether Limited, paid 8.83 percent,</w:t>
      </w:r>
      <w:r w:rsidRPr="002C2CAA">
        <w:rPr>
          <w:rFonts w:ascii="Times New Roman" w:eastAsia="Times New Roman" w:hAnsi="Times New Roman" w:cs="Times New Roman"/>
          <w:sz w:val="24"/>
          <w:szCs w:val="24"/>
          <w:vertAlign w:val="superscript"/>
        </w:rPr>
        <w:footnoteReference w:id="112"/>
      </w:r>
      <w:r w:rsidRPr="002C2CAA">
        <w:rPr>
          <w:rFonts w:ascii="Times New Roman" w:eastAsia="Times New Roman" w:hAnsi="Times New Roman" w:cs="Times New Roman"/>
          <w:sz w:val="24"/>
          <w:szCs w:val="24"/>
        </w:rPr>
        <w:t xml:space="preserve"> and those denominated in DAI, a </w:t>
      </w:r>
      <w:proofErr w:type="spellStart"/>
      <w:r w:rsidRPr="002C2CAA">
        <w:rPr>
          <w:rFonts w:ascii="Times New Roman" w:eastAsia="Times New Roman" w:hAnsi="Times New Roman" w:cs="Times New Roman"/>
          <w:sz w:val="24"/>
          <w:szCs w:val="24"/>
        </w:rPr>
        <w:t>stablecoin</w:t>
      </w:r>
      <w:proofErr w:type="spellEnd"/>
      <w:r w:rsidRPr="002C2CAA">
        <w:rPr>
          <w:rFonts w:ascii="Times New Roman" w:eastAsia="Times New Roman" w:hAnsi="Times New Roman" w:cs="Times New Roman"/>
          <w:sz w:val="24"/>
          <w:szCs w:val="24"/>
        </w:rPr>
        <w:t xml:space="preserve"> on the Ethereum blockchain and developed by Maker Foundation, paid 4.78 percent.</w:t>
      </w:r>
      <w:r w:rsidRPr="002C2CAA">
        <w:rPr>
          <w:rFonts w:ascii="Times New Roman" w:eastAsia="Times New Roman" w:hAnsi="Times New Roman" w:cs="Times New Roman"/>
          <w:sz w:val="24"/>
          <w:szCs w:val="24"/>
          <w:vertAlign w:val="superscript"/>
        </w:rPr>
        <w:footnoteReference w:id="113"/>
      </w:r>
      <w:r w:rsidRPr="002C2CAA">
        <w:rPr>
          <w:rFonts w:ascii="Times New Roman" w:eastAsia="Times New Roman" w:hAnsi="Times New Roman" w:cs="Times New Roman"/>
          <w:sz w:val="24"/>
          <w:szCs w:val="24"/>
        </w:rPr>
        <w:t xml:space="preserve"> </w:t>
      </w:r>
      <w:proofErr w:type="spellStart"/>
      <w:r w:rsidRPr="002C2CAA">
        <w:rPr>
          <w:rFonts w:ascii="Times New Roman" w:eastAsia="Times New Roman" w:hAnsi="Times New Roman" w:cs="Times New Roman"/>
          <w:sz w:val="24"/>
          <w:szCs w:val="24"/>
        </w:rPr>
        <w:t>DeFi</w:t>
      </w:r>
      <w:proofErr w:type="spellEnd"/>
      <w:r w:rsidRPr="002C2CAA">
        <w:rPr>
          <w:rFonts w:ascii="Times New Roman" w:eastAsia="Times New Roman" w:hAnsi="Times New Roman" w:cs="Times New Roman"/>
          <w:sz w:val="24"/>
          <w:szCs w:val="24"/>
        </w:rPr>
        <w:t xml:space="preserve"> platforms paying such rates included firms such as </w:t>
      </w:r>
      <w:proofErr w:type="spellStart"/>
      <w:r w:rsidRPr="002C2CAA">
        <w:rPr>
          <w:rFonts w:ascii="Times New Roman" w:eastAsia="Times New Roman" w:hAnsi="Times New Roman" w:cs="Times New Roman"/>
          <w:sz w:val="24"/>
          <w:szCs w:val="24"/>
        </w:rPr>
        <w:t>YouHolder</w:t>
      </w:r>
      <w:proofErr w:type="spellEnd"/>
      <w:r w:rsidRPr="002C2CAA">
        <w:rPr>
          <w:rFonts w:ascii="Times New Roman" w:eastAsia="Times New Roman" w:hAnsi="Times New Roman" w:cs="Times New Roman"/>
          <w:sz w:val="24"/>
          <w:szCs w:val="24"/>
        </w:rPr>
        <w:t xml:space="preserve">, </w:t>
      </w:r>
      <w:proofErr w:type="spellStart"/>
      <w:r w:rsidRPr="002C2CAA">
        <w:rPr>
          <w:rFonts w:ascii="Times New Roman" w:eastAsia="Times New Roman" w:hAnsi="Times New Roman" w:cs="Times New Roman"/>
          <w:sz w:val="24"/>
          <w:szCs w:val="24"/>
        </w:rPr>
        <w:t>YieldApp</w:t>
      </w:r>
      <w:proofErr w:type="spellEnd"/>
      <w:r w:rsidRPr="002C2CAA">
        <w:rPr>
          <w:rFonts w:ascii="Times New Roman" w:eastAsia="Times New Roman" w:hAnsi="Times New Roman" w:cs="Times New Roman"/>
          <w:sz w:val="24"/>
          <w:szCs w:val="24"/>
        </w:rPr>
        <w:t xml:space="preserve">, and </w:t>
      </w:r>
      <w:proofErr w:type="spellStart"/>
      <w:r w:rsidRPr="002C2CAA">
        <w:rPr>
          <w:rFonts w:ascii="Times New Roman" w:eastAsia="Times New Roman" w:hAnsi="Times New Roman" w:cs="Times New Roman"/>
          <w:sz w:val="24"/>
          <w:szCs w:val="24"/>
        </w:rPr>
        <w:t>Wirex</w:t>
      </w:r>
      <w:proofErr w:type="spellEnd"/>
      <w:r w:rsidRPr="002C2CAA">
        <w:rPr>
          <w:rFonts w:ascii="Times New Roman" w:eastAsia="Times New Roman" w:hAnsi="Times New Roman" w:cs="Times New Roman"/>
          <w:sz w:val="24"/>
          <w:szCs w:val="24"/>
        </w:rPr>
        <w:t>.</w:t>
      </w:r>
      <w:r w:rsidRPr="002C2CAA">
        <w:rPr>
          <w:rFonts w:ascii="Times New Roman" w:eastAsia="Times New Roman" w:hAnsi="Times New Roman" w:cs="Times New Roman"/>
          <w:sz w:val="24"/>
          <w:szCs w:val="24"/>
          <w:vertAlign w:val="superscript"/>
        </w:rPr>
        <w:footnoteReference w:id="114"/>
      </w:r>
    </w:p>
    <w:p w14:paraId="2F00170B" w14:textId="77777777" w:rsidR="002C2CAA" w:rsidRPr="002C2CAA" w:rsidRDefault="002C2CAA" w:rsidP="002C2CAA">
      <w:pPr>
        <w:spacing w:after="0" w:line="240" w:lineRule="auto"/>
        <w:ind w:right="1296" w:firstLine="360"/>
        <w:jc w:val="both"/>
        <w:rPr>
          <w:rFonts w:ascii="Times New Roman" w:eastAsia="Times New Roman" w:hAnsi="Times New Roman" w:cs="Times New Roman"/>
          <w:sz w:val="24"/>
          <w:szCs w:val="24"/>
        </w:rPr>
      </w:pPr>
    </w:p>
    <w:p w14:paraId="3180DF42" w14:textId="77777777" w:rsidR="002C2CAA" w:rsidRPr="002C2CAA" w:rsidRDefault="002C2CAA" w:rsidP="002C2CAA">
      <w:pPr>
        <w:spacing w:after="0" w:line="240" w:lineRule="auto"/>
        <w:ind w:firstLine="360"/>
        <w:jc w:val="both"/>
        <w:rPr>
          <w:rFonts w:ascii="Times New Roman" w:eastAsia="Times New Roman" w:hAnsi="Times New Roman" w:cs="Times New Roman"/>
          <w:i/>
          <w:sz w:val="24"/>
          <w:szCs w:val="24"/>
        </w:rPr>
      </w:pPr>
      <w:r w:rsidRPr="002C2CAA">
        <w:rPr>
          <w:rFonts w:ascii="Times New Roman" w:eastAsia="Times New Roman" w:hAnsi="Times New Roman" w:cs="Times New Roman"/>
          <w:i/>
          <w:sz w:val="24"/>
          <w:szCs w:val="24"/>
        </w:rPr>
        <w:t>Central Bank Digital Currency</w:t>
      </w:r>
    </w:p>
    <w:p w14:paraId="3801ADC9"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3374C473"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At present in the U.S. there are essentially two types of so-called “central bank money,” which simply money that is considered the responsibility of the central bank: physical currency (formally called Federal Reserve Notes) issued by the Federal Reserve and digital balances held by commercial banks at the Federal Reserve.</w:t>
      </w:r>
      <w:r w:rsidRPr="002C2CAA">
        <w:rPr>
          <w:rFonts w:ascii="Times New Roman" w:eastAsia="Times New Roman" w:hAnsi="Times New Roman" w:cs="Times New Roman"/>
          <w:sz w:val="24"/>
          <w:szCs w:val="24"/>
          <w:vertAlign w:val="superscript"/>
        </w:rPr>
        <w:footnoteReference w:id="115"/>
      </w:r>
      <w:r w:rsidRPr="002C2CAA">
        <w:rPr>
          <w:rFonts w:ascii="Times New Roman" w:eastAsia="Times New Roman" w:hAnsi="Times New Roman" w:cs="Times New Roman"/>
          <w:sz w:val="24"/>
          <w:szCs w:val="24"/>
        </w:rPr>
        <w:t xml:space="preserve"> Currently, cash is the only type of central bank money available to the general public.</w:t>
      </w:r>
      <w:r w:rsidRPr="002C2CAA">
        <w:rPr>
          <w:rFonts w:ascii="Times New Roman" w:eastAsia="Times New Roman" w:hAnsi="Times New Roman" w:cs="Times New Roman"/>
          <w:sz w:val="24"/>
          <w:szCs w:val="24"/>
          <w:vertAlign w:val="superscript"/>
        </w:rPr>
        <w:footnoteReference w:id="116"/>
      </w:r>
      <w:r w:rsidRPr="002C2CAA">
        <w:rPr>
          <w:rFonts w:ascii="Times New Roman" w:eastAsia="Times New Roman" w:hAnsi="Times New Roman" w:cs="Times New Roman"/>
          <w:sz w:val="24"/>
          <w:szCs w:val="24"/>
        </w:rPr>
        <w:t xml:space="preserve"> Central bank digital currency is a digital form of money that is a liability of a central bank, rather than of a commercial bank, and is available to the general public.</w:t>
      </w:r>
      <w:r w:rsidRPr="002C2CAA">
        <w:rPr>
          <w:rFonts w:ascii="Times New Roman" w:eastAsia="Times New Roman" w:hAnsi="Times New Roman" w:cs="Times New Roman"/>
          <w:sz w:val="24"/>
          <w:szCs w:val="24"/>
          <w:vertAlign w:val="superscript"/>
        </w:rPr>
        <w:footnoteReference w:id="117"/>
      </w:r>
      <w:r w:rsidRPr="002C2CAA">
        <w:rPr>
          <w:rFonts w:ascii="Times New Roman" w:eastAsia="Times New Roman" w:hAnsi="Times New Roman" w:cs="Times New Roman"/>
          <w:sz w:val="24"/>
          <w:szCs w:val="24"/>
        </w:rPr>
        <w:t xml:space="preserve"> </w:t>
      </w:r>
    </w:p>
    <w:p w14:paraId="21A12DBF"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3F64B42E"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Central bank digital currencies give customers the ability to keep their funds “on deposit” at the central bank, rather than at a commercial bank.</w:t>
      </w:r>
      <w:r w:rsidRPr="002C2CAA">
        <w:rPr>
          <w:rFonts w:ascii="Times New Roman" w:eastAsia="Times New Roman" w:hAnsi="Times New Roman" w:cs="Times New Roman"/>
          <w:sz w:val="24"/>
          <w:szCs w:val="24"/>
          <w:vertAlign w:val="superscript"/>
        </w:rPr>
        <w:footnoteReference w:id="118"/>
      </w:r>
      <w:r w:rsidRPr="002C2CAA">
        <w:rPr>
          <w:rFonts w:ascii="Times New Roman" w:eastAsia="Times New Roman" w:hAnsi="Times New Roman" w:cs="Times New Roman"/>
          <w:sz w:val="24"/>
          <w:szCs w:val="24"/>
        </w:rPr>
        <w:t xml:space="preserve"> The movement of commercial and personal transaction accounts from commercial banks to central banks is an existential threat to the existence of traditional banks.</w:t>
      </w:r>
    </w:p>
    <w:p w14:paraId="1561209B"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A2C9042"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While the U.S. is lagging in the move towards a central bank digital currency, the rest of the world is forging ahead at a rapid pace. As of December, 2023, 130 countries, representing 98 percent of global GDP were actively exploring issuing a central bank digital currency.</w:t>
      </w:r>
      <w:r w:rsidRPr="002C2CAA">
        <w:rPr>
          <w:rFonts w:ascii="Times New Roman" w:eastAsia="Times New Roman" w:hAnsi="Times New Roman" w:cs="Times New Roman"/>
          <w:sz w:val="24"/>
          <w:szCs w:val="24"/>
          <w:vertAlign w:val="superscript"/>
        </w:rPr>
        <w:footnoteReference w:id="119"/>
      </w:r>
      <w:r w:rsidRPr="002C2CAA">
        <w:rPr>
          <w:rFonts w:ascii="Times New Roman" w:eastAsia="Times New Roman" w:hAnsi="Times New Roman" w:cs="Times New Roman"/>
          <w:sz w:val="24"/>
          <w:szCs w:val="24"/>
        </w:rPr>
        <w:t xml:space="preserve">  19 of 20 G20 countries are in the advanced stage of central bank digital currency development.</w:t>
      </w:r>
      <w:r w:rsidRPr="002C2CAA">
        <w:rPr>
          <w:rFonts w:ascii="Times New Roman" w:eastAsia="Times New Roman" w:hAnsi="Times New Roman" w:cs="Times New Roman"/>
          <w:sz w:val="24"/>
          <w:szCs w:val="24"/>
          <w:vertAlign w:val="superscript"/>
        </w:rPr>
        <w:footnoteReference w:id="120"/>
      </w:r>
      <w:r w:rsidRPr="002C2CAA">
        <w:rPr>
          <w:rFonts w:ascii="Times New Roman" w:eastAsia="Times New Roman" w:hAnsi="Times New Roman" w:cs="Times New Roman"/>
          <w:sz w:val="24"/>
          <w:szCs w:val="24"/>
        </w:rPr>
        <w:t xml:space="preserve">  11 countries, led by China, have already launched a central bank digital currency.</w:t>
      </w:r>
      <w:r w:rsidRPr="002C2CAA">
        <w:rPr>
          <w:rFonts w:ascii="Times New Roman" w:eastAsia="Times New Roman" w:hAnsi="Times New Roman" w:cs="Times New Roman"/>
          <w:sz w:val="24"/>
          <w:szCs w:val="24"/>
          <w:vertAlign w:val="superscript"/>
        </w:rPr>
        <w:footnoteReference w:id="121"/>
      </w:r>
      <w:r w:rsidRPr="002C2CAA">
        <w:rPr>
          <w:rFonts w:ascii="Times New Roman" w:eastAsia="Times New Roman" w:hAnsi="Times New Roman" w:cs="Times New Roman"/>
          <w:sz w:val="24"/>
          <w:szCs w:val="24"/>
        </w:rPr>
        <w:t xml:space="preserve"> China’s central bank digital currency is used by 260 million people, and allows payment for public transit, stimulus payments, and e-commerce.</w:t>
      </w:r>
      <w:r w:rsidRPr="002C2CAA">
        <w:rPr>
          <w:rFonts w:ascii="Times New Roman" w:eastAsia="Times New Roman" w:hAnsi="Times New Roman" w:cs="Times New Roman"/>
          <w:sz w:val="24"/>
          <w:szCs w:val="24"/>
          <w:vertAlign w:val="superscript"/>
        </w:rPr>
        <w:footnoteReference w:id="122"/>
      </w:r>
    </w:p>
    <w:p w14:paraId="2AA7056D"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6487EB15"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Central banks are motivated to issue central bank digital currency for a variety of reasons. The emergence and explosive growth of cryptocurrencies directly threatens to displace central banks as the source of currency in the economy, and to undermine the ability of central banks to carry out monetary policy by expanding and contracting the money supply. In addition, commercial banks, which are regulated by the government, are increasingly outsourcing their payments services to unregulated, non-bank big tech companies, and central bankers rightly see this trend as a challenge to their ability to regulate the payments system. Central bank digital currencies are also viewed as “promoting financial inclusion by providing easy and safer access to money for unbanked and underbanked populations; introducing competition and resilience in the domestic payments market, which might need incentives to provide cheaper and better access to money.”</w:t>
      </w:r>
      <w:r w:rsidRPr="002C2CAA">
        <w:rPr>
          <w:rFonts w:ascii="Times New Roman" w:eastAsia="Times New Roman" w:hAnsi="Times New Roman" w:cs="Times New Roman"/>
          <w:sz w:val="24"/>
          <w:szCs w:val="24"/>
          <w:vertAlign w:val="superscript"/>
        </w:rPr>
        <w:footnoteReference w:id="123"/>
      </w:r>
    </w:p>
    <w:p w14:paraId="4D525F37"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6C1BB1F8" w14:textId="77777777" w:rsidR="002C2CAA" w:rsidRPr="002C2CAA" w:rsidRDefault="002C2CAA" w:rsidP="002C2CAA">
      <w:pPr>
        <w:numPr>
          <w:ilvl w:val="0"/>
          <w:numId w:val="5"/>
        </w:numPr>
        <w:spacing w:after="0" w:line="240" w:lineRule="auto"/>
        <w:contextualSpacing/>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Sticky Deposits  </w:t>
      </w:r>
    </w:p>
    <w:p w14:paraId="7D8773FF"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5079F60C"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In addition to obtaining information about their loan customers from their window into their borrowers’ checking accounts, another important reason the capital structure of banks is viable is the so-called “deposit franchise.”</w:t>
      </w:r>
      <w:r w:rsidRPr="002C2CAA">
        <w:rPr>
          <w:rFonts w:ascii="Times New Roman" w:eastAsia="Times New Roman" w:hAnsi="Times New Roman" w:cs="Times New Roman"/>
          <w:sz w:val="24"/>
          <w:szCs w:val="24"/>
          <w:vertAlign w:val="superscript"/>
        </w:rPr>
        <w:footnoteReference w:id="124"/>
      </w:r>
      <w:r w:rsidRPr="002C2CAA">
        <w:rPr>
          <w:rFonts w:ascii="Times New Roman" w:eastAsia="Times New Roman" w:hAnsi="Times New Roman" w:cs="Times New Roman"/>
          <w:sz w:val="24"/>
          <w:szCs w:val="24"/>
        </w:rPr>
        <w:t xml:space="preserve"> Essentially, the deposit franchise hypothesis is that bank deposits are “sticky” in the sense that bank depositors are insensitive to changes in interest rates or monetary policy.</w:t>
      </w:r>
      <w:r w:rsidRPr="002C2CAA">
        <w:rPr>
          <w:rFonts w:ascii="Times New Roman" w:eastAsia="Times New Roman" w:hAnsi="Times New Roman" w:cs="Times New Roman"/>
          <w:sz w:val="24"/>
          <w:szCs w:val="24"/>
          <w:vertAlign w:val="superscript"/>
        </w:rPr>
        <w:footnoteReference w:id="125"/>
      </w:r>
      <w:r w:rsidRPr="002C2CAA">
        <w:rPr>
          <w:rFonts w:ascii="Times New Roman" w:eastAsia="Times New Roman" w:hAnsi="Times New Roman" w:cs="Times New Roman"/>
          <w:sz w:val="24"/>
          <w:szCs w:val="24"/>
        </w:rPr>
        <w:t xml:space="preserve"> The idea is that, while depositors have the legal right to access their funds on demand, in practice they do not do so. As a result, “even though deposits are short term, funding via a deposit franchise resembles funding with long-term fixed-rate debt.”</w:t>
      </w:r>
      <w:r w:rsidRPr="002C2CAA">
        <w:rPr>
          <w:rFonts w:ascii="Times New Roman" w:eastAsia="Times New Roman" w:hAnsi="Times New Roman" w:cs="Times New Roman"/>
          <w:sz w:val="24"/>
          <w:szCs w:val="24"/>
          <w:vertAlign w:val="superscript"/>
        </w:rPr>
        <w:footnoteReference w:id="126"/>
      </w:r>
      <w:r w:rsidRPr="002C2CAA">
        <w:rPr>
          <w:rFonts w:ascii="Times New Roman" w:eastAsia="Times New Roman" w:hAnsi="Times New Roman" w:cs="Times New Roman"/>
          <w:sz w:val="24"/>
          <w:szCs w:val="24"/>
        </w:rPr>
        <w:t xml:space="preserve"> The existence of a deposit franchise is crucial to the hypothesis that the simultaneous deposit-taking and commercial lending done by banks is a viable business model because it suggests that “deposit-taking and long-term lending have important synergies”</w:t>
      </w:r>
      <w:r w:rsidRPr="002C2CAA">
        <w:rPr>
          <w:rFonts w:ascii="Times New Roman" w:eastAsia="Times New Roman" w:hAnsi="Times New Roman" w:cs="Times New Roman"/>
          <w:sz w:val="24"/>
          <w:szCs w:val="24"/>
          <w:vertAlign w:val="superscript"/>
        </w:rPr>
        <w:footnoteReference w:id="127"/>
      </w:r>
      <w:r w:rsidRPr="002C2CAA">
        <w:rPr>
          <w:rFonts w:ascii="Times New Roman" w:eastAsia="Times New Roman" w:hAnsi="Times New Roman" w:cs="Times New Roman"/>
          <w:sz w:val="24"/>
          <w:szCs w:val="24"/>
        </w:rPr>
        <w:t xml:space="preserve"> and “should </w:t>
      </w:r>
      <w:r w:rsidRPr="002C2CAA">
        <w:rPr>
          <w:rFonts w:ascii="Times New Roman" w:eastAsia="Times New Roman" w:hAnsi="Times New Roman" w:cs="Times New Roman"/>
          <w:i/>
          <w:sz w:val="24"/>
          <w:szCs w:val="24"/>
        </w:rPr>
        <w:t xml:space="preserve">not </w:t>
      </w:r>
      <w:r w:rsidRPr="002C2CAA">
        <w:rPr>
          <w:rFonts w:ascii="Times New Roman" w:eastAsia="Times New Roman" w:hAnsi="Times New Roman" w:cs="Times New Roman"/>
          <w:sz w:val="24"/>
          <w:szCs w:val="24"/>
        </w:rPr>
        <w:t>be separated.”</w:t>
      </w:r>
      <w:r w:rsidRPr="002C2CAA">
        <w:rPr>
          <w:rFonts w:ascii="Times New Roman" w:eastAsia="Times New Roman" w:hAnsi="Times New Roman" w:cs="Times New Roman"/>
          <w:sz w:val="24"/>
          <w:szCs w:val="24"/>
          <w:vertAlign w:val="superscript"/>
        </w:rPr>
        <w:footnoteReference w:id="128"/>
      </w:r>
    </w:p>
    <w:p w14:paraId="71E1004D"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5FD570EC"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Deposit stickiness is important for bank stability because, to the extent that deposits are sticky, then rising interest rates and other macroeconomic events that depress the market value of a bank’s assets do not immediately and automatically lead to bank runs.</w:t>
      </w:r>
      <w:r w:rsidRPr="002C2CAA">
        <w:rPr>
          <w:rFonts w:ascii="Times New Roman" w:eastAsia="Times New Roman" w:hAnsi="Times New Roman" w:cs="Times New Roman"/>
          <w:sz w:val="24"/>
          <w:szCs w:val="24"/>
          <w:vertAlign w:val="superscript"/>
        </w:rPr>
        <w:footnoteReference w:id="129"/>
      </w:r>
      <w:r w:rsidRPr="002C2CAA">
        <w:rPr>
          <w:rFonts w:ascii="Times New Roman" w:eastAsia="Times New Roman" w:hAnsi="Times New Roman" w:cs="Times New Roman"/>
          <w:sz w:val="24"/>
          <w:szCs w:val="24"/>
        </w:rPr>
        <w:t xml:space="preserve"> The notion that deposits are sticky directly confronts the received wisdom that banks are inherently unstable due to the mismatch in the term structure of their assets and their liabilities.  The idea is that, while bank assets have an average estimated duration of 3.7 years, as compared to an average duration of only 0.3 years for their liabilities,</w:t>
      </w:r>
      <w:r w:rsidRPr="002C2CAA">
        <w:rPr>
          <w:rFonts w:ascii="Times New Roman" w:eastAsia="Times New Roman" w:hAnsi="Times New Roman" w:cs="Times New Roman"/>
          <w:sz w:val="24"/>
          <w:szCs w:val="24"/>
          <w:vertAlign w:val="superscript"/>
        </w:rPr>
        <w:footnoteReference w:id="130"/>
      </w:r>
      <w:r w:rsidRPr="002C2CAA">
        <w:rPr>
          <w:rFonts w:ascii="Times New Roman" w:eastAsia="Times New Roman" w:hAnsi="Times New Roman" w:cs="Times New Roman"/>
          <w:sz w:val="24"/>
          <w:szCs w:val="24"/>
        </w:rPr>
        <w:t xml:space="preserve"> this mismatch is more apparent than real because depositors do not withdraw their money in response to changes in interest rate, because “aggregate bank cash flows are insensitive to interest rate changes.</w:t>
      </w:r>
      <w:r w:rsidRPr="002C2CAA">
        <w:rPr>
          <w:rFonts w:ascii="Times New Roman" w:eastAsia="Times New Roman" w:hAnsi="Times New Roman" w:cs="Times New Roman"/>
          <w:sz w:val="24"/>
          <w:szCs w:val="24"/>
          <w:vertAlign w:val="superscript"/>
        </w:rPr>
        <w:footnoteReference w:id="131"/>
      </w:r>
      <w:r w:rsidRPr="002C2CAA">
        <w:rPr>
          <w:rFonts w:ascii="Times New Roman" w:eastAsia="Times New Roman" w:hAnsi="Times New Roman" w:cs="Times New Roman"/>
          <w:sz w:val="24"/>
          <w:szCs w:val="24"/>
        </w:rPr>
        <w:t xml:space="preserve">  </w:t>
      </w:r>
    </w:p>
    <w:p w14:paraId="1A59FDC1"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09689DCC"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It is far from clear why this is the case. The dominant explanation in the finance literature is frustratingly tautological:</w:t>
      </w:r>
    </w:p>
    <w:p w14:paraId="0D7A55EE"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293F557E" w14:textId="77777777" w:rsidR="002C2CAA" w:rsidRPr="002C2CAA" w:rsidRDefault="002C2CAA" w:rsidP="002C2CAA">
      <w:pPr>
        <w:spacing w:after="0" w:line="240" w:lineRule="auto"/>
        <w:ind w:left="1296" w:right="1296"/>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This apparent paradox is explained by the fact that having a deposit franchise gives banks substantial market power over retail deposits. </w:t>
      </w:r>
      <w:proofErr w:type="gramStart"/>
      <w:r w:rsidRPr="002C2CAA">
        <w:rPr>
          <w:rFonts w:ascii="Times New Roman" w:eastAsia="Times New Roman" w:hAnsi="Times New Roman" w:cs="Times New Roman"/>
          <w:sz w:val="24"/>
          <w:szCs w:val="24"/>
        </w:rPr>
        <w:t>In particular, market</w:t>
      </w:r>
      <w:proofErr w:type="gramEnd"/>
      <w:r w:rsidRPr="002C2CAA">
        <w:rPr>
          <w:rFonts w:ascii="Times New Roman" w:eastAsia="Times New Roman" w:hAnsi="Times New Roman" w:cs="Times New Roman"/>
          <w:sz w:val="24"/>
          <w:szCs w:val="24"/>
        </w:rPr>
        <w:t xml:space="preserve"> power allows banks to keep their deposit rates low even when the short rate rises. Since retail (core) deposits comprise over 70% of banks’ liabilities, this low sensitivity carries over to their overall interest expense. The deposit franchise thus allows banks to simultaneously have a large duration mismatch and a near-perfect match of the interest rate sensitivities of their income and expense.</w:t>
      </w:r>
      <w:r w:rsidRPr="002C2CAA">
        <w:rPr>
          <w:rFonts w:ascii="Times New Roman" w:eastAsia="Times New Roman" w:hAnsi="Times New Roman" w:cs="Times New Roman"/>
          <w:sz w:val="24"/>
          <w:szCs w:val="24"/>
          <w:vertAlign w:val="superscript"/>
        </w:rPr>
        <w:footnoteReference w:id="132"/>
      </w:r>
    </w:p>
    <w:p w14:paraId="7DBF87EE"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37CEA867"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argument appears to be that depositors do not withdraw their funds from banks when interest rates rise because the services they provide their customers, including providing branches and other “retail outlets,” and “offering the latest financial technologies” induces depositors to keep their money in their transaction accounts through thick and thin.</w:t>
      </w:r>
    </w:p>
    <w:p w14:paraId="0E1F4379"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606C3A71"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 xml:space="preserve">As </w:t>
      </w:r>
      <w:proofErr w:type="spellStart"/>
      <w:r w:rsidRPr="002C2CAA">
        <w:rPr>
          <w:rFonts w:ascii="Times New Roman" w:eastAsia="Times New Roman" w:hAnsi="Times New Roman" w:cs="Times New Roman"/>
          <w:sz w:val="24"/>
          <w:szCs w:val="24"/>
        </w:rPr>
        <w:t>Koont</w:t>
      </w:r>
      <w:proofErr w:type="spellEnd"/>
      <w:r w:rsidRPr="002C2CAA">
        <w:rPr>
          <w:rFonts w:ascii="Times New Roman" w:eastAsia="Times New Roman" w:hAnsi="Times New Roman" w:cs="Times New Roman"/>
          <w:sz w:val="24"/>
          <w:szCs w:val="24"/>
        </w:rPr>
        <w:t>, Santos and Zingales have observed, however, technology plays an important role in this story.</w:t>
      </w:r>
      <w:r w:rsidRPr="002C2CAA">
        <w:rPr>
          <w:rFonts w:ascii="Times New Roman" w:eastAsia="Times New Roman" w:hAnsi="Times New Roman" w:cs="Times New Roman"/>
          <w:sz w:val="24"/>
          <w:szCs w:val="24"/>
          <w:vertAlign w:val="superscript"/>
        </w:rPr>
        <w:footnoteReference w:id="133"/>
      </w:r>
      <w:r w:rsidRPr="002C2CAA">
        <w:rPr>
          <w:rFonts w:ascii="Times New Roman" w:eastAsia="Times New Roman" w:hAnsi="Times New Roman" w:cs="Times New Roman"/>
          <w:sz w:val="24"/>
          <w:szCs w:val="24"/>
        </w:rPr>
        <w:t xml:space="preserve"> In particular, depositors are no longer doing their banking through bricks and mortar retail outlets. This means that these traditional “retail outlets” are no longer the draw that they once were for depositors. In addition, as explained in the preceding section’s discussion of open banking, there are a host of non-bank providers of financial services that provide customers with the latest financial technologies. As </w:t>
      </w:r>
      <w:proofErr w:type="spellStart"/>
      <w:r w:rsidRPr="002C2CAA">
        <w:rPr>
          <w:rFonts w:ascii="Times New Roman" w:eastAsia="Times New Roman" w:hAnsi="Times New Roman" w:cs="Times New Roman"/>
          <w:sz w:val="24"/>
          <w:szCs w:val="24"/>
        </w:rPr>
        <w:t>Koont</w:t>
      </w:r>
      <w:proofErr w:type="spellEnd"/>
      <w:r w:rsidRPr="002C2CAA">
        <w:rPr>
          <w:rFonts w:ascii="Times New Roman" w:eastAsia="Times New Roman" w:hAnsi="Times New Roman" w:cs="Times New Roman"/>
          <w:sz w:val="24"/>
          <w:szCs w:val="24"/>
        </w:rPr>
        <w:t>, Santos and Zingales explain, banking has become mobile:</w:t>
      </w:r>
    </w:p>
    <w:p w14:paraId="330AF7D0"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46D1BC95" w14:textId="77777777" w:rsidR="002C2CAA" w:rsidRPr="002C2CAA" w:rsidRDefault="002C2CAA" w:rsidP="002C2CAA">
      <w:pPr>
        <w:spacing w:after="0" w:line="240" w:lineRule="auto"/>
        <w:ind w:left="1296" w:right="1296"/>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Since the Great Financial Crisis, over half of the roughly 4,000 existing banks have introduced a mobile app (</w:t>
      </w:r>
      <w:proofErr w:type="spellStart"/>
      <w:r w:rsidRPr="002C2CAA">
        <w:rPr>
          <w:rFonts w:ascii="Times New Roman" w:eastAsia="Times New Roman" w:hAnsi="Times New Roman" w:cs="Times New Roman"/>
          <w:sz w:val="24"/>
          <w:szCs w:val="24"/>
        </w:rPr>
        <w:t>Koont</w:t>
      </w:r>
      <w:proofErr w:type="spellEnd"/>
      <w:r w:rsidRPr="002C2CAA">
        <w:rPr>
          <w:rFonts w:ascii="Times New Roman" w:eastAsia="Times New Roman" w:hAnsi="Times New Roman" w:cs="Times New Roman"/>
          <w:sz w:val="24"/>
          <w:szCs w:val="24"/>
        </w:rPr>
        <w:t xml:space="preserve"> (2023)). Thus, moving money from a de-posit to a money market fund can be done with a single mouse click without leaving your sofa. As a result, it is reasonable to expect that the demand for bank deposits has become much more sensitive to the interest rates offered by alternative forms of liquidity storage (like money market funds), especially in banks with well-functioning digital platforms.</w:t>
      </w:r>
      <w:r w:rsidRPr="002C2CAA">
        <w:rPr>
          <w:rFonts w:ascii="Times New Roman" w:eastAsia="Times New Roman" w:hAnsi="Times New Roman" w:cs="Times New Roman"/>
          <w:sz w:val="24"/>
          <w:szCs w:val="24"/>
          <w:vertAlign w:val="superscript"/>
        </w:rPr>
        <w:footnoteReference w:id="134"/>
      </w:r>
    </w:p>
    <w:p w14:paraId="773C67AF"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63629052"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introduction of mobile banking has made deposits less sticky, and this reduction in stickiness “has reduced the franchise value of deposits and consequently (reduced) the stability of the banking sector.”</w:t>
      </w:r>
      <w:r w:rsidRPr="002C2CAA">
        <w:rPr>
          <w:rFonts w:ascii="Times New Roman" w:eastAsia="Times New Roman" w:hAnsi="Times New Roman" w:cs="Times New Roman"/>
          <w:sz w:val="24"/>
          <w:szCs w:val="24"/>
          <w:vertAlign w:val="superscript"/>
        </w:rPr>
        <w:footnoteReference w:id="135"/>
      </w:r>
      <w:r w:rsidRPr="002C2CAA">
        <w:rPr>
          <w:rFonts w:ascii="Times New Roman" w:eastAsia="Times New Roman" w:hAnsi="Times New Roman" w:cs="Times New Roman"/>
          <w:sz w:val="24"/>
          <w:szCs w:val="24"/>
        </w:rPr>
        <w:t xml:space="preserve"> Simply put, technology in the form of digital banking has drastically reduced the transaction costs of withdrawing money from a bank. Thus, bank runs are getting cheaper. As mobile banking becomes ever-more prevalent, we should expect to see banks becoming increasingly fragile and susceptible to runs, thereby further undermining the case for banks. As </w:t>
      </w:r>
      <w:proofErr w:type="spellStart"/>
      <w:r w:rsidRPr="002C2CAA">
        <w:rPr>
          <w:rFonts w:ascii="Times New Roman" w:eastAsia="Times New Roman" w:hAnsi="Times New Roman" w:cs="Times New Roman"/>
          <w:sz w:val="24"/>
          <w:szCs w:val="24"/>
        </w:rPr>
        <w:t>Koont</w:t>
      </w:r>
      <w:proofErr w:type="spellEnd"/>
      <w:r w:rsidRPr="002C2CAA">
        <w:rPr>
          <w:rFonts w:ascii="Times New Roman" w:eastAsia="Times New Roman" w:hAnsi="Times New Roman" w:cs="Times New Roman"/>
          <w:sz w:val="24"/>
          <w:szCs w:val="24"/>
        </w:rPr>
        <w:t>, Santos and Zingales point out, “digitalization,” or depositors’ ability to use technology to more easily access their funds and to move those funds out of banks and into brokerage accounts and money market funds “has important consequences for bank stability.”</w:t>
      </w:r>
      <w:r w:rsidRPr="002C2CAA">
        <w:rPr>
          <w:rFonts w:ascii="Times New Roman" w:eastAsia="Times New Roman" w:hAnsi="Times New Roman" w:cs="Times New Roman"/>
          <w:sz w:val="24"/>
          <w:szCs w:val="24"/>
          <w:vertAlign w:val="superscript"/>
        </w:rPr>
        <w:footnoteReference w:id="136"/>
      </w:r>
      <w:r w:rsidRPr="002C2CAA">
        <w:rPr>
          <w:rFonts w:ascii="Times New Roman" w:eastAsia="Times New Roman" w:hAnsi="Times New Roman" w:cs="Times New Roman"/>
          <w:sz w:val="24"/>
          <w:szCs w:val="24"/>
        </w:rPr>
        <w:t xml:space="preserve"> In particular, the presence of digital platforms and the ability of depositors to digitally link their bank accounts with their brokerage accounts “have made deposits more sensitive to increases in the deposit spread (the spread between interest rate paid on deposits and the interest rates available elsewhere) than before.”</w:t>
      </w:r>
      <w:r w:rsidRPr="002C2CAA">
        <w:rPr>
          <w:rFonts w:ascii="Times New Roman" w:eastAsia="Times New Roman" w:hAnsi="Times New Roman" w:cs="Times New Roman"/>
          <w:sz w:val="24"/>
          <w:szCs w:val="24"/>
          <w:vertAlign w:val="superscript"/>
        </w:rPr>
        <w:footnoteReference w:id="137"/>
      </w:r>
    </w:p>
    <w:p w14:paraId="57477B6B"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6C56ABB5"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The failure of Silicon Valley Bank as an example of the effects of digitalization on bank stability. The failure of Silicon Valley Bank in March 2023 is generally attributed to the decline in the market value of its large portfolio of long-term U.S. government securities, which were not marked to market on the Bank’s balance sheet due to the fact that SVB was intended to hold those assets to maturity. While it is true that the value of SBV’s portfolio of long-term securities declined in value as interest rates went up, it is important to recognize that these securities were not in danger of any sort of default or delay in meeting scheduled payments of interest or principal. Rather, SBV failed because it experienced a run. If SVB’s deposits had been sticky enough, the bank never would have failed. As </w:t>
      </w:r>
      <w:proofErr w:type="spellStart"/>
      <w:r w:rsidRPr="002C2CAA">
        <w:rPr>
          <w:rFonts w:ascii="Times New Roman" w:eastAsia="Times New Roman" w:hAnsi="Times New Roman" w:cs="Times New Roman"/>
          <w:sz w:val="24"/>
          <w:szCs w:val="24"/>
        </w:rPr>
        <w:t>Koont</w:t>
      </w:r>
      <w:proofErr w:type="spellEnd"/>
      <w:r w:rsidRPr="002C2CAA">
        <w:rPr>
          <w:rFonts w:ascii="Times New Roman" w:eastAsia="Times New Roman" w:hAnsi="Times New Roman" w:cs="Times New Roman"/>
          <w:sz w:val="24"/>
          <w:szCs w:val="24"/>
        </w:rPr>
        <w:t>, Santos and Zingales observe, SBV failed because it was a digital bank, whose depositors were not sticky. If SVB were a traditional bank, it would have remained solvent.</w:t>
      </w:r>
      <w:r w:rsidRPr="002C2CAA">
        <w:rPr>
          <w:rFonts w:ascii="Times New Roman" w:eastAsia="Times New Roman" w:hAnsi="Times New Roman" w:cs="Times New Roman"/>
          <w:sz w:val="24"/>
          <w:szCs w:val="24"/>
          <w:vertAlign w:val="superscript"/>
        </w:rPr>
        <w:footnoteReference w:id="138"/>
      </w:r>
      <w:r w:rsidRPr="002C2CAA">
        <w:rPr>
          <w:rFonts w:ascii="Times New Roman" w:eastAsia="Times New Roman" w:hAnsi="Times New Roman" w:cs="Times New Roman"/>
          <w:sz w:val="24"/>
          <w:szCs w:val="24"/>
        </w:rPr>
        <w:t xml:space="preserve"> Simply put, technology has made banks less stable, and it has made the rationale for combining long-term assets with short-term liabilities within the same banking organization less tenable.  </w:t>
      </w:r>
    </w:p>
    <w:p w14:paraId="540637E9"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0D9BDAE9"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An even more alarming effect of technology on the traditional economic model of banking relates to the role of social media in facilitating communication among depositors and undermining the traditional notion that demand deposits is a viable way to fund long term assets such as commercial loans. In a recent paper, Cookson, Fox, Gil-</w:t>
      </w:r>
      <w:proofErr w:type="spellStart"/>
      <w:r w:rsidRPr="002C2CAA">
        <w:rPr>
          <w:rFonts w:ascii="Times New Roman" w:eastAsia="Times New Roman" w:hAnsi="Times New Roman" w:cs="Times New Roman"/>
          <w:sz w:val="24"/>
          <w:szCs w:val="24"/>
        </w:rPr>
        <w:t>Bazo</w:t>
      </w:r>
      <w:proofErr w:type="spellEnd"/>
      <w:r w:rsidRPr="002C2CAA">
        <w:rPr>
          <w:rFonts w:ascii="Times New Roman" w:eastAsia="Times New Roman" w:hAnsi="Times New Roman" w:cs="Times New Roman"/>
          <w:sz w:val="24"/>
          <w:szCs w:val="24"/>
        </w:rPr>
        <w:t xml:space="preserve">, </w:t>
      </w:r>
      <w:proofErr w:type="spellStart"/>
      <w:r w:rsidRPr="002C2CAA">
        <w:rPr>
          <w:rFonts w:ascii="Times New Roman" w:eastAsia="Times New Roman" w:hAnsi="Times New Roman" w:cs="Times New Roman"/>
          <w:sz w:val="24"/>
          <w:szCs w:val="24"/>
        </w:rPr>
        <w:t>Imbet</w:t>
      </w:r>
      <w:proofErr w:type="spellEnd"/>
      <w:r w:rsidRPr="002C2CAA">
        <w:rPr>
          <w:rFonts w:ascii="Times New Roman" w:eastAsia="Times New Roman" w:hAnsi="Times New Roman" w:cs="Times New Roman"/>
          <w:sz w:val="24"/>
          <w:szCs w:val="24"/>
        </w:rPr>
        <w:t xml:space="preserve"> and Schiller investigate the impact of social media on the U.S. banking industry during the bank run on Silicon Valley Bank.</w:t>
      </w:r>
      <w:r w:rsidRPr="002C2CAA">
        <w:rPr>
          <w:rFonts w:ascii="Times New Roman" w:eastAsia="Times New Roman" w:hAnsi="Times New Roman" w:cs="Times New Roman"/>
          <w:sz w:val="24"/>
          <w:szCs w:val="24"/>
          <w:vertAlign w:val="superscript"/>
        </w:rPr>
        <w:footnoteReference w:id="139"/>
      </w:r>
      <w:r w:rsidRPr="002C2CAA">
        <w:rPr>
          <w:rFonts w:ascii="Times New Roman" w:eastAsia="Times New Roman" w:hAnsi="Times New Roman" w:cs="Times New Roman"/>
          <w:sz w:val="24"/>
          <w:szCs w:val="24"/>
        </w:rPr>
        <w:t xml:space="preserve"> Significantly, Cookson, Fox, Gil-</w:t>
      </w:r>
      <w:proofErr w:type="spellStart"/>
      <w:r w:rsidRPr="002C2CAA">
        <w:rPr>
          <w:rFonts w:ascii="Times New Roman" w:eastAsia="Times New Roman" w:hAnsi="Times New Roman" w:cs="Times New Roman"/>
          <w:sz w:val="24"/>
          <w:szCs w:val="24"/>
        </w:rPr>
        <w:t>Bazo</w:t>
      </w:r>
      <w:proofErr w:type="spellEnd"/>
      <w:r w:rsidRPr="002C2CAA">
        <w:rPr>
          <w:rFonts w:ascii="Times New Roman" w:eastAsia="Times New Roman" w:hAnsi="Times New Roman" w:cs="Times New Roman"/>
          <w:sz w:val="24"/>
          <w:szCs w:val="24"/>
        </w:rPr>
        <w:t xml:space="preserve">, </w:t>
      </w:r>
      <w:proofErr w:type="spellStart"/>
      <w:r w:rsidRPr="002C2CAA">
        <w:rPr>
          <w:rFonts w:ascii="Times New Roman" w:eastAsia="Times New Roman" w:hAnsi="Times New Roman" w:cs="Times New Roman"/>
          <w:sz w:val="24"/>
          <w:szCs w:val="24"/>
        </w:rPr>
        <w:t>Imbet</w:t>
      </w:r>
      <w:proofErr w:type="spellEnd"/>
      <w:r w:rsidRPr="002C2CAA">
        <w:rPr>
          <w:rFonts w:ascii="Times New Roman" w:eastAsia="Times New Roman" w:hAnsi="Times New Roman" w:cs="Times New Roman"/>
          <w:sz w:val="24"/>
          <w:szCs w:val="24"/>
        </w:rPr>
        <w:t xml:space="preserve"> and Schiller find that the “openness and speed” of coordinated social media engagement by depositors “contributed to the run on SVB </w:t>
      </w:r>
      <w:r w:rsidRPr="002C2CAA">
        <w:rPr>
          <w:rFonts w:ascii="Times New Roman" w:eastAsia="Times New Roman" w:hAnsi="Times New Roman" w:cs="Times New Roman"/>
          <w:i/>
          <w:sz w:val="24"/>
          <w:szCs w:val="24"/>
        </w:rPr>
        <w:t xml:space="preserve">and </w:t>
      </w:r>
      <w:r w:rsidRPr="002C2CAA">
        <w:rPr>
          <w:rFonts w:ascii="Times New Roman" w:eastAsia="Times New Roman" w:hAnsi="Times New Roman" w:cs="Times New Roman"/>
          <w:sz w:val="24"/>
          <w:szCs w:val="24"/>
        </w:rPr>
        <w:t>more importantly, social media amplified the severity of the episode for other banks.</w:t>
      </w:r>
      <w:r w:rsidRPr="002C2CAA">
        <w:rPr>
          <w:rFonts w:ascii="Times New Roman" w:eastAsia="Times New Roman" w:hAnsi="Times New Roman" w:cs="Times New Roman"/>
          <w:sz w:val="24"/>
          <w:szCs w:val="24"/>
          <w:vertAlign w:val="superscript"/>
        </w:rPr>
        <w:footnoteReference w:id="140"/>
      </w:r>
    </w:p>
    <w:p w14:paraId="2F29DA63"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73ABD537"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point is quite simple. It has long been understood that communication among depositors can play a role in instigating bank runs.</w:t>
      </w:r>
      <w:r w:rsidRPr="002C2CAA">
        <w:rPr>
          <w:rFonts w:ascii="Times New Roman" w:eastAsia="Times New Roman" w:hAnsi="Times New Roman" w:cs="Times New Roman"/>
          <w:sz w:val="24"/>
          <w:szCs w:val="24"/>
          <w:vertAlign w:val="superscript"/>
        </w:rPr>
        <w:footnoteReference w:id="141"/>
      </w:r>
      <w:r w:rsidRPr="002C2CAA">
        <w:rPr>
          <w:rFonts w:ascii="Times New Roman" w:eastAsia="Times New Roman" w:hAnsi="Times New Roman" w:cs="Times New Roman"/>
          <w:sz w:val="24"/>
          <w:szCs w:val="24"/>
        </w:rPr>
        <w:t xml:space="preserve"> As Goldstein and </w:t>
      </w:r>
      <w:proofErr w:type="spellStart"/>
      <w:r w:rsidRPr="002C2CAA">
        <w:rPr>
          <w:rFonts w:ascii="Times New Roman" w:eastAsia="Times New Roman" w:hAnsi="Times New Roman" w:cs="Times New Roman"/>
          <w:sz w:val="24"/>
          <w:szCs w:val="24"/>
        </w:rPr>
        <w:t>Pauzner</w:t>
      </w:r>
      <w:proofErr w:type="spellEnd"/>
      <w:r w:rsidRPr="002C2CAA">
        <w:rPr>
          <w:rFonts w:ascii="Times New Roman" w:eastAsia="Times New Roman" w:hAnsi="Times New Roman" w:cs="Times New Roman"/>
          <w:sz w:val="24"/>
          <w:szCs w:val="24"/>
        </w:rPr>
        <w:t xml:space="preserve"> have observed, banks fail, regardless of the bank’s balance sheet strength immediately preceding a bank run, whenever enough depositors collectively decide to withdraw their deposits.</w:t>
      </w:r>
      <w:r w:rsidRPr="002C2CAA">
        <w:rPr>
          <w:rFonts w:ascii="Times New Roman" w:eastAsia="Times New Roman" w:hAnsi="Times New Roman" w:cs="Times New Roman"/>
          <w:sz w:val="24"/>
          <w:szCs w:val="24"/>
          <w:vertAlign w:val="superscript"/>
        </w:rPr>
        <w:footnoteReference w:id="142"/>
      </w:r>
      <w:r w:rsidRPr="002C2CAA">
        <w:rPr>
          <w:rFonts w:ascii="Times New Roman" w:eastAsia="Times New Roman" w:hAnsi="Times New Roman" w:cs="Times New Roman"/>
          <w:sz w:val="24"/>
          <w:szCs w:val="24"/>
        </w:rPr>
        <w:t xml:space="preserve">  The failure is due to the fact that banks are unable to liquidate their assets fast enough and at high enough prices to enable them to meet their depositors’ demands for cash.  </w:t>
      </w:r>
    </w:p>
    <w:p w14:paraId="221F833D"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2DFA7023"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Social media platforms such as Twitter (now </w:t>
      </w:r>
      <w:r w:rsidRPr="002C2CAA">
        <w:rPr>
          <w:rFonts w:ascii="Times New Roman" w:eastAsia="Times New Roman" w:hAnsi="Times New Roman" w:cs="Times New Roman"/>
          <w:i/>
          <w:sz w:val="24"/>
          <w:szCs w:val="24"/>
        </w:rPr>
        <w:t>X</w:t>
      </w:r>
      <w:r w:rsidRPr="002C2CAA">
        <w:rPr>
          <w:rFonts w:ascii="Times New Roman" w:eastAsia="Times New Roman" w:hAnsi="Times New Roman" w:cs="Times New Roman"/>
          <w:sz w:val="24"/>
          <w:szCs w:val="24"/>
        </w:rPr>
        <w:t>) facilitate communication among various groups and permanent and temporary coalitions of people, including, it appears, among people whose money is on deposit at the same bank. Early academic work on bank runs has focused on the way that communications in group settings and by word of mouth within discrete social groups such as immigrant communities can cause financial contagion.</w:t>
      </w:r>
      <w:r w:rsidRPr="002C2CAA">
        <w:rPr>
          <w:rFonts w:ascii="Times New Roman" w:eastAsia="Times New Roman" w:hAnsi="Times New Roman" w:cs="Times New Roman"/>
          <w:sz w:val="24"/>
          <w:szCs w:val="24"/>
          <w:vertAlign w:val="superscript"/>
        </w:rPr>
        <w:footnoteReference w:id="143"/>
      </w:r>
      <w:r w:rsidRPr="002C2CAA">
        <w:rPr>
          <w:rFonts w:ascii="Times New Roman" w:eastAsia="Times New Roman" w:hAnsi="Times New Roman" w:cs="Times New Roman"/>
          <w:sz w:val="24"/>
          <w:szCs w:val="24"/>
        </w:rPr>
        <w:t xml:space="preserve"> But social media is, of course, much faster, more public, and more widely accessible than traditional forms of communication.</w:t>
      </w:r>
      <w:r w:rsidRPr="002C2CAA">
        <w:rPr>
          <w:rFonts w:ascii="Times New Roman" w:eastAsia="Times New Roman" w:hAnsi="Times New Roman" w:cs="Times New Roman"/>
          <w:sz w:val="24"/>
          <w:szCs w:val="24"/>
          <w:vertAlign w:val="superscript"/>
        </w:rPr>
        <w:footnoteReference w:id="144"/>
      </w:r>
      <w:r w:rsidRPr="002C2CAA">
        <w:rPr>
          <w:rFonts w:ascii="Times New Roman" w:eastAsia="Times New Roman" w:hAnsi="Times New Roman" w:cs="Times New Roman"/>
          <w:sz w:val="24"/>
          <w:szCs w:val="24"/>
        </w:rPr>
        <w:t xml:space="preserve">  </w:t>
      </w:r>
    </w:p>
    <w:p w14:paraId="7BACB24C"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2B4107AB"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Of course, television and radio has been around for a long time, and those mediums of communication reach very large audiences. However, these avenues of communication operate in only one direction, do not aggregate information from as many sources, and do not remain fixated on a particular, narrow subject for extended periods of times.</w:t>
      </w:r>
      <w:r w:rsidRPr="002C2CAA">
        <w:rPr>
          <w:rFonts w:ascii="Times New Roman" w:eastAsia="Times New Roman" w:hAnsi="Times New Roman" w:cs="Times New Roman"/>
          <w:sz w:val="24"/>
          <w:szCs w:val="24"/>
          <w:vertAlign w:val="superscript"/>
        </w:rPr>
        <w:footnoteReference w:id="145"/>
      </w:r>
      <w:r w:rsidRPr="002C2CAA">
        <w:rPr>
          <w:rFonts w:ascii="Times New Roman" w:eastAsia="Times New Roman" w:hAnsi="Times New Roman" w:cs="Times New Roman"/>
          <w:sz w:val="24"/>
          <w:szCs w:val="24"/>
        </w:rPr>
        <w:t xml:space="preserve">  Nevertheless, these more traditional forms of communication similarly have been shown to destabilize the banking system. For example, </w:t>
      </w:r>
      <w:proofErr w:type="spellStart"/>
      <w:r w:rsidRPr="002C2CAA">
        <w:rPr>
          <w:rFonts w:ascii="Times New Roman" w:eastAsia="Times New Roman" w:hAnsi="Times New Roman" w:cs="Times New Roman"/>
          <w:sz w:val="24"/>
          <w:szCs w:val="24"/>
        </w:rPr>
        <w:t>Ziebarth</w:t>
      </w:r>
      <w:proofErr w:type="spellEnd"/>
      <w:r w:rsidRPr="002C2CAA">
        <w:rPr>
          <w:rFonts w:ascii="Times New Roman" w:eastAsia="Times New Roman" w:hAnsi="Times New Roman" w:cs="Times New Roman"/>
          <w:sz w:val="24"/>
          <w:szCs w:val="24"/>
        </w:rPr>
        <w:t xml:space="preserve"> has shown that the as the fraction of people who received radio signals during the Great Depression experienced higher levels of banking stress, as measured by deposit withdrawals, between 1930 and 1933.</w:t>
      </w:r>
      <w:r w:rsidRPr="002C2CAA">
        <w:rPr>
          <w:rFonts w:ascii="Times New Roman" w:eastAsia="Times New Roman" w:hAnsi="Times New Roman" w:cs="Times New Roman"/>
          <w:sz w:val="24"/>
          <w:szCs w:val="24"/>
          <w:vertAlign w:val="superscript"/>
        </w:rPr>
        <w:footnoteReference w:id="146"/>
      </w:r>
      <w:r w:rsidRPr="002C2CAA">
        <w:rPr>
          <w:rFonts w:ascii="Times New Roman" w:eastAsia="Times New Roman" w:hAnsi="Times New Roman" w:cs="Times New Roman"/>
          <w:sz w:val="24"/>
          <w:szCs w:val="24"/>
        </w:rPr>
        <w:t xml:space="preserve">  </w:t>
      </w:r>
    </w:p>
    <w:p w14:paraId="78D000E9"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5EBFEA05"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available evidence is that social media increases the risk of bank runs of both insolvent and financially healthy banks.</w:t>
      </w:r>
      <w:r w:rsidRPr="002C2CAA">
        <w:rPr>
          <w:rFonts w:ascii="Times New Roman" w:eastAsia="Times New Roman" w:hAnsi="Times New Roman" w:cs="Times New Roman"/>
          <w:sz w:val="24"/>
          <w:szCs w:val="24"/>
          <w:vertAlign w:val="superscript"/>
        </w:rPr>
        <w:footnoteReference w:id="147"/>
      </w:r>
      <w:r w:rsidRPr="002C2CAA">
        <w:rPr>
          <w:rFonts w:ascii="Times New Roman" w:eastAsia="Times New Roman" w:hAnsi="Times New Roman" w:cs="Times New Roman"/>
          <w:sz w:val="24"/>
          <w:szCs w:val="24"/>
        </w:rPr>
        <w:t xml:space="preserve"> Around the time of the SVB collapse, rumors spread on social media about interest rate risk associated with insufficient hedging of interest rate risks, the decline in value of hold-to-maturity assets, and exposure to commercial real estate lending in various banks.</w:t>
      </w:r>
      <w:r w:rsidRPr="002C2CAA">
        <w:rPr>
          <w:rFonts w:ascii="Times New Roman" w:eastAsia="Times New Roman" w:hAnsi="Times New Roman" w:cs="Times New Roman"/>
          <w:sz w:val="24"/>
          <w:szCs w:val="24"/>
          <w:vertAlign w:val="superscript"/>
        </w:rPr>
        <w:footnoteReference w:id="148"/>
      </w:r>
      <w:r w:rsidRPr="002C2CAA">
        <w:rPr>
          <w:rFonts w:ascii="Times New Roman" w:eastAsia="Times New Roman" w:hAnsi="Times New Roman" w:cs="Times New Roman"/>
          <w:sz w:val="24"/>
          <w:szCs w:val="24"/>
        </w:rPr>
        <w:t xml:space="preserve"> The emergence of social media “amplifies classical bank run risks.”</w:t>
      </w:r>
      <w:r w:rsidRPr="002C2CAA">
        <w:rPr>
          <w:rFonts w:ascii="Times New Roman" w:eastAsia="Times New Roman" w:hAnsi="Times New Roman" w:cs="Times New Roman"/>
          <w:sz w:val="24"/>
          <w:szCs w:val="24"/>
          <w:vertAlign w:val="superscript"/>
        </w:rPr>
        <w:footnoteReference w:id="149"/>
      </w:r>
      <w:r w:rsidRPr="002C2CAA">
        <w:rPr>
          <w:rFonts w:ascii="Times New Roman" w:eastAsia="Times New Roman" w:hAnsi="Times New Roman" w:cs="Times New Roman"/>
          <w:sz w:val="24"/>
          <w:szCs w:val="24"/>
        </w:rPr>
        <w:t xml:space="preserve"> In particular, the more a bank is the focus of a conversation string on Twitter, the more susceptible the bank is to experiencing depositor withdrawals.</w:t>
      </w:r>
      <w:r w:rsidRPr="002C2CAA">
        <w:rPr>
          <w:rFonts w:ascii="Times New Roman" w:eastAsia="Times New Roman" w:hAnsi="Times New Roman" w:cs="Times New Roman"/>
          <w:sz w:val="24"/>
          <w:szCs w:val="24"/>
          <w:vertAlign w:val="superscript"/>
        </w:rPr>
        <w:footnoteReference w:id="150"/>
      </w:r>
      <w:r w:rsidRPr="002C2CAA">
        <w:rPr>
          <w:rFonts w:ascii="Times New Roman" w:eastAsia="Times New Roman" w:hAnsi="Times New Roman" w:cs="Times New Roman"/>
          <w:sz w:val="24"/>
          <w:szCs w:val="24"/>
        </w:rPr>
        <w:t xml:space="preserve"> Thus the emergence of social media, which “provides a means for individuals to coordinate and communicate beyond what older technologies allow,” increases bank run risk.</w:t>
      </w:r>
      <w:r w:rsidRPr="002C2CAA">
        <w:rPr>
          <w:rFonts w:ascii="Times New Roman" w:eastAsia="Times New Roman" w:hAnsi="Times New Roman" w:cs="Times New Roman"/>
          <w:sz w:val="24"/>
          <w:szCs w:val="24"/>
          <w:vertAlign w:val="superscript"/>
        </w:rPr>
        <w:footnoteReference w:id="151"/>
      </w:r>
    </w:p>
    <w:p w14:paraId="0381B9EE"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22C69975"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Just as the theoretical underpinnings of the checking account hypothesis are eroding, so too is the validity of the deposit franchise theory subject to increasing doubt.  The deposit franchise theory is based on the assumption that “deposits are ‘sticky,’ i.e. they are not very sensitive to movements” in interest rates.</w:t>
      </w:r>
      <w:r w:rsidRPr="002C2CAA">
        <w:rPr>
          <w:rFonts w:ascii="Times New Roman" w:eastAsia="Times New Roman" w:hAnsi="Times New Roman" w:cs="Times New Roman"/>
          <w:sz w:val="24"/>
          <w:szCs w:val="24"/>
          <w:vertAlign w:val="superscript"/>
        </w:rPr>
        <w:footnoteReference w:id="152"/>
      </w:r>
      <w:r w:rsidRPr="002C2CAA">
        <w:rPr>
          <w:rFonts w:ascii="Times New Roman" w:eastAsia="Times New Roman" w:hAnsi="Times New Roman" w:cs="Times New Roman"/>
          <w:sz w:val="24"/>
          <w:szCs w:val="24"/>
        </w:rPr>
        <w:t xml:space="preserve"> Here too, however, technology is undermining the validity of an historical hypothesis about the economics of banking.  Specifically, banking is becoming increasingly digital, and the availability of well-functioning digital mobile banking platforms has made deposits less sticky, and thereby “has reduced the franchise value of deposits and consequently the stability of the banking sector.”</w:t>
      </w:r>
      <w:r w:rsidRPr="002C2CAA">
        <w:rPr>
          <w:rFonts w:ascii="Times New Roman" w:eastAsia="Times New Roman" w:hAnsi="Times New Roman" w:cs="Times New Roman"/>
          <w:sz w:val="24"/>
          <w:szCs w:val="24"/>
          <w:vertAlign w:val="superscript"/>
        </w:rPr>
        <w:footnoteReference w:id="153"/>
      </w:r>
    </w:p>
    <w:p w14:paraId="37F9E79C"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093717CD" w14:textId="77777777" w:rsidR="002C2CAA" w:rsidRPr="002C2CAA" w:rsidRDefault="002C2CAA" w:rsidP="002C2CAA">
      <w:pPr>
        <w:numPr>
          <w:ilvl w:val="0"/>
          <w:numId w:val="5"/>
        </w:numPr>
        <w:spacing w:after="0" w:line="240" w:lineRule="auto"/>
        <w:contextualSpacing/>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 Commitment Lending: Lines of Credit and Loan Commitments</w:t>
      </w:r>
    </w:p>
    <w:p w14:paraId="2198DBEE"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003A05BE"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Alongside the Checking Account Hypothesis and the Deposit Franchise Hypothesis as explanations for tying together the traditional commercial banking activities of deposit-taking and lending is a more recent theory, developed by Anil Kashyap, Raghuram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Jeremy Stein, that there are synergies between deposit taking and lending because both of these activities require banks to hold large balances of liquid assets.</w:t>
      </w:r>
      <w:r w:rsidRPr="002C2CAA">
        <w:rPr>
          <w:rFonts w:ascii="Times New Roman" w:eastAsia="Times New Roman" w:hAnsi="Times New Roman" w:cs="Times New Roman"/>
          <w:sz w:val="24"/>
          <w:szCs w:val="24"/>
          <w:vertAlign w:val="superscript"/>
        </w:rPr>
        <w:footnoteReference w:id="154"/>
      </w:r>
      <w:r w:rsidRPr="002C2CAA">
        <w:rPr>
          <w:rFonts w:ascii="Times New Roman" w:eastAsia="Times New Roman" w:hAnsi="Times New Roman" w:cs="Times New Roman"/>
          <w:sz w:val="24"/>
          <w:szCs w:val="24"/>
        </w:rPr>
        <w:t xml:space="preserve"> Kashyap,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 usefully point out that a major role played by lending institutions involves providing corporate clients with lines of credit and loan commitments,</w:t>
      </w:r>
      <w:r w:rsidRPr="002C2CAA">
        <w:rPr>
          <w:rFonts w:ascii="Times New Roman" w:eastAsia="Times New Roman" w:hAnsi="Times New Roman" w:cs="Times New Roman"/>
          <w:sz w:val="24"/>
          <w:szCs w:val="24"/>
          <w:vertAlign w:val="superscript"/>
        </w:rPr>
        <w:t xml:space="preserve"> </w:t>
      </w:r>
      <w:r w:rsidRPr="002C2CAA">
        <w:rPr>
          <w:rFonts w:ascii="Times New Roman" w:eastAsia="Times New Roman" w:hAnsi="Times New Roman" w:cs="Times New Roman"/>
          <w:sz w:val="24"/>
          <w:szCs w:val="24"/>
          <w:vertAlign w:val="superscript"/>
        </w:rPr>
        <w:footnoteReference w:id="155"/>
      </w:r>
      <w:r w:rsidRPr="002C2CAA">
        <w:rPr>
          <w:rFonts w:ascii="Times New Roman" w:eastAsia="Times New Roman" w:hAnsi="Times New Roman" w:cs="Times New Roman"/>
          <w:sz w:val="24"/>
          <w:szCs w:val="24"/>
        </w:rPr>
        <w:t xml:space="preserve"> both of which give a borrower the option to receive a loan on demand over some specified period of time.</w:t>
      </w:r>
      <w:r w:rsidRPr="002C2CAA">
        <w:rPr>
          <w:rFonts w:ascii="Times New Roman" w:eastAsia="Times New Roman" w:hAnsi="Times New Roman" w:cs="Times New Roman"/>
          <w:sz w:val="24"/>
          <w:szCs w:val="24"/>
          <w:vertAlign w:val="superscript"/>
        </w:rPr>
        <w:footnoteReference w:id="156"/>
      </w:r>
    </w:p>
    <w:p w14:paraId="4CFAFA0D"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5357AF1F"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Kashyap,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 interestingly point out that loan commitments function like demand deposits in that a borrower who has access to a loan commitment or line of credit has immediate access to their funds: “the customer can show up and withdraw funds, and these withdrawals will be somewhat random from the bank’s perspective.”</w:t>
      </w:r>
      <w:r w:rsidRPr="002C2CAA">
        <w:rPr>
          <w:rFonts w:ascii="Times New Roman" w:eastAsia="Times New Roman" w:hAnsi="Times New Roman" w:cs="Times New Roman"/>
          <w:sz w:val="24"/>
          <w:szCs w:val="24"/>
          <w:vertAlign w:val="superscript"/>
        </w:rPr>
        <w:footnoteReference w:id="157"/>
      </w:r>
      <w:r w:rsidRPr="002C2CAA">
        <w:rPr>
          <w:rFonts w:ascii="Times New Roman" w:eastAsia="Times New Roman" w:hAnsi="Times New Roman" w:cs="Times New Roman"/>
          <w:sz w:val="24"/>
          <w:szCs w:val="24"/>
        </w:rPr>
        <w:t xml:space="preserve"> Thus, like demand deposits, loan commitments and lines of credit provide customers with liquidity on demand to accommodate unpredictable needs.</w:t>
      </w:r>
      <w:r w:rsidRPr="002C2CAA">
        <w:rPr>
          <w:rFonts w:ascii="Times New Roman" w:eastAsia="Times New Roman" w:hAnsi="Times New Roman" w:cs="Times New Roman"/>
          <w:sz w:val="24"/>
          <w:szCs w:val="24"/>
          <w:vertAlign w:val="superscript"/>
        </w:rPr>
        <w:footnoteReference w:id="158"/>
      </w:r>
    </w:p>
    <w:p w14:paraId="65E61DCA"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811ACF1"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The key to Kashyap,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Stein’s argument that there are efficiencies to combining lending and deposit-taking is that there are synergies in offering both loans and deposits “as long as deposit withdrawals and commitment takedowns are not too highly correlated.”</w:t>
      </w:r>
      <w:r w:rsidRPr="002C2CAA">
        <w:rPr>
          <w:rFonts w:ascii="Times New Roman" w:eastAsia="Times New Roman" w:hAnsi="Times New Roman" w:cs="Times New Roman"/>
          <w:sz w:val="24"/>
          <w:szCs w:val="24"/>
          <w:vertAlign w:val="superscript"/>
        </w:rPr>
        <w:footnoteReference w:id="159"/>
      </w:r>
      <w:r w:rsidRPr="002C2CAA">
        <w:rPr>
          <w:rFonts w:ascii="Times New Roman" w:eastAsia="Times New Roman" w:hAnsi="Times New Roman" w:cs="Times New Roman"/>
          <w:sz w:val="24"/>
          <w:szCs w:val="24"/>
        </w:rPr>
        <w:t xml:space="preserve"> The idea is that synergies arise to the extent that deposits flow into banks just as borrowers in need of liquidity emerge to takedown their previously committed lines of credit.  </w:t>
      </w:r>
    </w:p>
    <w:p w14:paraId="69247C3B"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37BEC5BE"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“main point” of this research is the rather strange assertion that deposit taking and lending are the same thing, “just two manifestations of the same function—the provision of liquidity on demand.”</w:t>
      </w:r>
      <w:r w:rsidRPr="002C2CAA">
        <w:rPr>
          <w:rFonts w:ascii="Times New Roman" w:eastAsia="Times New Roman" w:hAnsi="Times New Roman" w:cs="Times New Roman"/>
          <w:sz w:val="24"/>
          <w:szCs w:val="24"/>
          <w:vertAlign w:val="superscript"/>
        </w:rPr>
        <w:footnoteReference w:id="160"/>
      </w:r>
      <w:r w:rsidRPr="002C2CAA">
        <w:rPr>
          <w:rFonts w:ascii="Times New Roman" w:eastAsia="Times New Roman" w:hAnsi="Times New Roman" w:cs="Times New Roman"/>
          <w:sz w:val="24"/>
          <w:szCs w:val="24"/>
        </w:rPr>
        <w:t xml:space="preserve"> After all, a line of credit is “nothing more than a checking account with overdraft privileges, or a demand deposit with a negative balance.”</w:t>
      </w:r>
      <w:r w:rsidRPr="002C2CAA">
        <w:rPr>
          <w:rFonts w:ascii="Times New Roman" w:eastAsia="Times New Roman" w:hAnsi="Times New Roman" w:cs="Times New Roman"/>
          <w:sz w:val="24"/>
          <w:szCs w:val="24"/>
          <w:vertAlign w:val="superscript"/>
        </w:rPr>
        <w:footnoteReference w:id="161"/>
      </w:r>
      <w:r w:rsidRPr="002C2CAA">
        <w:rPr>
          <w:rFonts w:ascii="Times New Roman" w:eastAsia="Times New Roman" w:hAnsi="Times New Roman" w:cs="Times New Roman"/>
          <w:sz w:val="24"/>
          <w:szCs w:val="24"/>
        </w:rPr>
        <w:t xml:space="preserve"> This is true, as far as it goes. But the fact that a line of credit is like a checking account with overdraft privileges does not turn a line of credit into a checking. After all, balance sheets matter, especially to a firm’s creditors. When a depositor has a positive balance in their checking account, they are a creditor of the bank. When the bank balance turns negative, the depositor becomes a debtor rather than a creditor, and their account moves from the liability side of the bank’s balance sheet to the asset side. Being a creditor and debtor is not the same thing.  </w:t>
      </w:r>
    </w:p>
    <w:p w14:paraId="2CB4C97D"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2EA2947B"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Still, Kashyap,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Stein’s claim that there are synergies to offering both of these services together is creative and interesting.</w:t>
      </w:r>
      <w:r w:rsidRPr="002C2CAA">
        <w:rPr>
          <w:rFonts w:ascii="Times New Roman" w:eastAsia="Times New Roman" w:hAnsi="Times New Roman" w:cs="Times New Roman"/>
          <w:sz w:val="24"/>
          <w:szCs w:val="24"/>
          <w:vertAlign w:val="superscript"/>
        </w:rPr>
        <w:footnoteReference w:id="162"/>
      </w:r>
      <w:r w:rsidRPr="002C2CAA">
        <w:rPr>
          <w:rFonts w:ascii="Times New Roman" w:eastAsia="Times New Roman" w:hAnsi="Times New Roman" w:cs="Times New Roman"/>
          <w:sz w:val="24"/>
          <w:szCs w:val="24"/>
        </w:rPr>
        <w:t xml:space="preserve"> Their work provides another argument that “the institutional form of the commercial bank maybe attributable to real considerations or economic efficiency, rather than simply to historical accident or the distortions inherent in policies such as deposit insurance.”</w:t>
      </w:r>
      <w:r w:rsidRPr="002C2CAA">
        <w:rPr>
          <w:rFonts w:ascii="Times New Roman" w:eastAsia="Times New Roman" w:hAnsi="Times New Roman" w:cs="Times New Roman"/>
          <w:sz w:val="24"/>
          <w:szCs w:val="24"/>
          <w:vertAlign w:val="superscript"/>
        </w:rPr>
        <w:footnoteReference w:id="163"/>
      </w:r>
      <w:r w:rsidRPr="002C2CAA">
        <w:rPr>
          <w:rFonts w:ascii="Times New Roman" w:eastAsia="Times New Roman" w:hAnsi="Times New Roman" w:cs="Times New Roman"/>
          <w:sz w:val="24"/>
          <w:szCs w:val="24"/>
        </w:rPr>
        <w:t xml:space="preserve"> In support of their theory, Kashyap,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 show that “[a]</w:t>
      </w:r>
      <w:proofErr w:type="spellStart"/>
      <w:r w:rsidRPr="002C2CAA">
        <w:rPr>
          <w:rFonts w:ascii="Times New Roman" w:eastAsia="Times New Roman" w:hAnsi="Times New Roman" w:cs="Times New Roman"/>
          <w:sz w:val="24"/>
          <w:szCs w:val="24"/>
        </w:rPr>
        <w:t>pproximately</w:t>
      </w:r>
      <w:proofErr w:type="spellEnd"/>
      <w:r w:rsidRPr="002C2CAA">
        <w:rPr>
          <w:rFonts w:ascii="Times New Roman" w:eastAsia="Times New Roman" w:hAnsi="Times New Roman" w:cs="Times New Roman"/>
          <w:sz w:val="24"/>
          <w:szCs w:val="24"/>
        </w:rPr>
        <w:t xml:space="preserve"> 70 percent of banks’ lending is through lines of credit, with 31 percent coming from secured lines of credit. By comparison, only 51 percent of finance company lending is through lines of credit, and hardly any of these – just 5 percent are unsecured lines of credit.”</w:t>
      </w:r>
      <w:r w:rsidRPr="002C2CAA">
        <w:rPr>
          <w:rFonts w:ascii="Times New Roman" w:eastAsia="Times New Roman" w:hAnsi="Times New Roman" w:cs="Times New Roman"/>
          <w:sz w:val="24"/>
          <w:szCs w:val="24"/>
          <w:vertAlign w:val="superscript"/>
        </w:rPr>
        <w:footnoteReference w:id="164"/>
      </w:r>
    </w:p>
    <w:p w14:paraId="2E2704E2"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29F30F8B"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The observation that there are synergies in combining lending and deposit taking, however, merely establishes that there are benefits to combining these two activities. A complete analysis of the economic value of combining lending and deposit taking requires that one also consider the costs of these two activities. Unfortunately, Kashyap,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 do not consider the massive social costs associated with combining lending and deposit taking. </w:t>
      </w:r>
    </w:p>
    <w:p w14:paraId="6CA81F3C"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08C3358A"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Kashyap,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 are correct in pointing out that “[i]f we further assume for simplicity that commitment takedowns are perfectly negatively correlated with deposit withdrawals, it is clear that (banks) will have an advantage in competing with (finance companies and other non-bank lenders) because it does not have to add to its cash balance to offer this service.”</w:t>
      </w:r>
      <w:r w:rsidRPr="002C2CAA">
        <w:rPr>
          <w:rFonts w:ascii="Times New Roman" w:eastAsia="Times New Roman" w:hAnsi="Times New Roman" w:cs="Times New Roman"/>
          <w:sz w:val="24"/>
          <w:szCs w:val="24"/>
          <w:vertAlign w:val="superscript"/>
        </w:rPr>
        <w:footnoteReference w:id="165"/>
      </w:r>
      <w:r w:rsidRPr="002C2CAA">
        <w:rPr>
          <w:rFonts w:ascii="Times New Roman" w:eastAsia="Times New Roman" w:hAnsi="Times New Roman" w:cs="Times New Roman"/>
          <w:sz w:val="24"/>
          <w:szCs w:val="24"/>
        </w:rPr>
        <w:t xml:space="preserve">  </w:t>
      </w:r>
    </w:p>
    <w:p w14:paraId="43E9A29C"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75100C57"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In this regard, it is important to recognize that Kashyap,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 do not claim that deposit withdrawals and loan commitment takedowns are completely uncorrelated. Significantly, the authors argue: “Intuitively, a deposit-taking bank holds a buffer stock of cash and securities as a hedge against a state of the world where there are large deposit outflows. But in many other states, there are no deposit outflows, and the buffer stock just sits idle. If the buffer stock can instead be used to accommodate commitment takedowns in those states, efficiency will be enhanced.”</w:t>
      </w:r>
      <w:r w:rsidRPr="002C2CAA">
        <w:rPr>
          <w:rFonts w:ascii="Times New Roman" w:eastAsia="Times New Roman" w:hAnsi="Times New Roman" w:cs="Times New Roman"/>
          <w:sz w:val="24"/>
          <w:szCs w:val="24"/>
          <w:vertAlign w:val="superscript"/>
        </w:rPr>
        <w:footnoteReference w:id="166"/>
      </w:r>
      <w:r w:rsidRPr="002C2CAA">
        <w:rPr>
          <w:rFonts w:ascii="Times New Roman" w:eastAsia="Times New Roman" w:hAnsi="Times New Roman" w:cs="Times New Roman"/>
          <w:sz w:val="24"/>
          <w:szCs w:val="24"/>
        </w:rPr>
        <w:t xml:space="preserve">  </w:t>
      </w:r>
    </w:p>
    <w:p w14:paraId="03B6655D"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075B48BA"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In other words, </w:t>
      </w:r>
      <w:proofErr w:type="gramStart"/>
      <w:r w:rsidRPr="002C2CAA">
        <w:rPr>
          <w:rFonts w:ascii="Times New Roman" w:eastAsia="Times New Roman" w:hAnsi="Times New Roman" w:cs="Times New Roman"/>
          <w:sz w:val="24"/>
          <w:szCs w:val="24"/>
        </w:rPr>
        <w:t>it is clear that there</w:t>
      </w:r>
      <w:proofErr w:type="gramEnd"/>
      <w:r w:rsidRPr="002C2CAA">
        <w:rPr>
          <w:rFonts w:ascii="Times New Roman" w:eastAsia="Times New Roman" w:hAnsi="Times New Roman" w:cs="Times New Roman"/>
          <w:sz w:val="24"/>
          <w:szCs w:val="24"/>
        </w:rPr>
        <w:t xml:space="preserve"> are synergies between issuing loan commitments and credit lines where banks are holding deposits that can be used to fund these commitments and credit lines. And, to the extent that deposit withdrawals and commitment takedowns are negatively correlated, then banks will have cash from depositors when they need it, and they will not have to incur the costs of holding cash when they don’t need it. In other words, banking works fine </w:t>
      </w:r>
      <w:proofErr w:type="gramStart"/>
      <w:r w:rsidRPr="002C2CAA">
        <w:rPr>
          <w:rFonts w:ascii="Times New Roman" w:eastAsia="Times New Roman" w:hAnsi="Times New Roman" w:cs="Times New Roman"/>
          <w:sz w:val="24"/>
          <w:szCs w:val="24"/>
        </w:rPr>
        <w:t>as long as</w:t>
      </w:r>
      <w:proofErr w:type="gramEnd"/>
      <w:r w:rsidRPr="002C2CAA">
        <w:rPr>
          <w:rFonts w:ascii="Times New Roman" w:eastAsia="Times New Roman" w:hAnsi="Times New Roman" w:cs="Times New Roman"/>
          <w:sz w:val="24"/>
          <w:szCs w:val="24"/>
        </w:rPr>
        <w:t xml:space="preserve"> depositors put money into the bank when borrowers draw down their loan commitments. Unfortunately, things go awry when both depositors and borrowers decided that they want access to their cash simultaneously.  </w:t>
      </w:r>
    </w:p>
    <w:p w14:paraId="5401B3ED"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60607951"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Kashyap,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 ignore the implications of this inconvenient fact. Put simply, they possibility of a run on the bank does not exist in their analysis. But bank runs are a real problem in the absence of government-sponsored deposit insurance and constant supervision.  </w:t>
      </w:r>
    </w:p>
    <w:p w14:paraId="701AF9AE"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55E97F92"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In order for the combination of deposit taking and lending (including making loan commitments) to truly be considered efficient, the costs of the repeated bank failures that occur due to the admittedly unstable financial structure of banks must be lower than the efficiency benefits. If traditional banking were efficient, and if combining lending and deposit taking generated economic benefits in the form of synergies, then there would be no need to subsidize banks, and there would be no need to bail them out on a continuous basis.  </w:t>
      </w:r>
    </w:p>
    <w:p w14:paraId="79CFEB83"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388AFAE0"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Simply put, </w:t>
      </w:r>
      <w:proofErr w:type="spellStart"/>
      <w:r w:rsidRPr="002C2CAA">
        <w:rPr>
          <w:rFonts w:ascii="Times New Roman" w:eastAsia="Times New Roman" w:hAnsi="Times New Roman" w:cs="Times New Roman"/>
          <w:sz w:val="24"/>
          <w:szCs w:val="24"/>
        </w:rPr>
        <w:t>Kashap</w:t>
      </w:r>
      <w:proofErr w:type="spellEnd"/>
      <w:r w:rsidRPr="002C2CAA">
        <w:rPr>
          <w:rFonts w:ascii="Times New Roman" w:eastAsia="Times New Roman" w:hAnsi="Times New Roman" w:cs="Times New Roman"/>
          <w:sz w:val="24"/>
          <w:szCs w:val="24"/>
        </w:rPr>
        <w:t xml:space="preserve">,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 do not purport to show that combining deposit taking and loan commitments is always efficient, only that it is efficient sometimes. Specifically, it is efficient when deposit </w:t>
      </w:r>
      <w:proofErr w:type="gramStart"/>
      <w:r w:rsidRPr="002C2CAA">
        <w:rPr>
          <w:rFonts w:ascii="Times New Roman" w:eastAsia="Times New Roman" w:hAnsi="Times New Roman" w:cs="Times New Roman"/>
          <w:sz w:val="24"/>
          <w:szCs w:val="24"/>
        </w:rPr>
        <w:t>taking</w:t>
      </w:r>
      <w:proofErr w:type="gramEnd"/>
      <w:r w:rsidRPr="002C2CAA">
        <w:rPr>
          <w:rFonts w:ascii="Times New Roman" w:eastAsia="Times New Roman" w:hAnsi="Times New Roman" w:cs="Times New Roman"/>
          <w:sz w:val="24"/>
          <w:szCs w:val="24"/>
        </w:rPr>
        <w:t xml:space="preserve"> and commitment takedowns are not too highly correlated. Unfortunately, in the real world, banks fail when deposit </w:t>
      </w:r>
      <w:proofErr w:type="gramStart"/>
      <w:r w:rsidRPr="002C2CAA">
        <w:rPr>
          <w:rFonts w:ascii="Times New Roman" w:eastAsia="Times New Roman" w:hAnsi="Times New Roman" w:cs="Times New Roman"/>
          <w:sz w:val="24"/>
          <w:szCs w:val="24"/>
        </w:rPr>
        <w:t>taking</w:t>
      </w:r>
      <w:proofErr w:type="gramEnd"/>
      <w:r w:rsidRPr="002C2CAA">
        <w:rPr>
          <w:rFonts w:ascii="Times New Roman" w:eastAsia="Times New Roman" w:hAnsi="Times New Roman" w:cs="Times New Roman"/>
          <w:sz w:val="24"/>
          <w:szCs w:val="24"/>
        </w:rPr>
        <w:t xml:space="preserve"> and commitment takedowns become “too highly correlated.” And this happens whenever depositors want their money </w:t>
      </w:r>
      <w:proofErr w:type="gramStart"/>
      <w:r w:rsidRPr="002C2CAA">
        <w:rPr>
          <w:rFonts w:ascii="Times New Roman" w:eastAsia="Times New Roman" w:hAnsi="Times New Roman" w:cs="Times New Roman"/>
          <w:sz w:val="24"/>
          <w:szCs w:val="24"/>
        </w:rPr>
        <w:t>at the same time that</w:t>
      </w:r>
      <w:proofErr w:type="gramEnd"/>
      <w:r w:rsidRPr="002C2CAA">
        <w:rPr>
          <w:rFonts w:ascii="Times New Roman" w:eastAsia="Times New Roman" w:hAnsi="Times New Roman" w:cs="Times New Roman"/>
          <w:sz w:val="24"/>
          <w:szCs w:val="24"/>
        </w:rPr>
        <w:t xml:space="preserve"> borrowers want banks to make good on their loan commitments. In other words, the </w:t>
      </w:r>
      <w:proofErr w:type="spellStart"/>
      <w:r w:rsidRPr="002C2CAA">
        <w:rPr>
          <w:rFonts w:ascii="Times New Roman" w:eastAsia="Times New Roman" w:hAnsi="Times New Roman" w:cs="Times New Roman"/>
          <w:sz w:val="24"/>
          <w:szCs w:val="24"/>
        </w:rPr>
        <w:t>Kashap</w:t>
      </w:r>
      <w:proofErr w:type="spellEnd"/>
      <w:r w:rsidRPr="002C2CAA">
        <w:rPr>
          <w:rFonts w:ascii="Times New Roman" w:eastAsia="Times New Roman" w:hAnsi="Times New Roman" w:cs="Times New Roman"/>
          <w:sz w:val="24"/>
          <w:szCs w:val="24"/>
        </w:rPr>
        <w:t xml:space="preserve">,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 model ultimately depends on the deposit franchise acting effectively to keep depositors from withdrawing their funds.</w:t>
      </w:r>
      <w:r w:rsidRPr="002C2CAA">
        <w:rPr>
          <w:rFonts w:ascii="Times New Roman" w:eastAsia="Times New Roman" w:hAnsi="Times New Roman" w:cs="Times New Roman"/>
          <w:sz w:val="24"/>
          <w:szCs w:val="24"/>
          <w:vertAlign w:val="superscript"/>
        </w:rPr>
        <w:footnoteReference w:id="167"/>
      </w:r>
    </w:p>
    <w:p w14:paraId="46C727A2"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61485DE5"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In a world without deposit insurance and other government subsidies of banks, the costs associated with bank failures would be mostly borne by a bank’s shareholders. In such a world, banks should be free to take advantage of whatever synergies may arise when loan commitments and deposits are less than perfectly correlated. But in the real world, when the assumptions of the model no longer hold because borrowers and depositors demand cash simultaneously, it is taxpayers and local communities, generally are left holding the bag.</w:t>
      </w:r>
    </w:p>
    <w:p w14:paraId="3047178C"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325F2B47"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This Section of the Article has critiqued three justifications for combining lending and deposit taking.  </w:t>
      </w:r>
    </w:p>
    <w:p w14:paraId="080C1F55"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541ABFDE" w14:textId="77777777" w:rsidR="002C2CAA" w:rsidRPr="002C2CAA" w:rsidRDefault="002C2CAA" w:rsidP="002C2CAA">
      <w:pPr>
        <w:numPr>
          <w:ilvl w:val="0"/>
          <w:numId w:val="5"/>
        </w:numPr>
        <w:spacing w:after="0" w:line="240" w:lineRule="auto"/>
        <w:contextualSpacing/>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 Banks’ Provision of Transformation Services: Creating Liquidity</w:t>
      </w:r>
    </w:p>
    <w:p w14:paraId="213F8623"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1D09A211"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The combination of lending and deposit taking results in the transformation service of creating liquidity by financing illiquid assets (loans) with relatively liquid liabilities (deposits). The basic idea is very simple: loans are the lifeblood of business, particularly small businesses that do not have access to alternative sources of funding such as selling securities in the public capital markets. Because deposits fund loans, traditional banking is necessary. The liquidity transformation function has been called “the most subtle and probably the most important function of banks.”</w:t>
      </w:r>
      <w:r w:rsidRPr="002C2CAA">
        <w:rPr>
          <w:rFonts w:ascii="Times New Roman" w:eastAsia="Times New Roman" w:hAnsi="Times New Roman" w:cs="Times New Roman"/>
          <w:sz w:val="24"/>
          <w:szCs w:val="24"/>
          <w:vertAlign w:val="superscript"/>
        </w:rPr>
        <w:footnoteReference w:id="168"/>
      </w:r>
    </w:p>
    <w:p w14:paraId="159B263E"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7C16D79C"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Of course, it is clear that the provision of transformation services is what makes banks subject to runs in the first place.</w:t>
      </w:r>
      <w:r w:rsidRPr="002C2CAA">
        <w:rPr>
          <w:rFonts w:ascii="Times New Roman" w:eastAsia="Times New Roman" w:hAnsi="Times New Roman" w:cs="Times New Roman"/>
          <w:sz w:val="24"/>
          <w:szCs w:val="24"/>
          <w:vertAlign w:val="superscript"/>
        </w:rPr>
        <w:footnoteReference w:id="169"/>
      </w:r>
      <w:r w:rsidRPr="002C2CAA">
        <w:rPr>
          <w:rFonts w:ascii="Times New Roman" w:eastAsia="Times New Roman" w:hAnsi="Times New Roman" w:cs="Times New Roman"/>
          <w:sz w:val="24"/>
          <w:szCs w:val="24"/>
        </w:rPr>
        <w:t xml:space="preserve"> Thus, a key question in determining the ongoing social value of banks is whether individuals and businesses would have sufficient access to credit if lenders no longer funded their loans with demand deposits. It seems clear that, at least historically, the answer to this question was a resounding “no.” Instituting “narrow banking” (sometimes called “one hundred percent reserve banking”), which would eliminate the mismatch in assets and liabilities by requiring banks keep short-term, high quality liquid assets such as Treasury bills or interest-bearing Federal Reserve bank deposits has been proposed as a way of superior alternative to banks.</w:t>
      </w:r>
      <w:r w:rsidRPr="002C2CAA">
        <w:rPr>
          <w:rFonts w:ascii="Times New Roman" w:eastAsia="Times New Roman" w:hAnsi="Times New Roman" w:cs="Times New Roman"/>
          <w:sz w:val="24"/>
          <w:szCs w:val="24"/>
          <w:vertAlign w:val="superscript"/>
        </w:rPr>
        <w:footnoteReference w:id="170"/>
      </w:r>
      <w:r w:rsidRPr="002C2CAA">
        <w:rPr>
          <w:rFonts w:ascii="Times New Roman" w:eastAsia="Times New Roman" w:hAnsi="Times New Roman" w:cs="Times New Roman"/>
          <w:sz w:val="24"/>
          <w:szCs w:val="24"/>
        </w:rPr>
        <w:t xml:space="preserve">  </w:t>
      </w:r>
    </w:p>
    <w:p w14:paraId="135A79A1"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10F8D601"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Narrow banking has been criticized because it would make loans less available to a wide array of borrowers, “even borrowers who do not appear to be dependent on banks liquidity.”</w:t>
      </w:r>
      <w:r w:rsidRPr="002C2CAA">
        <w:rPr>
          <w:rFonts w:ascii="Times New Roman" w:eastAsia="Times New Roman" w:hAnsi="Times New Roman" w:cs="Times New Roman"/>
          <w:sz w:val="24"/>
          <w:szCs w:val="24"/>
          <w:vertAlign w:val="superscript"/>
        </w:rPr>
        <w:footnoteReference w:id="171"/>
      </w:r>
      <w:r w:rsidRPr="002C2CAA">
        <w:rPr>
          <w:rFonts w:ascii="Times New Roman" w:eastAsia="Times New Roman" w:hAnsi="Times New Roman" w:cs="Times New Roman"/>
          <w:sz w:val="24"/>
          <w:szCs w:val="24"/>
        </w:rPr>
        <w:t xml:space="preserve"> As Douglas Diamond and Philip </w:t>
      </w:r>
      <w:proofErr w:type="spellStart"/>
      <w:r w:rsidRPr="002C2CAA">
        <w:rPr>
          <w:rFonts w:ascii="Times New Roman" w:eastAsia="Times New Roman" w:hAnsi="Times New Roman" w:cs="Times New Roman"/>
          <w:sz w:val="24"/>
          <w:szCs w:val="24"/>
        </w:rPr>
        <w:t>Dyvig</w:t>
      </w:r>
      <w:proofErr w:type="spellEnd"/>
      <w:r w:rsidRPr="002C2CAA">
        <w:rPr>
          <w:rFonts w:ascii="Times New Roman" w:eastAsia="Times New Roman" w:hAnsi="Times New Roman" w:cs="Times New Roman"/>
          <w:sz w:val="24"/>
          <w:szCs w:val="24"/>
        </w:rPr>
        <w:t xml:space="preserve"> have explained:  </w:t>
      </w:r>
    </w:p>
    <w:p w14:paraId="3536A6E7"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0CADAAC9" w14:textId="77777777" w:rsidR="002C2CAA" w:rsidRPr="002C2CAA" w:rsidRDefault="002C2CAA" w:rsidP="002C2CAA">
      <w:pPr>
        <w:spacing w:after="0" w:line="240" w:lineRule="auto"/>
        <w:ind w:left="1296" w:right="1296"/>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Almost all corporations issuing commercial paper to raise short-term cash obtain backup lines of credit from banks. The line of credit gives the corporations an emergency source of funds to circumvent a potential liquidity crisis that could prevent them from rolling over their commercial paper. Firms that issue substantial quantities of commercial paper would be subject to runs (liquidity crises) when they tried to roll it over.  Similarly, existing money market funds themselves use banks as sources of liquidity: their assets often include large quantities of bank certificates of deposits.</w:t>
      </w:r>
      <w:r w:rsidRPr="002C2CAA">
        <w:rPr>
          <w:rFonts w:ascii="Times New Roman" w:eastAsia="Times New Roman" w:hAnsi="Times New Roman" w:cs="Times New Roman"/>
          <w:sz w:val="24"/>
          <w:szCs w:val="24"/>
          <w:vertAlign w:val="superscript"/>
        </w:rPr>
        <w:footnoteReference w:id="172"/>
      </w:r>
    </w:p>
    <w:p w14:paraId="7D7DA3B4"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57FE238E"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 xml:space="preserve">Diamond and </w:t>
      </w:r>
      <w:proofErr w:type="spellStart"/>
      <w:r w:rsidRPr="002C2CAA">
        <w:rPr>
          <w:rFonts w:ascii="Times New Roman" w:eastAsia="Times New Roman" w:hAnsi="Times New Roman" w:cs="Times New Roman"/>
          <w:sz w:val="24"/>
          <w:szCs w:val="24"/>
        </w:rPr>
        <w:t>Dybvig</w:t>
      </w:r>
      <w:proofErr w:type="spellEnd"/>
      <w:r w:rsidRPr="002C2CAA">
        <w:rPr>
          <w:rFonts w:ascii="Times New Roman" w:eastAsia="Times New Roman" w:hAnsi="Times New Roman" w:cs="Times New Roman"/>
          <w:sz w:val="24"/>
          <w:szCs w:val="24"/>
        </w:rPr>
        <w:t xml:space="preserve">, however, base their claim that a modern economy cannot exist without traditional banking (combining lending and deposit taking) simply by assuming that there are no substitutes for the lending function historically performed by banks. They may well have been right back in 1986 when they published their article making this argument. After all, loans are vital to the economy, so if deposits are necessary to fund loans, then we must avoid regulations that impeded the combination of lending and deposit taking.  </w:t>
      </w:r>
    </w:p>
    <w:p w14:paraId="4BA6DF78"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5BD7D31D"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In fact, non-depository institutions are neck and neck with banks in lending. Moreover, it has long been known that securitization of income-producing assets such as commercial and residential mortgage loan debt, credit card receivables, student loans, and automobile loans, enables banks to move loans off of their balance sheets and into the hands of investors.</w:t>
      </w:r>
      <w:r w:rsidRPr="002C2CAA">
        <w:rPr>
          <w:rFonts w:ascii="Times New Roman" w:eastAsia="Times New Roman" w:hAnsi="Times New Roman" w:cs="Times New Roman"/>
          <w:sz w:val="24"/>
          <w:szCs w:val="24"/>
          <w:vertAlign w:val="superscript"/>
        </w:rPr>
        <w:footnoteReference w:id="173"/>
      </w:r>
    </w:p>
    <w:p w14:paraId="01CAD52F"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p>
    <w:p w14:paraId="5D6110CA"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 xml:space="preserve"> In 2022 nonbanks accounted for over one-half (50.9 percent) of mortgage loans in 2022, and they accounted for 60.7 percent in 2021.</w:t>
      </w:r>
      <w:r w:rsidRPr="002C2CAA">
        <w:rPr>
          <w:rFonts w:ascii="Times New Roman" w:eastAsia="Times New Roman" w:hAnsi="Times New Roman" w:cs="Times New Roman"/>
          <w:sz w:val="24"/>
          <w:szCs w:val="24"/>
          <w:vertAlign w:val="superscript"/>
        </w:rPr>
        <w:footnoteReference w:id="174"/>
      </w:r>
      <w:r w:rsidRPr="002C2CAA">
        <w:rPr>
          <w:rFonts w:ascii="Times New Roman" w:eastAsia="Times New Roman" w:hAnsi="Times New Roman" w:cs="Times New Roman"/>
          <w:sz w:val="24"/>
          <w:szCs w:val="24"/>
        </w:rPr>
        <w:t xml:space="preserve"> Nonbank lenders similarly account for approximately one-half of the new credit extended to small businesses.</w:t>
      </w:r>
      <w:r w:rsidRPr="002C2CAA">
        <w:rPr>
          <w:rFonts w:ascii="Times New Roman" w:eastAsia="Times New Roman" w:hAnsi="Times New Roman" w:cs="Times New Roman"/>
          <w:sz w:val="24"/>
          <w:szCs w:val="24"/>
          <w:vertAlign w:val="superscript"/>
        </w:rPr>
        <w:footnoteReference w:id="175"/>
      </w:r>
      <w:r w:rsidRPr="002C2CAA">
        <w:rPr>
          <w:rFonts w:ascii="Times New Roman" w:eastAsia="Times New Roman" w:hAnsi="Times New Roman" w:cs="Times New Roman"/>
          <w:sz w:val="24"/>
          <w:szCs w:val="24"/>
        </w:rPr>
        <w:t xml:space="preserve"> At some points in recent history, as much as 70 percent of home mortgages were funded by nonbanks,</w:t>
      </w:r>
      <w:r w:rsidRPr="002C2CAA">
        <w:rPr>
          <w:rFonts w:ascii="Times New Roman" w:eastAsia="Times New Roman" w:hAnsi="Times New Roman" w:cs="Times New Roman"/>
          <w:sz w:val="24"/>
          <w:szCs w:val="24"/>
          <w:vertAlign w:val="superscript"/>
        </w:rPr>
        <w:footnoteReference w:id="176"/>
      </w:r>
      <w:r w:rsidRPr="002C2CAA">
        <w:rPr>
          <w:rFonts w:ascii="Times New Roman" w:eastAsia="Times New Roman" w:hAnsi="Times New Roman" w:cs="Times New Roman"/>
          <w:sz w:val="24"/>
          <w:szCs w:val="24"/>
        </w:rPr>
        <w:t xml:space="preserve"> and banks’ (including credit unions) share of the market was as low as 28 percent.</w:t>
      </w:r>
      <w:r w:rsidRPr="002C2CAA">
        <w:rPr>
          <w:rFonts w:ascii="Times New Roman" w:eastAsia="Times New Roman" w:hAnsi="Times New Roman" w:cs="Times New Roman"/>
          <w:sz w:val="24"/>
          <w:szCs w:val="24"/>
          <w:vertAlign w:val="superscript"/>
        </w:rPr>
        <w:footnoteReference w:id="177"/>
      </w:r>
    </w:p>
    <w:p w14:paraId="6FCDEF5F"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p>
    <w:p w14:paraId="4A65061F"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Other researchers have forcefully argued that the lending function traditionally carried on by commercial banks can be carried out by non-banks. Some sources estimate that banks’ share of business debt at less than 20 percent.</w:t>
      </w:r>
      <w:r w:rsidRPr="002C2CAA">
        <w:rPr>
          <w:rFonts w:ascii="Times New Roman" w:eastAsia="Times New Roman" w:hAnsi="Times New Roman" w:cs="Times New Roman"/>
          <w:sz w:val="24"/>
          <w:szCs w:val="24"/>
          <w:vertAlign w:val="superscript"/>
        </w:rPr>
        <w:footnoteReference w:id="178"/>
      </w:r>
      <w:r w:rsidRPr="002C2CAA">
        <w:rPr>
          <w:rFonts w:ascii="Times New Roman" w:eastAsia="Times New Roman" w:hAnsi="Times New Roman" w:cs="Times New Roman"/>
          <w:sz w:val="24"/>
          <w:szCs w:val="24"/>
        </w:rPr>
        <w:t xml:space="preserve"> Adam Levitin has argued that:</w:t>
      </w:r>
    </w:p>
    <w:p w14:paraId="20A8C1C8"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p>
    <w:p w14:paraId="051EEC6D" w14:textId="77777777" w:rsidR="002C2CAA" w:rsidRPr="002C2CAA" w:rsidRDefault="002C2CAA" w:rsidP="002C2CAA">
      <w:pPr>
        <w:tabs>
          <w:tab w:val="left" w:pos="720"/>
          <w:tab w:val="left" w:pos="1440"/>
          <w:tab w:val="left" w:pos="2160"/>
          <w:tab w:val="left" w:pos="2880"/>
          <w:tab w:val="left" w:pos="3844"/>
        </w:tabs>
        <w:spacing w:after="0" w:line="240" w:lineRule="auto"/>
        <w:ind w:left="1296" w:right="1296"/>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Capital markets are technically capable of assuming the entire Lending Function.  There is no need for banks to make loans. A shift of the Lending Function entirely to capital markets would require some institutional expansion within capital markets, but it is all technically feasible, and it would not be difficult to redeploy the human capital and technological expertise that currently exist at fractional reserve banks to non-depository money brokerages.</w:t>
      </w:r>
      <w:r w:rsidRPr="002C2CAA">
        <w:rPr>
          <w:rFonts w:ascii="Times New Roman" w:eastAsia="Times New Roman" w:hAnsi="Times New Roman" w:cs="Times New Roman"/>
          <w:sz w:val="24"/>
          <w:szCs w:val="24"/>
          <w:vertAlign w:val="superscript"/>
        </w:rPr>
        <w:footnoteReference w:id="179"/>
      </w:r>
    </w:p>
    <w:p w14:paraId="0E60D21D"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p>
    <w:p w14:paraId="33696513"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Professor Levitin observes that not only mortgages, but also the financing of non-mortgage consumer debt and non-financial corporate debt increasingly is coming from nonbanks.</w:t>
      </w:r>
      <w:r w:rsidRPr="002C2CAA">
        <w:rPr>
          <w:rFonts w:ascii="Times New Roman" w:eastAsia="Times New Roman" w:hAnsi="Times New Roman" w:cs="Times New Roman"/>
          <w:sz w:val="24"/>
          <w:szCs w:val="24"/>
          <w:vertAlign w:val="superscript"/>
        </w:rPr>
        <w:footnoteReference w:id="180"/>
      </w:r>
      <w:r w:rsidRPr="002C2CAA">
        <w:rPr>
          <w:rFonts w:ascii="Times New Roman" w:eastAsia="Times New Roman" w:hAnsi="Times New Roman" w:cs="Times New Roman"/>
          <w:sz w:val="24"/>
          <w:szCs w:val="24"/>
        </w:rPr>
        <w:t xml:space="preserve"> Business lending by nonbanks involves every segment of the market, including syndicated corporate loans, loans to middle-market firms and loans to small businesses.</w:t>
      </w:r>
      <w:r w:rsidRPr="002C2CAA">
        <w:rPr>
          <w:rFonts w:ascii="Times New Roman" w:eastAsia="Times New Roman" w:hAnsi="Times New Roman" w:cs="Times New Roman"/>
          <w:sz w:val="24"/>
          <w:szCs w:val="24"/>
          <w:vertAlign w:val="superscript"/>
        </w:rPr>
        <w:footnoteReference w:id="181"/>
      </w:r>
      <w:r w:rsidRPr="002C2CAA">
        <w:rPr>
          <w:rFonts w:ascii="Times New Roman" w:eastAsia="Times New Roman" w:hAnsi="Times New Roman" w:cs="Times New Roman"/>
          <w:sz w:val="24"/>
          <w:szCs w:val="24"/>
        </w:rPr>
        <w:t xml:space="preserve"> Thus, it is clear that “banks no longer play as important a financial intermediation role as they once did.”</w:t>
      </w:r>
      <w:r w:rsidRPr="002C2CAA">
        <w:rPr>
          <w:rFonts w:ascii="Times New Roman" w:eastAsia="Times New Roman" w:hAnsi="Times New Roman" w:cs="Times New Roman"/>
          <w:sz w:val="24"/>
          <w:szCs w:val="24"/>
          <w:vertAlign w:val="superscript"/>
        </w:rPr>
        <w:footnoteReference w:id="182"/>
      </w:r>
      <w:r w:rsidRPr="002C2CAA">
        <w:rPr>
          <w:rFonts w:ascii="Times New Roman" w:eastAsia="Times New Roman" w:hAnsi="Times New Roman" w:cs="Times New Roman"/>
          <w:sz w:val="24"/>
          <w:szCs w:val="24"/>
        </w:rPr>
        <w:t xml:space="preserve"> Interestingly, nonbank lenders, particularly nonbank online lenders appear to appeal disproportionately to Black and Hispanic owned firms.</w:t>
      </w:r>
      <w:r w:rsidRPr="002C2CAA">
        <w:rPr>
          <w:rFonts w:ascii="Times New Roman" w:eastAsia="Times New Roman" w:hAnsi="Times New Roman" w:cs="Times New Roman"/>
          <w:sz w:val="24"/>
          <w:szCs w:val="24"/>
          <w:vertAlign w:val="superscript"/>
        </w:rPr>
        <w:footnoteReference w:id="183"/>
      </w:r>
      <w:r w:rsidRPr="002C2CAA">
        <w:rPr>
          <w:rFonts w:ascii="Times New Roman" w:eastAsia="Times New Roman" w:hAnsi="Times New Roman" w:cs="Times New Roman"/>
          <w:sz w:val="24"/>
          <w:szCs w:val="24"/>
        </w:rPr>
        <w:t xml:space="preserve"> In fact, while there is evidence that both banks and non-bank FinTech firms discriminate against </w:t>
      </w:r>
      <w:proofErr w:type="spellStart"/>
      <w:r w:rsidRPr="002C2CAA">
        <w:rPr>
          <w:rFonts w:ascii="Times New Roman" w:eastAsia="Times New Roman" w:hAnsi="Times New Roman" w:cs="Times New Roman"/>
          <w:sz w:val="24"/>
          <w:szCs w:val="24"/>
        </w:rPr>
        <w:t>LatinX</w:t>
      </w:r>
      <w:proofErr w:type="spellEnd"/>
      <w:r w:rsidRPr="002C2CAA">
        <w:rPr>
          <w:rFonts w:ascii="Times New Roman" w:eastAsia="Times New Roman" w:hAnsi="Times New Roman" w:cs="Times New Roman"/>
          <w:sz w:val="24"/>
          <w:szCs w:val="24"/>
        </w:rPr>
        <w:t xml:space="preserve"> and African-American borrowers, FinTech firms appear to reduce rate disparities somewhat, particularly for FHA purchase loans and FHA refinance loans.</w:t>
      </w:r>
      <w:r w:rsidRPr="002C2CAA">
        <w:rPr>
          <w:rFonts w:ascii="Times New Roman" w:eastAsia="Times New Roman" w:hAnsi="Times New Roman" w:cs="Times New Roman"/>
          <w:sz w:val="24"/>
          <w:szCs w:val="24"/>
          <w:vertAlign w:val="superscript"/>
        </w:rPr>
        <w:footnoteReference w:id="184"/>
      </w:r>
      <w:r w:rsidRPr="002C2CAA">
        <w:rPr>
          <w:rFonts w:ascii="Times New Roman" w:eastAsia="Times New Roman" w:hAnsi="Times New Roman" w:cs="Times New Roman"/>
          <w:sz w:val="24"/>
          <w:szCs w:val="24"/>
        </w:rPr>
        <w:t xml:space="preserve"> Rejection rates appear to be about the same for minority and non-minority borrowers.</w:t>
      </w:r>
      <w:r w:rsidRPr="002C2CAA">
        <w:rPr>
          <w:rFonts w:ascii="Times New Roman" w:eastAsia="Times New Roman" w:hAnsi="Times New Roman" w:cs="Times New Roman"/>
          <w:sz w:val="24"/>
          <w:szCs w:val="24"/>
          <w:vertAlign w:val="superscript"/>
        </w:rPr>
        <w:footnoteReference w:id="185"/>
      </w:r>
      <w:r w:rsidRPr="002C2CAA">
        <w:rPr>
          <w:rFonts w:ascii="Times New Roman" w:eastAsia="Times New Roman" w:hAnsi="Times New Roman" w:cs="Times New Roman"/>
          <w:sz w:val="24"/>
          <w:szCs w:val="24"/>
        </w:rPr>
        <w:t xml:space="preserve">  </w:t>
      </w:r>
    </w:p>
    <w:p w14:paraId="6D5748C4"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p>
    <w:p w14:paraId="488F7041"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r>
      <w:proofErr w:type="gramStart"/>
      <w:r w:rsidRPr="002C2CAA">
        <w:rPr>
          <w:rFonts w:ascii="Times New Roman" w:eastAsia="Times New Roman" w:hAnsi="Times New Roman" w:cs="Times New Roman"/>
          <w:sz w:val="24"/>
          <w:szCs w:val="24"/>
        </w:rPr>
        <w:t>Other</w:t>
      </w:r>
      <w:proofErr w:type="gramEnd"/>
      <w:r w:rsidRPr="002C2CAA">
        <w:rPr>
          <w:rFonts w:ascii="Times New Roman" w:eastAsia="Times New Roman" w:hAnsi="Times New Roman" w:cs="Times New Roman"/>
          <w:sz w:val="24"/>
          <w:szCs w:val="24"/>
        </w:rPr>
        <w:t xml:space="preserve"> research has shown that: </w:t>
      </w:r>
    </w:p>
    <w:p w14:paraId="41D23A91"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p>
    <w:p w14:paraId="391D950F" w14:textId="77777777" w:rsidR="002C2CAA" w:rsidRPr="002C2CAA" w:rsidRDefault="002C2CAA" w:rsidP="002C2CAA">
      <w:pPr>
        <w:tabs>
          <w:tab w:val="left" w:pos="720"/>
          <w:tab w:val="left" w:pos="1440"/>
          <w:tab w:val="left" w:pos="2160"/>
          <w:tab w:val="left" w:pos="2880"/>
          <w:tab w:val="left" w:pos="3844"/>
        </w:tabs>
        <w:spacing w:after="0" w:line="240" w:lineRule="auto"/>
        <w:ind w:left="1296" w:right="1296"/>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Fintech firms are more likely than banks to offer mortgage credit to consumers with lower-income, lower-credit scores, and those who have been denied credit in the recent past. </w:t>
      </w:r>
      <w:proofErr w:type="spellStart"/>
      <w:r w:rsidRPr="002C2CAA">
        <w:rPr>
          <w:rFonts w:ascii="Times New Roman" w:eastAsia="Times New Roman" w:hAnsi="Times New Roman" w:cs="Times New Roman"/>
          <w:sz w:val="24"/>
          <w:szCs w:val="24"/>
        </w:rPr>
        <w:t>Fintechs</w:t>
      </w:r>
      <w:proofErr w:type="spellEnd"/>
      <w:r w:rsidRPr="002C2CAA">
        <w:rPr>
          <w:rFonts w:ascii="Times New Roman" w:eastAsia="Times New Roman" w:hAnsi="Times New Roman" w:cs="Times New Roman"/>
          <w:sz w:val="24"/>
          <w:szCs w:val="24"/>
        </w:rPr>
        <w:t xml:space="preserve"> are also more likely than banks to offer personal loans to consumers who had filed for bankruptcy (thus also more likely to receive credit card offers overall) and those who had recently been denied credit. For both personal loans and mortgage loans, fintech firms are more likely than other lenders to reach out and offer credit to nonprime consumers.</w:t>
      </w:r>
      <w:r w:rsidRPr="002C2CAA">
        <w:rPr>
          <w:rFonts w:ascii="Times New Roman" w:eastAsia="Times New Roman" w:hAnsi="Times New Roman" w:cs="Times New Roman"/>
          <w:sz w:val="24"/>
          <w:szCs w:val="24"/>
          <w:vertAlign w:val="superscript"/>
        </w:rPr>
        <w:footnoteReference w:id="186"/>
      </w:r>
    </w:p>
    <w:p w14:paraId="3EEC25C2" w14:textId="77777777" w:rsidR="002C2CAA" w:rsidRPr="002C2CAA" w:rsidRDefault="002C2CAA" w:rsidP="002C2CAA">
      <w:pPr>
        <w:tabs>
          <w:tab w:val="left" w:pos="720"/>
          <w:tab w:val="left" w:pos="1440"/>
          <w:tab w:val="left" w:pos="2160"/>
          <w:tab w:val="left" w:pos="2880"/>
          <w:tab w:val="left" w:pos="3844"/>
        </w:tabs>
        <w:spacing w:after="0" w:line="240" w:lineRule="auto"/>
        <w:ind w:right="1296"/>
        <w:jc w:val="both"/>
        <w:rPr>
          <w:rFonts w:ascii="Times New Roman" w:eastAsia="Times New Roman" w:hAnsi="Times New Roman" w:cs="Times New Roman"/>
          <w:sz w:val="24"/>
          <w:szCs w:val="24"/>
        </w:rPr>
      </w:pPr>
    </w:p>
    <w:p w14:paraId="04715DFE"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It appears that non-bank Fintech lenders outcompete banks in the market for lending to lower-income people with lower credit scores because of their ability to “leverage alternative data and more complex artificial intelligence/machine learning (AI/ML) modeling in their risk evaluation and pricing and in their fully digitized credit-decisioning process.”</w:t>
      </w:r>
      <w:r w:rsidRPr="002C2CAA">
        <w:rPr>
          <w:rFonts w:ascii="Times New Roman" w:eastAsia="Times New Roman" w:hAnsi="Times New Roman" w:cs="Times New Roman"/>
          <w:sz w:val="24"/>
          <w:szCs w:val="24"/>
          <w:vertAlign w:val="superscript"/>
        </w:rPr>
        <w:footnoteReference w:id="187"/>
      </w:r>
    </w:p>
    <w:p w14:paraId="0C2F9CF0"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p>
    <w:p w14:paraId="19A4577D"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Turning from the asset side of the bank balance sheet to the liability side of the balance sheet, the banking industry does not appear to have succeeded in providing transaction account services broadly throughout the population.</w:t>
      </w:r>
      <w:r w:rsidRPr="002C2CAA">
        <w:rPr>
          <w:rFonts w:ascii="Times New Roman" w:eastAsia="Times New Roman" w:hAnsi="Times New Roman" w:cs="Times New Roman"/>
          <w:sz w:val="24"/>
          <w:szCs w:val="24"/>
          <w:vertAlign w:val="superscript"/>
        </w:rPr>
        <w:footnoteReference w:id="188"/>
      </w:r>
      <w:r w:rsidRPr="002C2CAA">
        <w:rPr>
          <w:rFonts w:ascii="Times New Roman" w:eastAsia="Times New Roman" w:hAnsi="Times New Roman" w:cs="Times New Roman"/>
          <w:sz w:val="24"/>
          <w:szCs w:val="24"/>
        </w:rPr>
        <w:t xml:space="preserve"> Simply put, “[f]or low- and moderate-income people with few assets and some unpredictability in their income and expenses, banks simply don’t stack up well against check cashers and payday lenders.”</w:t>
      </w:r>
      <w:r w:rsidRPr="002C2CAA">
        <w:rPr>
          <w:rFonts w:ascii="Times New Roman" w:eastAsia="Times New Roman" w:hAnsi="Times New Roman" w:cs="Times New Roman"/>
          <w:sz w:val="24"/>
          <w:szCs w:val="24"/>
          <w:vertAlign w:val="superscript"/>
        </w:rPr>
        <w:footnoteReference w:id="189"/>
      </w:r>
      <w:r w:rsidRPr="002C2CAA">
        <w:rPr>
          <w:rFonts w:ascii="Times New Roman" w:eastAsia="Times New Roman" w:hAnsi="Times New Roman" w:cs="Times New Roman"/>
          <w:sz w:val="24"/>
          <w:szCs w:val="24"/>
        </w:rPr>
        <w:t xml:space="preserve"> This is because “banks are often costlier for the poor than check cashers or other alternative services.”</w:t>
      </w:r>
      <w:r w:rsidRPr="002C2CAA">
        <w:rPr>
          <w:rFonts w:ascii="Times New Roman" w:eastAsia="Times New Roman" w:hAnsi="Times New Roman" w:cs="Times New Roman"/>
          <w:sz w:val="24"/>
          <w:szCs w:val="24"/>
          <w:vertAlign w:val="superscript"/>
        </w:rPr>
        <w:footnoteReference w:id="190"/>
      </w:r>
    </w:p>
    <w:p w14:paraId="50BD2802"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p>
    <w:p w14:paraId="03B4A727"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As the Federal Reserve Board recently observed, “notable gaps in access to financial services still exist, particularly among those with low income, Black and Hispanic adults, and those with a disability.</w:t>
      </w:r>
      <w:r w:rsidRPr="002C2CAA">
        <w:rPr>
          <w:rFonts w:ascii="Times New Roman" w:eastAsia="Times New Roman" w:hAnsi="Times New Roman" w:cs="Times New Roman"/>
          <w:sz w:val="24"/>
          <w:szCs w:val="24"/>
          <w:vertAlign w:val="superscript"/>
        </w:rPr>
        <w:footnoteReference w:id="191"/>
      </w:r>
      <w:r w:rsidRPr="002C2CAA">
        <w:rPr>
          <w:rFonts w:ascii="Times New Roman" w:eastAsia="Times New Roman" w:hAnsi="Times New Roman" w:cs="Times New Roman"/>
          <w:sz w:val="24"/>
          <w:szCs w:val="24"/>
        </w:rPr>
        <w:t xml:space="preserve"> Six percent of adults in the U.S. were “unbanked” in 2022, meaning that neither they nor their spouse or partner had a checking, savings or money market account.”</w:t>
      </w:r>
      <w:r w:rsidRPr="002C2CAA">
        <w:rPr>
          <w:rFonts w:ascii="Times New Roman" w:eastAsia="Times New Roman" w:hAnsi="Times New Roman" w:cs="Times New Roman"/>
          <w:sz w:val="24"/>
          <w:szCs w:val="24"/>
          <w:vertAlign w:val="superscript"/>
        </w:rPr>
        <w:footnoteReference w:id="192"/>
      </w:r>
      <w:r w:rsidRPr="002C2CAA">
        <w:rPr>
          <w:rFonts w:ascii="Times New Roman" w:eastAsia="Times New Roman" w:hAnsi="Times New Roman" w:cs="Times New Roman"/>
          <w:sz w:val="24"/>
          <w:szCs w:val="24"/>
        </w:rPr>
        <w:t xml:space="preserve"> Of course poor people number disproportionately in the ranks of the unbanked, with seventeen percent of adults with income below $25,000.</w:t>
      </w:r>
      <w:r w:rsidRPr="002C2CAA">
        <w:rPr>
          <w:rFonts w:ascii="Times New Roman" w:eastAsia="Times New Roman" w:hAnsi="Times New Roman" w:cs="Times New Roman"/>
          <w:sz w:val="24"/>
          <w:szCs w:val="24"/>
          <w:vertAlign w:val="superscript"/>
        </w:rPr>
        <w:footnoteReference w:id="193"/>
      </w:r>
      <w:r w:rsidRPr="002C2CAA">
        <w:rPr>
          <w:rFonts w:ascii="Times New Roman" w:eastAsia="Times New Roman" w:hAnsi="Times New Roman" w:cs="Times New Roman"/>
          <w:sz w:val="24"/>
          <w:szCs w:val="24"/>
        </w:rPr>
        <w:t xml:space="preserve"> Members of minority groups and those with disabilities are also disproportionately unbanked.</w:t>
      </w:r>
      <w:r w:rsidRPr="002C2CAA">
        <w:rPr>
          <w:rFonts w:ascii="Times New Roman" w:eastAsia="Times New Roman" w:hAnsi="Times New Roman" w:cs="Times New Roman"/>
          <w:sz w:val="24"/>
          <w:szCs w:val="24"/>
          <w:vertAlign w:val="superscript"/>
        </w:rPr>
        <w:footnoteReference w:id="194"/>
      </w:r>
      <w:r w:rsidRPr="002C2CAA">
        <w:rPr>
          <w:rFonts w:ascii="Times New Roman" w:eastAsia="Times New Roman" w:hAnsi="Times New Roman" w:cs="Times New Roman"/>
          <w:sz w:val="24"/>
          <w:szCs w:val="24"/>
        </w:rPr>
        <w:t xml:space="preserve"> Discouragingly, it appears that the numbers of people in poor communities who are unbanked is going up, not down.</w:t>
      </w:r>
      <w:r w:rsidRPr="002C2CAA">
        <w:rPr>
          <w:rFonts w:ascii="Times New Roman" w:eastAsia="Times New Roman" w:hAnsi="Times New Roman" w:cs="Times New Roman"/>
          <w:sz w:val="24"/>
          <w:szCs w:val="24"/>
          <w:vertAlign w:val="superscript"/>
        </w:rPr>
        <w:footnoteReference w:id="195"/>
      </w:r>
    </w:p>
    <w:p w14:paraId="447D2F27"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p>
    <w:p w14:paraId="1186B68D"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Similarly, there appears to be little evidence that separating lending and deposit taking would reduce the supply of credit to high risk borrowers. In fact, firms with higher credit risks appear to be more likely to apply to nonbank lenders.</w:t>
      </w:r>
      <w:r w:rsidRPr="002C2CAA">
        <w:rPr>
          <w:rFonts w:ascii="Times New Roman" w:eastAsia="Times New Roman" w:hAnsi="Times New Roman" w:cs="Times New Roman"/>
          <w:sz w:val="24"/>
          <w:szCs w:val="24"/>
          <w:vertAlign w:val="superscript"/>
        </w:rPr>
        <w:footnoteReference w:id="196"/>
      </w:r>
      <w:r w:rsidRPr="002C2CAA">
        <w:rPr>
          <w:rFonts w:ascii="Times New Roman" w:eastAsia="Times New Roman" w:hAnsi="Times New Roman" w:cs="Times New Roman"/>
          <w:sz w:val="24"/>
          <w:szCs w:val="24"/>
        </w:rPr>
        <w:t xml:space="preserve"> Thus, there appears to be little if any support for the proposition that traditional banking is particularly effective in providing credit or access to transaction services to the poor or to historically marginalized groups.  </w:t>
      </w:r>
    </w:p>
    <w:p w14:paraId="7815E85B"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r>
    </w:p>
    <w:p w14:paraId="7B7FE08B"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The success of nonbank lending is particularly impressive in light of the fact that nonbank lenders are competing with traditional bank lenders whose costs are lower because they receive cheap funding from depositors whose claims are backed by the government sponsored deposit insurance program.</w:t>
      </w:r>
    </w:p>
    <w:p w14:paraId="73D62D81" w14:textId="77777777" w:rsidR="002C2CAA" w:rsidRPr="002C2CAA" w:rsidRDefault="002C2CAA" w:rsidP="002C2CAA">
      <w:pPr>
        <w:keepNext/>
        <w:spacing w:before="240" w:after="60" w:line="240" w:lineRule="auto"/>
        <w:ind w:left="720"/>
        <w:outlineLvl w:val="0"/>
        <w:rPr>
          <w:rFonts w:ascii="Times New Roman" w:eastAsia="MS Gothic" w:hAnsi="Times New Roman" w:cs="Times New Roman"/>
          <w:smallCaps/>
          <w:kern w:val="32"/>
          <w:sz w:val="24"/>
          <w:szCs w:val="24"/>
        </w:rPr>
      </w:pPr>
      <w:bookmarkStart w:id="45" w:name="_Toc160570736"/>
      <w:bookmarkStart w:id="46" w:name="_Toc161147154"/>
      <w:bookmarkStart w:id="47" w:name="_Toc161174424"/>
      <w:r w:rsidRPr="002C2CAA">
        <w:rPr>
          <w:rFonts w:ascii="Times New Roman" w:eastAsia="MS Gothic" w:hAnsi="Times New Roman" w:cs="Times New Roman"/>
          <w:smallCaps/>
          <w:kern w:val="32"/>
          <w:sz w:val="24"/>
          <w:szCs w:val="24"/>
        </w:rPr>
        <w:t>IV.  What is Left of the Argument that Combining lending and Deposit Taking is Efficient?</w:t>
      </w:r>
      <w:bookmarkEnd w:id="45"/>
      <w:bookmarkEnd w:id="46"/>
      <w:bookmarkEnd w:id="47"/>
    </w:p>
    <w:p w14:paraId="7A9C9530" w14:textId="77777777" w:rsidR="002C2CAA" w:rsidRPr="002C2CAA" w:rsidRDefault="002C2CAA" w:rsidP="002C2CAA">
      <w:pPr>
        <w:tabs>
          <w:tab w:val="left" w:pos="720"/>
          <w:tab w:val="left" w:pos="1440"/>
          <w:tab w:val="left" w:pos="2160"/>
          <w:tab w:val="left" w:pos="2880"/>
          <w:tab w:val="left" w:pos="3844"/>
        </w:tabs>
        <w:spacing w:after="0" w:line="240" w:lineRule="auto"/>
        <w:jc w:val="both"/>
        <w:rPr>
          <w:rFonts w:ascii="Times New Roman" w:eastAsia="Times New Roman" w:hAnsi="Times New Roman" w:cs="Times New Roman"/>
          <w:sz w:val="24"/>
          <w:szCs w:val="24"/>
        </w:rPr>
      </w:pPr>
    </w:p>
    <w:p w14:paraId="64143EDB"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 xml:space="preserve">Distilling the points made in the previous section, on inspection, the benefits of combining lending and deposit taking appear mostly ephemeral. Those benefits, which are largely ignored in the literature, are discussed here in more detail. First, and foremost it is worth noting that the articulated benefits of the maturity transformation that comes from combining lending and deposit taking are exclusively on the asset side of banks’ balance sheets. In other words, the synergies facilitate the lending function, not the deposit-taking function. To briefly summarize the literature discussed in the previous section, banks are alleged to benefit from combining lending and deposit taking either because of their superior access to information, or because of their ability to attract cheap funding, either through sticky deposits or deposits that are available to fund banks’ promises to make credit available to borrowers in the future. But </w:t>
      </w:r>
      <w:r w:rsidRPr="002C2CAA">
        <w:rPr>
          <w:rFonts w:ascii="Times New Roman" w:eastAsia="Times New Roman" w:hAnsi="Times New Roman" w:cs="Times New Roman"/>
          <w:i/>
          <w:sz w:val="24"/>
          <w:szCs w:val="24"/>
        </w:rPr>
        <w:t>depositors</w:t>
      </w:r>
      <w:r w:rsidRPr="002C2CAA">
        <w:rPr>
          <w:rFonts w:ascii="Times New Roman" w:eastAsia="Times New Roman" w:hAnsi="Times New Roman" w:cs="Times New Roman"/>
          <w:sz w:val="24"/>
          <w:szCs w:val="24"/>
        </w:rPr>
        <w:t xml:space="preserve"> do not appear to get much out of the deal, other than the opportunity to park their money in a very risky enterprise that relies on a massive panoply of government support for survival.</w:t>
      </w:r>
    </w:p>
    <w:p w14:paraId="77BC5177"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0E8E3061"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Second, the efficiency benefits from combining lending and deposit taking do not come from traditional lending, but from contingent lending in the form of loan commitments and lines of credit. Oddly, the economists who argue that deposit </w:t>
      </w:r>
      <w:proofErr w:type="gramStart"/>
      <w:r w:rsidRPr="002C2CAA">
        <w:rPr>
          <w:rFonts w:ascii="Times New Roman" w:eastAsia="Times New Roman" w:hAnsi="Times New Roman" w:cs="Times New Roman"/>
          <w:sz w:val="24"/>
          <w:szCs w:val="24"/>
        </w:rPr>
        <w:t>taking</w:t>
      </w:r>
      <w:proofErr w:type="gramEnd"/>
      <w:r w:rsidRPr="002C2CAA">
        <w:rPr>
          <w:rFonts w:ascii="Times New Roman" w:eastAsia="Times New Roman" w:hAnsi="Times New Roman" w:cs="Times New Roman"/>
          <w:sz w:val="24"/>
          <w:szCs w:val="24"/>
        </w:rPr>
        <w:t xml:space="preserve"> and lending are efficient defend their position simply by observing that there are benefits in the form of synergies and economies of scope from combining these functions. The problem with this framing, of course, is that it ignores the fact that there are costs as well as benefits from combining lending and deposit taking. As such, even if there are benefits from combining lending and deposit taking, </w:t>
      </w:r>
      <w:proofErr w:type="gramStart"/>
      <w:r w:rsidRPr="002C2CAA">
        <w:rPr>
          <w:rFonts w:ascii="Times New Roman" w:eastAsia="Times New Roman" w:hAnsi="Times New Roman" w:cs="Times New Roman"/>
          <w:sz w:val="24"/>
          <w:szCs w:val="24"/>
        </w:rPr>
        <w:t>in order to</w:t>
      </w:r>
      <w:proofErr w:type="gramEnd"/>
      <w:r w:rsidRPr="002C2CAA">
        <w:rPr>
          <w:rFonts w:ascii="Times New Roman" w:eastAsia="Times New Roman" w:hAnsi="Times New Roman" w:cs="Times New Roman"/>
          <w:sz w:val="24"/>
          <w:szCs w:val="24"/>
        </w:rPr>
        <w:t xml:space="preserve"> make the case that this combination is efficient, one must further consider whether these benefits equal the considerable costs of such a combination. This Section will elaborate on these observations.</w:t>
      </w:r>
    </w:p>
    <w:p w14:paraId="7FE2AD4F"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361FB91E" w14:textId="77777777" w:rsidR="002C2CAA" w:rsidRPr="002C2CAA" w:rsidRDefault="002C2CAA" w:rsidP="002C2CAA">
      <w:pPr>
        <w:numPr>
          <w:ilvl w:val="0"/>
          <w:numId w:val="9"/>
        </w:numPr>
        <w:spacing w:after="0" w:line="240" w:lineRule="auto"/>
        <w:contextualSpacing/>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Benefits of Combining Lending and Deposit Taking: </w:t>
      </w:r>
      <w:proofErr w:type="gramStart"/>
      <w:r w:rsidRPr="002C2CAA">
        <w:rPr>
          <w:rFonts w:ascii="Times New Roman" w:eastAsia="Times New Roman" w:hAnsi="Times New Roman" w:cs="Times New Roman"/>
          <w:sz w:val="24"/>
          <w:szCs w:val="24"/>
        </w:rPr>
        <w:t>the</w:t>
      </w:r>
      <w:proofErr w:type="gramEnd"/>
      <w:r w:rsidRPr="002C2CAA">
        <w:rPr>
          <w:rFonts w:ascii="Times New Roman" w:eastAsia="Times New Roman" w:hAnsi="Times New Roman" w:cs="Times New Roman"/>
          <w:sz w:val="24"/>
          <w:szCs w:val="24"/>
        </w:rPr>
        <w:t xml:space="preserve"> Liability Side of the Balance Sheet</w:t>
      </w:r>
    </w:p>
    <w:p w14:paraId="7A0D92D4"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75C6D489"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Even Diamond and </w:t>
      </w:r>
      <w:proofErr w:type="spellStart"/>
      <w:r w:rsidRPr="002C2CAA">
        <w:rPr>
          <w:rFonts w:ascii="Times New Roman" w:eastAsia="Times New Roman" w:hAnsi="Times New Roman" w:cs="Times New Roman"/>
          <w:sz w:val="24"/>
          <w:szCs w:val="24"/>
        </w:rPr>
        <w:t>Dybvig</w:t>
      </w:r>
      <w:proofErr w:type="spellEnd"/>
      <w:r w:rsidRPr="002C2CAA">
        <w:rPr>
          <w:rFonts w:ascii="Times New Roman" w:eastAsia="Times New Roman" w:hAnsi="Times New Roman" w:cs="Times New Roman"/>
          <w:sz w:val="24"/>
          <w:szCs w:val="24"/>
        </w:rPr>
        <w:t>, who are among the most ardent proponents of the view that combining lending and deposit taking is efficient, acknowledge the distinct possibility that banks appear to be “no longer needed for liability services” to depositors</w:t>
      </w:r>
      <w:r w:rsidRPr="002C2CAA">
        <w:rPr>
          <w:rFonts w:ascii="Times New Roman" w:eastAsia="Times New Roman" w:hAnsi="Times New Roman" w:cs="Times New Roman"/>
          <w:sz w:val="24"/>
          <w:szCs w:val="24"/>
          <w:vertAlign w:val="superscript"/>
        </w:rPr>
        <w:footnoteReference w:id="197"/>
      </w:r>
      <w:r w:rsidRPr="002C2CAA">
        <w:rPr>
          <w:rFonts w:ascii="Times New Roman" w:eastAsia="Times New Roman" w:hAnsi="Times New Roman" w:cs="Times New Roman"/>
          <w:sz w:val="24"/>
          <w:szCs w:val="24"/>
        </w:rPr>
        <w:t xml:space="preserve"> And, as discussed below, the emergence of money market mutual funds demonstrates decisively that financial firms can offer safe and reliable repositories for cash that is immediately available for withdrawal by investing “depositors’” funds in high-quality, liquid short-term securities, thereby drastically reducing credit and interest rate risk.</w:t>
      </w:r>
    </w:p>
    <w:p w14:paraId="67D47FFB"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5E3EB5E5"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 xml:space="preserve"> This is because “money market mutual funds, brokers’ asset management accounts and credit cards have competed more or less directly with the banks in the market for the provision of secure and liquid stores of funds and in the market for clearing transactions.”</w:t>
      </w:r>
      <w:r w:rsidRPr="002C2CAA">
        <w:rPr>
          <w:rFonts w:ascii="Times New Roman" w:eastAsia="Times New Roman" w:hAnsi="Times New Roman" w:cs="Times New Roman"/>
          <w:sz w:val="24"/>
          <w:szCs w:val="24"/>
          <w:vertAlign w:val="superscript"/>
        </w:rPr>
        <w:footnoteReference w:id="198"/>
      </w:r>
      <w:r w:rsidRPr="002C2CAA">
        <w:rPr>
          <w:rFonts w:ascii="Times New Roman" w:eastAsia="Times New Roman" w:hAnsi="Times New Roman" w:cs="Times New Roman"/>
          <w:sz w:val="24"/>
          <w:szCs w:val="24"/>
        </w:rPr>
        <w:t xml:space="preserve"> As is always the case, the key to understanding the way the world has changed lies in understanding the role of technology:</w:t>
      </w:r>
    </w:p>
    <w:p w14:paraId="26D4F9BF"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537DC8E9" w14:textId="77777777" w:rsidR="002C2CAA" w:rsidRPr="002C2CAA" w:rsidRDefault="002C2CAA" w:rsidP="002C2CAA">
      <w:pPr>
        <w:spacing w:after="0" w:line="240" w:lineRule="auto"/>
        <w:ind w:left="1296" w:right="1296"/>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Changes in the </w:t>
      </w:r>
      <w:proofErr w:type="gramStart"/>
      <w:r w:rsidRPr="002C2CAA">
        <w:rPr>
          <w:rFonts w:ascii="Times New Roman" w:eastAsia="Times New Roman" w:hAnsi="Times New Roman" w:cs="Times New Roman"/>
          <w:sz w:val="24"/>
          <w:szCs w:val="24"/>
        </w:rPr>
        <w:t>payments</w:t>
      </w:r>
      <w:proofErr w:type="gramEnd"/>
      <w:r w:rsidRPr="002C2CAA">
        <w:rPr>
          <w:rFonts w:ascii="Times New Roman" w:eastAsia="Times New Roman" w:hAnsi="Times New Roman" w:cs="Times New Roman"/>
          <w:sz w:val="24"/>
          <w:szCs w:val="24"/>
        </w:rPr>
        <w:t xml:space="preserve"> technology have weakened the link between the money supply and bank deposits. This fact has two implications for macroeconomics. One is that banks need not be so important to macroeconomics as they were before since close substitutes exist in the provision of payment and other liability services. The other (antithetical) implication is a potential policy goal of trying to repair the money supply linkage by tightening bank regulation and keeping nonbanks out of the liability service businesses.</w:t>
      </w:r>
      <w:r w:rsidRPr="002C2CAA">
        <w:rPr>
          <w:rFonts w:ascii="Times New Roman" w:eastAsia="Times New Roman" w:hAnsi="Times New Roman" w:cs="Times New Roman"/>
          <w:sz w:val="24"/>
          <w:szCs w:val="24"/>
          <w:vertAlign w:val="superscript"/>
        </w:rPr>
        <w:footnoteReference w:id="199"/>
      </w:r>
    </w:p>
    <w:p w14:paraId="1B917926"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r>
    </w:p>
    <w:p w14:paraId="36E16CDD"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In other words, moving to a narrow banking system, or otherwise preventing businesses that offer demand deposit accounts from making loans, would not inconvenience depositors or reduce people’s ability to find safe repositories for their cash. </w:t>
      </w:r>
      <w:proofErr w:type="gramStart"/>
      <w:r w:rsidRPr="002C2CAA">
        <w:rPr>
          <w:rFonts w:ascii="Times New Roman" w:eastAsia="Times New Roman" w:hAnsi="Times New Roman" w:cs="Times New Roman"/>
          <w:sz w:val="24"/>
          <w:szCs w:val="24"/>
        </w:rPr>
        <w:t>In particular, there</w:t>
      </w:r>
      <w:proofErr w:type="gramEnd"/>
      <w:r w:rsidRPr="002C2CAA">
        <w:rPr>
          <w:rFonts w:ascii="Times New Roman" w:eastAsia="Times New Roman" w:hAnsi="Times New Roman" w:cs="Times New Roman"/>
          <w:sz w:val="24"/>
          <w:szCs w:val="24"/>
        </w:rPr>
        <w:t xml:space="preserve"> is nothing that would prevent deposit insurance from being available for transaction accounts in narrow banks in precisely the same way as such insurance is available for transaction accounts at present. The only difference would be that the risks to the government of offering such insurance would be minimized.</w:t>
      </w:r>
    </w:p>
    <w:p w14:paraId="011A2DC2"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645A2C4A"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As I have argued previously, money market mutual funds serve as a superior substitute for the demand deposits issued by traditional banks.</w:t>
      </w:r>
      <w:r w:rsidRPr="002C2CAA">
        <w:rPr>
          <w:rFonts w:ascii="Times New Roman" w:eastAsia="Times New Roman" w:hAnsi="Times New Roman" w:cs="Times New Roman"/>
          <w:sz w:val="24"/>
          <w:szCs w:val="24"/>
          <w:vertAlign w:val="superscript"/>
        </w:rPr>
        <w:footnoteReference w:id="200"/>
      </w:r>
      <w:r w:rsidRPr="002C2CAA">
        <w:rPr>
          <w:rFonts w:ascii="Times New Roman" w:eastAsia="Times New Roman" w:hAnsi="Times New Roman" w:cs="Times New Roman"/>
          <w:sz w:val="24"/>
          <w:szCs w:val="24"/>
        </w:rPr>
        <w:t xml:space="preserve"> Money market mutual funds closely resemble narrow banks in that they offer transaction accounts but do not make commercial loans.</w:t>
      </w:r>
      <w:r w:rsidRPr="002C2CAA">
        <w:rPr>
          <w:rFonts w:ascii="Times New Roman" w:eastAsia="Times New Roman" w:hAnsi="Times New Roman" w:cs="Times New Roman"/>
          <w:sz w:val="24"/>
          <w:szCs w:val="24"/>
          <w:vertAlign w:val="superscript"/>
        </w:rPr>
        <w:footnoteReference w:id="201"/>
      </w:r>
      <w:r w:rsidRPr="002C2CAA">
        <w:rPr>
          <w:rFonts w:ascii="Times New Roman" w:eastAsia="Times New Roman" w:hAnsi="Times New Roman" w:cs="Times New Roman"/>
          <w:sz w:val="24"/>
          <w:szCs w:val="24"/>
        </w:rPr>
        <w:t xml:space="preserve"> Unlike a bank, however, the returns to investors in the mutual funds are not guaranteed by the fund itself. Rather, investors’ returns are a function of the performance of the assets in which the fund is invested. Thus, unlike bank deposits: </w:t>
      </w:r>
    </w:p>
    <w:p w14:paraId="7261F14A"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3272AA75" w14:textId="77777777" w:rsidR="002C2CAA" w:rsidRPr="002C2CAA" w:rsidRDefault="002C2CAA" w:rsidP="002C2CAA">
      <w:pPr>
        <w:spacing w:after="0" w:line="240" w:lineRule="auto"/>
        <w:ind w:left="1296" w:right="1296" w:firstLine="36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Shares in a mutual fund are not debt instruments. The fund does not promise to pay back the investor at any specified value, but rather commits to redeem investments based on the fund’s NAV at the time of redemption. Whereas banks set an administered rate, MMFs (money market mutual funds) provide a market return. Interests in a mutual fund are thus a form of demand equity rather than demand debt. This feature means that a run on mutual funds is unlikely (and helps explain why such runs have been quite rare when compared to bank products). Even if a customer hears troubling news about a mutual fund in which he or she has invested, there may be little advantage to redeeming shares immediately because he or she will receive only a pro rata share of NAV. There may be a marginal advantage nonetheless for participating in a run on a mutual fund because of concern that NAV will decrease during a run </w:t>
      </w:r>
      <w:proofErr w:type="gramStart"/>
      <w:r w:rsidRPr="002C2CAA">
        <w:rPr>
          <w:rFonts w:ascii="Times New Roman" w:eastAsia="Times New Roman" w:hAnsi="Times New Roman" w:cs="Times New Roman"/>
          <w:sz w:val="24"/>
          <w:szCs w:val="24"/>
        </w:rPr>
        <w:t>as a result of</w:t>
      </w:r>
      <w:proofErr w:type="gramEnd"/>
      <w:r w:rsidRPr="002C2CAA">
        <w:rPr>
          <w:rFonts w:ascii="Times New Roman" w:eastAsia="Times New Roman" w:hAnsi="Times New Roman" w:cs="Times New Roman"/>
          <w:sz w:val="24"/>
          <w:szCs w:val="24"/>
        </w:rPr>
        <w:t xml:space="preserve"> emergency liquidation of assets to meet customer demand. However, the highly safe asset base and highly liquid nature of MMFs – which are even more safe and more liquid under the SEC’s recent Rule 2a-7 amendments – make such liquidations extremely rare occurrences. Furthermore, the new rules give the boards of MMFs the ability to suspend redemptions if necessary.</w:t>
      </w:r>
      <w:r w:rsidRPr="002C2CAA">
        <w:rPr>
          <w:rFonts w:ascii="Times New Roman" w:eastAsia="Times New Roman" w:hAnsi="Times New Roman" w:cs="Times New Roman"/>
          <w:sz w:val="24"/>
          <w:szCs w:val="24"/>
          <w:vertAlign w:val="superscript"/>
        </w:rPr>
        <w:footnoteReference w:id="202"/>
      </w:r>
      <w:r w:rsidRPr="002C2CAA">
        <w:rPr>
          <w:rFonts w:ascii="Times New Roman" w:eastAsia="Times New Roman" w:hAnsi="Times New Roman" w:cs="Times New Roman"/>
          <w:sz w:val="24"/>
          <w:szCs w:val="24"/>
        </w:rPr>
        <w:t xml:space="preserve"> </w:t>
      </w:r>
    </w:p>
    <w:p w14:paraId="740206AB"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0CC6C8DB"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As a type of mutual fund, a money market mutual fund is an investment vehicle (organized as a corporation or a business trust) that raises capital by selling shares to investors, and uses the capital it raises to construct a portfolio of investments.</w:t>
      </w:r>
      <w:r w:rsidRPr="002C2CAA">
        <w:rPr>
          <w:rFonts w:ascii="Times New Roman" w:eastAsia="Times New Roman" w:hAnsi="Times New Roman" w:cs="Times New Roman"/>
          <w:sz w:val="24"/>
          <w:szCs w:val="24"/>
          <w:vertAlign w:val="superscript"/>
        </w:rPr>
        <w:footnoteReference w:id="203"/>
      </w:r>
      <w:r w:rsidRPr="002C2CAA">
        <w:rPr>
          <w:rFonts w:ascii="Times New Roman" w:eastAsia="Times New Roman" w:hAnsi="Times New Roman" w:cs="Times New Roman"/>
          <w:sz w:val="24"/>
          <w:szCs w:val="24"/>
        </w:rPr>
        <w:t xml:space="preserve"> The difference between money market mutual funds and other mutual funds is that money market mutual fund generally restrict their investments to short-term (one day to 397 day) debt obligations such as Treasury bills, federal agency notes, certificates of deposit, commercial paper and repurchase (“repo”) agreements.</w:t>
      </w:r>
      <w:r w:rsidRPr="002C2CAA">
        <w:rPr>
          <w:rFonts w:ascii="Times New Roman" w:eastAsia="Times New Roman" w:hAnsi="Times New Roman" w:cs="Times New Roman"/>
          <w:sz w:val="24"/>
          <w:szCs w:val="24"/>
          <w:vertAlign w:val="superscript"/>
        </w:rPr>
        <w:footnoteReference w:id="204"/>
      </w:r>
      <w:r w:rsidRPr="002C2CAA">
        <w:rPr>
          <w:rFonts w:ascii="Times New Roman" w:eastAsia="Times New Roman" w:hAnsi="Times New Roman" w:cs="Times New Roman"/>
          <w:sz w:val="24"/>
          <w:szCs w:val="24"/>
        </w:rPr>
        <w:t xml:space="preserve"> In addition, money market mutual funds “promise that investors can redeem their shares at any time at the price they purchased them for: typically a fixed NAV (net asset value, calculated as the market value of the assets money market mutual fund’s investments divided by the number of fund shares outstanding) of one dollar per share.”</w:t>
      </w:r>
      <w:r w:rsidRPr="002C2CAA">
        <w:rPr>
          <w:rFonts w:ascii="Times New Roman" w:eastAsia="Times New Roman" w:hAnsi="Times New Roman" w:cs="Times New Roman"/>
          <w:sz w:val="24"/>
          <w:szCs w:val="24"/>
          <w:vertAlign w:val="superscript"/>
        </w:rPr>
        <w:footnoteReference w:id="205"/>
      </w:r>
    </w:p>
    <w:p w14:paraId="4114416A"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11E60C4"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As Dan Awrey has observed:</w:t>
      </w:r>
    </w:p>
    <w:p w14:paraId="45731033"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6A415BED" w14:textId="77777777" w:rsidR="002C2CAA" w:rsidRPr="002C2CAA" w:rsidRDefault="002C2CAA" w:rsidP="002C2CAA">
      <w:pPr>
        <w:spacing w:after="0" w:line="240" w:lineRule="auto"/>
        <w:ind w:left="1296" w:right="1296" w:firstLine="36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MMFs (money market mutual funds) have also evolved to offer their investors the ability to write checks payable from the proceeds of redeeming their MMF shares. From the perspective of investors, it is this combination of a fixed NAV, the promise to redeem investors’ shares on demand, and potential access to the payment system that make MMF shares such close and attractive substitutes for conventional bank deposits.</w:t>
      </w:r>
      <w:r w:rsidRPr="002C2CAA">
        <w:rPr>
          <w:rFonts w:ascii="Times New Roman" w:eastAsia="Times New Roman" w:hAnsi="Times New Roman" w:cs="Times New Roman"/>
          <w:sz w:val="24"/>
          <w:szCs w:val="24"/>
          <w:vertAlign w:val="superscript"/>
        </w:rPr>
        <w:footnoteReference w:id="206"/>
      </w:r>
    </w:p>
    <w:p w14:paraId="68708669" w14:textId="77777777" w:rsidR="002C2CAA" w:rsidRPr="002C2CAA" w:rsidRDefault="002C2CAA" w:rsidP="002C2CAA">
      <w:pPr>
        <w:spacing w:after="0" w:line="240" w:lineRule="auto"/>
        <w:ind w:right="1296"/>
        <w:jc w:val="both"/>
        <w:rPr>
          <w:rFonts w:ascii="Times New Roman" w:eastAsia="Times New Roman" w:hAnsi="Times New Roman" w:cs="Times New Roman"/>
          <w:sz w:val="24"/>
          <w:szCs w:val="24"/>
        </w:rPr>
      </w:pPr>
    </w:p>
    <w:p w14:paraId="3FE158E4"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Thus, money market mutual funds provide investors with liquidity, a market-based rate of return, and safe-keeping of their principal. While money market mutual funds are clearly “substitutes for bank deposits,”</w:t>
      </w:r>
      <w:r w:rsidRPr="002C2CAA">
        <w:rPr>
          <w:rFonts w:ascii="Times New Roman" w:eastAsia="Times New Roman" w:hAnsi="Times New Roman" w:cs="Times New Roman"/>
          <w:sz w:val="24"/>
          <w:szCs w:val="24"/>
          <w:vertAlign w:val="superscript"/>
        </w:rPr>
        <w:footnoteReference w:id="207"/>
      </w:r>
      <w:r w:rsidRPr="002C2CAA">
        <w:rPr>
          <w:rFonts w:ascii="Times New Roman" w:eastAsia="Times New Roman" w:hAnsi="Times New Roman" w:cs="Times New Roman"/>
          <w:sz w:val="24"/>
          <w:szCs w:val="24"/>
        </w:rPr>
        <w:t xml:space="preserve"> they operate at a distinct competitive disadvantage to banks due to the fact that shares in money market mutual funds lack the deposit insurance protection for investors that bank depositors enjoy, and because various other regulations that limit money market mutual funds ability to compete with banks. In addition, money market mutual funds typically are less convenient than banks. Withdrawing or transferring money from a transaction account at a bank is virtually instantaneous. In contrast, “[t]</w:t>
      </w:r>
      <w:proofErr w:type="spellStart"/>
      <w:r w:rsidRPr="002C2CAA">
        <w:rPr>
          <w:rFonts w:ascii="Times New Roman" w:eastAsia="Times New Roman" w:hAnsi="Times New Roman" w:cs="Times New Roman"/>
          <w:sz w:val="24"/>
          <w:szCs w:val="24"/>
        </w:rPr>
        <w:t>ypically</w:t>
      </w:r>
      <w:proofErr w:type="spellEnd"/>
      <w:r w:rsidRPr="002C2CAA">
        <w:rPr>
          <w:rFonts w:ascii="Times New Roman" w:eastAsia="Times New Roman" w:hAnsi="Times New Roman" w:cs="Times New Roman"/>
          <w:sz w:val="24"/>
          <w:szCs w:val="24"/>
        </w:rPr>
        <w:t>, “it takes three to five business days to sell a money market mutual fund and transfer the money from your investment account to savings.”</w:t>
      </w:r>
      <w:r w:rsidRPr="002C2CAA">
        <w:rPr>
          <w:rFonts w:ascii="Times New Roman" w:eastAsia="Times New Roman" w:hAnsi="Times New Roman" w:cs="Times New Roman"/>
          <w:sz w:val="24"/>
          <w:szCs w:val="24"/>
          <w:vertAlign w:val="superscript"/>
        </w:rPr>
        <w:footnoteReference w:id="208"/>
      </w:r>
    </w:p>
    <w:p w14:paraId="431BE823"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20A5613B" w14:textId="77777777" w:rsidR="002C2CAA" w:rsidRPr="002C2CAA" w:rsidRDefault="002C2CAA" w:rsidP="002C2CAA">
      <w:pPr>
        <w:spacing w:after="0" w:line="240" w:lineRule="auto"/>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 xml:space="preserve">Nevertheless, money market mutual funds are remarkably successful in competing with banks. </w:t>
      </w:r>
      <w:r w:rsidRPr="002C2CAA">
        <w:rPr>
          <w:rFonts w:ascii="Times New Roman" w:eastAsia="Times New Roman" w:hAnsi="Times New Roman" w:cs="Times New Roman"/>
          <w:color w:val="0A0A0A"/>
          <w:spacing w:val="-7"/>
          <w:sz w:val="27"/>
          <w:szCs w:val="27"/>
          <w:shd w:val="clear" w:color="auto" w:fill="FEFEFE"/>
        </w:rPr>
        <w:t>In 2023 it was estimated that $17.269 trillion was on deposit at U.S. banks,</w:t>
      </w:r>
      <w:r w:rsidRPr="002C2CAA">
        <w:rPr>
          <w:rFonts w:ascii="Times New Roman" w:eastAsia="Times New Roman" w:hAnsi="Times New Roman" w:cs="Times New Roman"/>
          <w:color w:val="0A0A0A"/>
          <w:spacing w:val="-7"/>
          <w:sz w:val="27"/>
          <w:szCs w:val="27"/>
          <w:shd w:val="clear" w:color="auto" w:fill="FEFEFE"/>
          <w:vertAlign w:val="superscript"/>
        </w:rPr>
        <w:footnoteReference w:id="209"/>
      </w:r>
      <w:r w:rsidRPr="002C2CAA">
        <w:rPr>
          <w:rFonts w:ascii="Times New Roman" w:eastAsia="Times New Roman" w:hAnsi="Times New Roman" w:cs="Times New Roman"/>
          <w:color w:val="0A0A0A"/>
          <w:spacing w:val="-7"/>
          <w:sz w:val="27"/>
          <w:szCs w:val="27"/>
          <w:shd w:val="clear" w:color="auto" w:fill="FEFEFE"/>
        </w:rPr>
        <w:t xml:space="preserve"> while money market mutual funds reported outstanding fund values of $5.52 trillion.</w:t>
      </w:r>
      <w:r w:rsidRPr="002C2CAA">
        <w:rPr>
          <w:rFonts w:ascii="Times New Roman" w:eastAsia="Times New Roman" w:hAnsi="Times New Roman" w:cs="Times New Roman"/>
          <w:color w:val="0A0A0A"/>
          <w:spacing w:val="-7"/>
          <w:sz w:val="27"/>
          <w:szCs w:val="27"/>
          <w:shd w:val="clear" w:color="auto" w:fill="FEFEFE"/>
          <w:vertAlign w:val="superscript"/>
        </w:rPr>
        <w:footnoteReference w:id="210"/>
      </w:r>
    </w:p>
    <w:p w14:paraId="038FD819"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4061EB62"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 xml:space="preserve">Money market mutual funds strive to maintain a stable price and employ investment and valuation techniques that allow them to sell and redeem (purchase) shares for $1.00, even if there are variations in the capital markets. Money market mutual funds that market to retail investors have some regulatory flexibility in calculating their NAVs </w:t>
      </w:r>
      <w:proofErr w:type="gramStart"/>
      <w:r w:rsidRPr="002C2CAA">
        <w:rPr>
          <w:rFonts w:ascii="Times New Roman" w:eastAsia="Times New Roman" w:hAnsi="Times New Roman" w:cs="Times New Roman"/>
          <w:sz w:val="24"/>
          <w:szCs w:val="24"/>
        </w:rPr>
        <w:t>in order to</w:t>
      </w:r>
      <w:proofErr w:type="gramEnd"/>
      <w:r w:rsidRPr="002C2CAA">
        <w:rPr>
          <w:rFonts w:ascii="Times New Roman" w:eastAsia="Times New Roman" w:hAnsi="Times New Roman" w:cs="Times New Roman"/>
          <w:sz w:val="24"/>
          <w:szCs w:val="24"/>
        </w:rPr>
        <w:t xml:space="preserve"> allow them to maintain a stable $1.00 NAV in fluctuating markets. Institutional money market mutual funds currently are required to use a floating NAV.</w:t>
      </w:r>
    </w:p>
    <w:p w14:paraId="078FE034"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3598D6F3"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SEC Rule 2a-7 promulgated under the Investment Company Act imposes strict rules requiring money market mutual funds to hold sufficient liquid assets to meet foreseeable shareholder redemptions.</w:t>
      </w:r>
      <w:r w:rsidRPr="002C2CAA">
        <w:rPr>
          <w:rFonts w:ascii="Times New Roman" w:eastAsia="Times New Roman" w:hAnsi="Times New Roman" w:cs="Times New Roman"/>
          <w:sz w:val="24"/>
          <w:szCs w:val="24"/>
          <w:vertAlign w:val="superscript"/>
        </w:rPr>
        <w:footnoteReference w:id="211"/>
      </w:r>
      <w:r w:rsidRPr="002C2CAA">
        <w:rPr>
          <w:rFonts w:ascii="Times New Roman" w:eastAsia="Times New Roman" w:hAnsi="Times New Roman" w:cs="Times New Roman"/>
          <w:sz w:val="24"/>
          <w:szCs w:val="24"/>
        </w:rPr>
        <w:t xml:space="preserve"> The SEC also requires money market mutual funds to adopt “know your customer” policies and procedures to assure that funds undertake appropriate efforts to identify the risk characteristics of their investors in order to anticipate their likely liquidity requirements.</w:t>
      </w:r>
      <w:r w:rsidRPr="002C2CAA">
        <w:rPr>
          <w:rFonts w:ascii="Times New Roman" w:eastAsia="Times New Roman" w:hAnsi="Times New Roman" w:cs="Times New Roman"/>
          <w:sz w:val="24"/>
          <w:szCs w:val="24"/>
          <w:vertAlign w:val="superscript"/>
        </w:rPr>
        <w:footnoteReference w:id="212"/>
      </w:r>
      <w:r w:rsidRPr="002C2CAA">
        <w:rPr>
          <w:rFonts w:ascii="Times New Roman" w:eastAsia="Times New Roman" w:hAnsi="Times New Roman" w:cs="Times New Roman"/>
          <w:sz w:val="24"/>
          <w:szCs w:val="24"/>
        </w:rPr>
        <w:t xml:space="preserve">  </w:t>
      </w:r>
    </w:p>
    <w:p w14:paraId="437AFAA0"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p>
    <w:p w14:paraId="5FED9780"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Rules promulgated in July, 2023 require money market mutual funds to hold daily liquid assets and weekly liquid assets of 25 percent and 50 percent respectively.</w:t>
      </w:r>
      <w:r w:rsidRPr="002C2CAA">
        <w:rPr>
          <w:rFonts w:ascii="Times New Roman" w:eastAsia="Times New Roman" w:hAnsi="Times New Roman" w:cs="Times New Roman"/>
          <w:sz w:val="24"/>
          <w:szCs w:val="24"/>
          <w:vertAlign w:val="superscript"/>
        </w:rPr>
        <w:footnoteReference w:id="213"/>
      </w:r>
      <w:r w:rsidRPr="002C2CAA">
        <w:rPr>
          <w:rFonts w:ascii="Times New Roman" w:eastAsia="Times New Roman" w:hAnsi="Times New Roman" w:cs="Times New Roman"/>
          <w:sz w:val="24"/>
          <w:szCs w:val="24"/>
        </w:rPr>
        <w:t xml:space="preserve"> In addition, certain money market mutual funds designated as “institutional” funds are required to charge a mandatory liquidity fee on clients wishing to withdraw their money from the fund if the fund has total daily redemptions that exceed five percent of the fund’s net assets.</w:t>
      </w:r>
      <w:r w:rsidRPr="002C2CAA">
        <w:rPr>
          <w:rFonts w:ascii="Times New Roman" w:eastAsia="Times New Roman" w:hAnsi="Times New Roman" w:cs="Times New Roman"/>
          <w:sz w:val="24"/>
          <w:szCs w:val="24"/>
          <w:vertAlign w:val="superscript"/>
        </w:rPr>
        <w:footnoteReference w:id="214"/>
      </w:r>
      <w:r w:rsidRPr="002C2CAA">
        <w:rPr>
          <w:rFonts w:ascii="Times New Roman" w:eastAsia="Times New Roman" w:hAnsi="Times New Roman" w:cs="Times New Roman"/>
          <w:sz w:val="24"/>
          <w:szCs w:val="24"/>
        </w:rPr>
        <w:t xml:space="preserve"> As Dan Awrey has summarized other aspects of the regulation of money market mutual funds: “MMFs are subject to tight portfolio restrictions that limit their ability to invest in many of the most risky debt instruments. They are also required to maintain a stock of highly liquid assets for the purpose of honoring shareholder redemption requests.”</w:t>
      </w:r>
      <w:r w:rsidRPr="002C2CAA">
        <w:rPr>
          <w:rFonts w:ascii="Times New Roman" w:eastAsia="Times New Roman" w:hAnsi="Times New Roman" w:cs="Times New Roman"/>
          <w:sz w:val="24"/>
          <w:szCs w:val="24"/>
          <w:vertAlign w:val="superscript"/>
        </w:rPr>
        <w:footnoteReference w:id="215"/>
      </w:r>
    </w:p>
    <w:p w14:paraId="38D9FF5D"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1E2661E9"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While runs on money market mutual funds are rare, they do happen. In particular, there were runs on money market mutual funds during the 2007-2009 financial crisis and again during the Covid-19 pandemic.</w:t>
      </w:r>
      <w:r w:rsidRPr="002C2CAA">
        <w:rPr>
          <w:rFonts w:ascii="Times New Roman" w:eastAsia="Times New Roman" w:hAnsi="Times New Roman" w:cs="Times New Roman"/>
          <w:sz w:val="24"/>
          <w:szCs w:val="24"/>
          <w:vertAlign w:val="superscript"/>
        </w:rPr>
        <w:footnoteReference w:id="216"/>
      </w:r>
      <w:r w:rsidRPr="002C2CAA">
        <w:rPr>
          <w:rFonts w:ascii="Times New Roman" w:eastAsia="Times New Roman" w:hAnsi="Times New Roman" w:cs="Times New Roman"/>
          <w:sz w:val="24"/>
          <w:szCs w:val="24"/>
        </w:rPr>
        <w:t xml:space="preserve"> Some have argued that money market mutual funds are fragile,</w:t>
      </w:r>
      <w:r w:rsidRPr="002C2CAA">
        <w:rPr>
          <w:rFonts w:ascii="Times New Roman" w:eastAsia="Times New Roman" w:hAnsi="Times New Roman" w:cs="Times New Roman"/>
          <w:sz w:val="24"/>
          <w:szCs w:val="24"/>
          <w:vertAlign w:val="superscript"/>
        </w:rPr>
        <w:footnoteReference w:id="217"/>
      </w:r>
      <w:r w:rsidRPr="002C2CAA">
        <w:rPr>
          <w:rFonts w:ascii="Times New Roman" w:eastAsia="Times New Roman" w:hAnsi="Times New Roman" w:cs="Times New Roman"/>
          <w:sz w:val="24"/>
          <w:szCs w:val="24"/>
        </w:rPr>
        <w:t xml:space="preserve"> without providing any indication of what the term “fragility” means. If fragility simply means “subject to risk,” then of course they are fragile. A better question, though, is whether money market mutual funds are less fragile than banks, and </w:t>
      </w:r>
      <w:proofErr w:type="gramStart"/>
      <w:r w:rsidRPr="002C2CAA">
        <w:rPr>
          <w:rFonts w:ascii="Times New Roman" w:eastAsia="Times New Roman" w:hAnsi="Times New Roman" w:cs="Times New Roman"/>
          <w:sz w:val="24"/>
          <w:szCs w:val="24"/>
        </w:rPr>
        <w:t>clearly</w:t>
      </w:r>
      <w:proofErr w:type="gramEnd"/>
      <w:r w:rsidRPr="002C2CAA">
        <w:rPr>
          <w:rFonts w:ascii="Times New Roman" w:eastAsia="Times New Roman" w:hAnsi="Times New Roman" w:cs="Times New Roman"/>
          <w:sz w:val="24"/>
          <w:szCs w:val="24"/>
        </w:rPr>
        <w:t xml:space="preserve"> they are.  </w:t>
      </w:r>
    </w:p>
    <w:p w14:paraId="4186FA4A"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723CD022"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roofErr w:type="gramStart"/>
      <w:r w:rsidRPr="002C2CAA">
        <w:rPr>
          <w:rFonts w:ascii="Times New Roman" w:eastAsia="Times New Roman" w:hAnsi="Times New Roman" w:cs="Times New Roman"/>
          <w:sz w:val="24"/>
          <w:szCs w:val="24"/>
        </w:rPr>
        <w:t>In particular, even</w:t>
      </w:r>
      <w:proofErr w:type="gramEnd"/>
      <w:r w:rsidRPr="002C2CAA">
        <w:rPr>
          <w:rFonts w:ascii="Times New Roman" w:eastAsia="Times New Roman" w:hAnsi="Times New Roman" w:cs="Times New Roman"/>
          <w:sz w:val="24"/>
          <w:szCs w:val="24"/>
        </w:rPr>
        <w:t xml:space="preserve"> when MMFs “break the buck” they do not impose significant losses on investors. The most famous example of a run on a money market mutual fund was the run on the Reserve Primary Fund, which was only the second time in history that a money market mutual funds’ NAV fell below $1.00 since the invention of the product in 1971.</w:t>
      </w:r>
      <w:r w:rsidRPr="002C2CAA">
        <w:rPr>
          <w:rFonts w:ascii="Times New Roman" w:eastAsia="Times New Roman" w:hAnsi="Times New Roman" w:cs="Times New Roman"/>
          <w:sz w:val="24"/>
          <w:szCs w:val="24"/>
          <w:vertAlign w:val="superscript"/>
        </w:rPr>
        <w:footnoteReference w:id="218"/>
      </w:r>
      <w:r w:rsidRPr="002C2CAA">
        <w:rPr>
          <w:rFonts w:ascii="Times New Roman" w:eastAsia="Times New Roman" w:hAnsi="Times New Roman" w:cs="Times New Roman"/>
          <w:sz w:val="24"/>
          <w:szCs w:val="24"/>
        </w:rPr>
        <w:t xml:space="preserve"> Reserve Primary Fund had a substantial investment in the short-term debt of Lehman Brothers, and when Lehman fell, the Reserve Primary Fund experienced a spate </w:t>
      </w:r>
      <w:proofErr w:type="spellStart"/>
      <w:r w:rsidRPr="002C2CAA">
        <w:rPr>
          <w:rFonts w:ascii="Times New Roman" w:eastAsia="Times New Roman" w:hAnsi="Times New Roman" w:cs="Times New Roman"/>
          <w:sz w:val="24"/>
          <w:szCs w:val="24"/>
        </w:rPr>
        <w:t>o</w:t>
      </w:r>
      <w:proofErr w:type="spellEnd"/>
      <w:r w:rsidRPr="002C2CAA">
        <w:rPr>
          <w:rFonts w:ascii="Times New Roman" w:eastAsia="Times New Roman" w:hAnsi="Times New Roman" w:cs="Times New Roman"/>
          <w:sz w:val="24"/>
          <w:szCs w:val="24"/>
        </w:rPr>
        <w:t xml:space="preserve"> redemption requests from investors. Importantly, when the Reserve Primary Fund ultimately was liquidated and a final payout was made to investors, investors received more than $0.99 per share, a figure vanishingly close to the $1.00 NAV goal.</w:t>
      </w:r>
      <w:r w:rsidRPr="002C2CAA">
        <w:rPr>
          <w:rFonts w:ascii="Times New Roman" w:eastAsia="Times New Roman" w:hAnsi="Times New Roman" w:cs="Times New Roman"/>
          <w:sz w:val="24"/>
          <w:szCs w:val="24"/>
          <w:vertAlign w:val="superscript"/>
        </w:rPr>
        <w:footnoteReference w:id="219"/>
      </w:r>
    </w:p>
    <w:p w14:paraId="22098DBB"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p>
    <w:p w14:paraId="638F0FA1" w14:textId="77777777" w:rsidR="002C2CAA" w:rsidRPr="002C2CAA" w:rsidRDefault="002C2CAA" w:rsidP="002C2CAA">
      <w:pPr>
        <w:spacing w:after="0" w:line="240" w:lineRule="auto"/>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 xml:space="preserve">The point is that there is no doubt that the risks to a government insurer from providing a government backstop to insure funds held in money market mutual funds are substantially less than the risks to the government from providing deposit insurance on traditional bank deposits. Gary Gorton and Andrew </w:t>
      </w:r>
      <w:proofErr w:type="spellStart"/>
      <w:r w:rsidRPr="002C2CAA">
        <w:rPr>
          <w:rFonts w:ascii="Times New Roman" w:eastAsia="Times New Roman" w:hAnsi="Times New Roman" w:cs="Times New Roman"/>
          <w:sz w:val="24"/>
          <w:szCs w:val="24"/>
        </w:rPr>
        <w:t>Metrick</w:t>
      </w:r>
      <w:proofErr w:type="spellEnd"/>
      <w:r w:rsidRPr="002C2CAA">
        <w:rPr>
          <w:rFonts w:ascii="Times New Roman" w:eastAsia="Times New Roman" w:hAnsi="Times New Roman" w:cs="Times New Roman"/>
          <w:sz w:val="24"/>
          <w:szCs w:val="24"/>
        </w:rPr>
        <w:t>,</w:t>
      </w:r>
      <w:r w:rsidRPr="002C2CAA">
        <w:rPr>
          <w:rFonts w:ascii="Times New Roman" w:eastAsia="Times New Roman" w:hAnsi="Times New Roman" w:cs="Times New Roman"/>
          <w:sz w:val="24"/>
          <w:szCs w:val="24"/>
          <w:vertAlign w:val="superscript"/>
        </w:rPr>
        <w:t xml:space="preserve"> </w:t>
      </w:r>
      <w:r w:rsidRPr="002C2CAA">
        <w:rPr>
          <w:rFonts w:ascii="Times New Roman" w:eastAsia="Times New Roman" w:hAnsi="Times New Roman" w:cs="Times New Roman"/>
          <w:sz w:val="24"/>
          <w:szCs w:val="24"/>
          <w:vertAlign w:val="superscript"/>
        </w:rPr>
        <w:footnoteReference w:id="220"/>
      </w:r>
      <w:r w:rsidRPr="002C2CAA">
        <w:rPr>
          <w:rFonts w:ascii="Times New Roman" w:eastAsia="Times New Roman" w:hAnsi="Times New Roman" w:cs="Times New Roman"/>
          <w:sz w:val="24"/>
          <w:szCs w:val="24"/>
        </w:rPr>
        <w:t xml:space="preserve"> following the Group of 30,</w:t>
      </w:r>
      <w:r w:rsidRPr="002C2CAA">
        <w:rPr>
          <w:rFonts w:ascii="Times New Roman" w:eastAsia="Times New Roman" w:hAnsi="Times New Roman" w:cs="Times New Roman"/>
          <w:sz w:val="24"/>
          <w:szCs w:val="24"/>
          <w:vertAlign w:val="superscript"/>
        </w:rPr>
        <w:footnoteReference w:id="221"/>
      </w:r>
      <w:r w:rsidRPr="002C2CAA">
        <w:rPr>
          <w:rFonts w:ascii="Times New Roman" w:eastAsia="Times New Roman" w:hAnsi="Times New Roman" w:cs="Times New Roman"/>
          <w:sz w:val="24"/>
          <w:szCs w:val="24"/>
        </w:rPr>
        <w:t xml:space="preserve"> propose that money market mutual funds that offer transaction account services, including “withdrawals on demand at par, and assurances of maintaining a stable net asset value (NAV) at par should be required to organize as special-purpose bans, with appropriate prudential regulation and supervision, government insurance, and access to central bank lender-of-last resort functions.”</w:t>
      </w:r>
      <w:r w:rsidRPr="002C2CAA">
        <w:rPr>
          <w:rFonts w:ascii="Times New Roman" w:eastAsia="Times New Roman" w:hAnsi="Times New Roman" w:cs="Times New Roman"/>
          <w:sz w:val="24"/>
          <w:szCs w:val="24"/>
          <w:vertAlign w:val="superscript"/>
        </w:rPr>
        <w:footnoteReference w:id="222"/>
      </w:r>
    </w:p>
    <w:p w14:paraId="02578562"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72A4B7AC" w14:textId="77777777" w:rsidR="002C2CAA" w:rsidRPr="002C2CAA" w:rsidRDefault="002C2CAA" w:rsidP="002C2CAA">
      <w:pPr>
        <w:numPr>
          <w:ilvl w:val="0"/>
          <w:numId w:val="9"/>
        </w:numPr>
        <w:spacing w:after="0" w:line="240" w:lineRule="auto"/>
        <w:contextualSpacing/>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Benefits of Combining Lending and Deposit Taking: </w:t>
      </w:r>
      <w:proofErr w:type="gramStart"/>
      <w:r w:rsidRPr="002C2CAA">
        <w:rPr>
          <w:rFonts w:ascii="Times New Roman" w:eastAsia="Times New Roman" w:hAnsi="Times New Roman" w:cs="Times New Roman"/>
          <w:sz w:val="24"/>
          <w:szCs w:val="24"/>
        </w:rPr>
        <w:t>the</w:t>
      </w:r>
      <w:proofErr w:type="gramEnd"/>
      <w:r w:rsidRPr="002C2CAA">
        <w:rPr>
          <w:rFonts w:ascii="Times New Roman" w:eastAsia="Times New Roman" w:hAnsi="Times New Roman" w:cs="Times New Roman"/>
          <w:sz w:val="24"/>
          <w:szCs w:val="24"/>
        </w:rPr>
        <w:t xml:space="preserve"> Asset Side of the Balance Sheet</w:t>
      </w:r>
    </w:p>
    <w:p w14:paraId="34272EBC" w14:textId="77777777" w:rsidR="002C2CAA" w:rsidRPr="002C2CAA" w:rsidRDefault="002C2CAA" w:rsidP="002C2CAA">
      <w:pPr>
        <w:spacing w:after="0" w:line="240" w:lineRule="auto"/>
        <w:ind w:left="720"/>
        <w:contextualSpacing/>
        <w:jc w:val="both"/>
        <w:rPr>
          <w:rFonts w:ascii="Times New Roman" w:eastAsia="Times New Roman" w:hAnsi="Times New Roman" w:cs="Times New Roman"/>
          <w:sz w:val="24"/>
          <w:szCs w:val="24"/>
        </w:rPr>
      </w:pPr>
    </w:p>
    <w:p w14:paraId="5E38A668"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Distilling the literature in economics and finance that explain and defend the combination of lending and deposit taking, it becomes clear that only viable efficiency argument in favor of combining lending and deposit taking is that banks provide “contingency lending” in the form of lines of credit and loan commitments. In other words, it is not lending and deposit taking that is efficient, it is the ability to make a credible promise to provide a loan in the future that, when combined with deposit-taking is efficient.  This is the central argument of both Kashyap,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w:t>
      </w:r>
      <w:r w:rsidRPr="002C2CAA">
        <w:rPr>
          <w:rFonts w:ascii="Times New Roman" w:eastAsia="Times New Roman" w:hAnsi="Times New Roman" w:cs="Times New Roman"/>
          <w:sz w:val="24"/>
          <w:szCs w:val="24"/>
          <w:vertAlign w:val="superscript"/>
        </w:rPr>
        <w:footnoteReference w:id="223"/>
      </w:r>
      <w:r w:rsidRPr="002C2CAA">
        <w:rPr>
          <w:rFonts w:ascii="Times New Roman" w:eastAsia="Times New Roman" w:hAnsi="Times New Roman" w:cs="Times New Roman"/>
          <w:sz w:val="24"/>
          <w:szCs w:val="24"/>
        </w:rPr>
        <w:t xml:space="preserve"> and Diamond and </w:t>
      </w:r>
      <w:proofErr w:type="spellStart"/>
      <w:r w:rsidRPr="002C2CAA">
        <w:rPr>
          <w:rFonts w:ascii="Times New Roman" w:eastAsia="Times New Roman" w:hAnsi="Times New Roman" w:cs="Times New Roman"/>
          <w:sz w:val="24"/>
          <w:szCs w:val="24"/>
        </w:rPr>
        <w:t>Dybvig</w:t>
      </w:r>
      <w:proofErr w:type="spellEnd"/>
      <w:r w:rsidRPr="002C2CAA">
        <w:rPr>
          <w:rFonts w:ascii="Times New Roman" w:eastAsia="Times New Roman" w:hAnsi="Times New Roman" w:cs="Times New Roman"/>
          <w:sz w:val="24"/>
          <w:szCs w:val="24"/>
        </w:rPr>
        <w:t xml:space="preserve">. Kashyap,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 argue that combining lending and deposit taking reduces lending costs by lowering banks’ costs of funding. Diamond and </w:t>
      </w:r>
      <w:proofErr w:type="spellStart"/>
      <w:r w:rsidRPr="002C2CAA">
        <w:rPr>
          <w:rFonts w:ascii="Times New Roman" w:eastAsia="Times New Roman" w:hAnsi="Times New Roman" w:cs="Times New Roman"/>
          <w:sz w:val="24"/>
          <w:szCs w:val="24"/>
        </w:rPr>
        <w:t>Dybvig</w:t>
      </w:r>
      <w:proofErr w:type="spellEnd"/>
      <w:r w:rsidRPr="002C2CAA">
        <w:rPr>
          <w:rFonts w:ascii="Times New Roman" w:eastAsia="Times New Roman" w:hAnsi="Times New Roman" w:cs="Times New Roman"/>
          <w:sz w:val="24"/>
          <w:szCs w:val="24"/>
        </w:rPr>
        <w:t xml:space="preserve"> argue that lines of credit “give corporations an emergency source of funds to circumvent a liquidity crisis that could prevent them from rolling over their commercial paper.”</w:t>
      </w:r>
      <w:r w:rsidRPr="002C2CAA">
        <w:rPr>
          <w:rFonts w:ascii="Times New Roman" w:eastAsia="Times New Roman" w:hAnsi="Times New Roman" w:cs="Times New Roman"/>
          <w:sz w:val="24"/>
          <w:szCs w:val="24"/>
          <w:vertAlign w:val="superscript"/>
        </w:rPr>
        <w:footnoteReference w:id="224"/>
      </w:r>
      <w:r w:rsidRPr="002C2CAA">
        <w:rPr>
          <w:rFonts w:ascii="Times New Roman" w:eastAsia="Times New Roman" w:hAnsi="Times New Roman" w:cs="Times New Roman"/>
          <w:sz w:val="24"/>
          <w:szCs w:val="24"/>
        </w:rPr>
        <w:t xml:space="preserve"> And Kashyap,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 are quite clear that in their model, “there is no synergy between a bank’s deposit activities and its term lending.”</w:t>
      </w:r>
      <w:r w:rsidRPr="002C2CAA">
        <w:rPr>
          <w:rFonts w:ascii="Times New Roman" w:eastAsia="Times New Roman" w:hAnsi="Times New Roman" w:cs="Times New Roman"/>
          <w:sz w:val="24"/>
          <w:szCs w:val="24"/>
          <w:vertAlign w:val="superscript"/>
        </w:rPr>
        <w:footnoteReference w:id="225"/>
      </w:r>
      <w:r w:rsidRPr="002C2CAA">
        <w:rPr>
          <w:rFonts w:ascii="Times New Roman" w:eastAsia="Times New Roman" w:hAnsi="Times New Roman" w:cs="Times New Roman"/>
          <w:sz w:val="24"/>
          <w:szCs w:val="24"/>
        </w:rPr>
        <w:t xml:space="preserve"> </w:t>
      </w:r>
    </w:p>
    <w:p w14:paraId="3E54C1E4"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549F2710"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Strangely, those advocating the divorce of lending and deposit taking have not confronted the argument that this traditional combination of services is valuable for contingent lending.</w:t>
      </w:r>
      <w:r w:rsidRPr="002C2CAA">
        <w:rPr>
          <w:rFonts w:ascii="Times New Roman" w:eastAsia="Times New Roman" w:hAnsi="Times New Roman" w:cs="Times New Roman"/>
          <w:sz w:val="24"/>
          <w:szCs w:val="24"/>
          <w:vertAlign w:val="superscript"/>
        </w:rPr>
        <w:footnoteReference w:id="226"/>
      </w:r>
      <w:r w:rsidRPr="002C2CAA">
        <w:rPr>
          <w:rFonts w:ascii="Times New Roman" w:eastAsia="Times New Roman" w:hAnsi="Times New Roman" w:cs="Times New Roman"/>
          <w:sz w:val="24"/>
          <w:szCs w:val="24"/>
        </w:rPr>
        <w:t xml:space="preserve"> While I have cast some doubt on the validity of the argument that combining contingency lending and deposit taking are efficient, I have not disproven it. </w:t>
      </w:r>
      <w:proofErr w:type="gramStart"/>
      <w:r w:rsidRPr="002C2CAA">
        <w:rPr>
          <w:rFonts w:ascii="Times New Roman" w:eastAsia="Times New Roman" w:hAnsi="Times New Roman" w:cs="Times New Roman"/>
          <w:sz w:val="24"/>
          <w:szCs w:val="24"/>
        </w:rPr>
        <w:t>In particular I</w:t>
      </w:r>
      <w:proofErr w:type="gramEnd"/>
      <w:r w:rsidRPr="002C2CAA">
        <w:rPr>
          <w:rFonts w:ascii="Times New Roman" w:eastAsia="Times New Roman" w:hAnsi="Times New Roman" w:cs="Times New Roman"/>
          <w:sz w:val="24"/>
          <w:szCs w:val="24"/>
        </w:rPr>
        <w:t xml:space="preserve"> acknowledge that traditional banks do more lending through lines of credit than do non-bank lenders. On the other hand, it clearly is the case that non-banks provide plenty of lending through lines of credit. Specifically, as Kashyap,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 report, “approximately 70 percent of banks’ lending is through lines of credit, with 31 percent coming from unsecured lines of credit. By comparison, only 51 percent of finance company lending is through lines of credit, and hardly any of these – just 5 percent – are unsecured lines of credit.”</w:t>
      </w:r>
      <w:r w:rsidRPr="002C2CAA">
        <w:rPr>
          <w:rFonts w:ascii="Times New Roman" w:eastAsia="Times New Roman" w:hAnsi="Times New Roman" w:cs="Times New Roman"/>
          <w:sz w:val="24"/>
          <w:szCs w:val="24"/>
          <w:vertAlign w:val="superscript"/>
        </w:rPr>
        <w:footnoteReference w:id="227"/>
      </w:r>
      <w:r w:rsidRPr="002C2CAA">
        <w:rPr>
          <w:rFonts w:ascii="Times New Roman" w:eastAsia="Times New Roman" w:hAnsi="Times New Roman" w:cs="Times New Roman"/>
          <w:sz w:val="24"/>
          <w:szCs w:val="24"/>
        </w:rPr>
        <w:t xml:space="preserve"> However, finance companies are not the only source of non-bank contingency lending, as insurance companies also offer unsecured lines of credit.</w:t>
      </w:r>
      <w:r w:rsidRPr="002C2CAA">
        <w:rPr>
          <w:rFonts w:ascii="Times New Roman" w:eastAsia="Times New Roman" w:hAnsi="Times New Roman" w:cs="Times New Roman"/>
          <w:sz w:val="24"/>
          <w:szCs w:val="24"/>
          <w:vertAlign w:val="superscript"/>
        </w:rPr>
        <w:footnoteReference w:id="228"/>
      </w:r>
      <w:r w:rsidRPr="002C2CAA">
        <w:rPr>
          <w:rFonts w:ascii="Times New Roman" w:eastAsia="Times New Roman" w:hAnsi="Times New Roman" w:cs="Times New Roman"/>
          <w:sz w:val="24"/>
          <w:szCs w:val="24"/>
        </w:rPr>
        <w:t xml:space="preserve"> Thus, it is far from true that commercial banks are the only source of contingent lending.</w:t>
      </w:r>
    </w:p>
    <w:p w14:paraId="78AA657A"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3C040344"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Even if one were to assume that Kashyap, </w:t>
      </w:r>
      <w:proofErr w:type="spellStart"/>
      <w:r w:rsidRPr="002C2CAA">
        <w:rPr>
          <w:rFonts w:ascii="Times New Roman" w:eastAsia="Times New Roman" w:hAnsi="Times New Roman" w:cs="Times New Roman"/>
          <w:sz w:val="24"/>
          <w:szCs w:val="24"/>
        </w:rPr>
        <w:t>Rajan</w:t>
      </w:r>
      <w:proofErr w:type="spellEnd"/>
      <w:r w:rsidRPr="002C2CAA">
        <w:rPr>
          <w:rFonts w:ascii="Times New Roman" w:eastAsia="Times New Roman" w:hAnsi="Times New Roman" w:cs="Times New Roman"/>
          <w:sz w:val="24"/>
          <w:szCs w:val="24"/>
        </w:rPr>
        <w:t xml:space="preserve"> and Stein and Diamond and </w:t>
      </w:r>
      <w:proofErr w:type="spellStart"/>
      <w:r w:rsidRPr="002C2CAA">
        <w:rPr>
          <w:rFonts w:ascii="Times New Roman" w:eastAsia="Times New Roman" w:hAnsi="Times New Roman" w:cs="Times New Roman"/>
          <w:sz w:val="24"/>
          <w:szCs w:val="24"/>
        </w:rPr>
        <w:t>Dybvig</w:t>
      </w:r>
      <w:proofErr w:type="spellEnd"/>
      <w:r w:rsidRPr="002C2CAA">
        <w:rPr>
          <w:rFonts w:ascii="Times New Roman" w:eastAsia="Times New Roman" w:hAnsi="Times New Roman" w:cs="Times New Roman"/>
          <w:sz w:val="24"/>
          <w:szCs w:val="24"/>
        </w:rPr>
        <w:t xml:space="preserve"> are right in arguing that there are synergies in combining lending and deposit taking, the existence of such synergies does not prove or even suggest that combining these two functions is efficient because the analysis looks only at the benefits of this combination. Their analysis entirely ignores the costs. And the costs are significant. Among the “devices” required to deal with the fragility of banks are:</w:t>
      </w:r>
    </w:p>
    <w:p w14:paraId="00FE0A9E"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2CEA0ABE" w14:textId="77777777" w:rsidR="002C2CAA" w:rsidRPr="002C2CAA" w:rsidRDefault="002C2CAA" w:rsidP="002C2CAA">
      <w:pPr>
        <w:spacing w:after="0" w:line="240" w:lineRule="auto"/>
        <w:ind w:left="1296" w:right="1296"/>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capital regulation and government deposit insurance to address solvency concerns, and reserve requirements and government liquidity facilities to address liquidity concerns. Layered across these solvency and liquidity protections are regular supervisory examinations, activity restrictions, and investment limitations — all of which are aimed at preventing banks from having to turn to the solvency and liquidity protections in the first place.</w:t>
      </w:r>
      <w:r w:rsidRPr="002C2CAA">
        <w:rPr>
          <w:rFonts w:ascii="Times New Roman" w:eastAsia="Times New Roman" w:hAnsi="Times New Roman" w:cs="Times New Roman"/>
          <w:sz w:val="24"/>
          <w:szCs w:val="24"/>
          <w:vertAlign w:val="superscript"/>
        </w:rPr>
        <w:footnoteReference w:id="229"/>
      </w:r>
    </w:p>
    <w:p w14:paraId="29AAEF78"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1DB1A8C6"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Thus, putting aside the “enormous transaction and political costs of regulation,”</w:t>
      </w:r>
      <w:r w:rsidRPr="002C2CAA">
        <w:rPr>
          <w:rFonts w:ascii="Times New Roman" w:eastAsia="Times New Roman" w:hAnsi="Times New Roman" w:cs="Times New Roman"/>
          <w:sz w:val="24"/>
          <w:szCs w:val="24"/>
          <w:vertAlign w:val="superscript"/>
        </w:rPr>
        <w:footnoteReference w:id="230"/>
      </w:r>
      <w:r w:rsidRPr="002C2CAA">
        <w:rPr>
          <w:rFonts w:ascii="Times New Roman" w:eastAsia="Times New Roman" w:hAnsi="Times New Roman" w:cs="Times New Roman"/>
          <w:sz w:val="24"/>
          <w:szCs w:val="24"/>
        </w:rPr>
        <w:t xml:space="preserve"> as Roberta Romano has observed, “the vulnerability of highly leveraged financial institutions engaging in maturity transformation to shocks that create systemic risk, and the deleterious economic aftereffects of financial crises lasting far longer than downturns of the business cycle are sources of utmost public policy concern.”</w:t>
      </w:r>
      <w:r w:rsidRPr="002C2CAA">
        <w:rPr>
          <w:rFonts w:ascii="Times New Roman" w:eastAsia="Times New Roman" w:hAnsi="Times New Roman" w:cs="Times New Roman"/>
          <w:sz w:val="24"/>
          <w:szCs w:val="24"/>
          <w:vertAlign w:val="superscript"/>
        </w:rPr>
        <w:footnoteReference w:id="231"/>
      </w:r>
      <w:r w:rsidRPr="002C2CAA">
        <w:rPr>
          <w:rFonts w:ascii="Times New Roman" w:eastAsia="Times New Roman" w:hAnsi="Times New Roman" w:cs="Times New Roman"/>
          <w:sz w:val="24"/>
          <w:szCs w:val="24"/>
        </w:rPr>
        <w:t xml:space="preserve"> These sorts of costs appear to be a very high price to pay for the theoretical promise of saving a few basis points in the credit markets for contingent debt. </w:t>
      </w:r>
    </w:p>
    <w:p w14:paraId="43A46B6A"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15B99B89" w14:textId="77777777" w:rsidR="002C2CAA" w:rsidRPr="002C2CAA" w:rsidRDefault="002C2CAA" w:rsidP="002C2CAA">
      <w:pPr>
        <w:numPr>
          <w:ilvl w:val="0"/>
          <w:numId w:val="5"/>
        </w:numPr>
        <w:spacing w:after="0" w:line="240" w:lineRule="auto"/>
        <w:contextualSpacing/>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Payments and Money Creation!</w:t>
      </w:r>
    </w:p>
    <w:p w14:paraId="0C90A6A6" w14:textId="77777777" w:rsidR="002C2CAA" w:rsidRPr="002C2CAA" w:rsidRDefault="002C2CAA" w:rsidP="002C2CAA">
      <w:pPr>
        <w:spacing w:after="0" w:line="240" w:lineRule="auto"/>
        <w:ind w:left="720"/>
        <w:contextualSpacing/>
        <w:jc w:val="both"/>
        <w:rPr>
          <w:rFonts w:ascii="Times New Roman" w:eastAsia="Times New Roman" w:hAnsi="Times New Roman" w:cs="Times New Roman"/>
          <w:sz w:val="24"/>
          <w:szCs w:val="24"/>
        </w:rPr>
      </w:pPr>
    </w:p>
    <w:p w14:paraId="2455D38C"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While banks are defined as businesses that simultaneously take deposits and make commercial loans, of course, they do far more than that. </w:t>
      </w:r>
      <w:proofErr w:type="gramStart"/>
      <w:r w:rsidRPr="002C2CAA">
        <w:rPr>
          <w:rFonts w:ascii="Times New Roman" w:eastAsia="Times New Roman" w:hAnsi="Times New Roman" w:cs="Times New Roman"/>
          <w:sz w:val="24"/>
          <w:szCs w:val="24"/>
        </w:rPr>
        <w:t>In particular, banks</w:t>
      </w:r>
      <w:proofErr w:type="gramEnd"/>
      <w:r w:rsidRPr="002C2CAA">
        <w:rPr>
          <w:rFonts w:ascii="Times New Roman" w:eastAsia="Times New Roman" w:hAnsi="Times New Roman" w:cs="Times New Roman"/>
          <w:sz w:val="24"/>
          <w:szCs w:val="24"/>
        </w:rPr>
        <w:t xml:space="preserve"> serve two other core functions in the economy: money creation and facilitating payments systems. But, as Dan Awrey has observed, we are in a budding process of unbundling these services and “dismantling the historically intertwined relationship between banking, money and payments. This unbundling holds out the prospect of a faster, better, more reliable, and more inclusive financial system.”</w:t>
      </w:r>
      <w:r w:rsidRPr="002C2CAA">
        <w:rPr>
          <w:rFonts w:ascii="Times New Roman" w:eastAsia="Times New Roman" w:hAnsi="Times New Roman" w:cs="Times New Roman"/>
          <w:sz w:val="24"/>
          <w:szCs w:val="24"/>
          <w:vertAlign w:val="superscript"/>
        </w:rPr>
        <w:footnoteReference w:id="232"/>
      </w:r>
    </w:p>
    <w:p w14:paraId="0BA15FE7"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8E8E3AE" w14:textId="77777777" w:rsidR="002C2CAA" w:rsidRPr="002C2CAA" w:rsidRDefault="002C2CAA" w:rsidP="002C2CAA">
      <w:pPr>
        <w:keepNext/>
        <w:spacing w:before="240" w:after="60" w:line="240" w:lineRule="auto"/>
        <w:jc w:val="center"/>
        <w:outlineLvl w:val="0"/>
        <w:rPr>
          <w:rFonts w:ascii="Times New Roman" w:eastAsia="MS Gothic" w:hAnsi="Times New Roman" w:cs="Times New Roman"/>
          <w:smallCaps/>
          <w:kern w:val="32"/>
          <w:sz w:val="24"/>
          <w:szCs w:val="24"/>
        </w:rPr>
      </w:pPr>
      <w:bookmarkStart w:id="48" w:name="_Toc161147155"/>
      <w:bookmarkStart w:id="49" w:name="_Toc161174425"/>
      <w:r w:rsidRPr="002C2CAA">
        <w:rPr>
          <w:rFonts w:ascii="Times New Roman" w:eastAsia="MS Gothic" w:hAnsi="Times New Roman" w:cs="Times New Roman"/>
          <w:smallCaps/>
          <w:kern w:val="32"/>
          <w:sz w:val="24"/>
          <w:szCs w:val="24"/>
        </w:rPr>
        <w:t>V.  Conclusion</w:t>
      </w:r>
      <w:bookmarkEnd w:id="48"/>
      <w:bookmarkEnd w:id="49"/>
    </w:p>
    <w:p w14:paraId="29735DFC"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49E942DF"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ab/>
        <w:t xml:space="preserve">This Article makes three contributions to the literature on banking regulation. First, it connects the primary economic justification for combining lending and deposit taking, to the emerging phenomenon of open banking. The primary economic justification for combining deposit taking and lending is that the information that banks glean from customers’ transaction accounts is secret and highly valuable because it enables bank lenders to monitoring borrowers in ways that their non-bank rivals cannot. Open banking (also called open finance) is an important emerging banking practice that provides non-bank lenders and other bank competitors with open access to consumer and business banking, </w:t>
      </w:r>
      <w:proofErr w:type="gramStart"/>
      <w:r w:rsidRPr="002C2CAA">
        <w:rPr>
          <w:rFonts w:ascii="Times New Roman" w:eastAsia="Times New Roman" w:hAnsi="Times New Roman" w:cs="Times New Roman"/>
          <w:sz w:val="24"/>
          <w:szCs w:val="24"/>
        </w:rPr>
        <w:t>transaction</w:t>
      </w:r>
      <w:proofErr w:type="gramEnd"/>
      <w:r w:rsidRPr="002C2CAA">
        <w:rPr>
          <w:rFonts w:ascii="Times New Roman" w:eastAsia="Times New Roman" w:hAnsi="Times New Roman" w:cs="Times New Roman"/>
          <w:sz w:val="24"/>
          <w:szCs w:val="24"/>
        </w:rPr>
        <w:t xml:space="preserve"> and other data. Open banking makes information that traditionally was in the exclusive possession and control of banks available to non-bank competitors, thereby undermining the core assumption that there are synergies in combining lending and deposit taking that cannot be duplicated by nonbanks.  </w:t>
      </w:r>
    </w:p>
    <w:p w14:paraId="14B732F1"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5329F76E"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The second contribution of this article is to observe that previous scholars who have argued in favor of “narrow banks” that would unbundle the provision of lending and deposit-taking offer powerful explanations of the benefits of separating lending and deposit taking, but they do not consider the rationales offered by financial economists to explain how combining these activities is efficient. By ignoring the important literature in economics and finance that models how combining lending and deposit taking generates efficiencies in the form of synergies, these scholars are unable to make a complete case for narrow banking. This Article is the first to consider the efficiency arguments in favor of traditional banking in the context of narrow banking.  </w:t>
      </w:r>
    </w:p>
    <w:p w14:paraId="0C06136D"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6023F59E" w14:textId="77777777"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 xml:space="preserve">Finally, I observe that the financial economists who argue that combining lending and deposit taking is efficient ignore the significant costs associated with combining these two functions. These scholars appear to overstate the efficiencies associated with combining lending and deposit taking. But even to the extent that combining lending and deposit taking still generates synergies, to justify the combination of lending and deposit taking one must take into the costs as well as the benefits. In particular, those who argue that traditional banking is efficient do not take into account the fact that maintaining this system requires massive regulation to deal with the instability (deposit insurance distortions, recurring runs, panics, bailouts) imbedded in this industrial structure.  </w:t>
      </w:r>
    </w:p>
    <w:p w14:paraId="5E929101" w14:textId="77777777" w:rsidR="002C2CAA" w:rsidRPr="002C2CAA" w:rsidRDefault="002C2CAA" w:rsidP="002C2CAA">
      <w:pPr>
        <w:spacing w:after="0" w:line="240" w:lineRule="auto"/>
        <w:ind w:firstLine="360"/>
        <w:jc w:val="both"/>
        <w:rPr>
          <w:rFonts w:ascii="Times New Roman" w:eastAsia="Times New Roman" w:hAnsi="Times New Roman" w:cs="Times New Roman"/>
          <w:sz w:val="24"/>
          <w:szCs w:val="24"/>
        </w:rPr>
      </w:pPr>
    </w:p>
    <w:p w14:paraId="3607AB58" w14:textId="72C0394D" w:rsidR="002C2CAA" w:rsidRPr="002C2CAA" w:rsidRDefault="002C2CAA" w:rsidP="002C2CAA">
      <w:pPr>
        <w:spacing w:after="0" w:line="240" w:lineRule="auto"/>
        <w:ind w:firstLine="720"/>
        <w:jc w:val="both"/>
        <w:rPr>
          <w:rFonts w:ascii="Times New Roman" w:eastAsia="Times New Roman" w:hAnsi="Times New Roman" w:cs="Times New Roman"/>
          <w:sz w:val="24"/>
          <w:szCs w:val="24"/>
        </w:rPr>
      </w:pPr>
      <w:r w:rsidRPr="002C2CAA">
        <w:rPr>
          <w:rFonts w:ascii="Times New Roman" w:eastAsia="Times New Roman" w:hAnsi="Times New Roman" w:cs="Times New Roman"/>
          <w:sz w:val="24"/>
          <w:szCs w:val="24"/>
        </w:rPr>
        <w:t>Putting these three points together, this Article concludes that when the costs associated with combining lending and deposit taking are properly considered, the arguments that traditional banking is efficient appear highly doubtful.</w:t>
      </w:r>
    </w:p>
    <w:sectPr w:rsidR="002C2CAA" w:rsidRPr="002C2CAA" w:rsidSect="00240B74">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21D5C" w14:textId="77777777" w:rsidR="00275DB3" w:rsidRDefault="00275DB3" w:rsidP="002C2CAA">
      <w:pPr>
        <w:spacing w:after="0" w:line="240" w:lineRule="auto"/>
      </w:pPr>
      <w:r>
        <w:separator/>
      </w:r>
    </w:p>
  </w:endnote>
  <w:endnote w:type="continuationSeparator" w:id="0">
    <w:p w14:paraId="6C1BC52F" w14:textId="77777777" w:rsidR="00275DB3" w:rsidRDefault="00275DB3" w:rsidP="002C2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erriweather">
    <w:altName w:val="Times New Roman"/>
    <w:charset w:val="4D"/>
    <w:family w:val="auto"/>
    <w:pitch w:val="variable"/>
    <w:sig w:usb0="20000207" w:usb1="00000002" w:usb2="00000000" w:usb3="00000000" w:csb0="00000197" w:csb1="00000000"/>
  </w:font>
  <w:font w:name="FF Mar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797846"/>
      <w:docPartObj>
        <w:docPartGallery w:val="Page Numbers (Bottom of Page)"/>
        <w:docPartUnique/>
      </w:docPartObj>
    </w:sdtPr>
    <w:sdtEndPr>
      <w:rPr>
        <w:noProof/>
      </w:rPr>
    </w:sdtEndPr>
    <w:sdtContent>
      <w:p w14:paraId="5D2CF6F6" w14:textId="44E83982" w:rsidR="0099575B" w:rsidRDefault="009957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1C8E17" w14:textId="77777777" w:rsidR="00275DB3" w:rsidRDefault="00275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36928" w14:textId="77777777" w:rsidR="00275DB3" w:rsidRDefault="00275DB3" w:rsidP="002C2CAA">
      <w:pPr>
        <w:spacing w:after="0" w:line="240" w:lineRule="auto"/>
      </w:pPr>
      <w:r>
        <w:separator/>
      </w:r>
    </w:p>
  </w:footnote>
  <w:footnote w:type="continuationSeparator" w:id="0">
    <w:p w14:paraId="4E23600A" w14:textId="77777777" w:rsidR="00275DB3" w:rsidRDefault="00275DB3" w:rsidP="002C2CAA">
      <w:pPr>
        <w:spacing w:after="0" w:line="240" w:lineRule="auto"/>
      </w:pPr>
      <w:r>
        <w:continuationSeparator/>
      </w:r>
    </w:p>
  </w:footnote>
  <w:footnote w:id="1">
    <w:p w14:paraId="0227F2FB" w14:textId="77777777" w:rsidR="00275DB3" w:rsidRPr="00E53300" w:rsidRDefault="00275DB3" w:rsidP="002C2CAA">
      <w:pPr>
        <w:pStyle w:val="FootnoteText"/>
      </w:pPr>
      <w:r w:rsidRPr="00E53300">
        <w:rPr>
          <w:rStyle w:val="FootnoteReference"/>
        </w:rPr>
        <w:footnoteRef/>
      </w:r>
      <w:r w:rsidRPr="00E53300">
        <w:t xml:space="preserve"> Anil Kashyap, Raghuram </w:t>
      </w:r>
      <w:proofErr w:type="spellStart"/>
      <w:r w:rsidRPr="00E53300">
        <w:t>Rajan</w:t>
      </w:r>
      <w:proofErr w:type="spellEnd"/>
      <w:r w:rsidRPr="00E53300">
        <w:t xml:space="preserve"> and Jeremy Stein, Banks as Liquidity Providers: An Explanation for the Coexistence of Lending and Deposit-Taking, 57 J. FIN. 33, 33-34 (2002)  </w:t>
      </w:r>
    </w:p>
  </w:footnote>
  <w:footnote w:id="2">
    <w:p w14:paraId="51A13484" w14:textId="77777777" w:rsidR="00275DB3" w:rsidRPr="00E53300" w:rsidRDefault="00275DB3" w:rsidP="002C2CAA">
      <w:pPr>
        <w:pStyle w:val="FootnoteText"/>
      </w:pPr>
      <w:r w:rsidRPr="00E53300">
        <w:rPr>
          <w:rStyle w:val="FootnoteReference"/>
        </w:rPr>
        <w:footnoteRef/>
      </w:r>
      <w:r w:rsidRPr="00E53300">
        <w:t xml:space="preserve"> Kenichi Ueda and Beatrice </w:t>
      </w:r>
      <w:proofErr w:type="spellStart"/>
      <w:r w:rsidRPr="00E53300">
        <w:t>Weder</w:t>
      </w:r>
      <w:proofErr w:type="spellEnd"/>
      <w:r w:rsidRPr="00E53300">
        <w:t xml:space="preserve"> de Mauro, Quantifying Subsidies for Systematically </w:t>
      </w:r>
      <w:proofErr w:type="gramStart"/>
      <w:r w:rsidRPr="00E53300">
        <w:t>Important  Financial</w:t>
      </w:r>
      <w:proofErr w:type="gramEnd"/>
      <w:r w:rsidRPr="00E53300">
        <w:t xml:space="preserve"> Institutions, International Monetary Fund Working Paper WP/12/128, May, 2012.</w:t>
      </w:r>
    </w:p>
  </w:footnote>
  <w:footnote w:id="3">
    <w:p w14:paraId="306881AD" w14:textId="77777777" w:rsidR="00275DB3" w:rsidRPr="00E53300" w:rsidRDefault="00275DB3" w:rsidP="002C2CAA">
      <w:pPr>
        <w:pStyle w:val="FootnoteText"/>
      </w:pPr>
      <w:r w:rsidRPr="00E53300">
        <w:rPr>
          <w:rStyle w:val="FootnoteReference"/>
        </w:rPr>
        <w:footnoteRef/>
      </w:r>
      <w:r w:rsidRPr="00E53300">
        <w:t xml:space="preserve"> Myron Kwast and Wayne Passmore, The Subsidy Provided by the Federal Safety Net: Theory, Measurement and Containment, Board of Governors of the Federal System, December 1997</w:t>
      </w:r>
    </w:p>
  </w:footnote>
  <w:footnote w:id="4">
    <w:p w14:paraId="34438C89" w14:textId="77777777" w:rsidR="00275DB3" w:rsidRPr="00E53300" w:rsidRDefault="00275DB3" w:rsidP="002C2CAA">
      <w:pPr>
        <w:pStyle w:val="FootnoteText"/>
      </w:pPr>
      <w:r w:rsidRPr="00E53300">
        <w:rPr>
          <w:rStyle w:val="FootnoteReference"/>
        </w:rPr>
        <w:footnoteRef/>
      </w:r>
      <w:r w:rsidRPr="00E53300">
        <w:t xml:space="preserve"> The Economist, “Another Bank Subsidy America Should Kill Off,” February 13, 2024, </w:t>
      </w:r>
      <w:hyperlink r:id="rId1" w:history="1">
        <w:r w:rsidRPr="00E53300">
          <w:rPr>
            <w:rStyle w:val="Hyperlink"/>
            <w:rFonts w:eastAsia="MS Gothic"/>
          </w:rPr>
          <w:t>https://www.economist.com/leaders/2024/02/13/another-bank-subsidy-america-should-kill-off</w:t>
        </w:r>
      </w:hyperlink>
      <w:r w:rsidRPr="00E53300">
        <w:t xml:space="preserve"> ; Katherine Judge, </w:t>
      </w:r>
      <w:r w:rsidRPr="00CF4496">
        <w:rPr>
          <w:shd w:val="clear" w:color="auto" w:fill="FFFFFF"/>
        </w:rPr>
        <w:t>The Unraveling of the Federal Home Loan Banks (January 23, 2024). Columbia Law and Economics Working Paper No. 668, Yale Journal on Regulation, Forthcoming, Available at SSRN: </w:t>
      </w:r>
      <w:hyperlink r:id="rId2" w:tgtFrame="_blank" w:history="1">
        <w:r w:rsidRPr="00CF4496">
          <w:rPr>
            <w:rStyle w:val="Hyperlink"/>
            <w:rFonts w:eastAsia="MS Gothic"/>
            <w:shd w:val="clear" w:color="auto" w:fill="FFFFFF"/>
          </w:rPr>
          <w:t>https://ssrn.com/abstract=4626125</w:t>
        </w:r>
      </w:hyperlink>
      <w:r w:rsidRPr="00CF4496">
        <w:rPr>
          <w:shd w:val="clear" w:color="auto" w:fill="FFFFFF"/>
        </w:rPr>
        <w:t> or </w:t>
      </w:r>
      <w:hyperlink r:id="rId3" w:tgtFrame="_blank" w:history="1">
        <w:r w:rsidRPr="00CF4496">
          <w:rPr>
            <w:rStyle w:val="Hyperlink"/>
            <w:rFonts w:eastAsia="MS Gothic"/>
            <w:shd w:val="clear" w:color="auto" w:fill="FFFFFF"/>
          </w:rPr>
          <w:t>http://dx.doi.org/10.2139/ssrn.4626125</w:t>
        </w:r>
      </w:hyperlink>
      <w:r w:rsidRPr="00CF4496">
        <w:t xml:space="preserve">. </w:t>
      </w:r>
    </w:p>
  </w:footnote>
  <w:footnote w:id="5">
    <w:p w14:paraId="1E733093" w14:textId="53581986" w:rsidR="00275DB3" w:rsidRPr="00E53300" w:rsidRDefault="00275DB3" w:rsidP="002C2CAA">
      <w:pPr>
        <w:pStyle w:val="FootnoteText"/>
      </w:pPr>
      <w:r w:rsidRPr="00E53300">
        <w:rPr>
          <w:rStyle w:val="FootnoteReference"/>
        </w:rPr>
        <w:footnoteRef/>
      </w:r>
      <w:r w:rsidRPr="00E53300">
        <w:t xml:space="preserve"> International Monetary Fund, Global Financial Stability Report, Moving </w:t>
      </w:r>
      <w:r>
        <w:t>f</w:t>
      </w:r>
      <w:r w:rsidRPr="00E53300">
        <w:t xml:space="preserve">rom Liquidity to Growth Driven Models, </w:t>
      </w:r>
      <w:proofErr w:type="gramStart"/>
      <w:r w:rsidRPr="00E53300">
        <w:t>April,</w:t>
      </w:r>
      <w:proofErr w:type="gramEnd"/>
      <w:r w:rsidRPr="00E53300">
        <w:t xml:space="preserve"> 2014</w:t>
      </w:r>
    </w:p>
  </w:footnote>
  <w:footnote w:id="6">
    <w:p w14:paraId="441B31D9" w14:textId="77777777" w:rsidR="00275DB3" w:rsidRPr="00E53300" w:rsidRDefault="00275DB3" w:rsidP="002C2CAA">
      <w:pPr>
        <w:pStyle w:val="FootnoteText"/>
      </w:pPr>
      <w:r w:rsidRPr="00E53300">
        <w:rPr>
          <w:rStyle w:val="FootnoteReference"/>
        </w:rPr>
        <w:footnoteRef/>
      </w:r>
      <w:r w:rsidRPr="00E53300">
        <w:t xml:space="preserve"> </w:t>
      </w:r>
      <w:proofErr w:type="spellStart"/>
      <w:r w:rsidRPr="00E53300">
        <w:t>Ruchir</w:t>
      </w:r>
      <w:proofErr w:type="spellEnd"/>
      <w:r w:rsidRPr="00E53300">
        <w:t xml:space="preserve"> Agarwal, Industrial Policy and the Growth Strategy Trilemma, International Monetary Fund, September 2023, https://www.imf.org/en/Publications/fandd/issues/Series/Analytical-Series/industrial-policy-and-the-growth-strategy-trilemma-ruchir-agarwal</w:t>
      </w:r>
    </w:p>
  </w:footnote>
  <w:footnote w:id="7">
    <w:p w14:paraId="2F2F5024" w14:textId="7B251DC3" w:rsidR="004B63B1" w:rsidRDefault="004B63B1">
      <w:pPr>
        <w:pStyle w:val="FootnoteText"/>
      </w:pPr>
      <w:r>
        <w:rPr>
          <w:rStyle w:val="FootnoteReference"/>
        </w:rPr>
        <w:footnoteRef/>
      </w:r>
      <w:r>
        <w:t xml:space="preserve"> </w:t>
      </w:r>
      <w:r w:rsidRPr="00495F5C">
        <w:t>Creative destruction refers to the process of innovation by which new products and processes replace outdated ones.</w:t>
      </w:r>
      <w:r>
        <w:t xml:space="preserve"> </w:t>
      </w:r>
      <w:r w:rsidRPr="00A60413">
        <w:t xml:space="preserve">Ricardo J. Caballero, New Palgrave Dictionary of Economics, </w:t>
      </w:r>
      <w:hyperlink r:id="rId4" w:history="1">
        <w:r w:rsidRPr="00A60413">
          <w:rPr>
            <w:rStyle w:val="Hyperlink"/>
          </w:rPr>
          <w:t>https://economics.mit.edu/sites/default/files/publications/creative%20destruction.pdf</w:t>
        </w:r>
      </w:hyperlink>
      <w:r>
        <w:rPr>
          <w:rStyle w:val="Hyperlink"/>
        </w:rPr>
        <w:t xml:space="preserve">.  </w:t>
      </w:r>
      <w:r w:rsidRPr="00495F5C">
        <w:t>Estimates are that “the process of creative destruction accounts for over 50 percent of productivity growth.”</w:t>
      </w:r>
      <w:r>
        <w:t xml:space="preserve"> Id.  “O</w:t>
      </w:r>
      <w:r w:rsidRPr="00495F5C">
        <w:t>bstacles to the process of creative destruction can have severe short- and long-run macroeconomic consequences.”</w:t>
      </w:r>
      <w:r>
        <w:t xml:space="preserve">  Id.  See also </w:t>
      </w:r>
      <w:r w:rsidRPr="004B63B1">
        <w:t>Joseph Schumpeter, Capitalism,</w:t>
      </w:r>
      <w:r>
        <w:t xml:space="preserve"> </w:t>
      </w:r>
      <w:r w:rsidRPr="004B63B1">
        <w:t>Socialism</w:t>
      </w:r>
      <w:r>
        <w:t xml:space="preserve"> </w:t>
      </w:r>
      <w:r w:rsidRPr="004B63B1">
        <w:t>and</w:t>
      </w:r>
      <w:r>
        <w:t xml:space="preserve"> </w:t>
      </w:r>
      <w:r w:rsidRPr="004B63B1">
        <w:t>Democracy, 1942</w:t>
      </w:r>
    </w:p>
  </w:footnote>
  <w:footnote w:id="8">
    <w:p w14:paraId="62541F62" w14:textId="77777777" w:rsidR="00275DB3" w:rsidRPr="00E53300" w:rsidRDefault="00275DB3" w:rsidP="002C2CAA">
      <w:pPr>
        <w:pStyle w:val="FootnoteText"/>
      </w:pPr>
      <w:r w:rsidRPr="00E53300">
        <w:rPr>
          <w:rStyle w:val="FootnoteReference"/>
        </w:rPr>
        <w:footnoteRef/>
      </w:r>
      <w:r w:rsidRPr="00E53300">
        <w:t xml:space="preserve"> Richard Carnell, Jonathan Macey, Geoffrey Miller &amp; Peter Conti-Brown, The Law of Financial Institutions, 2021 (Seventh ed.). at 2.  See also Anil Kashyap, Raghuram </w:t>
      </w:r>
      <w:proofErr w:type="spellStart"/>
      <w:r w:rsidRPr="00E53300">
        <w:t>Rajan</w:t>
      </w:r>
      <w:proofErr w:type="spellEnd"/>
      <w:r w:rsidRPr="00E53300">
        <w:t xml:space="preserve"> and Jeremy Stein, Banks as Liquidity Providers: An Explanation for the Coexistence of Lending and Deposit-Taking, supra, at 33 (2002).  (“Both the legal definition in the United States and the standard answer from economists is that commercial banks are institutions that engage in two distinct types of activities, one on each side of the balance sheet – deposit taking and lending.”).  As Dan Awrey usefully has observed, the word “bank” is derived from the Old Italian (banca), Middle French (</w:t>
      </w:r>
      <w:proofErr w:type="spellStart"/>
      <w:r w:rsidRPr="00E53300">
        <w:t>banque</w:t>
      </w:r>
      <w:proofErr w:type="spellEnd"/>
      <w:r w:rsidRPr="00E53300">
        <w:t xml:space="preserve">), and Old High German (bank) words for the tables at which Medieval moneylenders lent and collected money.  Dan Awrey, Unbundling Banking, </w:t>
      </w:r>
      <w:proofErr w:type="gramStart"/>
      <w:r w:rsidRPr="00E53300">
        <w:t>Money</w:t>
      </w:r>
      <w:proofErr w:type="gramEnd"/>
      <w:r w:rsidRPr="00E53300">
        <w:t xml:space="preserve"> and Payments, 110 GEORGETOWN L.J. 715, 717, footnote 2 (2022), </w:t>
      </w:r>
      <w:r w:rsidRPr="00E53300">
        <w:rPr>
          <w:i/>
        </w:rPr>
        <w:t>citing</w:t>
      </w:r>
      <w:r w:rsidRPr="00E53300">
        <w:t xml:space="preserve"> Bank, OXFORD ENG. DICTIONARY, https://www.oed.com/view/Entry/15237#eid28163689 [https:// perma.cc/62XD-FUDY] (last visited Jan. 31, 2022).</w:t>
      </w:r>
    </w:p>
  </w:footnote>
  <w:footnote w:id="9">
    <w:p w14:paraId="5044CC5D" w14:textId="77777777" w:rsidR="00275DB3" w:rsidRPr="00E53300" w:rsidRDefault="00275DB3" w:rsidP="002C2CAA">
      <w:pPr>
        <w:pStyle w:val="FootnoteText"/>
      </w:pPr>
      <w:r w:rsidRPr="00E53300">
        <w:rPr>
          <w:rStyle w:val="FootnoteReference"/>
        </w:rPr>
        <w:footnoteRef/>
      </w:r>
      <w:r w:rsidRPr="00E53300">
        <w:t xml:space="preserve"> Daniel Fischel, Andrew Rosenfield &amp; Robert Stillman, The Regulation of </w:t>
      </w:r>
      <w:proofErr w:type="gramStart"/>
      <w:r w:rsidRPr="00E53300">
        <w:t>Banks</w:t>
      </w:r>
      <w:proofErr w:type="gramEnd"/>
      <w:r w:rsidRPr="00E53300">
        <w:t xml:space="preserve"> and Bank Holding Companies, 73 VA. L. REV. 301, 306 (1987)</w:t>
      </w:r>
    </w:p>
  </w:footnote>
  <w:footnote w:id="10">
    <w:p w14:paraId="7A60FCD9" w14:textId="77777777" w:rsidR="00275DB3" w:rsidRPr="00E53300" w:rsidRDefault="00275DB3" w:rsidP="002C2CAA">
      <w:pPr>
        <w:pStyle w:val="FootnoteText"/>
      </w:pPr>
      <w:r w:rsidRPr="00E53300">
        <w:rPr>
          <w:rStyle w:val="FootnoteReference"/>
        </w:rPr>
        <w:footnoteRef/>
      </w:r>
      <w:r w:rsidRPr="00E53300">
        <w:t xml:space="preserve"> Fabio </w:t>
      </w:r>
      <w:proofErr w:type="spellStart"/>
      <w:r w:rsidRPr="00E53300">
        <w:t>Schiantarelli</w:t>
      </w:r>
      <w:proofErr w:type="spellEnd"/>
      <w:r w:rsidRPr="00E53300">
        <w:t xml:space="preserve"> &amp; Alessandro </w:t>
      </w:r>
      <w:proofErr w:type="spellStart"/>
      <w:r w:rsidRPr="00E53300">
        <w:t>Sembenelli</w:t>
      </w:r>
      <w:proofErr w:type="spellEnd"/>
      <w:r w:rsidRPr="00E53300">
        <w:t xml:space="preserve">, The Maturity Structure of Debt: Determinants and Effects on Firms' Performance? Evidence from the United Kingdom and Italy, The World Bank Group Policy Research Working Papers, June 21, 2013, </w:t>
      </w:r>
      <w:hyperlink r:id="rId5" w:history="1">
        <w:r w:rsidRPr="00E53300">
          <w:rPr>
            <w:rStyle w:val="Hyperlink"/>
            <w:rFonts w:eastAsia="MS Gothic"/>
          </w:rPr>
          <w:t>https://doi.org/10.1596/1813-9450-1699</w:t>
        </w:r>
      </w:hyperlink>
      <w:r w:rsidRPr="00E53300">
        <w:t xml:space="preserve">  (“in choosing a maturity structure for debt, firms tend to match assets and liabilities”).</w:t>
      </w:r>
    </w:p>
  </w:footnote>
  <w:footnote w:id="11">
    <w:p w14:paraId="75D114B4" w14:textId="77777777" w:rsidR="00275DB3" w:rsidRPr="00E53300" w:rsidRDefault="00275DB3" w:rsidP="002C2CAA">
      <w:pPr>
        <w:pStyle w:val="FootnoteText"/>
      </w:pPr>
      <w:r w:rsidRPr="00E53300">
        <w:rPr>
          <w:rStyle w:val="FootnoteReference"/>
        </w:rPr>
        <w:footnoteRef/>
      </w:r>
      <w:r w:rsidRPr="00E53300">
        <w:t xml:space="preserve"> Stephan Luck, Matthew </w:t>
      </w:r>
      <w:proofErr w:type="spellStart"/>
      <w:r w:rsidRPr="00E53300">
        <w:t>Plosser</w:t>
      </w:r>
      <w:proofErr w:type="spellEnd"/>
      <w:r w:rsidRPr="00E53300">
        <w:t xml:space="preserve"> &amp; Josh Younger, How Do Interest Rates (and Depositors) Impact Measures of Bank Value, The Federal Reserve Bank of New York, Liberty Street Economics, April 7, 2023, </w:t>
      </w:r>
      <w:hyperlink r:id="rId6" w:anchor=":~:text=In%20aggregate%2C%20deposits%20make%20up,maturity%2C%20floating%2Drate%20liability" w:history="1">
        <w:r w:rsidRPr="00E53300">
          <w:rPr>
            <w:rStyle w:val="Hyperlink"/>
            <w:rFonts w:eastAsia="MS Gothic"/>
          </w:rPr>
          <w:t>https://libertystreeteconomics.newyorkfed.org/2023/04/how-do-interest-rates-and-depositors-impact-measures-of-bank-value/#:~:text=In%20aggregate%2C%20deposits%20make%20up,maturity%2C%20floating%2Drate%20liability</w:t>
        </w:r>
      </w:hyperlink>
      <w:r w:rsidRPr="00E53300">
        <w:t xml:space="preserve">. </w:t>
      </w:r>
    </w:p>
  </w:footnote>
  <w:footnote w:id="12">
    <w:p w14:paraId="7114319A" w14:textId="77777777" w:rsidR="00275DB3" w:rsidRPr="00E53300" w:rsidRDefault="00275DB3" w:rsidP="002C2CAA">
      <w:pPr>
        <w:pStyle w:val="FootnoteText"/>
      </w:pPr>
      <w:r w:rsidRPr="00E53300">
        <w:rPr>
          <w:rStyle w:val="FootnoteReference"/>
        </w:rPr>
        <w:footnoteRef/>
      </w:r>
      <w:r w:rsidRPr="00E53300">
        <w:t xml:space="preserve"> Statista, Distribution of Bank Loans in </w:t>
      </w:r>
      <w:proofErr w:type="spellStart"/>
      <w:r w:rsidRPr="00E53300">
        <w:t>th</w:t>
      </w:r>
      <w:proofErr w:type="spellEnd"/>
      <w:r w:rsidRPr="00E53300">
        <w:t xml:space="preserve"> U.S., 2022, https://www.statista.com/statistics/1357194/loans-as-a-share-of-bank-assets-in-the-us-by-type/#:~:text=Quarterly%20loan%20value%20as%20a,U.S.%202003%2D2022%2C%20by%20type&amp;text=In%20the%20last%20quarter%20of,the%20United%20States%20were%20loans.</w:t>
      </w:r>
    </w:p>
  </w:footnote>
  <w:footnote w:id="13">
    <w:p w14:paraId="2EBFD6A9" w14:textId="77777777" w:rsidR="00275DB3" w:rsidRPr="00E53300" w:rsidRDefault="00275DB3" w:rsidP="002C2CAA">
      <w:pPr>
        <w:pStyle w:val="FootnoteText"/>
      </w:pPr>
      <w:r w:rsidRPr="00E53300">
        <w:rPr>
          <w:rStyle w:val="FootnoteReference"/>
        </w:rPr>
        <w:footnoteRef/>
      </w:r>
      <w:r w:rsidRPr="00E53300">
        <w:t xml:space="preserve"> See Anil Kashyap, Raghuram </w:t>
      </w:r>
      <w:proofErr w:type="spellStart"/>
      <w:r w:rsidRPr="00E53300">
        <w:t>Rajan</w:t>
      </w:r>
      <w:proofErr w:type="spellEnd"/>
      <w:r w:rsidRPr="00E53300">
        <w:t xml:space="preserve"> and Jeremy Stein, Banks as Liquidity Providers: An Explanation for the Coexistence of Lending and Deposit-Taking, supra at 33.</w:t>
      </w:r>
    </w:p>
  </w:footnote>
  <w:footnote w:id="14">
    <w:p w14:paraId="109AD2A9" w14:textId="77777777" w:rsidR="00275DB3" w:rsidRPr="00E53300" w:rsidRDefault="00275DB3" w:rsidP="002C2CAA">
      <w:pPr>
        <w:pStyle w:val="FootnoteText"/>
      </w:pPr>
      <w:r w:rsidRPr="00E53300">
        <w:rPr>
          <w:rStyle w:val="FootnoteReference"/>
        </w:rPr>
        <w:footnoteRef/>
      </w:r>
      <w:r w:rsidRPr="00E53300">
        <w:t xml:space="preserve"> Jonathan Macey &amp; Maureen O’Hara, The Corporate Governance of Banks, The Federal Reserve Bank of New York, Economic Policy Review, </w:t>
      </w:r>
      <w:proofErr w:type="gramStart"/>
      <w:r w:rsidRPr="00E53300">
        <w:t>April,</w:t>
      </w:r>
      <w:proofErr w:type="gramEnd"/>
      <w:r w:rsidRPr="00E53300">
        <w:t xml:space="preserve"> 2003, at 97.  </w:t>
      </w:r>
    </w:p>
  </w:footnote>
  <w:footnote w:id="15">
    <w:p w14:paraId="1E9058E4" w14:textId="77777777" w:rsidR="00275DB3" w:rsidRPr="00E53300" w:rsidRDefault="00275DB3" w:rsidP="002C2CAA">
      <w:pPr>
        <w:pStyle w:val="FootnoteText"/>
      </w:pPr>
      <w:r w:rsidRPr="00E53300">
        <w:rPr>
          <w:rStyle w:val="FootnoteReference"/>
        </w:rPr>
        <w:footnoteRef/>
      </w:r>
      <w:r w:rsidRPr="00E53300">
        <w:t xml:space="preserve"> Federal Reserve Bank of St. Louis, The Yield Curve, </w:t>
      </w:r>
      <w:hyperlink r:id="rId7" w:history="1">
        <w:r w:rsidRPr="00E53300">
          <w:rPr>
            <w:rStyle w:val="Hyperlink"/>
            <w:rFonts w:eastAsia="MS Gothic"/>
          </w:rPr>
          <w:t>https://research.stlouisfed.org/publications/yield-curve/what-is-the-yield-curve</w:t>
        </w:r>
      </w:hyperlink>
      <w:r w:rsidRPr="00E53300">
        <w:t xml:space="preserve">. </w:t>
      </w:r>
    </w:p>
  </w:footnote>
  <w:footnote w:id="16">
    <w:p w14:paraId="22AEDED9" w14:textId="77777777" w:rsidR="00275DB3" w:rsidRPr="00E53300" w:rsidRDefault="00275DB3" w:rsidP="002C2CAA">
      <w:pPr>
        <w:pStyle w:val="FootnoteText"/>
      </w:pPr>
      <w:r w:rsidRPr="00E53300">
        <w:rPr>
          <w:rStyle w:val="FootnoteReference"/>
        </w:rPr>
        <w:footnoteRef/>
      </w:r>
      <w:r w:rsidRPr="00E53300">
        <w:t xml:space="preserve"> Camelia </w:t>
      </w:r>
      <w:proofErr w:type="spellStart"/>
      <w:r w:rsidRPr="00E53300">
        <w:t>Minoiu</w:t>
      </w:r>
      <w:proofErr w:type="spellEnd"/>
      <w:r w:rsidRPr="00E53300">
        <w:t xml:space="preserve">, Andres </w:t>
      </w:r>
      <w:proofErr w:type="gramStart"/>
      <w:r w:rsidRPr="00E53300">
        <w:t>Schneider</w:t>
      </w:r>
      <w:proofErr w:type="gramEnd"/>
      <w:r w:rsidRPr="00E53300">
        <w:t xml:space="preserve"> and Min Wei, Why Does the Yield Curve Predict GDP Growth? The Role of Banks, Federal Reserve Bank of Atlanta, Working Paper 2023-14, September, 2023, </w:t>
      </w:r>
      <w:hyperlink r:id="rId8" w:history="1">
        <w:r w:rsidRPr="00E53300">
          <w:rPr>
            <w:rStyle w:val="Hyperlink"/>
            <w:rFonts w:eastAsia="MS Gothic"/>
            <w:shd w:val="clear" w:color="auto" w:fill="F5F5F5"/>
          </w:rPr>
          <w:t>https://doi.org/10.29338/wp2023-14</w:t>
        </w:r>
      </w:hyperlink>
      <w:r w:rsidRPr="00E53300">
        <w:rPr>
          <w:color w:val="4B4B4B"/>
          <w:shd w:val="clear" w:color="auto" w:fill="F5F5F5"/>
        </w:rPr>
        <w:t xml:space="preserve"> </w:t>
      </w:r>
    </w:p>
  </w:footnote>
  <w:footnote w:id="17">
    <w:p w14:paraId="29A7F144" w14:textId="77777777" w:rsidR="00275DB3" w:rsidRPr="00E53300" w:rsidRDefault="00275DB3" w:rsidP="002C2CAA">
      <w:pPr>
        <w:pStyle w:val="FootnoteText"/>
      </w:pPr>
      <w:r w:rsidRPr="00E53300">
        <w:rPr>
          <w:rStyle w:val="FootnoteReference"/>
        </w:rPr>
        <w:footnoteRef/>
      </w:r>
      <w:r w:rsidRPr="00E53300">
        <w:t xml:space="preserve"> There were regular bank panics in the United States during the 19</w:t>
      </w:r>
      <w:r w:rsidRPr="00E53300">
        <w:rPr>
          <w:vertAlign w:val="superscript"/>
        </w:rPr>
        <w:t>th</w:t>
      </w:r>
      <w:r w:rsidRPr="00E53300">
        <w:t xml:space="preserve"> and early 20</w:t>
      </w:r>
      <w:r w:rsidRPr="00E53300">
        <w:rPr>
          <w:vertAlign w:val="superscript"/>
        </w:rPr>
        <w:t>th</w:t>
      </w:r>
      <w:r w:rsidRPr="00E53300">
        <w:t xml:space="preserve"> centuries. Gary B. Gorton &amp; Jeffrey Y. Zhang, </w:t>
      </w:r>
      <w:r w:rsidRPr="00E53300">
        <w:rPr>
          <w:i/>
          <w:iCs/>
        </w:rPr>
        <w:t xml:space="preserve">Taming Wildcat </w:t>
      </w:r>
      <w:proofErr w:type="spellStart"/>
      <w:r w:rsidRPr="00E53300">
        <w:rPr>
          <w:i/>
          <w:iCs/>
        </w:rPr>
        <w:t>Stablecoins</w:t>
      </w:r>
      <w:proofErr w:type="spellEnd"/>
      <w:r w:rsidRPr="00E53300">
        <w:t xml:space="preserve">, 90 U. CHI. L. REV. 909, 946-7 (2023); </w:t>
      </w:r>
      <w:r w:rsidRPr="00E53300">
        <w:rPr>
          <w:i/>
        </w:rPr>
        <w:t>See also</w:t>
      </w:r>
      <w:r w:rsidRPr="00E53300">
        <w:t xml:space="preserve"> James Lee &amp; David Wessel, How Does Deposit Insurance Work? Brookings Commentary, March 21, 2023, </w:t>
      </w:r>
      <w:hyperlink r:id="rId9" w:history="1">
        <w:r w:rsidRPr="00E53300">
          <w:rPr>
            <w:rStyle w:val="Hyperlink"/>
            <w:rFonts w:eastAsia="MS Gothic"/>
          </w:rPr>
          <w:t>https://www.brookings.edu/articles/how-does-deposit-insurance-work/</w:t>
        </w:r>
      </w:hyperlink>
      <w:r w:rsidRPr="00E53300">
        <w:t xml:space="preserve"> </w:t>
      </w:r>
    </w:p>
  </w:footnote>
  <w:footnote w:id="18">
    <w:p w14:paraId="2ADF8DA7" w14:textId="77777777" w:rsidR="00275DB3" w:rsidRPr="00E53300" w:rsidRDefault="00275DB3" w:rsidP="002C2CAA">
      <w:pPr>
        <w:pStyle w:val="FootnoteText"/>
      </w:pPr>
      <w:r w:rsidRPr="00E53300">
        <w:rPr>
          <w:rStyle w:val="FootnoteReference"/>
        </w:rPr>
        <w:footnoteRef/>
      </w:r>
      <w:r w:rsidRPr="00E53300">
        <w:t xml:space="preserve"> Daniel Fischel, Andrew Rosenfield &amp; Robert Stillman, </w:t>
      </w:r>
      <w:r w:rsidRPr="00E53300">
        <w:rPr>
          <w:i/>
        </w:rPr>
        <w:t>supra</w:t>
      </w:r>
      <w:r w:rsidRPr="00E53300">
        <w:t>, at 308.</w:t>
      </w:r>
    </w:p>
  </w:footnote>
  <w:footnote w:id="19">
    <w:p w14:paraId="5D4A123D" w14:textId="77777777" w:rsidR="00275DB3" w:rsidRPr="00E53300" w:rsidRDefault="00275DB3" w:rsidP="002C2CAA">
      <w:pPr>
        <w:pStyle w:val="FootnoteText"/>
      </w:pPr>
      <w:r w:rsidRPr="00E53300">
        <w:rPr>
          <w:rStyle w:val="FootnoteReference"/>
        </w:rPr>
        <w:footnoteRef/>
      </w:r>
      <w:r w:rsidRPr="00E53300">
        <w:t xml:space="preserve"> Diamond &amp; </w:t>
      </w:r>
      <w:proofErr w:type="spellStart"/>
      <w:r w:rsidRPr="00E53300">
        <w:t>Dybvig</w:t>
      </w:r>
      <w:proofErr w:type="spellEnd"/>
      <w:r w:rsidRPr="00E53300">
        <w:t xml:space="preserve">, </w:t>
      </w:r>
      <w:r w:rsidRPr="00E53300">
        <w:rPr>
          <w:i/>
          <w:iCs/>
        </w:rPr>
        <w:t>Bank Runs, Deposit Insurance, and Liquidity</w:t>
      </w:r>
      <w:r w:rsidRPr="00E53300">
        <w:t>, 91 J. POLITICAL ECONOMY 401, 403 (1983).</w:t>
      </w:r>
    </w:p>
  </w:footnote>
  <w:footnote w:id="20">
    <w:p w14:paraId="7DAA8E71" w14:textId="77777777" w:rsidR="00275DB3" w:rsidRPr="00E53300" w:rsidRDefault="00275DB3" w:rsidP="002C2CAA">
      <w:pPr>
        <w:pStyle w:val="FootnoteText"/>
      </w:pPr>
      <w:r w:rsidRPr="00E53300">
        <w:rPr>
          <w:rStyle w:val="FootnoteReference"/>
        </w:rPr>
        <w:footnoteRef/>
      </w:r>
      <w:r w:rsidRPr="00E53300">
        <w:t xml:space="preserve"> Saule Omarova, Public Banking as an Institutional Design Challenge, Y. J. on REG. (forthcoming 2024).</w:t>
      </w:r>
    </w:p>
  </w:footnote>
  <w:footnote w:id="21">
    <w:p w14:paraId="13276E8E" w14:textId="77777777" w:rsidR="00275DB3" w:rsidRPr="00E53300" w:rsidRDefault="00275DB3" w:rsidP="002C2CAA">
      <w:pPr>
        <w:pStyle w:val="FootnoteText"/>
      </w:pPr>
      <w:r w:rsidRPr="00E53300">
        <w:rPr>
          <w:rStyle w:val="FootnoteReference"/>
        </w:rPr>
        <w:footnoteRef/>
      </w:r>
      <w:r w:rsidRPr="00E53300">
        <w:t xml:space="preserve"> Diamond &amp; </w:t>
      </w:r>
      <w:proofErr w:type="spellStart"/>
      <w:r w:rsidRPr="00E53300">
        <w:t>Dybvig</w:t>
      </w:r>
      <w:proofErr w:type="spellEnd"/>
      <w:r w:rsidRPr="00E53300">
        <w:t xml:space="preserve">, </w:t>
      </w:r>
      <w:r w:rsidRPr="00E53300">
        <w:rPr>
          <w:i/>
          <w:iCs/>
        </w:rPr>
        <w:t xml:space="preserve">supra, </w:t>
      </w:r>
      <w:r w:rsidRPr="00E53300">
        <w:rPr>
          <w:iCs/>
        </w:rPr>
        <w:t>at 401.</w:t>
      </w:r>
    </w:p>
  </w:footnote>
  <w:footnote w:id="22">
    <w:p w14:paraId="6AC8E778" w14:textId="77777777" w:rsidR="00275DB3" w:rsidRPr="00E53300" w:rsidRDefault="00275DB3" w:rsidP="002C2CAA">
      <w:pPr>
        <w:pStyle w:val="FootnoteText"/>
      </w:pPr>
      <w:r w:rsidRPr="00E53300">
        <w:rPr>
          <w:rStyle w:val="FootnoteReference"/>
        </w:rPr>
        <w:footnoteRef/>
      </w:r>
      <w:r w:rsidRPr="00E53300">
        <w:t xml:space="preserve"> Id.</w:t>
      </w:r>
    </w:p>
  </w:footnote>
  <w:footnote w:id="23">
    <w:p w14:paraId="3864D50A" w14:textId="77777777" w:rsidR="00275DB3" w:rsidRPr="00E53300" w:rsidRDefault="00275DB3" w:rsidP="002C2CAA">
      <w:pPr>
        <w:pStyle w:val="FootnoteText"/>
      </w:pPr>
      <w:r w:rsidRPr="00E53300">
        <w:rPr>
          <w:rStyle w:val="FootnoteReference"/>
        </w:rPr>
        <w:footnoteRef/>
      </w:r>
      <w:r w:rsidRPr="00E53300">
        <w:t xml:space="preserve"> </w:t>
      </w:r>
      <w:proofErr w:type="spellStart"/>
      <w:r w:rsidRPr="00E53300">
        <w:t>Kayshap</w:t>
      </w:r>
      <w:proofErr w:type="spellEnd"/>
      <w:r w:rsidRPr="00E53300">
        <w:t xml:space="preserve">, </w:t>
      </w:r>
      <w:proofErr w:type="spellStart"/>
      <w:r w:rsidRPr="00E53300">
        <w:t>Rajan</w:t>
      </w:r>
      <w:proofErr w:type="spellEnd"/>
      <w:r w:rsidRPr="00E53300">
        <w:t xml:space="preserve"> and Stein, supra at 33-34.</w:t>
      </w:r>
    </w:p>
  </w:footnote>
  <w:footnote w:id="24">
    <w:p w14:paraId="0F4DB096" w14:textId="77777777" w:rsidR="00275DB3" w:rsidRPr="00E53300" w:rsidRDefault="00275DB3" w:rsidP="002C2CAA">
      <w:pPr>
        <w:pStyle w:val="FootnoteText"/>
      </w:pPr>
      <w:r w:rsidRPr="00E53300">
        <w:rPr>
          <w:rStyle w:val="FootnoteReference"/>
        </w:rPr>
        <w:footnoteRef/>
      </w:r>
      <w:r w:rsidRPr="00E53300">
        <w:t xml:space="preserve"> Id.</w:t>
      </w:r>
    </w:p>
  </w:footnote>
  <w:footnote w:id="25">
    <w:p w14:paraId="327C16B3" w14:textId="77777777" w:rsidR="00275DB3" w:rsidRPr="00E53300" w:rsidRDefault="00275DB3" w:rsidP="002C2CAA">
      <w:pPr>
        <w:pStyle w:val="FootnoteText"/>
      </w:pPr>
      <w:r w:rsidRPr="00E53300">
        <w:rPr>
          <w:rStyle w:val="FootnoteReference"/>
        </w:rPr>
        <w:footnoteRef/>
      </w:r>
      <w:r w:rsidRPr="00E53300">
        <w:t xml:space="preserve"> John </w:t>
      </w:r>
      <w:proofErr w:type="spellStart"/>
      <w:r w:rsidRPr="00E53300">
        <w:t>Panzar</w:t>
      </w:r>
      <w:proofErr w:type="spellEnd"/>
      <w:r w:rsidRPr="00E53300">
        <w:t xml:space="preserve"> &amp; Robert </w:t>
      </w:r>
      <w:proofErr w:type="spellStart"/>
      <w:r w:rsidRPr="00E53300">
        <w:t>Willig</w:t>
      </w:r>
      <w:proofErr w:type="spellEnd"/>
      <w:r w:rsidRPr="00E53300">
        <w:t>, Economies of Scope, 91 QUARTERLY J. OF ECON. 481, 481, (1977).</w:t>
      </w:r>
    </w:p>
  </w:footnote>
  <w:footnote w:id="26">
    <w:p w14:paraId="5D7FB14F" w14:textId="77777777" w:rsidR="00275DB3" w:rsidRPr="00E53300" w:rsidRDefault="00275DB3" w:rsidP="002C2CAA">
      <w:pPr>
        <w:pStyle w:val="FootnoteText"/>
      </w:pPr>
      <w:r w:rsidRPr="00E53300">
        <w:rPr>
          <w:rStyle w:val="FootnoteReference"/>
        </w:rPr>
        <w:footnoteRef/>
      </w:r>
      <w:r w:rsidRPr="00E53300">
        <w:t xml:space="preserve"> Loretta </w:t>
      </w:r>
      <w:proofErr w:type="spellStart"/>
      <w:r w:rsidRPr="00E53300">
        <w:t>Mester</w:t>
      </w:r>
      <w:proofErr w:type="spellEnd"/>
      <w:r w:rsidRPr="00E53300">
        <w:t xml:space="preserve">, Leonard Nakamura &amp; Micheline Renault, Checking Accounts and Bank Monitoring, Federal Reserve Bank of Philadelphia Working Paper No. 01-3, March 2001, at 1;  Leonard Nakamura, Commercial Bank Information: Implications for the Structure of Banking, </w:t>
      </w:r>
      <w:r w:rsidRPr="00E53300">
        <w:rPr>
          <w:i/>
        </w:rPr>
        <w:t xml:space="preserve">in </w:t>
      </w:r>
      <w:r w:rsidRPr="00E53300">
        <w:t>Structural Change in Banking 131, 134-36 (Michael Klausner &amp; Lawrence J. White, eds., 1993).</w:t>
      </w:r>
    </w:p>
  </w:footnote>
  <w:footnote w:id="27">
    <w:p w14:paraId="06C20D34" w14:textId="77777777" w:rsidR="00275DB3" w:rsidRDefault="00275DB3" w:rsidP="002C2CAA">
      <w:pPr>
        <w:pStyle w:val="FootnoteText"/>
      </w:pPr>
      <w:r>
        <w:rPr>
          <w:rStyle w:val="FootnoteReference"/>
        </w:rPr>
        <w:footnoteRef/>
      </w:r>
      <w:r>
        <w:t xml:space="preserve"> A</w:t>
      </w:r>
      <w:r w:rsidRPr="00E53300">
        <w:t xml:space="preserve">nil Kashyap, Raghuram </w:t>
      </w:r>
      <w:proofErr w:type="spellStart"/>
      <w:r w:rsidRPr="00E53300">
        <w:t>Rajan</w:t>
      </w:r>
      <w:proofErr w:type="spellEnd"/>
      <w:r w:rsidRPr="00E53300">
        <w:t xml:space="preserve"> and Jeremy Stein, Banks as Liquidity Providers: An Explanation for the Coexistence of Lending and Deposit-Taking, 57 J. FIN. 33 (2002)</w:t>
      </w:r>
      <w:r>
        <w:t>.</w:t>
      </w:r>
    </w:p>
  </w:footnote>
  <w:footnote w:id="28">
    <w:p w14:paraId="5D812DC6" w14:textId="77777777" w:rsidR="00275DB3" w:rsidRPr="00E53300" w:rsidRDefault="00275DB3" w:rsidP="002C2CAA">
      <w:pPr>
        <w:pStyle w:val="FootnoteText"/>
      </w:pPr>
      <w:r w:rsidRPr="00E53300">
        <w:rPr>
          <w:rStyle w:val="FootnoteReference"/>
        </w:rPr>
        <w:footnoteRef/>
      </w:r>
      <w:r w:rsidRPr="00E53300">
        <w:t xml:space="preserve"> Mark Flannery, Debt </w:t>
      </w:r>
      <w:proofErr w:type="gramStart"/>
      <w:r w:rsidRPr="00E53300">
        <w:t>Maturity</w:t>
      </w:r>
      <w:proofErr w:type="gramEnd"/>
      <w:r w:rsidRPr="00E53300">
        <w:t xml:space="preserve"> and the Deadweight Cost of Leverage: Optimally Financing Banking Firms, 84 AMERICAN ECON. REV. 320, 320-21 (1994)</w:t>
      </w:r>
    </w:p>
  </w:footnote>
  <w:footnote w:id="29">
    <w:p w14:paraId="3FC5F360" w14:textId="77777777" w:rsidR="00275DB3" w:rsidRPr="00E53300" w:rsidRDefault="00275DB3" w:rsidP="002C2CAA">
      <w:pPr>
        <w:pStyle w:val="FootnoteText"/>
      </w:pPr>
      <w:r w:rsidRPr="00E53300">
        <w:rPr>
          <w:rStyle w:val="FootnoteReference"/>
        </w:rPr>
        <w:footnoteRef/>
      </w:r>
      <w:r w:rsidRPr="00E53300">
        <w:t xml:space="preserve"> Id. (“the Hong Kong banking sector was essentially unregulated before a series of depositor panics in 1965).</w:t>
      </w:r>
    </w:p>
  </w:footnote>
  <w:footnote w:id="30">
    <w:p w14:paraId="281679AD" w14:textId="77777777" w:rsidR="00275DB3" w:rsidRPr="00E53300" w:rsidRDefault="00275DB3" w:rsidP="002C2CAA">
      <w:pPr>
        <w:pStyle w:val="FootnoteText"/>
      </w:pPr>
      <w:r w:rsidRPr="00E53300">
        <w:rPr>
          <w:rStyle w:val="FootnoteReference"/>
        </w:rPr>
        <w:footnoteRef/>
      </w:r>
      <w:r w:rsidRPr="00E53300">
        <w:t xml:space="preserve"> Gary Gorton, Private Clearinghouses and the Origins of Central Banking, Business Review, Federal Reserve Bank of Philadelphia, January-February 1984, at 5.</w:t>
      </w:r>
    </w:p>
  </w:footnote>
  <w:footnote w:id="31">
    <w:p w14:paraId="0146A67C" w14:textId="77777777" w:rsidR="00275DB3" w:rsidRPr="00E53300" w:rsidRDefault="00275DB3" w:rsidP="002C2CAA">
      <w:pPr>
        <w:pStyle w:val="FootnoteText"/>
      </w:pPr>
      <w:r w:rsidRPr="00E53300">
        <w:rPr>
          <w:rStyle w:val="FootnoteReference"/>
        </w:rPr>
        <w:footnoteRef/>
      </w:r>
      <w:r w:rsidRPr="00E53300">
        <w:t xml:space="preserve"> Gary Gorton, Banking Panics and Business Cycles, Oxford Economic Papers, December 1988, 751</w:t>
      </w:r>
    </w:p>
  </w:footnote>
  <w:footnote w:id="32">
    <w:p w14:paraId="0E6DA536" w14:textId="77777777" w:rsidR="00275DB3" w:rsidRPr="00E53300" w:rsidRDefault="00275DB3" w:rsidP="002C2CAA">
      <w:pPr>
        <w:pStyle w:val="FootnoteText"/>
      </w:pPr>
      <w:r w:rsidRPr="00E53300">
        <w:rPr>
          <w:rStyle w:val="FootnoteReference"/>
        </w:rPr>
        <w:footnoteRef/>
      </w:r>
      <w:r w:rsidRPr="00E53300">
        <w:t xml:space="preserve"> Id.</w:t>
      </w:r>
    </w:p>
  </w:footnote>
  <w:footnote w:id="33">
    <w:p w14:paraId="1F67CB02" w14:textId="77777777" w:rsidR="00275DB3" w:rsidRPr="00E53300" w:rsidRDefault="00275DB3" w:rsidP="002C2CAA">
      <w:pPr>
        <w:pStyle w:val="FootnoteText"/>
      </w:pPr>
      <w:r w:rsidRPr="00E53300">
        <w:rPr>
          <w:rStyle w:val="FootnoteReference"/>
        </w:rPr>
        <w:footnoteRef/>
      </w:r>
      <w:r w:rsidRPr="00E53300">
        <w:t xml:space="preserve"> </w:t>
      </w:r>
      <w:proofErr w:type="spellStart"/>
      <w:r w:rsidRPr="00E53300">
        <w:t>Haelim</w:t>
      </w:r>
      <w:proofErr w:type="spellEnd"/>
      <w:r w:rsidRPr="00E53300">
        <w:t xml:space="preserve"> Anderson, Daniel Barth &amp; Dong </w:t>
      </w:r>
      <w:proofErr w:type="spellStart"/>
      <w:r w:rsidRPr="00E53300">
        <w:t>Beom</w:t>
      </w:r>
      <w:proofErr w:type="spellEnd"/>
      <w:r w:rsidRPr="00E53300">
        <w:t xml:space="preserve"> Choi, Does Increased Shareholder Liability Always Reduce Bank Moral Hazard? September 15, 2019, </w:t>
      </w:r>
      <w:hyperlink r:id="rId10" w:history="1">
        <w:r w:rsidRPr="00E53300">
          <w:rPr>
            <w:rStyle w:val="Hyperlink"/>
            <w:rFonts w:eastAsia="MS Gothic"/>
          </w:rPr>
          <w:t>https://ssrn.com/abstract=3091914</w:t>
        </w:r>
      </w:hyperlink>
      <w:r w:rsidRPr="00E53300">
        <w:t>; R.S. Grossman, Double Liability and Bank Risk Taking 33 J. MONEY CREDIT &amp; BANKING 143 (2001); Jonathan R. Macey and Geoffrey P. Miller, Double Liability of Bank Shareholders: History and Implications, 27 WAKE FOREST L. REV. 31 (1992).</w:t>
      </w:r>
    </w:p>
  </w:footnote>
  <w:footnote w:id="34">
    <w:p w14:paraId="6BE3C827" w14:textId="77777777" w:rsidR="00275DB3" w:rsidRPr="00E53300" w:rsidRDefault="00275DB3" w:rsidP="002C2CAA">
      <w:pPr>
        <w:pStyle w:val="FootnoteText"/>
      </w:pPr>
      <w:r w:rsidRPr="00E53300">
        <w:rPr>
          <w:rStyle w:val="FootnoteReference"/>
        </w:rPr>
        <w:footnoteRef/>
      </w:r>
      <w:r w:rsidRPr="00E53300">
        <w:t xml:space="preserve"> Charles </w:t>
      </w:r>
      <w:proofErr w:type="spellStart"/>
      <w:r w:rsidRPr="00E53300">
        <w:t>Calomoris</w:t>
      </w:r>
      <w:proofErr w:type="spellEnd"/>
      <w:r w:rsidRPr="00E53300">
        <w:t xml:space="preserve"> and Charles Kahn, The Role of Demandable Debt in Structuring Optimal Banking Arrangements, 81 AMER. ECON REV. 497, 497 (1991).</w:t>
      </w:r>
    </w:p>
  </w:footnote>
  <w:footnote w:id="35">
    <w:p w14:paraId="1C82801C" w14:textId="77777777" w:rsidR="00275DB3" w:rsidRPr="00E53300" w:rsidRDefault="00275DB3" w:rsidP="002C2CAA">
      <w:pPr>
        <w:pStyle w:val="FootnoteText"/>
      </w:pPr>
      <w:r w:rsidRPr="00E53300">
        <w:rPr>
          <w:rStyle w:val="FootnoteReference"/>
        </w:rPr>
        <w:footnoteRef/>
      </w:r>
      <w:r w:rsidRPr="00E53300">
        <w:t xml:space="preserve"> Other articles that justify combining lending and deposit taking on the grounds that this capital structure serves to impose discipline on bank managers includes </w:t>
      </w:r>
      <w:proofErr w:type="spellStart"/>
      <w:r w:rsidRPr="00E53300">
        <w:t>Jianping</w:t>
      </w:r>
      <w:proofErr w:type="spellEnd"/>
      <w:r w:rsidRPr="00E53300">
        <w:t xml:space="preserve"> Qi, Deposit Liquidity and Bank Monitoring ,7 J. FIN. INTER. 198 (1988) (deposit liquidity motivates banks to provide greater monitoring of loan applicants), and Flannery, Debt Maturity and the Deadweight Cost of Leverage: Optimally Financing Banking Firms, supra  (liquid deposits commit banks to market discipline).</w:t>
      </w:r>
    </w:p>
  </w:footnote>
  <w:footnote w:id="36">
    <w:p w14:paraId="55797EAC" w14:textId="77777777" w:rsidR="00275DB3" w:rsidRPr="00E53300" w:rsidRDefault="00275DB3" w:rsidP="002C2CAA">
      <w:pPr>
        <w:pStyle w:val="FootnoteText"/>
      </w:pPr>
      <w:r w:rsidRPr="00E53300">
        <w:rPr>
          <w:rStyle w:val="FootnoteReference"/>
        </w:rPr>
        <w:footnoteRef/>
      </w:r>
      <w:r w:rsidRPr="00E53300">
        <w:t xml:space="preserve"> Charles </w:t>
      </w:r>
      <w:proofErr w:type="spellStart"/>
      <w:r w:rsidRPr="00E53300">
        <w:t>Calomoris</w:t>
      </w:r>
      <w:proofErr w:type="spellEnd"/>
      <w:r w:rsidRPr="00E53300">
        <w:t xml:space="preserve"> and Charles Kahn, The Role of Demandable Debt in Structuring Optimal Banking Arrangements, supra.</w:t>
      </w:r>
    </w:p>
  </w:footnote>
  <w:footnote w:id="37">
    <w:p w14:paraId="30FD77C8" w14:textId="77777777" w:rsidR="00275DB3" w:rsidRPr="00E53300" w:rsidRDefault="00275DB3" w:rsidP="002C2CAA">
      <w:pPr>
        <w:pStyle w:val="FootnoteText"/>
      </w:pPr>
      <w:r w:rsidRPr="00E53300">
        <w:rPr>
          <w:rStyle w:val="FootnoteReference"/>
        </w:rPr>
        <w:footnoteRef/>
      </w:r>
      <w:r w:rsidRPr="00E53300">
        <w:t xml:space="preserve"> Id. at 500.</w:t>
      </w:r>
    </w:p>
  </w:footnote>
  <w:footnote w:id="38">
    <w:p w14:paraId="06E911B2" w14:textId="77777777" w:rsidR="00275DB3" w:rsidRPr="00E53300" w:rsidRDefault="00275DB3" w:rsidP="002C2CAA">
      <w:pPr>
        <w:pStyle w:val="FootnoteText"/>
      </w:pPr>
      <w:r w:rsidRPr="00E53300">
        <w:rPr>
          <w:rStyle w:val="FootnoteReference"/>
        </w:rPr>
        <w:footnoteRef/>
      </w:r>
      <w:r w:rsidRPr="00E53300">
        <w:t xml:space="preserve"> Id.</w:t>
      </w:r>
    </w:p>
  </w:footnote>
  <w:footnote w:id="39">
    <w:p w14:paraId="36588B91" w14:textId="77777777" w:rsidR="00275DB3" w:rsidRPr="00E53300" w:rsidRDefault="00275DB3" w:rsidP="002C2CAA">
      <w:pPr>
        <w:pStyle w:val="FootnoteText"/>
      </w:pPr>
      <w:r w:rsidRPr="00E53300">
        <w:rPr>
          <w:rStyle w:val="FootnoteReference"/>
        </w:rPr>
        <w:footnoteRef/>
      </w:r>
      <w:r w:rsidRPr="00E53300">
        <w:t xml:space="preserve"> Virtually every country (147 at last count) has a deposit insurance regime. See International Association of Deposit Insurers, updated February 2024, </w:t>
      </w:r>
      <w:hyperlink r:id="rId11" w:history="1">
        <w:r w:rsidRPr="00E53300">
          <w:rPr>
            <w:rStyle w:val="Hyperlink"/>
            <w:rFonts w:eastAsia="MS Gothic"/>
          </w:rPr>
          <w:t>https://www.iadi.org/en/about-iadi/deposit-insurance-systems/dis-worldwide/</w:t>
        </w:r>
      </w:hyperlink>
      <w:r w:rsidRPr="00E53300">
        <w:t>.  Moreover, “Deposit insurance–whether explicit or implicit–is a political reality in effectively all jurisdictions that have a banking system. The role of an explicit deposit insurance system in today's financial environment will continue to evolve and expand.”. Id.</w:t>
      </w:r>
    </w:p>
  </w:footnote>
  <w:footnote w:id="40">
    <w:p w14:paraId="7DEF1276" w14:textId="77777777" w:rsidR="00275DB3" w:rsidRPr="00E53300" w:rsidRDefault="00275DB3" w:rsidP="002C2CAA">
      <w:pPr>
        <w:pStyle w:val="FootnoteText"/>
      </w:pPr>
      <w:r w:rsidRPr="00E53300">
        <w:rPr>
          <w:rStyle w:val="FootnoteReference"/>
        </w:rPr>
        <w:footnoteRef/>
      </w:r>
      <w:r w:rsidRPr="00E53300">
        <w:t xml:space="preserve"> Charles </w:t>
      </w:r>
      <w:proofErr w:type="spellStart"/>
      <w:r w:rsidRPr="00E53300">
        <w:t>Calomoris</w:t>
      </w:r>
      <w:proofErr w:type="spellEnd"/>
      <w:r w:rsidRPr="00E53300">
        <w:t xml:space="preserve"> and Charles Kahn, The Role of Demandable Debt in Structuring Optimal Banking Arrangements, supra at 510.</w:t>
      </w:r>
    </w:p>
  </w:footnote>
  <w:footnote w:id="41">
    <w:p w14:paraId="57A4426F" w14:textId="77777777" w:rsidR="00275DB3" w:rsidRPr="00E53300" w:rsidRDefault="00275DB3" w:rsidP="002C2CAA">
      <w:pPr>
        <w:pStyle w:val="FootnoteText"/>
      </w:pPr>
      <w:r w:rsidRPr="00E53300">
        <w:rPr>
          <w:rStyle w:val="FootnoteReference"/>
        </w:rPr>
        <w:footnoteRef/>
      </w:r>
      <w:r w:rsidRPr="00E53300">
        <w:t xml:space="preserve"> Diana </w:t>
      </w:r>
      <w:proofErr w:type="spellStart"/>
      <w:r w:rsidRPr="00E53300">
        <w:t>Bonfim</w:t>
      </w:r>
      <w:proofErr w:type="spellEnd"/>
      <w:r w:rsidRPr="00E53300">
        <w:t xml:space="preserve"> and João A.C. Santos, The Importance of Deposit Insurance Credibility, 154 J. BANKING &amp; FIN. (2023), Available at SSRN: https://ssrn.com/abstract=3674147 or </w:t>
      </w:r>
      <w:hyperlink r:id="rId12" w:history="1">
        <w:r w:rsidRPr="00E53300">
          <w:rPr>
            <w:rStyle w:val="Hyperlink"/>
            <w:rFonts w:eastAsia="MS Gothic"/>
          </w:rPr>
          <w:t>http://dx.doi.org/10.2139/ssrn.3674147</w:t>
        </w:r>
      </w:hyperlink>
      <w:r w:rsidRPr="00E53300">
        <w:t xml:space="preserve"> </w:t>
      </w:r>
    </w:p>
  </w:footnote>
  <w:footnote w:id="42">
    <w:p w14:paraId="5395890B" w14:textId="77777777" w:rsidR="00275DB3" w:rsidRPr="00E53300" w:rsidRDefault="00275DB3" w:rsidP="002C2CAA">
      <w:pPr>
        <w:pStyle w:val="FootnoteText"/>
      </w:pPr>
      <w:r w:rsidRPr="00E53300">
        <w:rPr>
          <w:rStyle w:val="FootnoteReference"/>
        </w:rPr>
        <w:footnoteRef/>
      </w:r>
      <w:r w:rsidRPr="00E53300">
        <w:t xml:space="preserve"> See Douglas W. Diamond &amp; Philip H. </w:t>
      </w:r>
      <w:proofErr w:type="spellStart"/>
      <w:r w:rsidRPr="00E53300">
        <w:t>Dybvig</w:t>
      </w:r>
      <w:proofErr w:type="spellEnd"/>
      <w:r w:rsidRPr="00E53300">
        <w:t>, Banking Theory, Deposit Insurance, and Bank Regulation, 59 J. OF BUSINESS 55 (1986).</w:t>
      </w:r>
    </w:p>
  </w:footnote>
  <w:footnote w:id="43">
    <w:p w14:paraId="2AB75A57" w14:textId="77777777" w:rsidR="00275DB3" w:rsidRPr="00E53300" w:rsidRDefault="00275DB3" w:rsidP="002C2CAA">
      <w:pPr>
        <w:pStyle w:val="FootnoteText"/>
      </w:pPr>
      <w:r w:rsidRPr="00E53300">
        <w:rPr>
          <w:rStyle w:val="FootnoteReference"/>
        </w:rPr>
        <w:footnoteRef/>
      </w:r>
      <w:r w:rsidRPr="00E53300">
        <w:t xml:space="preserve"> Larry I. Nakamura, Commercial Bank Information: Implications for the Structure of Banking, in Structural Change in Banking 131, 134-36 (Michael Klausner &amp; Lawrence J. White eds., 1993).</w:t>
      </w:r>
    </w:p>
  </w:footnote>
  <w:footnote w:id="44">
    <w:p w14:paraId="5711924C" w14:textId="77777777" w:rsidR="00275DB3" w:rsidRPr="00E53300" w:rsidRDefault="00275DB3" w:rsidP="002C2CAA">
      <w:pPr>
        <w:pStyle w:val="FootnoteText"/>
      </w:pPr>
      <w:r w:rsidRPr="00E53300">
        <w:rPr>
          <w:rStyle w:val="FootnoteReference"/>
        </w:rPr>
        <w:footnoteRef/>
      </w:r>
      <w:r w:rsidRPr="00E53300">
        <w:t xml:space="preserve"> See </w:t>
      </w:r>
      <w:r w:rsidRPr="00E53300">
        <w:rPr>
          <w:i/>
        </w:rPr>
        <w:t>Id</w:t>
      </w:r>
      <w:r w:rsidRPr="00E53300">
        <w:t xml:space="preserve">, describing the work of Black and Fama, cited </w:t>
      </w:r>
      <w:r w:rsidRPr="00E53300">
        <w:rPr>
          <w:i/>
        </w:rPr>
        <w:t>infra</w:t>
      </w:r>
      <w:r w:rsidRPr="00E53300">
        <w:t>.</w:t>
      </w:r>
    </w:p>
  </w:footnote>
  <w:footnote w:id="45">
    <w:p w14:paraId="58264D84" w14:textId="77777777" w:rsidR="00275DB3" w:rsidRPr="00E53300" w:rsidRDefault="00275DB3" w:rsidP="002C2CAA">
      <w:pPr>
        <w:pStyle w:val="FootnoteText"/>
      </w:pPr>
      <w:r w:rsidRPr="00E53300">
        <w:rPr>
          <w:rStyle w:val="FootnoteReference"/>
        </w:rPr>
        <w:footnoteRef/>
      </w:r>
      <w:r w:rsidRPr="00E53300">
        <w:t xml:space="preserve"> Id.</w:t>
      </w:r>
    </w:p>
  </w:footnote>
  <w:footnote w:id="46">
    <w:p w14:paraId="5078ADF9" w14:textId="77777777" w:rsidR="00275DB3" w:rsidRPr="00E53300" w:rsidRDefault="00275DB3" w:rsidP="002C2CAA">
      <w:pPr>
        <w:pStyle w:val="FootnoteText"/>
      </w:pPr>
      <w:r w:rsidRPr="00E53300">
        <w:rPr>
          <w:rStyle w:val="FootnoteReference"/>
        </w:rPr>
        <w:footnoteRef/>
      </w:r>
      <w:r w:rsidRPr="00E53300">
        <w:t xml:space="preserve"> Id. at footnote 2.</w:t>
      </w:r>
    </w:p>
  </w:footnote>
  <w:footnote w:id="47">
    <w:p w14:paraId="40B70E50" w14:textId="77777777" w:rsidR="00275DB3" w:rsidRPr="00E53300" w:rsidRDefault="00275DB3" w:rsidP="002C2CAA">
      <w:pPr>
        <w:pStyle w:val="FootnoteText"/>
      </w:pPr>
      <w:r w:rsidRPr="00E53300">
        <w:rPr>
          <w:rStyle w:val="FootnoteReference"/>
        </w:rPr>
        <w:footnoteRef/>
      </w:r>
      <w:r w:rsidRPr="00E53300">
        <w:t xml:space="preserve"> Eugene Fama, What’s Different About Banks, 15 J. of MONETARY ECONOMICS 29, 38 (1985); </w:t>
      </w:r>
      <w:r w:rsidRPr="00E53300">
        <w:rPr>
          <w:i/>
        </w:rPr>
        <w:t>See also</w:t>
      </w:r>
      <w:r w:rsidRPr="00E53300">
        <w:t xml:space="preserve"> Fisher Black, Bank Funds Management in an Efficient Market, 2 J. FIN. ECON. 323 (1975)</w:t>
      </w:r>
    </w:p>
  </w:footnote>
  <w:footnote w:id="48">
    <w:p w14:paraId="49ACD945" w14:textId="77777777" w:rsidR="00275DB3" w:rsidRPr="00E53300" w:rsidRDefault="00275DB3" w:rsidP="002C2CAA">
      <w:pPr>
        <w:pStyle w:val="FootnoteText"/>
      </w:pPr>
      <w:r w:rsidRPr="00E53300">
        <w:rPr>
          <w:rStyle w:val="FootnoteReference"/>
        </w:rPr>
        <w:footnoteRef/>
      </w:r>
      <w:r w:rsidRPr="00E53300">
        <w:t xml:space="preserve"> Brian </w:t>
      </w:r>
      <w:proofErr w:type="spellStart"/>
      <w:r w:rsidRPr="00E53300">
        <w:t>Gendreau</w:t>
      </w:r>
      <w:proofErr w:type="spellEnd"/>
      <w:r w:rsidRPr="00E53300">
        <w:t xml:space="preserve"> and Steven Smith, Debating the Checking Account Hypothesis, 14 J. RETAIL BANKING 35 (1992)</w:t>
      </w:r>
    </w:p>
  </w:footnote>
  <w:footnote w:id="49">
    <w:p w14:paraId="07180D7A" w14:textId="77777777" w:rsidR="00275DB3" w:rsidRPr="00E53300" w:rsidRDefault="00275DB3" w:rsidP="002C2CAA">
      <w:pPr>
        <w:pStyle w:val="FootnoteText"/>
      </w:pPr>
      <w:r w:rsidRPr="00E53300">
        <w:rPr>
          <w:rStyle w:val="FootnoteReference"/>
        </w:rPr>
        <w:footnoteRef/>
      </w:r>
      <w:r w:rsidRPr="00E53300">
        <w:t xml:space="preserve"> Id.  Information from checking accounts benefits lenders because:</w:t>
      </w:r>
    </w:p>
    <w:p w14:paraId="40C9B9E4" w14:textId="77777777" w:rsidR="00275DB3" w:rsidRPr="00E53300" w:rsidRDefault="00275DB3" w:rsidP="002C2CAA">
      <w:pPr>
        <w:pStyle w:val="FootnoteText"/>
        <w:ind w:left="1296" w:right="1296"/>
      </w:pPr>
      <w:r w:rsidRPr="00E53300">
        <w:t>By examining the checks written against a commercial customer's checking account and the deposits into the account, a bank loan officer can determine the size of the payroll, the salaries of the firm's key personnel, the amount of money paid for supplies, the identity of the firm's major customers, and the seasonal pattern of the business' receipts. With this information readily available, banks obtained a significant competitive advantage over other sorts of financial intermediaries.</w:t>
      </w:r>
    </w:p>
    <w:p w14:paraId="15ED3EFD" w14:textId="77777777" w:rsidR="00275DB3" w:rsidRPr="00E53300" w:rsidRDefault="00275DB3" w:rsidP="002C2CAA">
      <w:pPr>
        <w:pStyle w:val="FootnoteText"/>
        <w:ind w:right="1296"/>
      </w:pPr>
      <w:r w:rsidRPr="00E53300">
        <w:t>Jonathan Macey and Geoffrey Miller, Bank Failure: The Politicization of a Social Problem, 45 STAN. L. REV. 289, 295 (1992).</w:t>
      </w:r>
    </w:p>
  </w:footnote>
  <w:footnote w:id="50">
    <w:p w14:paraId="49963D9C" w14:textId="77777777" w:rsidR="00275DB3" w:rsidRPr="00E53300" w:rsidRDefault="00275DB3" w:rsidP="002C2CAA">
      <w:pPr>
        <w:pStyle w:val="FootnoteText"/>
      </w:pPr>
      <w:r w:rsidRPr="00E53300">
        <w:rPr>
          <w:rStyle w:val="FootnoteReference"/>
        </w:rPr>
        <w:footnoteRef/>
      </w:r>
      <w:r w:rsidRPr="00E53300">
        <w:t xml:space="preserve"> In early work with Geoff Miller, we pointed out that there were reasons to doubt the checking account hypothesis.  Jonathan Macey and Geoffrey Miller, Deposit Insurance, the Implicit Regulatory Contract, and the Mismatch in the Term Structure of Banks’ Assets and Liabilities, 12 YALE J. REG. 1, 5 – 7 (1995). (“although the checking account hypothesis may have had some validity in the past, it is no longer valid, at least for large borrowers, because there are other, better ways for lenders to obtain information about large borrowers than by monitoring transaction accounts.).</w:t>
      </w:r>
    </w:p>
  </w:footnote>
  <w:footnote w:id="51">
    <w:p w14:paraId="23C67160" w14:textId="77777777" w:rsidR="00275DB3" w:rsidRPr="00E53300" w:rsidRDefault="00275DB3" w:rsidP="002C2CAA">
      <w:pPr>
        <w:pStyle w:val="FootnoteText"/>
      </w:pPr>
      <w:r w:rsidRPr="00E53300">
        <w:rPr>
          <w:rStyle w:val="FootnoteReference"/>
        </w:rPr>
        <w:footnoteRef/>
      </w:r>
      <w:r w:rsidRPr="00E53300">
        <w:t xml:space="preserve"> Dan Awrey &amp; Joshua Macey, The Promise and Perils of Open Finance, 40 YALE J. REG. 1, 3 (2023).</w:t>
      </w:r>
    </w:p>
  </w:footnote>
  <w:footnote w:id="52">
    <w:p w14:paraId="0EF83257" w14:textId="77777777" w:rsidR="00275DB3" w:rsidRPr="00E53300" w:rsidRDefault="00275DB3" w:rsidP="002C2CAA">
      <w:pPr>
        <w:pStyle w:val="FootnoteText"/>
      </w:pPr>
      <w:r w:rsidRPr="00E53300">
        <w:rPr>
          <w:rStyle w:val="FootnoteReference"/>
        </w:rPr>
        <w:footnoteRef/>
      </w:r>
      <w:r w:rsidRPr="00E53300">
        <w:t xml:space="preserve"> Loretta </w:t>
      </w:r>
      <w:proofErr w:type="spellStart"/>
      <w:r w:rsidRPr="00E53300">
        <w:t>Mester</w:t>
      </w:r>
      <w:proofErr w:type="spellEnd"/>
      <w:r w:rsidRPr="00E53300">
        <w:t xml:space="preserve">, Leonard Nakamura &amp; Micheline Renault, </w:t>
      </w:r>
      <w:r w:rsidRPr="00E53300">
        <w:rPr>
          <w:i/>
        </w:rPr>
        <w:t>supra</w:t>
      </w:r>
      <w:r w:rsidRPr="00E53300">
        <w:t>.</w:t>
      </w:r>
    </w:p>
  </w:footnote>
  <w:footnote w:id="53">
    <w:p w14:paraId="62AFEB80" w14:textId="77777777" w:rsidR="00275DB3" w:rsidRPr="00E53300" w:rsidRDefault="00275DB3" w:rsidP="002C2CAA">
      <w:pPr>
        <w:pStyle w:val="FootnoteText"/>
      </w:pPr>
      <w:r w:rsidRPr="00E53300">
        <w:rPr>
          <w:rStyle w:val="FootnoteReference"/>
        </w:rPr>
        <w:footnoteRef/>
      </w:r>
      <w:r w:rsidRPr="00E53300">
        <w:t xml:space="preserve"> Alan Greenspan, Statement before the Committee on Banking, Housing, and Urban Affairs, US. Senate (Dec. 1, 1987), 74 FED. RESERVE </w:t>
      </w:r>
      <w:proofErr w:type="spellStart"/>
      <w:r w:rsidRPr="00E53300">
        <w:t>BuLL</w:t>
      </w:r>
      <w:proofErr w:type="spellEnd"/>
      <w:r w:rsidRPr="00E53300">
        <w:t>. 91, 93 (1988).</w:t>
      </w:r>
    </w:p>
  </w:footnote>
  <w:footnote w:id="54">
    <w:p w14:paraId="11EA7AAC" w14:textId="77777777" w:rsidR="00275DB3" w:rsidRPr="00E53300" w:rsidRDefault="00275DB3" w:rsidP="002C2CAA">
      <w:pPr>
        <w:pStyle w:val="FootnoteText"/>
      </w:pPr>
      <w:r w:rsidRPr="00E53300">
        <w:rPr>
          <w:rStyle w:val="FootnoteReference"/>
        </w:rPr>
        <w:footnoteRef/>
      </w:r>
      <w:r w:rsidRPr="00E53300">
        <w:t xml:space="preserve"> Loretta </w:t>
      </w:r>
      <w:proofErr w:type="spellStart"/>
      <w:r w:rsidRPr="00E53300">
        <w:t>Mester</w:t>
      </w:r>
      <w:proofErr w:type="spellEnd"/>
      <w:r w:rsidRPr="00E53300">
        <w:t xml:space="preserve">, Leonard Nakamura &amp; Micheline Renault, </w:t>
      </w:r>
      <w:r w:rsidRPr="00E53300">
        <w:rPr>
          <w:i/>
        </w:rPr>
        <w:t>supra</w:t>
      </w:r>
      <w:r w:rsidRPr="00E53300">
        <w:t>.</w:t>
      </w:r>
    </w:p>
  </w:footnote>
  <w:footnote w:id="55">
    <w:p w14:paraId="6B70E4E9" w14:textId="77777777" w:rsidR="00275DB3" w:rsidRPr="00E53300" w:rsidRDefault="00275DB3" w:rsidP="002C2CAA">
      <w:pPr>
        <w:pStyle w:val="FootnoteText"/>
      </w:pPr>
      <w:r w:rsidRPr="00E53300">
        <w:rPr>
          <w:rStyle w:val="FootnoteReference"/>
        </w:rPr>
        <w:footnoteRef/>
      </w:r>
      <w:r w:rsidRPr="00E53300">
        <w:t xml:space="preserve"> Ben S. Bernanke, Nonmonetary Effects of the Financial Crisis in the Propagation of the Great Depression, 73 AM. ECON. REV. 257, 263 (1983)</w:t>
      </w:r>
    </w:p>
  </w:footnote>
  <w:footnote w:id="56">
    <w:p w14:paraId="650AA2F9" w14:textId="77777777" w:rsidR="00275DB3" w:rsidRPr="00E53300" w:rsidRDefault="00275DB3" w:rsidP="002C2CAA">
      <w:pPr>
        <w:pStyle w:val="FootnoteText"/>
      </w:pPr>
      <w:r w:rsidRPr="00E53300">
        <w:rPr>
          <w:rStyle w:val="FootnoteReference"/>
        </w:rPr>
        <w:footnoteRef/>
      </w:r>
      <w:r w:rsidRPr="00E53300">
        <w:t xml:space="preserve"> Id.  </w:t>
      </w:r>
    </w:p>
  </w:footnote>
  <w:footnote w:id="57">
    <w:p w14:paraId="641B0CB0" w14:textId="77777777" w:rsidR="00275DB3" w:rsidRPr="00E53300" w:rsidRDefault="00275DB3" w:rsidP="002C2CAA">
      <w:pPr>
        <w:pStyle w:val="FootnoteText"/>
      </w:pPr>
      <w:r w:rsidRPr="00E53300">
        <w:rPr>
          <w:rStyle w:val="FootnoteReference"/>
        </w:rPr>
        <w:footnoteRef/>
      </w:r>
      <w:r w:rsidRPr="00E53300">
        <w:t xml:space="preserve"> Loretta </w:t>
      </w:r>
      <w:proofErr w:type="spellStart"/>
      <w:r w:rsidRPr="00E53300">
        <w:t>Mester</w:t>
      </w:r>
      <w:proofErr w:type="spellEnd"/>
      <w:r w:rsidRPr="00E53300">
        <w:t xml:space="preserve">, Leonard Nakamura &amp; Micheline Renault, </w:t>
      </w:r>
      <w:r w:rsidRPr="00E53300">
        <w:rPr>
          <w:i/>
        </w:rPr>
        <w:t>supra</w:t>
      </w:r>
      <w:r w:rsidRPr="00E53300">
        <w:t>.</w:t>
      </w:r>
    </w:p>
  </w:footnote>
  <w:footnote w:id="58">
    <w:p w14:paraId="7CC29ACB" w14:textId="77777777" w:rsidR="00275DB3" w:rsidRPr="00E53300" w:rsidRDefault="00275DB3" w:rsidP="002C2CAA">
      <w:pPr>
        <w:pStyle w:val="FootnoteText"/>
      </w:pPr>
      <w:r w:rsidRPr="00E53300">
        <w:rPr>
          <w:rStyle w:val="FootnoteReference"/>
        </w:rPr>
        <w:footnoteRef/>
      </w:r>
      <w:r w:rsidRPr="00E53300">
        <w:t xml:space="preserve">  </w:t>
      </w:r>
      <w:proofErr w:type="spellStart"/>
      <w:r w:rsidRPr="00E53300">
        <w:t>Ufuk</w:t>
      </w:r>
      <w:proofErr w:type="spellEnd"/>
      <w:r w:rsidRPr="00E53300">
        <w:t xml:space="preserve"> </w:t>
      </w:r>
      <w:proofErr w:type="spellStart"/>
      <w:r w:rsidRPr="00E53300">
        <w:t>Akcigit</w:t>
      </w:r>
      <w:proofErr w:type="spellEnd"/>
      <w:r w:rsidRPr="00E53300">
        <w:t xml:space="preserve">, Raman Singh </w:t>
      </w:r>
      <w:proofErr w:type="spellStart"/>
      <w:r w:rsidRPr="00E53300">
        <w:t>Chhina</w:t>
      </w:r>
      <w:proofErr w:type="spellEnd"/>
      <w:r w:rsidRPr="00E53300">
        <w:t xml:space="preserve">, </w:t>
      </w:r>
      <w:proofErr w:type="spellStart"/>
      <w:r w:rsidRPr="00E53300">
        <w:t>Seyit</w:t>
      </w:r>
      <w:proofErr w:type="spellEnd"/>
      <w:r w:rsidRPr="00E53300">
        <w:t xml:space="preserve"> M. </w:t>
      </w:r>
      <w:proofErr w:type="spellStart"/>
      <w:r w:rsidRPr="00E53300">
        <w:t>Cilasun</w:t>
      </w:r>
      <w:proofErr w:type="spellEnd"/>
      <w:r w:rsidRPr="00E53300">
        <w:t xml:space="preserve">, Javier Miranda, </w:t>
      </w:r>
      <w:proofErr w:type="spellStart"/>
      <w:r w:rsidRPr="00E53300">
        <w:t>Eren</w:t>
      </w:r>
      <w:proofErr w:type="spellEnd"/>
      <w:r w:rsidRPr="00E53300">
        <w:t xml:space="preserve"> </w:t>
      </w:r>
      <w:proofErr w:type="spellStart"/>
      <w:r w:rsidRPr="00E53300">
        <w:t>Ocakverdi</w:t>
      </w:r>
      <w:proofErr w:type="spellEnd"/>
      <w:r w:rsidRPr="00E53300">
        <w:t xml:space="preserve"> &amp; Nicolas Serrano-Velarde, Intuit QuickBooks Small Business Index: A New Employment Series for the US, Canada, and the UK, NBER Working Paper Series No. 31350, </w:t>
      </w:r>
      <w:proofErr w:type="gramStart"/>
      <w:r w:rsidRPr="00E53300">
        <w:t>June,</w:t>
      </w:r>
      <w:proofErr w:type="gramEnd"/>
      <w:r w:rsidRPr="00E53300">
        <w:t xml:space="preserve"> 2023.  </w:t>
      </w:r>
      <w:hyperlink r:id="rId13" w:history="1">
        <w:r w:rsidRPr="00E53300">
          <w:rPr>
            <w:rStyle w:val="Hyperlink"/>
            <w:rFonts w:eastAsia="MS Gothic"/>
          </w:rPr>
          <w:t>http://www.nber.org/papers/w31350</w:t>
        </w:r>
      </w:hyperlink>
      <w:r w:rsidRPr="00E53300">
        <w:t xml:space="preserve">; Tamara Scott, QuickBooks vs. Quicken for Small Business, </w:t>
      </w:r>
      <w:proofErr w:type="spellStart"/>
      <w:r w:rsidRPr="00E53300">
        <w:t>TechnologyAdvice</w:t>
      </w:r>
      <w:proofErr w:type="spellEnd"/>
      <w:r w:rsidRPr="00E53300">
        <w:t xml:space="preserve">, September 11, 2020, </w:t>
      </w:r>
      <w:hyperlink r:id="rId14" w:history="1">
        <w:r w:rsidRPr="00E53300">
          <w:rPr>
            <w:rStyle w:val="Hyperlink"/>
            <w:rFonts w:eastAsia="MS Gothic"/>
          </w:rPr>
          <w:t>https://technologyadvice.com/blog/human-resources/quickbooks-vs-quicken/</w:t>
        </w:r>
      </w:hyperlink>
      <w:r w:rsidRPr="00E53300">
        <w:t xml:space="preserve">; </w:t>
      </w:r>
      <w:proofErr w:type="spellStart"/>
      <w:r w:rsidRPr="00E53300">
        <w:t>Stax</w:t>
      </w:r>
      <w:proofErr w:type="spellEnd"/>
      <w:r w:rsidRPr="00E53300">
        <w:t xml:space="preserve">, Quicken vs QuickBooks: Which is Best for Small Business? </w:t>
      </w:r>
      <w:hyperlink r:id="rId15" w:history="1">
        <w:r w:rsidRPr="00E53300">
          <w:rPr>
            <w:rStyle w:val="Hyperlink"/>
            <w:rFonts w:eastAsia="MS Gothic"/>
          </w:rPr>
          <w:t>https://staxpayments.com/blog/quicken-vs-quickbooks-which-is-best-for-small-businesses/</w:t>
        </w:r>
      </w:hyperlink>
      <w:r w:rsidRPr="00E53300">
        <w:t xml:space="preserve"> (“64% of small businesses use accounting software and the market for accounting software is projected to be worth $4.3 billion by 2023)”).  </w:t>
      </w:r>
    </w:p>
  </w:footnote>
  <w:footnote w:id="59">
    <w:p w14:paraId="50B95C4D" w14:textId="77777777" w:rsidR="00275DB3" w:rsidRPr="00E53300" w:rsidRDefault="00275DB3" w:rsidP="002C2CAA">
      <w:pPr>
        <w:pStyle w:val="FootnoteText"/>
      </w:pPr>
      <w:r w:rsidRPr="00E53300">
        <w:rPr>
          <w:rStyle w:val="FootnoteReference"/>
        </w:rPr>
        <w:footnoteRef/>
      </w:r>
      <w:r w:rsidRPr="00E53300">
        <w:t xml:space="preserve"> Intuit QuickBooks Payments and Banking, QuickBooks Term Loan Helps Boost Cash Flow, </w:t>
      </w:r>
      <w:hyperlink r:id="rId16" w:history="1">
        <w:r w:rsidRPr="00E53300">
          <w:rPr>
            <w:rStyle w:val="Hyperlink"/>
            <w:rFonts w:eastAsia="MS Gothic"/>
          </w:rPr>
          <w:t>https://quickbooks.intuit.com/business-banking/loans/term-loans/</w:t>
        </w:r>
      </w:hyperlink>
      <w:r w:rsidRPr="00E53300">
        <w:t xml:space="preserve"> </w:t>
      </w:r>
    </w:p>
  </w:footnote>
  <w:footnote w:id="60">
    <w:p w14:paraId="7216C7DE" w14:textId="77777777" w:rsidR="00275DB3" w:rsidRPr="00E53300" w:rsidRDefault="00275DB3" w:rsidP="002C2CAA">
      <w:pPr>
        <w:pStyle w:val="FootnoteText"/>
      </w:pPr>
      <w:r w:rsidRPr="00E53300">
        <w:rPr>
          <w:rStyle w:val="FootnoteReference"/>
        </w:rPr>
        <w:footnoteRef/>
      </w:r>
      <w:r w:rsidRPr="00E53300">
        <w:t xml:space="preserve"> Id.</w:t>
      </w:r>
    </w:p>
  </w:footnote>
  <w:footnote w:id="61">
    <w:p w14:paraId="6EFE7DF1" w14:textId="77777777" w:rsidR="00275DB3" w:rsidRPr="00E53300" w:rsidRDefault="00275DB3" w:rsidP="002C2CAA">
      <w:pPr>
        <w:pStyle w:val="FootnoteText"/>
      </w:pPr>
      <w:r w:rsidRPr="00E53300">
        <w:rPr>
          <w:rStyle w:val="FootnoteReference"/>
        </w:rPr>
        <w:footnoteRef/>
      </w:r>
      <w:r w:rsidRPr="00E53300">
        <w:t xml:space="preserve"> Open banking “is defined as the sharing and leveraging of customer-permissioned data by banks with third party developers and firms to build applications and services, including for example those that provide real-time payments, greater financial transparency options for account holders, marketing and cross-selling opportunities. Report on Open Banking and Application Programming Interfaces, Basel Committee On Banking Supervision, 4 (Nov. 2019), </w:t>
      </w:r>
      <w:hyperlink r:id="rId17" w:history="1">
        <w:r w:rsidRPr="00E53300">
          <w:rPr>
            <w:rStyle w:val="Hyperlink"/>
            <w:rFonts w:eastAsia="MS Gothic"/>
          </w:rPr>
          <w:t>https://www.bis.org/bcbs/publ/d486.pdf</w:t>
        </w:r>
      </w:hyperlink>
      <w:r w:rsidRPr="00E53300">
        <w:t xml:space="preserve">  </w:t>
      </w:r>
    </w:p>
    <w:p w14:paraId="34326EC7" w14:textId="77777777" w:rsidR="00275DB3" w:rsidRPr="00E53300" w:rsidRDefault="00275DB3" w:rsidP="002C2CAA">
      <w:pPr>
        <w:pStyle w:val="FootnoteText"/>
      </w:pPr>
      <w:r w:rsidRPr="00E53300">
        <w:rPr>
          <w:i/>
        </w:rPr>
        <w:t>See also</w:t>
      </w:r>
      <w:r w:rsidRPr="00E53300">
        <w:t xml:space="preserve"> Stripe, Open Banking Explained: What It is and How It’s Changing Financial Services, December 4, 2023, </w:t>
      </w:r>
      <w:hyperlink r:id="rId18" w:anchor="what-is-open-banking" w:history="1">
        <w:r w:rsidRPr="00E53300">
          <w:rPr>
            <w:rStyle w:val="Hyperlink"/>
            <w:rFonts w:eastAsia="MS Gothic"/>
          </w:rPr>
          <w:t>https://stripe.com/resources/more/open-banking-explained#what-is-open-banking</w:t>
        </w:r>
      </w:hyperlink>
      <w:r w:rsidRPr="00E53300">
        <w:t xml:space="preserve"> </w:t>
      </w:r>
    </w:p>
  </w:footnote>
  <w:footnote w:id="62">
    <w:p w14:paraId="0DD0953F" w14:textId="77777777" w:rsidR="00275DB3" w:rsidRPr="00E53300" w:rsidRDefault="00275DB3" w:rsidP="002C2CAA">
      <w:pPr>
        <w:pStyle w:val="FootnoteText"/>
      </w:pPr>
      <w:r w:rsidRPr="00E53300">
        <w:rPr>
          <w:rStyle w:val="FootnoteReference"/>
        </w:rPr>
        <w:footnoteRef/>
      </w:r>
      <w:r w:rsidRPr="00E53300">
        <w:t xml:space="preserve"> Macey &amp; Miller, Deposit Insurance, the Implicit Regulatory Contract, and the Mismatch in the Term Structure of Banks’ Assets and Liabilities, supra, at 6.</w:t>
      </w:r>
    </w:p>
  </w:footnote>
  <w:footnote w:id="63">
    <w:p w14:paraId="15FA5A45" w14:textId="77777777" w:rsidR="00275DB3" w:rsidRPr="00E53300" w:rsidRDefault="00275DB3" w:rsidP="002C2CAA">
      <w:pPr>
        <w:pStyle w:val="FootnoteText"/>
      </w:pPr>
      <w:r w:rsidRPr="00E53300">
        <w:rPr>
          <w:rStyle w:val="FootnoteReference"/>
        </w:rPr>
        <w:footnoteRef/>
      </w:r>
      <w:r w:rsidRPr="00E53300">
        <w:t xml:space="preserve"> Id. (“for small borrowers there is substantial evidence that the checking account hypothesis retains some validity”).</w:t>
      </w:r>
    </w:p>
  </w:footnote>
  <w:footnote w:id="64">
    <w:p w14:paraId="4065CE60" w14:textId="77777777" w:rsidR="00275DB3" w:rsidRPr="00E53300" w:rsidRDefault="00275DB3" w:rsidP="002C2CAA">
      <w:pPr>
        <w:pStyle w:val="FootnoteText"/>
      </w:pPr>
      <w:r w:rsidRPr="00E53300">
        <w:rPr>
          <w:rStyle w:val="FootnoteReference"/>
        </w:rPr>
        <w:footnoteRef/>
      </w:r>
      <w:r w:rsidRPr="00E53300">
        <w:t xml:space="preserve"> Barbara Lipman &amp; Ann Marie </w:t>
      </w:r>
      <w:proofErr w:type="spellStart"/>
      <w:r w:rsidRPr="00E53300">
        <w:t>Wiersch</w:t>
      </w:r>
      <w:proofErr w:type="spellEnd"/>
      <w:r w:rsidRPr="00E53300">
        <w:t>, Uncertain Terms: What Small Business Borrowers Find When Browsing Online Lender Websites, Board of Governors of the Federal Reserve System, December, 2019, at 3 (Online lenders and nonbank credit providers “are increasingly become mainstream providers of credit to small business.”</w:t>
      </w:r>
      <w:hyperlink r:id="rId19" w:history="1">
        <w:r w:rsidRPr="00E53300">
          <w:rPr>
            <w:rStyle w:val="Hyperlink"/>
            <w:rFonts w:eastAsia="MS Gothic"/>
          </w:rPr>
          <w:t>www.federalreserve.gov/publications/files/what-small-business-borrowers-find-when-browsing-online-lender-websites.pdf</w:t>
        </w:r>
      </w:hyperlink>
      <w:r w:rsidRPr="00E53300">
        <w:t xml:space="preserve">  </w:t>
      </w:r>
    </w:p>
  </w:footnote>
  <w:footnote w:id="65">
    <w:p w14:paraId="1CAB1364" w14:textId="77777777" w:rsidR="00275DB3" w:rsidRPr="00E53300" w:rsidRDefault="00275DB3" w:rsidP="002C2CAA">
      <w:pPr>
        <w:pStyle w:val="FootnoteText"/>
      </w:pPr>
      <w:r w:rsidRPr="00E53300">
        <w:rPr>
          <w:rStyle w:val="FootnoteReference"/>
        </w:rPr>
        <w:footnoteRef/>
      </w:r>
      <w:r w:rsidRPr="00E53300">
        <w:t xml:space="preserve"> Id. at 3-4.</w:t>
      </w:r>
    </w:p>
  </w:footnote>
  <w:footnote w:id="66">
    <w:p w14:paraId="6A13A6FC" w14:textId="77777777" w:rsidR="00275DB3" w:rsidRPr="00E53300" w:rsidRDefault="00275DB3" w:rsidP="002C2CAA">
      <w:pPr>
        <w:pStyle w:val="FootnoteText"/>
      </w:pPr>
      <w:r w:rsidRPr="00E53300">
        <w:rPr>
          <w:rStyle w:val="FootnoteReference"/>
        </w:rPr>
        <w:footnoteRef/>
      </w:r>
      <w:r w:rsidRPr="00E53300">
        <w:t xml:space="preserve"> Id. at 4.</w:t>
      </w:r>
    </w:p>
  </w:footnote>
  <w:footnote w:id="67">
    <w:p w14:paraId="0EFA1294" w14:textId="77777777" w:rsidR="00275DB3" w:rsidRPr="00E53300" w:rsidRDefault="00275DB3" w:rsidP="002C2CAA">
      <w:pPr>
        <w:pStyle w:val="FootnoteText"/>
      </w:pPr>
      <w:r w:rsidRPr="00E53300">
        <w:rPr>
          <w:rStyle w:val="FootnoteReference"/>
        </w:rPr>
        <w:footnoteRef/>
      </w:r>
      <w:r w:rsidRPr="00E53300">
        <w:t xml:space="preserve">  Dan Awrey &amp; Joshua Macey, The Promise and Perils of Open Finance, supra, at page 4, footnote 6.</w:t>
      </w:r>
    </w:p>
  </w:footnote>
  <w:footnote w:id="68">
    <w:p w14:paraId="2AA76300" w14:textId="77777777" w:rsidR="00275DB3" w:rsidRPr="00E53300" w:rsidRDefault="00275DB3" w:rsidP="002C2CAA">
      <w:pPr>
        <w:pStyle w:val="FootnoteText"/>
      </w:pPr>
      <w:r w:rsidRPr="00E53300">
        <w:rPr>
          <w:rStyle w:val="FootnoteReference"/>
        </w:rPr>
        <w:footnoteRef/>
      </w:r>
      <w:r w:rsidRPr="00E53300">
        <w:t xml:space="preserve"> Cesare Fracassi &amp; William Magnuson, Data Autonomy, 74 VAND. L. REV. 327, 349-353 (2001)</w:t>
      </w:r>
    </w:p>
  </w:footnote>
  <w:footnote w:id="69">
    <w:p w14:paraId="728DC96B" w14:textId="77777777" w:rsidR="00275DB3" w:rsidRPr="00E53300" w:rsidRDefault="00275DB3" w:rsidP="002C2CAA">
      <w:pPr>
        <w:pStyle w:val="FootnoteText"/>
      </w:pPr>
      <w:r w:rsidRPr="00E53300">
        <w:rPr>
          <w:rStyle w:val="FootnoteReference"/>
        </w:rPr>
        <w:footnoteRef/>
      </w:r>
      <w:r w:rsidRPr="00E53300">
        <w:t xml:space="preserve"> Awrey &amp; Macey, supra, at 9.</w:t>
      </w:r>
    </w:p>
  </w:footnote>
  <w:footnote w:id="70">
    <w:p w14:paraId="44750695" w14:textId="77777777" w:rsidR="00275DB3" w:rsidRPr="00E53300" w:rsidRDefault="00275DB3" w:rsidP="002C2CAA">
      <w:pPr>
        <w:pStyle w:val="FootnoteText"/>
      </w:pPr>
      <w:r w:rsidRPr="00E53300">
        <w:rPr>
          <w:rStyle w:val="FootnoteReference"/>
        </w:rPr>
        <w:footnoteRef/>
      </w:r>
      <w:r w:rsidRPr="00E53300">
        <w:t xml:space="preserve">  Id.</w:t>
      </w:r>
    </w:p>
  </w:footnote>
  <w:footnote w:id="71">
    <w:p w14:paraId="588A4D95" w14:textId="77777777" w:rsidR="00275DB3" w:rsidRPr="00E53300" w:rsidRDefault="00275DB3" w:rsidP="002C2CAA">
      <w:pPr>
        <w:pStyle w:val="FootnoteText"/>
      </w:pPr>
      <w:r w:rsidRPr="00E53300">
        <w:rPr>
          <w:rStyle w:val="FootnoteReference"/>
        </w:rPr>
        <w:footnoteRef/>
      </w:r>
      <w:r w:rsidRPr="00E53300">
        <w:t xml:space="preserve"> Id.</w:t>
      </w:r>
    </w:p>
  </w:footnote>
  <w:footnote w:id="72">
    <w:p w14:paraId="4CCF2398" w14:textId="77777777" w:rsidR="00275DB3" w:rsidRPr="00E53300" w:rsidRDefault="00275DB3" w:rsidP="002C2CAA">
      <w:pPr>
        <w:pStyle w:val="FootnoteText"/>
      </w:pPr>
      <w:r w:rsidRPr="00E53300">
        <w:rPr>
          <w:rStyle w:val="FootnoteReference"/>
        </w:rPr>
        <w:footnoteRef/>
      </w:r>
      <w:r w:rsidRPr="00E53300">
        <w:t xml:space="preserve"> Consumer Financial Protection Bureau, CFPB Proposes Rule to Jumpstart Competition and Accelerate Shift to Open Banking, </w:t>
      </w:r>
      <w:proofErr w:type="gramStart"/>
      <w:r w:rsidRPr="00E53300">
        <w:t>October,</w:t>
      </w:r>
      <w:proofErr w:type="gramEnd"/>
      <w:r w:rsidRPr="00E53300">
        <w:t xml:space="preserve"> 19, 2023.</w:t>
      </w:r>
    </w:p>
    <w:p w14:paraId="41956F96" w14:textId="77777777" w:rsidR="00275DB3" w:rsidRPr="00E53300" w:rsidRDefault="00275DB3" w:rsidP="002C2CAA">
      <w:pPr>
        <w:pStyle w:val="FootnoteText"/>
      </w:pPr>
      <w:hyperlink r:id="rId20" w:anchor=":~:text=WASHINGTON%2C%20D.C.%20%E2%80%93%20Today%2C%20the,against%20companies%20misusing%20their%20data" w:history="1">
        <w:r w:rsidRPr="00E53300">
          <w:rPr>
            <w:rStyle w:val="Hyperlink"/>
            <w:rFonts w:eastAsia="MS Gothic"/>
          </w:rPr>
          <w:t>https://www.consumerfinance.gov/about-us/newsroom/cfpb-proposes-rule-to-jumpstart-competition-and-accelerate-shift-to-open-banking/#:~:text=WASHINGTON%2C%20D.C.%20%E2%80%93%20Today%2C%20the,against%20companies%20misusing%20their%20data</w:t>
        </w:r>
      </w:hyperlink>
      <w:r w:rsidRPr="00E53300">
        <w:t xml:space="preserve">. </w:t>
      </w:r>
    </w:p>
  </w:footnote>
  <w:footnote w:id="73">
    <w:p w14:paraId="1CE6A084" w14:textId="77777777" w:rsidR="00275DB3" w:rsidRPr="00E53300" w:rsidRDefault="00275DB3" w:rsidP="002C2CAA">
      <w:pPr>
        <w:pStyle w:val="FootnoteText"/>
      </w:pPr>
      <w:r w:rsidRPr="00E53300">
        <w:rPr>
          <w:rStyle w:val="FootnoteReference"/>
        </w:rPr>
        <w:footnoteRef/>
      </w:r>
      <w:r w:rsidRPr="00E53300">
        <w:t xml:space="preserve"> Dodd-Frank Wall Street Reform and Consumer Protection Act, Pub. L. No. 111-203, § 1033, 24 Stat. 1376, 2008 (2010) (codified at 12 U.S.C § 5533 (2018)).</w:t>
      </w:r>
    </w:p>
  </w:footnote>
  <w:footnote w:id="74">
    <w:p w14:paraId="56A8A551" w14:textId="77777777" w:rsidR="00275DB3" w:rsidRPr="00E53300" w:rsidRDefault="00275DB3" w:rsidP="002C2CAA">
      <w:pPr>
        <w:pStyle w:val="FootnoteText"/>
      </w:pPr>
      <w:r w:rsidRPr="00E53300">
        <w:rPr>
          <w:rStyle w:val="FootnoteReference"/>
        </w:rPr>
        <w:footnoteRef/>
      </w:r>
      <w:r w:rsidRPr="00E53300">
        <w:t xml:space="preserve"> Id. § 1033(a)-(b).</w:t>
      </w:r>
    </w:p>
  </w:footnote>
  <w:footnote w:id="75">
    <w:p w14:paraId="1EDB0B90" w14:textId="77777777" w:rsidR="00275DB3" w:rsidRPr="00E53300" w:rsidRDefault="00275DB3" w:rsidP="002C2CAA">
      <w:pPr>
        <w:pStyle w:val="FootnoteText"/>
      </w:pPr>
      <w:r w:rsidRPr="00E53300">
        <w:rPr>
          <w:rStyle w:val="FootnoteReference"/>
        </w:rPr>
        <w:footnoteRef/>
      </w:r>
      <w:r w:rsidRPr="00E53300">
        <w:t xml:space="preserve"> Id. § 1033(d).</w:t>
      </w:r>
    </w:p>
  </w:footnote>
  <w:footnote w:id="76">
    <w:p w14:paraId="545765CF" w14:textId="77777777" w:rsidR="00275DB3" w:rsidRPr="00E53300" w:rsidRDefault="00275DB3" w:rsidP="002C2CAA">
      <w:pPr>
        <w:pStyle w:val="FootnoteText"/>
      </w:pPr>
      <w:r w:rsidRPr="00E53300">
        <w:rPr>
          <w:rStyle w:val="FootnoteReference"/>
        </w:rPr>
        <w:footnoteRef/>
      </w:r>
      <w:r w:rsidRPr="00E53300">
        <w:t xml:space="preserve"> Matthew </w:t>
      </w:r>
      <w:proofErr w:type="spellStart"/>
      <w:r w:rsidRPr="00E53300">
        <w:t>Bisanz</w:t>
      </w:r>
      <w:proofErr w:type="spellEnd"/>
      <w:r w:rsidRPr="00E53300">
        <w:t xml:space="preserve">, Rohith George, Justin Herring, Joe Pennell, Jeffrey Taft and Kelly Truesdale, CFPB Proposes Long-Awaited Rule to Accelerate Open Banking Development, Mayer Brown, December 11, 2023, </w:t>
      </w:r>
      <w:hyperlink r:id="rId21" w:history="1">
        <w:r w:rsidRPr="00E53300">
          <w:rPr>
            <w:rStyle w:val="Hyperlink"/>
            <w:rFonts w:eastAsia="MS Gothic"/>
          </w:rPr>
          <w:t>https://www.mayerbrown.com/en/insights/publications/2023/12/cfpb-proposes-long-awaited-rule-to-accelerate-open-banking-development</w:t>
        </w:r>
      </w:hyperlink>
      <w:r w:rsidRPr="00E53300">
        <w:t xml:space="preserve"> </w:t>
      </w:r>
    </w:p>
  </w:footnote>
  <w:footnote w:id="77">
    <w:p w14:paraId="37E98F84" w14:textId="77777777" w:rsidR="00275DB3" w:rsidRPr="00E53300" w:rsidRDefault="00275DB3" w:rsidP="002C2CAA">
      <w:pPr>
        <w:pStyle w:val="FootnoteText"/>
      </w:pPr>
      <w:r w:rsidRPr="00E53300">
        <w:rPr>
          <w:rStyle w:val="FootnoteReference"/>
        </w:rPr>
        <w:footnoteRef/>
      </w:r>
      <w:r w:rsidRPr="00E53300">
        <w:t xml:space="preserve"> Notice of Proposed Rulemaking: Required Rulemaking in Personal Financial Data Rights, 12 CFR part 1033, 88 FR 74796, October 31, 2023.</w:t>
      </w:r>
    </w:p>
    <w:p w14:paraId="16338236" w14:textId="77777777" w:rsidR="00275DB3" w:rsidRPr="00E53300" w:rsidRDefault="00275DB3" w:rsidP="002C2CAA">
      <w:pPr>
        <w:pStyle w:val="FootnoteText"/>
      </w:pPr>
      <w:hyperlink r:id="rId22" w:history="1">
        <w:r w:rsidRPr="00E53300">
          <w:rPr>
            <w:rStyle w:val="Hyperlink"/>
            <w:rFonts w:eastAsia="MS Gothic"/>
          </w:rPr>
          <w:t>https://files.consumerfinance.gov/f/documents/cfpb-1033-nprm-reg-text-with-1001_2023-10.pdf</w:t>
        </w:r>
      </w:hyperlink>
      <w:r w:rsidRPr="00E53300">
        <w:t xml:space="preserve"> </w:t>
      </w:r>
    </w:p>
  </w:footnote>
  <w:footnote w:id="78">
    <w:p w14:paraId="5117217D" w14:textId="77777777" w:rsidR="00275DB3" w:rsidRPr="00E53300" w:rsidRDefault="00275DB3" w:rsidP="002C2CAA">
      <w:pPr>
        <w:pStyle w:val="FootnoteText"/>
      </w:pPr>
      <w:r w:rsidRPr="00E53300">
        <w:rPr>
          <w:rStyle w:val="FootnoteReference"/>
        </w:rPr>
        <w:footnoteRef/>
      </w:r>
      <w:r w:rsidRPr="00E53300">
        <w:t xml:space="preserve"> Id.</w:t>
      </w:r>
    </w:p>
  </w:footnote>
  <w:footnote w:id="79">
    <w:p w14:paraId="7F6CAA5F" w14:textId="77777777" w:rsidR="00275DB3" w:rsidRPr="00E53300" w:rsidRDefault="00275DB3" w:rsidP="002C2CAA">
      <w:pPr>
        <w:pStyle w:val="FootnoteText"/>
      </w:pPr>
      <w:r w:rsidRPr="00E53300">
        <w:rPr>
          <w:rStyle w:val="FootnoteReference"/>
        </w:rPr>
        <w:footnoteRef/>
      </w:r>
      <w:r w:rsidRPr="00E53300">
        <w:t xml:space="preserve"> Id.</w:t>
      </w:r>
    </w:p>
  </w:footnote>
  <w:footnote w:id="80">
    <w:p w14:paraId="06D10948" w14:textId="77777777" w:rsidR="00275DB3" w:rsidRPr="00E53300" w:rsidRDefault="00275DB3" w:rsidP="002C2CAA">
      <w:pPr>
        <w:pStyle w:val="FootnoteText"/>
      </w:pPr>
      <w:r w:rsidRPr="00E53300">
        <w:rPr>
          <w:rStyle w:val="FootnoteReference"/>
        </w:rPr>
        <w:footnoteRef/>
      </w:r>
      <w:r w:rsidRPr="00E53300">
        <w:t xml:space="preserve"> The question of precisely </w:t>
      </w:r>
      <w:r w:rsidRPr="00E53300">
        <w:rPr>
          <w:i/>
        </w:rPr>
        <w:t xml:space="preserve">why </w:t>
      </w:r>
      <w:r w:rsidRPr="00E53300">
        <w:t xml:space="preserve">the CFPB is ideologically in favor of open finance is an interesting one, and beyond the scope of this Article.  </w:t>
      </w:r>
    </w:p>
  </w:footnote>
  <w:footnote w:id="81">
    <w:p w14:paraId="1C5DD1EB" w14:textId="77777777" w:rsidR="00275DB3" w:rsidRPr="00E53300" w:rsidRDefault="00275DB3" w:rsidP="002C2CAA">
      <w:pPr>
        <w:pStyle w:val="FootnoteText"/>
      </w:pPr>
      <w:r w:rsidRPr="00E53300">
        <w:rPr>
          <w:rStyle w:val="FootnoteReference"/>
        </w:rPr>
        <w:footnoteRef/>
      </w:r>
      <w:r w:rsidRPr="00E53300">
        <w:t xml:space="preserve">Rohit Chopra, “Laying the Foundation for Open Banking in the United States,” Consumer Financial Protection Bureau, June 12, 2023, </w:t>
      </w:r>
      <w:hyperlink r:id="rId23" w:history="1">
        <w:r w:rsidRPr="00E53300">
          <w:rPr>
            <w:rStyle w:val="Hyperlink"/>
            <w:rFonts w:eastAsia="MS Gothic"/>
          </w:rPr>
          <w:t>https://www.consumerfinance.gov/about-us/blog/laying-the-foundation-for-open-banking-in-the-united-states/</w:t>
        </w:r>
      </w:hyperlink>
      <w:r w:rsidRPr="00E53300">
        <w:t xml:space="preserve"> </w:t>
      </w:r>
    </w:p>
  </w:footnote>
  <w:footnote w:id="82">
    <w:p w14:paraId="564AF824" w14:textId="77777777" w:rsidR="00275DB3" w:rsidRPr="00E53300" w:rsidRDefault="00275DB3" w:rsidP="002C2CAA">
      <w:pPr>
        <w:pStyle w:val="FootnoteText"/>
      </w:pPr>
      <w:r w:rsidRPr="00E53300">
        <w:rPr>
          <w:rStyle w:val="FootnoteReference"/>
        </w:rPr>
        <w:footnoteRef/>
      </w:r>
      <w:r w:rsidRPr="00E53300">
        <w:t xml:space="preserve"> Report on Open Banking and Application Programming Interfaces, Basel Committee On Banking Supervision, 8-9 (Nov. 2019), </w:t>
      </w:r>
      <w:hyperlink r:id="rId24" w:history="1">
        <w:r w:rsidRPr="00E53300">
          <w:rPr>
            <w:rStyle w:val="Hyperlink"/>
            <w:rFonts w:eastAsia="MS Gothic"/>
          </w:rPr>
          <w:t>https://www.bis.org/bcbs/publ/d486.pdf</w:t>
        </w:r>
      </w:hyperlink>
      <w:r w:rsidRPr="00E53300">
        <w:t xml:space="preserve"> </w:t>
      </w:r>
    </w:p>
  </w:footnote>
  <w:footnote w:id="83">
    <w:p w14:paraId="151E59C4" w14:textId="77777777" w:rsidR="00275DB3" w:rsidRPr="00E53300" w:rsidRDefault="00275DB3" w:rsidP="002C2CAA">
      <w:pPr>
        <w:pStyle w:val="FootnoteText"/>
      </w:pPr>
      <w:r w:rsidRPr="00E53300">
        <w:rPr>
          <w:rStyle w:val="FootnoteReference"/>
        </w:rPr>
        <w:footnoteRef/>
      </w:r>
      <w:r w:rsidRPr="00E53300">
        <w:t xml:space="preserve"> The Payment Services Regulations 2017 SI 2017/752 (UK), </w:t>
      </w:r>
      <w:hyperlink r:id="rId25" w:history="1">
        <w:r w:rsidRPr="00E53300">
          <w:rPr>
            <w:rStyle w:val="Hyperlink"/>
            <w:rFonts w:eastAsia="MS Gothic"/>
          </w:rPr>
          <w:t>https://www.legislation.gov.uk/uksi/2017/752/made/data.pdf</w:t>
        </w:r>
      </w:hyperlink>
      <w:r w:rsidRPr="00E53300">
        <w:t xml:space="preserve"> ; Competition &amp; Mkts. Auth., The Retail Banking Market Investigation Order 2017 (UK), </w:t>
      </w:r>
      <w:hyperlink r:id="rId26" w:history="1">
        <w:r w:rsidRPr="00E53300">
          <w:rPr>
            <w:rStyle w:val="Hyperlink"/>
            <w:rFonts w:eastAsia="MS Gothic"/>
          </w:rPr>
          <w:t>https://assets.publishing.service.gov.uk/government/uploads/system/uploads/attachment_data/file/60084 2/retail-banking-market-investigation-order-2017.pdf</w:t>
        </w:r>
      </w:hyperlink>
      <w:r w:rsidRPr="00E53300">
        <w:t xml:space="preserve">; Competition &amp; Mkts. Auth., Retail Banking Market Investigation: Final Report 224, 237, 254 (Aug. 9,  2016),  </w:t>
      </w:r>
      <w:hyperlink r:id="rId27" w:history="1">
        <w:r w:rsidRPr="00E53300">
          <w:rPr>
            <w:rStyle w:val="Hyperlink"/>
            <w:rFonts w:eastAsia="MS Gothic"/>
          </w:rPr>
          <w:t>https://assets.publishing.service.gov.uk/media/57ac9667e5274a0f6c00007a/retail-banking-market-investigation-full-final-report.pdf</w:t>
        </w:r>
      </w:hyperlink>
      <w:r w:rsidRPr="00E53300">
        <w:t xml:space="preserve"> </w:t>
      </w:r>
    </w:p>
  </w:footnote>
  <w:footnote w:id="84">
    <w:p w14:paraId="48668221" w14:textId="77777777" w:rsidR="00275DB3" w:rsidRPr="00E53300" w:rsidRDefault="00275DB3" w:rsidP="002C2CAA">
      <w:pPr>
        <w:pStyle w:val="FootnoteText"/>
      </w:pPr>
      <w:r w:rsidRPr="00E53300">
        <w:rPr>
          <w:rStyle w:val="FootnoteReference"/>
        </w:rPr>
        <w:footnoteRef/>
      </w:r>
      <w:r w:rsidRPr="00E53300">
        <w:t xml:space="preserve"> Treasury Laws Amendment (Consumer Data Right) Bill 2019 (Austl.), </w:t>
      </w:r>
      <w:hyperlink r:id="rId28" w:history="1">
        <w:r w:rsidRPr="00E53300">
          <w:rPr>
            <w:rStyle w:val="Hyperlink"/>
            <w:rFonts w:eastAsia="MS Gothic"/>
          </w:rPr>
          <w:t>https://parlinfo.aph.gov.au/parlInfo/download/legislation/bills/r6370_aspassed/toc_pdf/19126b01.pdf</w:t>
        </w:r>
      </w:hyperlink>
      <w:r w:rsidRPr="00E53300">
        <w:t xml:space="preserve"> ; Council Directive 2015/2366, 2015 O.J. (L 337) </w:t>
      </w:r>
      <w:proofErr w:type="spellStart"/>
      <w:r w:rsidRPr="00E53300">
        <w:t>pmbl</w:t>
      </w:r>
      <w:proofErr w:type="spellEnd"/>
      <w:r w:rsidRPr="00E53300">
        <w:t xml:space="preserve">. ¶¶ 56-68. PSD2 (stipulating two types of third parties that are allowed to access consumer account information: so-called “Account Information Service Providers” (AISPs) (read-only access to customer account information) and (2) “Payment Initiation Service Providers” (PISPs), which can initiate payments directly from customer accounts. See also Oscar </w:t>
      </w:r>
      <w:proofErr w:type="spellStart"/>
      <w:r w:rsidRPr="00E53300">
        <w:t>Borgogno</w:t>
      </w:r>
      <w:proofErr w:type="spellEnd"/>
      <w:r w:rsidRPr="00E53300">
        <w:t xml:space="preserve"> &amp; Giuseppe Colangelo, Data, Innovation and Competition in Finance: The Case of the Access to Account Rule, 31 EUR. BUS. L. REV. 573 (2020).</w:t>
      </w:r>
    </w:p>
  </w:footnote>
  <w:footnote w:id="85">
    <w:p w14:paraId="1F9B023C" w14:textId="77777777" w:rsidR="00275DB3" w:rsidRPr="00E53300" w:rsidRDefault="00275DB3" w:rsidP="002C2CAA">
      <w:pPr>
        <w:pStyle w:val="FootnoteText"/>
      </w:pPr>
      <w:r w:rsidRPr="00E53300">
        <w:rPr>
          <w:rStyle w:val="FootnoteReference"/>
        </w:rPr>
        <w:footnoteRef/>
      </w:r>
      <w:r w:rsidRPr="00E53300">
        <w:t xml:space="preserve"> Awrey and Macey, at 6.  </w:t>
      </w:r>
    </w:p>
  </w:footnote>
  <w:footnote w:id="86">
    <w:p w14:paraId="18B16DE6" w14:textId="77777777" w:rsidR="00275DB3" w:rsidRPr="00E53300" w:rsidRDefault="00275DB3" w:rsidP="002C2CAA">
      <w:pPr>
        <w:pStyle w:val="FootnoteText"/>
      </w:pPr>
      <w:r w:rsidRPr="00E53300">
        <w:rPr>
          <w:rStyle w:val="FootnoteReference"/>
        </w:rPr>
        <w:footnoteRef/>
      </w:r>
      <w:r w:rsidRPr="00E53300">
        <w:t xml:space="preserve"> Sarah Lybrand, Payment Service Providers: Plaid vs. Stripe: Crossing Paths in a Patterned World of </w:t>
      </w:r>
      <w:proofErr w:type="spellStart"/>
      <w:r w:rsidRPr="00E53300">
        <w:t>Paymenrs</w:t>
      </w:r>
      <w:proofErr w:type="spellEnd"/>
      <w:r w:rsidRPr="00E53300">
        <w:t xml:space="preserve">, December 4, 2023, </w:t>
      </w:r>
      <w:hyperlink r:id="rId29" w:anchor=":~:text=Plaid%20is%20an%20interface%20for,for%20handling%20digital%20payment%20transactions" w:history="1">
        <w:r w:rsidRPr="00E53300">
          <w:rPr>
            <w:rStyle w:val="Hyperlink"/>
            <w:rFonts w:eastAsia="MS Gothic"/>
          </w:rPr>
          <w:t>https://paymentcloudinc.com/blog/plaid-vs-stripe/#:~:text=Plaid%20is%20an%20interface%20for,for%20handling%20digital%20payment%20transactions</w:t>
        </w:r>
      </w:hyperlink>
      <w:r w:rsidRPr="00E53300">
        <w:t xml:space="preserve">. </w:t>
      </w:r>
    </w:p>
  </w:footnote>
  <w:footnote w:id="87">
    <w:p w14:paraId="69D1C993" w14:textId="77777777" w:rsidR="00275DB3" w:rsidRPr="00E53300" w:rsidRDefault="00275DB3" w:rsidP="002C2CAA">
      <w:pPr>
        <w:pStyle w:val="FootnoteText"/>
      </w:pPr>
      <w:r w:rsidRPr="00E53300">
        <w:rPr>
          <w:rStyle w:val="FootnoteReference"/>
        </w:rPr>
        <w:footnoteRef/>
      </w:r>
      <w:r w:rsidRPr="00E53300">
        <w:t xml:space="preserve"> Id.</w:t>
      </w:r>
    </w:p>
  </w:footnote>
  <w:footnote w:id="88">
    <w:p w14:paraId="302EEF02" w14:textId="77777777" w:rsidR="00275DB3" w:rsidRPr="00E53300" w:rsidRDefault="00275DB3" w:rsidP="002C2CAA">
      <w:pPr>
        <w:pStyle w:val="FootnoteText"/>
      </w:pPr>
      <w:r w:rsidRPr="00E53300">
        <w:rPr>
          <w:rStyle w:val="FootnoteReference"/>
        </w:rPr>
        <w:footnoteRef/>
      </w:r>
      <w:r w:rsidRPr="00E53300">
        <w:t xml:space="preserve"> Id.</w:t>
      </w:r>
    </w:p>
  </w:footnote>
  <w:footnote w:id="89">
    <w:p w14:paraId="1393FB11" w14:textId="77777777" w:rsidR="00275DB3" w:rsidRPr="00E53300" w:rsidRDefault="00275DB3" w:rsidP="002C2CAA">
      <w:pPr>
        <w:pStyle w:val="FootnoteText"/>
      </w:pPr>
      <w:r w:rsidRPr="00E53300">
        <w:rPr>
          <w:rStyle w:val="FootnoteReference"/>
        </w:rPr>
        <w:footnoteRef/>
      </w:r>
      <w:r w:rsidRPr="00E53300">
        <w:t xml:space="preserve"> Chopra, supra.</w:t>
      </w:r>
    </w:p>
  </w:footnote>
  <w:footnote w:id="90">
    <w:p w14:paraId="2F137EC3" w14:textId="77777777" w:rsidR="00275DB3" w:rsidRPr="00E53300" w:rsidRDefault="00275DB3" w:rsidP="002C2CAA">
      <w:pPr>
        <w:pStyle w:val="FootnoteText"/>
      </w:pPr>
      <w:r w:rsidRPr="00E53300">
        <w:rPr>
          <w:rStyle w:val="FootnoteReference"/>
        </w:rPr>
        <w:footnoteRef/>
      </w:r>
      <w:r w:rsidRPr="00E53300">
        <w:t xml:space="preserve"> The CFBP, however, has recognized that rules “that would accelerate a shift toward open banking, where consumers would have control over data about their financial lives… would challenge industry to compete for customers.”  Consumer Protection Financial Bureau, CFPB Proposes Rule to Jumpstart Competition and Accelerate Shift to Open Banking, October 19, 2023, </w:t>
      </w:r>
    </w:p>
    <w:p w14:paraId="19F2D28A" w14:textId="77777777" w:rsidR="00275DB3" w:rsidRPr="00E53300" w:rsidRDefault="00275DB3" w:rsidP="002C2CAA">
      <w:pPr>
        <w:pStyle w:val="FootnoteText"/>
      </w:pPr>
      <w:hyperlink r:id="rId30" w:anchor=":~:text=WASHINGTON%2C%20D.C.%20%E2%80%93%20Today%2C%20the,against%20companies%20misusing%20their%20data" w:history="1">
        <w:r w:rsidRPr="00E53300">
          <w:rPr>
            <w:rStyle w:val="Hyperlink"/>
            <w:rFonts w:eastAsia="MS Gothic"/>
          </w:rPr>
          <w:t>https://www.consumerfinance.gov/about-us/newsroom/cfpb-proposes-rule-to-jumpstart-competition-and-accelerate-shift-to-open-banking/#:~:text=WASHINGTON%2C%20D.C.%20%E2%80%93%20Today%2C%20the,against%20companies%20misusing%20their%20data</w:t>
        </w:r>
      </w:hyperlink>
      <w:r w:rsidRPr="00E53300">
        <w:t xml:space="preserve">. </w:t>
      </w:r>
    </w:p>
  </w:footnote>
  <w:footnote w:id="91">
    <w:p w14:paraId="1383A77E" w14:textId="77777777" w:rsidR="00275DB3" w:rsidRPr="00E53300" w:rsidRDefault="00275DB3" w:rsidP="002C2CAA">
      <w:pPr>
        <w:pStyle w:val="FootnoteText"/>
      </w:pPr>
      <w:r w:rsidRPr="00E53300">
        <w:rPr>
          <w:rStyle w:val="FootnoteReference"/>
        </w:rPr>
        <w:footnoteRef/>
      </w:r>
      <w:r w:rsidRPr="00E53300">
        <w:t xml:space="preserve"> Fama, What Different About Banks, supra, at 38.</w:t>
      </w:r>
    </w:p>
  </w:footnote>
  <w:footnote w:id="92">
    <w:p w14:paraId="3CBD3875" w14:textId="77777777" w:rsidR="00275DB3" w:rsidRPr="00E53300" w:rsidRDefault="00275DB3" w:rsidP="002C2CAA">
      <w:pPr>
        <w:pStyle w:val="FootnoteText"/>
      </w:pPr>
      <w:r w:rsidRPr="00E53300">
        <w:rPr>
          <w:rStyle w:val="FootnoteReference"/>
        </w:rPr>
        <w:footnoteRef/>
      </w:r>
      <w:r w:rsidRPr="00E53300">
        <w:t xml:space="preserve"> The so-called “systemic risk exception” to the deposit insurance ceiling of $250,000 allows the FDIC to lift the deposit insurance limit when not doing so is expected to have “serious adverse effects on economic conditions or financial stability.”  12 U.S.C. Section 1823(c).  </w:t>
      </w:r>
    </w:p>
  </w:footnote>
  <w:footnote w:id="93">
    <w:p w14:paraId="422BB65F" w14:textId="77777777" w:rsidR="00275DB3" w:rsidRPr="00E53300" w:rsidRDefault="00275DB3" w:rsidP="002C2CAA">
      <w:pPr>
        <w:pStyle w:val="FootnoteText"/>
      </w:pPr>
      <w:r w:rsidRPr="00E53300">
        <w:rPr>
          <w:rStyle w:val="FootnoteReference"/>
        </w:rPr>
        <w:footnoteRef/>
      </w:r>
      <w:r w:rsidRPr="00E53300">
        <w:t xml:space="preserve"> David Wessel, A Debate: Should the US Raise the $250,000 Ceiling on Deposit Insurance? Brookings, May 2, 2023, </w:t>
      </w:r>
      <w:hyperlink r:id="rId31" w:history="1">
        <w:r w:rsidRPr="00E53300">
          <w:rPr>
            <w:rStyle w:val="Hyperlink"/>
            <w:rFonts w:eastAsia="MS Gothic"/>
          </w:rPr>
          <w:t>https://www.brookings.edu/articles/a-debate-should-u-s-raise-the-250000-ceiling-on-deposit-insurance/</w:t>
        </w:r>
      </w:hyperlink>
      <w:r w:rsidRPr="00E53300">
        <w:t xml:space="preserve"> </w:t>
      </w:r>
    </w:p>
  </w:footnote>
  <w:footnote w:id="94">
    <w:p w14:paraId="22003A7F" w14:textId="77777777" w:rsidR="00275DB3" w:rsidRPr="00E53300" w:rsidRDefault="00275DB3" w:rsidP="002C2CAA">
      <w:pPr>
        <w:pStyle w:val="FootnoteText"/>
      </w:pPr>
      <w:r w:rsidRPr="00E53300">
        <w:rPr>
          <w:rStyle w:val="FootnoteReference"/>
        </w:rPr>
        <w:footnoteRef/>
      </w:r>
      <w:r w:rsidRPr="00E53300">
        <w:t xml:space="preserve"> Alex Mookerjee, </w:t>
      </w:r>
      <w:proofErr w:type="gramStart"/>
      <w:r w:rsidRPr="00E53300">
        <w:t>What</w:t>
      </w:r>
      <w:proofErr w:type="gramEnd"/>
      <w:r w:rsidRPr="00E53300">
        <w:t xml:space="preserve"> if Central Banks Issued Digital Currency? Harvard Business Review, October 15, 2021, </w:t>
      </w:r>
      <w:hyperlink r:id="rId32" w:history="1">
        <w:r w:rsidRPr="00E53300">
          <w:rPr>
            <w:rStyle w:val="Hyperlink"/>
            <w:rFonts w:eastAsia="MS Gothic"/>
          </w:rPr>
          <w:t>https://hbr.org/2021/10/what-if-central-banks-issued-digital-currency?utm_medium=paidsearch&amp;utm_source=google&amp;utm_campaign=domcontent&amp;utm_term=Non-Brand&amp;tpcc=paidsearch.google.dsacontent&amp;gad_source=1&amp;gclid=CjwKCAiA_tuuBhAUEiwAvxkgTpmFutuhAztfMo18RE-msLnUnDlwYiULIf1e9ycvht-j42U159pBpxoC0RIQAvD_BwE</w:t>
        </w:r>
      </w:hyperlink>
      <w:r w:rsidRPr="00E53300">
        <w:t xml:space="preserve"> </w:t>
      </w:r>
    </w:p>
  </w:footnote>
  <w:footnote w:id="95">
    <w:p w14:paraId="7DD0E7C2" w14:textId="77777777" w:rsidR="00275DB3" w:rsidRPr="00E53300" w:rsidRDefault="00275DB3" w:rsidP="002C2CAA">
      <w:pPr>
        <w:pStyle w:val="FootnoteText"/>
      </w:pPr>
      <w:r w:rsidRPr="00E53300">
        <w:rPr>
          <w:rStyle w:val="FootnoteReference"/>
        </w:rPr>
        <w:footnoteRef/>
      </w:r>
      <w:r w:rsidRPr="00E53300">
        <w:t xml:space="preserve"> Id.</w:t>
      </w:r>
    </w:p>
  </w:footnote>
  <w:footnote w:id="96">
    <w:p w14:paraId="52580492" w14:textId="77777777" w:rsidR="00275DB3" w:rsidRPr="00E53300" w:rsidRDefault="00275DB3" w:rsidP="002C2CAA">
      <w:pPr>
        <w:pStyle w:val="FootnoteText"/>
      </w:pPr>
      <w:r w:rsidRPr="00E53300">
        <w:rPr>
          <w:rStyle w:val="FootnoteReference"/>
        </w:rPr>
        <w:footnoteRef/>
      </w:r>
      <w:r w:rsidRPr="00E53300">
        <w:t xml:space="preserve"> Gordon Liao and John </w:t>
      </w:r>
      <w:proofErr w:type="spellStart"/>
      <w:r w:rsidRPr="00E53300">
        <w:t>Caramichael</w:t>
      </w:r>
      <w:proofErr w:type="spellEnd"/>
      <w:r w:rsidRPr="00E53300">
        <w:t xml:space="preserve">, </w:t>
      </w:r>
      <w:proofErr w:type="spellStart"/>
      <w:r w:rsidRPr="00E53300">
        <w:t>Stablecoins</w:t>
      </w:r>
      <w:proofErr w:type="spellEnd"/>
      <w:r w:rsidRPr="00E53300">
        <w:t xml:space="preserve">: Growth Potential and Impact on Banking, Board of Governors of the Federal Reserve System, International Finance Discussion Papers, No. 1334, January 2022, </w:t>
      </w:r>
      <w:hyperlink r:id="rId33" w:history="1">
        <w:r w:rsidRPr="00E53300">
          <w:t>https://doi.org/10.17016/IFDP.2022.1334</w:t>
        </w:r>
      </w:hyperlink>
      <w:r w:rsidRPr="00E53300">
        <w:t xml:space="preserve">.  Most stable coins trade on public blockchains such as Ethereum, </w:t>
      </w:r>
      <w:proofErr w:type="spellStart"/>
      <w:r w:rsidRPr="00E53300">
        <w:t>Binance</w:t>
      </w:r>
      <w:proofErr w:type="spellEnd"/>
      <w:r w:rsidRPr="00E53300">
        <w:t xml:space="preserve"> Smart Chain, and Polygon. Id. at 3</w:t>
      </w:r>
    </w:p>
  </w:footnote>
  <w:footnote w:id="97">
    <w:p w14:paraId="15B44210" w14:textId="77777777" w:rsidR="00275DB3" w:rsidRPr="00E53300" w:rsidRDefault="00275DB3" w:rsidP="002C2CAA">
      <w:pPr>
        <w:pStyle w:val="FootnoteText"/>
      </w:pPr>
      <w:r w:rsidRPr="00E53300">
        <w:rPr>
          <w:rStyle w:val="FootnoteReference"/>
        </w:rPr>
        <w:footnoteRef/>
      </w:r>
      <w:r w:rsidRPr="00E53300">
        <w:t xml:space="preserve"> Id. at 2. </w:t>
      </w:r>
    </w:p>
  </w:footnote>
  <w:footnote w:id="98">
    <w:p w14:paraId="3F571E4E" w14:textId="77777777" w:rsidR="00275DB3" w:rsidRPr="00E53300" w:rsidRDefault="00275DB3" w:rsidP="002C2CAA">
      <w:pPr>
        <w:pStyle w:val="FootnoteText"/>
      </w:pPr>
      <w:r w:rsidRPr="00E53300">
        <w:rPr>
          <w:rStyle w:val="FootnoteReference"/>
        </w:rPr>
        <w:footnoteRef/>
      </w:r>
      <w:r w:rsidRPr="00E53300">
        <w:t xml:space="preserve"> Id.</w:t>
      </w:r>
    </w:p>
  </w:footnote>
  <w:footnote w:id="99">
    <w:p w14:paraId="0C325C8C" w14:textId="77777777" w:rsidR="00275DB3" w:rsidRPr="00E53300" w:rsidRDefault="00275DB3" w:rsidP="002C2CAA">
      <w:pPr>
        <w:pStyle w:val="FootnoteText"/>
      </w:pPr>
      <w:r w:rsidRPr="00E53300">
        <w:rPr>
          <w:rStyle w:val="FootnoteReference"/>
        </w:rPr>
        <w:footnoteRef/>
      </w:r>
      <w:r w:rsidRPr="00E53300">
        <w:t xml:space="preserve"> </w:t>
      </w:r>
      <w:proofErr w:type="spellStart"/>
      <w:r w:rsidRPr="00E53300">
        <w:t>Mitsutoshi</w:t>
      </w:r>
      <w:proofErr w:type="spellEnd"/>
      <w:r w:rsidRPr="00E53300">
        <w:t xml:space="preserve"> Adachi, Alexandra Born, Isabella </w:t>
      </w:r>
      <w:proofErr w:type="spellStart"/>
      <w:r w:rsidRPr="00E53300">
        <w:t>Gschossmann</w:t>
      </w:r>
      <w:proofErr w:type="spellEnd"/>
      <w:r w:rsidRPr="00E53300">
        <w:t xml:space="preserve"> and Anton van der </w:t>
      </w:r>
      <w:proofErr w:type="spellStart"/>
      <w:r w:rsidRPr="00E53300">
        <w:t>Kraaij</w:t>
      </w:r>
      <w:proofErr w:type="spellEnd"/>
      <w:r w:rsidRPr="00E53300">
        <w:t xml:space="preserve">, The Expanding Functions and Uses of </w:t>
      </w:r>
      <w:proofErr w:type="spellStart"/>
      <w:r w:rsidRPr="00E53300">
        <w:t>Stablecoins</w:t>
      </w:r>
      <w:proofErr w:type="spellEnd"/>
      <w:r w:rsidRPr="00E53300">
        <w:t>, Financial Stability Review, November 2021, https://www.ecb.europa.eu/pub/financial-stability/fsr/focus/2021/html/ecb.fsrbox202111_04~45293c08fc.en.html#:~:text=The%20market%20capitalisation%20of%20stablecoins,value%20that%20use%20blockchain%20cryptography.</w:t>
      </w:r>
    </w:p>
  </w:footnote>
  <w:footnote w:id="100">
    <w:p w14:paraId="031521E8" w14:textId="77777777" w:rsidR="00275DB3" w:rsidRPr="00E53300" w:rsidRDefault="00275DB3" w:rsidP="002C2CAA">
      <w:pPr>
        <w:pStyle w:val="FootnoteText"/>
      </w:pPr>
      <w:r w:rsidRPr="00E53300">
        <w:rPr>
          <w:rStyle w:val="FootnoteReference"/>
        </w:rPr>
        <w:footnoteRef/>
      </w:r>
      <w:r w:rsidRPr="00E53300">
        <w:t xml:space="preserve"> Id.</w:t>
      </w:r>
    </w:p>
  </w:footnote>
  <w:footnote w:id="101">
    <w:p w14:paraId="5CC279DA" w14:textId="77777777" w:rsidR="00275DB3" w:rsidRPr="00E53300" w:rsidRDefault="00275DB3" w:rsidP="002C2CAA">
      <w:pPr>
        <w:pStyle w:val="FootnoteText"/>
      </w:pPr>
      <w:r w:rsidRPr="00E53300">
        <w:rPr>
          <w:rStyle w:val="FootnoteReference"/>
        </w:rPr>
        <w:footnoteRef/>
      </w:r>
      <w:r w:rsidRPr="00E53300">
        <w:t xml:space="preserve"> Id. at 3.</w:t>
      </w:r>
    </w:p>
  </w:footnote>
  <w:footnote w:id="102">
    <w:p w14:paraId="2BC97F5C" w14:textId="77777777" w:rsidR="00275DB3" w:rsidRPr="00E53300" w:rsidRDefault="00275DB3" w:rsidP="002C2CAA">
      <w:pPr>
        <w:pStyle w:val="FootnoteText"/>
      </w:pPr>
      <w:r w:rsidRPr="00E53300">
        <w:rPr>
          <w:rStyle w:val="FootnoteReference"/>
        </w:rPr>
        <w:footnoteRef/>
      </w:r>
      <w:r w:rsidRPr="00E53300">
        <w:t xml:space="preserve"> Id. at 7.</w:t>
      </w:r>
    </w:p>
  </w:footnote>
  <w:footnote w:id="103">
    <w:p w14:paraId="6C27AAC3" w14:textId="77777777" w:rsidR="00275DB3" w:rsidRPr="00E53300" w:rsidRDefault="00275DB3" w:rsidP="002C2CAA">
      <w:pPr>
        <w:pStyle w:val="FootnoteText"/>
      </w:pPr>
      <w:r w:rsidRPr="00E53300">
        <w:rPr>
          <w:rStyle w:val="FootnoteReference"/>
        </w:rPr>
        <w:footnoteRef/>
      </w:r>
      <w:r w:rsidRPr="00E53300">
        <w:t xml:space="preserve"> Id. at 11</w:t>
      </w:r>
    </w:p>
  </w:footnote>
  <w:footnote w:id="104">
    <w:p w14:paraId="48CED979" w14:textId="77777777" w:rsidR="00275DB3" w:rsidRPr="00E53300" w:rsidRDefault="00275DB3" w:rsidP="002C2CAA">
      <w:pPr>
        <w:pStyle w:val="FootnoteText"/>
      </w:pPr>
      <w:r w:rsidRPr="00E53300">
        <w:rPr>
          <w:rStyle w:val="FootnoteReference"/>
        </w:rPr>
        <w:footnoteRef/>
      </w:r>
      <w:r w:rsidRPr="00E53300">
        <w:t xml:space="preserve"> Hilary J. Allen, </w:t>
      </w:r>
      <w:proofErr w:type="spellStart"/>
      <w:r w:rsidRPr="00E53300">
        <w:t>DeFi</w:t>
      </w:r>
      <w:proofErr w:type="spellEnd"/>
      <w:r w:rsidRPr="00E53300">
        <w:t xml:space="preserve">: Shadow Banking </w:t>
      </w:r>
      <w:proofErr w:type="gramStart"/>
      <w:r w:rsidRPr="00E53300">
        <w:t>2.0?,</w:t>
      </w:r>
      <w:proofErr w:type="gramEnd"/>
      <w:r w:rsidRPr="00E53300">
        <w:t xml:space="preserve"> 64 WM. &amp; MARY L. REV. 919, 922 (2023).    </w:t>
      </w:r>
    </w:p>
  </w:footnote>
  <w:footnote w:id="105">
    <w:p w14:paraId="4279E0AE" w14:textId="77777777" w:rsidR="00275DB3" w:rsidRPr="00E53300" w:rsidRDefault="00275DB3" w:rsidP="002C2CAA">
      <w:pPr>
        <w:pStyle w:val="FootnoteText"/>
      </w:pPr>
      <w:r w:rsidRPr="00E53300">
        <w:rPr>
          <w:rStyle w:val="FootnoteReference"/>
        </w:rPr>
        <w:footnoteRef/>
      </w:r>
      <w:r w:rsidRPr="00E53300">
        <w:t xml:space="preserve"> Coinbase, </w:t>
      </w:r>
      <w:proofErr w:type="gramStart"/>
      <w:r w:rsidRPr="00E53300">
        <w:t>What</w:t>
      </w:r>
      <w:proofErr w:type="gramEnd"/>
      <w:r w:rsidRPr="00E53300">
        <w:t xml:space="preserve"> is </w:t>
      </w:r>
      <w:proofErr w:type="spellStart"/>
      <w:r w:rsidRPr="00E53300">
        <w:t>DeFi</w:t>
      </w:r>
      <w:proofErr w:type="spellEnd"/>
      <w:r w:rsidRPr="00E53300">
        <w:t xml:space="preserve">? January, 2024, </w:t>
      </w:r>
      <w:hyperlink r:id="rId34" w:history="1">
        <w:r w:rsidRPr="00E53300">
          <w:rPr>
            <w:rStyle w:val="Hyperlink"/>
            <w:rFonts w:eastAsia="MS Gothic"/>
          </w:rPr>
          <w:t>https://www.coinbase.com/learn/crypto-basics/what-is-defi</w:t>
        </w:r>
      </w:hyperlink>
      <w:r w:rsidRPr="00E53300">
        <w:t xml:space="preserve">. See also Raphael Auer, Bernhard </w:t>
      </w:r>
      <w:proofErr w:type="spellStart"/>
      <w:r w:rsidRPr="00E53300">
        <w:t>Haslhofer</w:t>
      </w:r>
      <w:proofErr w:type="spellEnd"/>
      <w:r w:rsidRPr="00E53300">
        <w:t xml:space="preserve">, Stefan </w:t>
      </w:r>
      <w:proofErr w:type="spellStart"/>
      <w:r w:rsidRPr="00E53300">
        <w:t>Kitzler</w:t>
      </w:r>
      <w:proofErr w:type="spellEnd"/>
      <w:r w:rsidRPr="00E53300">
        <w:t xml:space="preserve">, Pietro </w:t>
      </w:r>
      <w:proofErr w:type="spellStart"/>
      <w:r w:rsidRPr="00E53300">
        <w:t>Saggese</w:t>
      </w:r>
      <w:proofErr w:type="spellEnd"/>
      <w:r w:rsidRPr="00E53300">
        <w:t xml:space="preserve"> and </w:t>
      </w:r>
      <w:proofErr w:type="spellStart"/>
      <w:r w:rsidRPr="00E53300">
        <w:t>Friedhelm</w:t>
      </w:r>
      <w:proofErr w:type="spellEnd"/>
      <w:r w:rsidRPr="00E53300">
        <w:t xml:space="preserve"> Victor, The Technology of Decentralized Finance (</w:t>
      </w:r>
      <w:proofErr w:type="spellStart"/>
      <w:r w:rsidRPr="00E53300">
        <w:t>DeFi</w:t>
      </w:r>
      <w:proofErr w:type="spellEnd"/>
      <w:r w:rsidRPr="00E53300">
        <w:t xml:space="preserve">), BIS Working Papers No 1066, January, 2023, </w:t>
      </w:r>
      <w:hyperlink r:id="rId35" w:history="1">
        <w:r w:rsidRPr="00E53300">
          <w:rPr>
            <w:rStyle w:val="Hyperlink"/>
            <w:rFonts w:eastAsia="MS Gothic"/>
          </w:rPr>
          <w:t>www.bis.org/publ/work1066.pdf</w:t>
        </w:r>
      </w:hyperlink>
      <w:r w:rsidRPr="00E53300">
        <w:t xml:space="preserve">  </w:t>
      </w:r>
    </w:p>
  </w:footnote>
  <w:footnote w:id="106">
    <w:p w14:paraId="58AD585D" w14:textId="77777777" w:rsidR="00275DB3" w:rsidRPr="00E53300" w:rsidRDefault="00275DB3" w:rsidP="002C2CAA">
      <w:pPr>
        <w:pStyle w:val="FootnoteText"/>
      </w:pPr>
      <w:r w:rsidRPr="00E53300">
        <w:rPr>
          <w:rStyle w:val="FootnoteReference"/>
        </w:rPr>
        <w:footnoteRef/>
      </w:r>
      <w:r w:rsidRPr="00E53300">
        <w:t xml:space="preserve"> Kevin </w:t>
      </w:r>
      <w:proofErr w:type="spellStart"/>
      <w:r w:rsidRPr="00E53300">
        <w:t>Roose</w:t>
      </w:r>
      <w:proofErr w:type="spellEnd"/>
      <w:r w:rsidRPr="00E53300">
        <w:t xml:space="preserve">, </w:t>
      </w:r>
      <w:proofErr w:type="gramStart"/>
      <w:r w:rsidRPr="00E53300">
        <w:t>What</w:t>
      </w:r>
      <w:proofErr w:type="gramEnd"/>
      <w:r w:rsidRPr="00E53300">
        <w:t xml:space="preserve"> is </w:t>
      </w:r>
      <w:proofErr w:type="spellStart"/>
      <w:r w:rsidRPr="00E53300">
        <w:t>DeFi</w:t>
      </w:r>
      <w:proofErr w:type="spellEnd"/>
      <w:r w:rsidRPr="00E53300">
        <w:t xml:space="preserve">? The New York Times, </w:t>
      </w:r>
      <w:hyperlink r:id="rId36" w:history="1">
        <w:r w:rsidRPr="00E53300">
          <w:rPr>
            <w:rStyle w:val="Hyperlink"/>
            <w:rFonts w:eastAsia="MS Gothic"/>
          </w:rPr>
          <w:t>https://www.nytimes.com/interactive/2022/03/18/technology/what-is-defi-cryptocurrency.html</w:t>
        </w:r>
      </w:hyperlink>
      <w:r w:rsidRPr="00E53300">
        <w:t xml:space="preserve"> </w:t>
      </w:r>
    </w:p>
  </w:footnote>
  <w:footnote w:id="107">
    <w:p w14:paraId="0D23C9DF" w14:textId="77777777" w:rsidR="00275DB3" w:rsidRPr="00E53300" w:rsidRDefault="00275DB3" w:rsidP="002C2CAA">
      <w:pPr>
        <w:pStyle w:val="FootnoteText"/>
      </w:pPr>
      <w:r w:rsidRPr="00E53300">
        <w:rPr>
          <w:rStyle w:val="FootnoteReference"/>
        </w:rPr>
        <w:footnoteRef/>
      </w:r>
      <w:r w:rsidRPr="00E53300">
        <w:t xml:space="preserve"> Id.</w:t>
      </w:r>
    </w:p>
  </w:footnote>
  <w:footnote w:id="108">
    <w:p w14:paraId="31041A92" w14:textId="77777777" w:rsidR="00275DB3" w:rsidRPr="00E53300" w:rsidRDefault="00275DB3" w:rsidP="002C2CAA">
      <w:pPr>
        <w:pStyle w:val="FootnoteText"/>
      </w:pPr>
      <w:r w:rsidRPr="00E53300">
        <w:rPr>
          <w:rStyle w:val="FootnoteReference"/>
        </w:rPr>
        <w:footnoteRef/>
      </w:r>
      <w:r w:rsidRPr="00E53300">
        <w:t xml:space="preserve"> Id.</w:t>
      </w:r>
    </w:p>
  </w:footnote>
  <w:footnote w:id="109">
    <w:p w14:paraId="057C337A" w14:textId="77777777" w:rsidR="00275DB3" w:rsidRPr="00E53300" w:rsidRDefault="00275DB3" w:rsidP="002C2CAA">
      <w:pPr>
        <w:pStyle w:val="FootnoteText"/>
      </w:pPr>
      <w:r w:rsidRPr="00E53300">
        <w:rPr>
          <w:rStyle w:val="FootnoteReference"/>
        </w:rPr>
        <w:footnoteRef/>
      </w:r>
      <w:r w:rsidRPr="00E53300">
        <w:t xml:space="preserve"> Id.  </w:t>
      </w:r>
      <w:proofErr w:type="spellStart"/>
      <w:r w:rsidRPr="00E53300">
        <w:t>Stablecoins</w:t>
      </w:r>
      <w:proofErr w:type="spellEnd"/>
      <w:r w:rsidRPr="00E53300">
        <w:t xml:space="preserve"> are preferable to other cryptocurrencies because they are more stable, and they are preferable to fiat issued currencies like dollars because they can be maintained on the digital platform, and therefore do not require continuous conversion into dollars. Id.</w:t>
      </w:r>
    </w:p>
  </w:footnote>
  <w:footnote w:id="110">
    <w:p w14:paraId="08CF7A08" w14:textId="77777777" w:rsidR="00275DB3" w:rsidRPr="00E53300" w:rsidRDefault="00275DB3" w:rsidP="002C2CAA">
      <w:pPr>
        <w:pStyle w:val="FootnoteText"/>
      </w:pPr>
      <w:r w:rsidRPr="00E53300">
        <w:rPr>
          <w:rStyle w:val="FootnoteReference"/>
        </w:rPr>
        <w:footnoteRef/>
      </w:r>
      <w:r w:rsidRPr="00E53300">
        <w:t xml:space="preserve"> </w:t>
      </w:r>
      <w:hyperlink r:id="rId37" w:history="1">
        <w:r w:rsidRPr="00E53300">
          <w:rPr>
            <w:rStyle w:val="Hyperlink"/>
            <w:rFonts w:eastAsia="MS Gothic"/>
          </w:rPr>
          <w:t>https://www.circle.com/en/usdc</w:t>
        </w:r>
      </w:hyperlink>
      <w:r w:rsidRPr="00E53300">
        <w:t xml:space="preserve"> </w:t>
      </w:r>
    </w:p>
  </w:footnote>
  <w:footnote w:id="111">
    <w:p w14:paraId="1A894CEA" w14:textId="77777777" w:rsidR="00275DB3" w:rsidRPr="00E53300" w:rsidRDefault="00275DB3" w:rsidP="002C2CAA">
      <w:pPr>
        <w:pStyle w:val="FootnoteText"/>
      </w:pPr>
      <w:r w:rsidRPr="00E53300">
        <w:rPr>
          <w:rStyle w:val="FootnoteReference"/>
        </w:rPr>
        <w:footnoteRef/>
      </w:r>
      <w:r w:rsidRPr="00E53300">
        <w:t xml:space="preserve"> Neville Hart, This Week’s </w:t>
      </w:r>
      <w:proofErr w:type="spellStart"/>
      <w:r w:rsidRPr="00E53300">
        <w:t>DeFi</w:t>
      </w:r>
      <w:proofErr w:type="spellEnd"/>
      <w:r w:rsidRPr="00E53300">
        <w:t xml:space="preserve"> Interest Rates: Best Yields for Lending and Saving, February 19, 2024.</w:t>
      </w:r>
    </w:p>
  </w:footnote>
  <w:footnote w:id="112">
    <w:p w14:paraId="205875D7" w14:textId="77777777" w:rsidR="00275DB3" w:rsidRPr="00E53300" w:rsidRDefault="00275DB3" w:rsidP="002C2CAA">
      <w:pPr>
        <w:pStyle w:val="FootnoteText"/>
      </w:pPr>
      <w:r w:rsidRPr="00E53300">
        <w:rPr>
          <w:rStyle w:val="FootnoteReference"/>
        </w:rPr>
        <w:footnoteRef/>
      </w:r>
      <w:r w:rsidRPr="00E53300">
        <w:t xml:space="preserve"> Neville Hart, This Week’s </w:t>
      </w:r>
      <w:proofErr w:type="spellStart"/>
      <w:r w:rsidRPr="00E53300">
        <w:t>DeFi</w:t>
      </w:r>
      <w:proofErr w:type="spellEnd"/>
      <w:r w:rsidRPr="00E53300">
        <w:t xml:space="preserve"> Interest Rates: Best Yields for Lending and Saving, February 19, 2024.</w:t>
      </w:r>
    </w:p>
  </w:footnote>
  <w:footnote w:id="113">
    <w:p w14:paraId="7CAD81DC" w14:textId="77777777" w:rsidR="00275DB3" w:rsidRPr="00E53300" w:rsidRDefault="00275DB3" w:rsidP="002C2CAA">
      <w:pPr>
        <w:pStyle w:val="FootnoteText"/>
      </w:pPr>
      <w:r w:rsidRPr="00E53300">
        <w:rPr>
          <w:rStyle w:val="FootnoteReference"/>
        </w:rPr>
        <w:footnoteRef/>
      </w:r>
      <w:r w:rsidRPr="00E53300">
        <w:t xml:space="preserve"> Id.</w:t>
      </w:r>
    </w:p>
  </w:footnote>
  <w:footnote w:id="114">
    <w:p w14:paraId="275BBD13" w14:textId="77777777" w:rsidR="00275DB3" w:rsidRPr="00E53300" w:rsidRDefault="00275DB3" w:rsidP="002C2CAA">
      <w:pPr>
        <w:pStyle w:val="FootnoteText"/>
      </w:pPr>
      <w:r w:rsidRPr="00E53300">
        <w:rPr>
          <w:rStyle w:val="FootnoteReference"/>
        </w:rPr>
        <w:footnoteRef/>
      </w:r>
      <w:r w:rsidRPr="00E53300">
        <w:t xml:space="preserve"> I note that Yield App is available in the U.S., while </w:t>
      </w:r>
      <w:proofErr w:type="spellStart"/>
      <w:r w:rsidRPr="00E53300">
        <w:t>YouHodler</w:t>
      </w:r>
      <w:proofErr w:type="spellEnd"/>
      <w:r w:rsidRPr="00E53300">
        <w:t xml:space="preserve"> and </w:t>
      </w:r>
      <w:proofErr w:type="spellStart"/>
      <w:r w:rsidRPr="00E53300">
        <w:t>WireEx</w:t>
      </w:r>
      <w:proofErr w:type="spellEnd"/>
      <w:r w:rsidRPr="00E53300">
        <w:t xml:space="preserve"> do not appear to be available in the U.S.  See </w:t>
      </w:r>
      <w:hyperlink r:id="rId38" w:history="1">
        <w:r w:rsidRPr="00E53300">
          <w:rPr>
            <w:rStyle w:val="Hyperlink"/>
            <w:rFonts w:eastAsia="MS Gothic"/>
          </w:rPr>
          <w:t>https://yield.app/earn?utm_source=web&amp;utm_medium=referral&amp;utm_campaign=bitcompare_lending</w:t>
        </w:r>
      </w:hyperlink>
      <w:r w:rsidRPr="00E53300">
        <w:t xml:space="preserve">. </w:t>
      </w:r>
    </w:p>
  </w:footnote>
  <w:footnote w:id="115">
    <w:p w14:paraId="057147F7" w14:textId="77777777" w:rsidR="00275DB3" w:rsidRPr="00E53300" w:rsidRDefault="00275DB3" w:rsidP="002C2CAA">
      <w:pPr>
        <w:pStyle w:val="FootnoteText"/>
      </w:pPr>
      <w:r w:rsidRPr="00E53300">
        <w:rPr>
          <w:rStyle w:val="FootnoteReference"/>
        </w:rPr>
        <w:footnoteRef/>
      </w:r>
      <w:r w:rsidRPr="00E53300">
        <w:t xml:space="preserve"> Board of Governors of the Federal Reserve System, Central Bank Digital Currency, Frequently Asked Questions, April 11, 2023, </w:t>
      </w:r>
      <w:hyperlink r:id="rId39" w:history="1">
        <w:r w:rsidRPr="00E53300">
          <w:rPr>
            <w:rStyle w:val="Hyperlink"/>
            <w:rFonts w:eastAsia="MS Gothic"/>
          </w:rPr>
          <w:t>https://www.federalreserve.gov/cbdc-faqs.htm</w:t>
        </w:r>
      </w:hyperlink>
      <w:r w:rsidRPr="00E53300">
        <w:t xml:space="preserve"> </w:t>
      </w:r>
    </w:p>
  </w:footnote>
  <w:footnote w:id="116">
    <w:p w14:paraId="65E27BD6" w14:textId="77777777" w:rsidR="00275DB3" w:rsidRPr="00E53300" w:rsidRDefault="00275DB3" w:rsidP="002C2CAA">
      <w:pPr>
        <w:pStyle w:val="FootnoteText"/>
      </w:pPr>
      <w:r w:rsidRPr="00E53300">
        <w:rPr>
          <w:rStyle w:val="FootnoteReference"/>
        </w:rPr>
        <w:footnoteRef/>
      </w:r>
      <w:r w:rsidRPr="00E53300">
        <w:t xml:space="preserve"> See </w:t>
      </w:r>
      <w:proofErr w:type="spellStart"/>
      <w:r w:rsidRPr="00E53300">
        <w:t>aBoard</w:t>
      </w:r>
      <w:proofErr w:type="spellEnd"/>
      <w:r w:rsidRPr="00E53300">
        <w:t xml:space="preserve"> of Governors of the Federal Reserve System, </w:t>
      </w:r>
      <w:proofErr w:type="gramStart"/>
      <w:r w:rsidRPr="00E53300">
        <w:t>Money</w:t>
      </w:r>
      <w:proofErr w:type="gramEnd"/>
      <w:r w:rsidRPr="00E53300">
        <w:t xml:space="preserve"> and Payments: The U.S. Dollar in the Age of Digital Transformation, January 2022, at 13.</w:t>
      </w:r>
    </w:p>
  </w:footnote>
  <w:footnote w:id="117">
    <w:p w14:paraId="3CB5A7EB" w14:textId="77777777" w:rsidR="00275DB3" w:rsidRPr="00E53300" w:rsidRDefault="00275DB3" w:rsidP="002C2CAA">
      <w:pPr>
        <w:pStyle w:val="FootnoteText"/>
      </w:pPr>
      <w:r w:rsidRPr="00E53300">
        <w:rPr>
          <w:rStyle w:val="FootnoteReference"/>
        </w:rPr>
        <w:footnoteRef/>
      </w:r>
      <w:r w:rsidRPr="00E53300">
        <w:t xml:space="preserve"> Id.  </w:t>
      </w:r>
    </w:p>
  </w:footnote>
  <w:footnote w:id="118">
    <w:p w14:paraId="1FF7C0C8" w14:textId="77777777" w:rsidR="00275DB3" w:rsidRPr="00E53300" w:rsidRDefault="00275DB3" w:rsidP="002C2CAA">
      <w:pPr>
        <w:pStyle w:val="FootnoteText"/>
      </w:pPr>
      <w:r w:rsidRPr="00E53300">
        <w:rPr>
          <w:rStyle w:val="FootnoteReference"/>
        </w:rPr>
        <w:footnoteRef/>
      </w:r>
      <w:r w:rsidRPr="00E53300">
        <w:t xml:space="preserve"> The Economist, “What is the Fuss Over Central-Bank Digital Currencies,” The Economist, February 16, 2021, </w:t>
      </w:r>
      <w:hyperlink r:id="rId40" w:history="1">
        <w:r w:rsidRPr="00E53300">
          <w:rPr>
            <w:rStyle w:val="Hyperlink"/>
            <w:rFonts w:eastAsia="MS Gothic"/>
          </w:rPr>
          <w:t>https://www.economist.com/the-economist-explains/2021/02/16/what-is-the-fuss-over-central-bank-digital-currencies?utm_medium=cpc.adword.pd&amp;utm_source=google&amp;ppccampaignID=17210591673&amp;ppcadID=&amp;utm_campaign=a.22brand_pmax&amp;utm_content=conversion.direct-response.anonymous&amp;gad_source=1&amp;gclid=CjwKCAiA_tuuBhAUEiwAvxkgTuWGs5ZcI9lmKU3oWbVx1XdCNSdFsH2Byu3cSPpgqslQ3QdpXu8HMRoCPsYQAvD_BwE&amp;gclsrc=aw.ds</w:t>
        </w:r>
      </w:hyperlink>
      <w:r w:rsidRPr="00E53300">
        <w:t xml:space="preserve"> </w:t>
      </w:r>
    </w:p>
  </w:footnote>
  <w:footnote w:id="119">
    <w:p w14:paraId="7EAB8D66" w14:textId="77777777" w:rsidR="00275DB3" w:rsidRPr="00E53300" w:rsidRDefault="00275DB3" w:rsidP="002C2CAA">
      <w:pPr>
        <w:pStyle w:val="FootnoteText"/>
      </w:pPr>
      <w:r w:rsidRPr="00E53300">
        <w:rPr>
          <w:rStyle w:val="FootnoteReference"/>
        </w:rPr>
        <w:footnoteRef/>
      </w:r>
      <w:r w:rsidRPr="00E53300">
        <w:t xml:space="preserve"> The Atlantic Council, Central Bank Digital Currency Tracker, December 2023,  </w:t>
      </w:r>
      <w:hyperlink r:id="rId41" w:history="1">
        <w:r w:rsidRPr="00E53300">
          <w:rPr>
            <w:rStyle w:val="Hyperlink"/>
            <w:rFonts w:eastAsia="MS Gothic"/>
          </w:rPr>
          <w:t>https://www.atlanticcouncil.org/cbdctracker/</w:t>
        </w:r>
      </w:hyperlink>
      <w:r w:rsidRPr="00E53300">
        <w:t xml:space="preserve"> </w:t>
      </w:r>
    </w:p>
  </w:footnote>
  <w:footnote w:id="120">
    <w:p w14:paraId="165C6C9B" w14:textId="77777777" w:rsidR="00275DB3" w:rsidRPr="00E53300" w:rsidRDefault="00275DB3" w:rsidP="002C2CAA">
      <w:pPr>
        <w:pStyle w:val="FootnoteText"/>
      </w:pPr>
      <w:r w:rsidRPr="00E53300">
        <w:rPr>
          <w:rStyle w:val="FootnoteReference"/>
        </w:rPr>
        <w:footnoteRef/>
      </w:r>
      <w:r w:rsidRPr="00E53300">
        <w:t xml:space="preserve"> Id.</w:t>
      </w:r>
    </w:p>
  </w:footnote>
  <w:footnote w:id="121">
    <w:p w14:paraId="72BF352C" w14:textId="77777777" w:rsidR="00275DB3" w:rsidRPr="00E53300" w:rsidRDefault="00275DB3" w:rsidP="002C2CAA">
      <w:pPr>
        <w:pStyle w:val="FootnoteText"/>
      </w:pPr>
      <w:r w:rsidRPr="00E53300">
        <w:rPr>
          <w:rStyle w:val="FootnoteReference"/>
        </w:rPr>
        <w:footnoteRef/>
      </w:r>
      <w:r w:rsidRPr="00E53300">
        <w:t xml:space="preserve"> Id.</w:t>
      </w:r>
    </w:p>
  </w:footnote>
  <w:footnote w:id="122">
    <w:p w14:paraId="2C67C209" w14:textId="77777777" w:rsidR="00275DB3" w:rsidRPr="00E53300" w:rsidRDefault="00275DB3" w:rsidP="002C2CAA">
      <w:pPr>
        <w:pStyle w:val="FootnoteText"/>
      </w:pPr>
      <w:r w:rsidRPr="00E53300">
        <w:rPr>
          <w:rStyle w:val="FootnoteReference"/>
        </w:rPr>
        <w:footnoteRef/>
      </w:r>
      <w:r w:rsidRPr="00E53300">
        <w:t xml:space="preserve"> Id.</w:t>
      </w:r>
    </w:p>
  </w:footnote>
  <w:footnote w:id="123">
    <w:p w14:paraId="238BA039" w14:textId="77777777" w:rsidR="00275DB3" w:rsidRPr="00E53300" w:rsidRDefault="00275DB3" w:rsidP="002C2CAA">
      <w:pPr>
        <w:pStyle w:val="FootnoteText"/>
      </w:pPr>
      <w:r w:rsidRPr="00E53300">
        <w:rPr>
          <w:rStyle w:val="FootnoteReference"/>
        </w:rPr>
        <w:footnoteRef/>
      </w:r>
      <w:r w:rsidRPr="00E53300">
        <w:t xml:space="preserve"> Id.</w:t>
      </w:r>
    </w:p>
  </w:footnote>
  <w:footnote w:id="124">
    <w:p w14:paraId="3E8E7317" w14:textId="77777777" w:rsidR="00275DB3" w:rsidRPr="00E53300" w:rsidRDefault="00275DB3" w:rsidP="002C2CAA">
      <w:pPr>
        <w:pStyle w:val="FootnoteText"/>
      </w:pPr>
      <w:r w:rsidRPr="00E53300">
        <w:rPr>
          <w:rStyle w:val="FootnoteReference"/>
        </w:rPr>
        <w:footnoteRef/>
      </w:r>
      <w:r w:rsidRPr="00E53300">
        <w:t xml:space="preserve"> </w:t>
      </w:r>
      <w:r w:rsidRPr="00E53300">
        <w:rPr>
          <w:i/>
        </w:rPr>
        <w:t>See</w:t>
      </w:r>
      <w:r w:rsidRPr="00E53300">
        <w:t xml:space="preserve"> </w:t>
      </w:r>
      <w:proofErr w:type="spellStart"/>
      <w:r w:rsidRPr="00E53300">
        <w:t>Itamar</w:t>
      </w:r>
      <w:proofErr w:type="spellEnd"/>
      <w:r w:rsidRPr="00E53300">
        <w:t xml:space="preserve"> Drechsler, Alexi </w:t>
      </w:r>
      <w:proofErr w:type="spellStart"/>
      <w:r w:rsidRPr="00E53300">
        <w:t>Savov</w:t>
      </w:r>
      <w:proofErr w:type="spellEnd"/>
      <w:r w:rsidRPr="00E53300">
        <w:t xml:space="preserve"> &amp; Philipp </w:t>
      </w:r>
      <w:proofErr w:type="spellStart"/>
      <w:r w:rsidRPr="00E53300">
        <w:t>Schnabl</w:t>
      </w:r>
      <w:proofErr w:type="spellEnd"/>
      <w:r w:rsidRPr="00E53300">
        <w:t xml:space="preserve">, Banking on Deposits: Maturity Transformation Without Interest Rate Risk, 76 J. FIN. 1091, 1092 (2021) (describing the “deposit franchise , which allows banks to pay deposit rates that are “both low and insensitive to market interest rates.”).  </w:t>
      </w:r>
    </w:p>
  </w:footnote>
  <w:footnote w:id="125">
    <w:p w14:paraId="79E1FEA9" w14:textId="77777777" w:rsidR="00275DB3" w:rsidRPr="00E53300" w:rsidRDefault="00275DB3" w:rsidP="002C2CAA">
      <w:pPr>
        <w:pStyle w:val="FootnoteText"/>
      </w:pPr>
      <w:r w:rsidRPr="00E53300">
        <w:rPr>
          <w:rStyle w:val="FootnoteReference"/>
        </w:rPr>
        <w:footnoteRef/>
      </w:r>
      <w:r w:rsidRPr="00E53300">
        <w:t xml:space="preserve"> Id.</w:t>
      </w:r>
    </w:p>
  </w:footnote>
  <w:footnote w:id="126">
    <w:p w14:paraId="6DF39A45" w14:textId="77777777" w:rsidR="00275DB3" w:rsidRPr="00E53300" w:rsidRDefault="00275DB3" w:rsidP="002C2CAA">
      <w:pPr>
        <w:pStyle w:val="FootnoteText"/>
      </w:pPr>
      <w:r w:rsidRPr="00E53300">
        <w:rPr>
          <w:rStyle w:val="FootnoteReference"/>
        </w:rPr>
        <w:footnoteRef/>
      </w:r>
      <w:r w:rsidRPr="00E53300">
        <w:t xml:space="preserve"> Id. </w:t>
      </w:r>
    </w:p>
  </w:footnote>
  <w:footnote w:id="127">
    <w:p w14:paraId="35723317" w14:textId="77777777" w:rsidR="00275DB3" w:rsidRPr="00E53300" w:rsidRDefault="00275DB3" w:rsidP="002C2CAA">
      <w:pPr>
        <w:pStyle w:val="FootnoteText"/>
      </w:pPr>
      <w:r w:rsidRPr="00E53300">
        <w:rPr>
          <w:rStyle w:val="FootnoteReference"/>
        </w:rPr>
        <w:footnoteRef/>
      </w:r>
      <w:r w:rsidRPr="00E53300">
        <w:t xml:space="preserve"> Id.</w:t>
      </w:r>
    </w:p>
  </w:footnote>
  <w:footnote w:id="128">
    <w:p w14:paraId="791ED417" w14:textId="77777777" w:rsidR="00275DB3" w:rsidRPr="00E53300" w:rsidRDefault="00275DB3" w:rsidP="002C2CAA">
      <w:pPr>
        <w:pStyle w:val="FootnoteText"/>
      </w:pPr>
      <w:r w:rsidRPr="00E53300">
        <w:rPr>
          <w:rStyle w:val="FootnoteReference"/>
        </w:rPr>
        <w:footnoteRef/>
      </w:r>
      <w:r w:rsidRPr="00E53300">
        <w:t xml:space="preserve"> Id.  </w:t>
      </w:r>
    </w:p>
  </w:footnote>
  <w:footnote w:id="129">
    <w:p w14:paraId="2EBB7549" w14:textId="77777777" w:rsidR="00275DB3" w:rsidRPr="00E53300" w:rsidRDefault="00275DB3" w:rsidP="002C2CAA">
      <w:pPr>
        <w:pStyle w:val="FootnoteText"/>
      </w:pPr>
      <w:r w:rsidRPr="00E53300">
        <w:rPr>
          <w:rStyle w:val="FootnoteReference"/>
        </w:rPr>
        <w:footnoteRef/>
      </w:r>
      <w:r w:rsidRPr="00E53300">
        <w:t xml:space="preserve"> </w:t>
      </w:r>
      <w:proofErr w:type="spellStart"/>
      <w:r w:rsidRPr="00E53300">
        <w:t>Naz</w:t>
      </w:r>
      <w:proofErr w:type="spellEnd"/>
      <w:r w:rsidRPr="00E53300">
        <w:t xml:space="preserve"> </w:t>
      </w:r>
      <w:proofErr w:type="spellStart"/>
      <w:r w:rsidRPr="00E53300">
        <w:t>Koont</w:t>
      </w:r>
      <w:proofErr w:type="spellEnd"/>
      <w:r w:rsidRPr="00E53300">
        <w:t xml:space="preserve">, Tano Santos &amp; Luigi Zingales, Destabilizing Digital Bank Walks, Chicago Booth / Stigler Center for the Study of the Economy and the State Working Paper Series No. 328, </w:t>
      </w:r>
      <w:proofErr w:type="gramStart"/>
      <w:r w:rsidRPr="00E53300">
        <w:t>May,</w:t>
      </w:r>
      <w:proofErr w:type="gramEnd"/>
      <w:r w:rsidRPr="00E53300">
        <w:t xml:space="preserve"> 2023.</w:t>
      </w:r>
    </w:p>
  </w:footnote>
  <w:footnote w:id="130">
    <w:p w14:paraId="688F3FF8" w14:textId="77777777" w:rsidR="00275DB3" w:rsidRPr="00E53300" w:rsidRDefault="00275DB3" w:rsidP="002C2CAA">
      <w:pPr>
        <w:pStyle w:val="FootnoteText"/>
      </w:pPr>
      <w:r w:rsidRPr="00E53300">
        <w:rPr>
          <w:rStyle w:val="FootnoteReference"/>
        </w:rPr>
        <w:footnoteRef/>
      </w:r>
      <w:r w:rsidRPr="00E53300">
        <w:t xml:space="preserve"> </w:t>
      </w:r>
      <w:proofErr w:type="spellStart"/>
      <w:r w:rsidRPr="00E53300">
        <w:t>Itamar</w:t>
      </w:r>
      <w:proofErr w:type="spellEnd"/>
      <w:r w:rsidRPr="00E53300">
        <w:t xml:space="preserve"> Drechsler, Alexi </w:t>
      </w:r>
      <w:proofErr w:type="spellStart"/>
      <w:r w:rsidRPr="00E53300">
        <w:t>Savov</w:t>
      </w:r>
      <w:proofErr w:type="spellEnd"/>
      <w:r w:rsidRPr="00E53300">
        <w:t xml:space="preserve"> &amp; Philipp </w:t>
      </w:r>
      <w:proofErr w:type="spellStart"/>
      <w:r w:rsidRPr="00E53300">
        <w:t>Schnabl</w:t>
      </w:r>
      <w:proofErr w:type="spellEnd"/>
      <w:r w:rsidRPr="00E53300">
        <w:t>, Banking on Deposits, supra, at 1093.</w:t>
      </w:r>
    </w:p>
  </w:footnote>
  <w:footnote w:id="131">
    <w:p w14:paraId="5A95EDC0" w14:textId="77777777" w:rsidR="00275DB3" w:rsidRPr="00E53300" w:rsidRDefault="00275DB3" w:rsidP="002C2CAA">
      <w:pPr>
        <w:pStyle w:val="FootnoteText"/>
      </w:pPr>
      <w:r w:rsidRPr="00E53300">
        <w:rPr>
          <w:rStyle w:val="FootnoteReference"/>
        </w:rPr>
        <w:footnoteRef/>
      </w:r>
      <w:r w:rsidRPr="00E53300">
        <w:t xml:space="preserve"> Id. at 1093.</w:t>
      </w:r>
    </w:p>
  </w:footnote>
  <w:footnote w:id="132">
    <w:p w14:paraId="44CEC4BA" w14:textId="77777777" w:rsidR="00275DB3" w:rsidRPr="00E53300" w:rsidRDefault="00275DB3" w:rsidP="002C2CAA">
      <w:pPr>
        <w:pStyle w:val="FootnoteText"/>
      </w:pPr>
      <w:r w:rsidRPr="00E53300">
        <w:rPr>
          <w:rStyle w:val="FootnoteReference"/>
        </w:rPr>
        <w:footnoteRef/>
      </w:r>
      <w:r w:rsidRPr="00E53300">
        <w:t xml:space="preserve"> Id. at 1094.</w:t>
      </w:r>
    </w:p>
  </w:footnote>
  <w:footnote w:id="133">
    <w:p w14:paraId="4B5DF593" w14:textId="77777777" w:rsidR="00275DB3" w:rsidRPr="00E53300" w:rsidRDefault="00275DB3" w:rsidP="002C2CAA">
      <w:pPr>
        <w:pStyle w:val="FootnoteText"/>
      </w:pPr>
      <w:r w:rsidRPr="00E53300">
        <w:rPr>
          <w:rStyle w:val="FootnoteReference"/>
        </w:rPr>
        <w:footnoteRef/>
      </w:r>
      <w:r w:rsidRPr="00E53300">
        <w:t xml:space="preserve"> </w:t>
      </w:r>
      <w:proofErr w:type="spellStart"/>
      <w:r w:rsidRPr="00E53300">
        <w:t>Naz</w:t>
      </w:r>
      <w:proofErr w:type="spellEnd"/>
      <w:r w:rsidRPr="00E53300">
        <w:t xml:space="preserve"> </w:t>
      </w:r>
      <w:proofErr w:type="spellStart"/>
      <w:r w:rsidRPr="00E53300">
        <w:t>Koont</w:t>
      </w:r>
      <w:proofErr w:type="spellEnd"/>
      <w:r w:rsidRPr="00E53300">
        <w:t xml:space="preserve">, Tano Santos &amp; Luigi Zingales, Destabilizing Digital Bank Walks, Chicago Booth / Stigler Center for the Study of the Economy and the State Working Paper Series No. 328, </w:t>
      </w:r>
      <w:proofErr w:type="gramStart"/>
      <w:r w:rsidRPr="00E53300">
        <w:t>May,</w:t>
      </w:r>
      <w:proofErr w:type="gramEnd"/>
      <w:r w:rsidRPr="00E53300">
        <w:t xml:space="preserve"> 2023.</w:t>
      </w:r>
    </w:p>
  </w:footnote>
  <w:footnote w:id="134">
    <w:p w14:paraId="6EA2F8B8" w14:textId="77777777" w:rsidR="00275DB3" w:rsidRPr="00E53300" w:rsidRDefault="00275DB3" w:rsidP="002C2CAA">
      <w:pPr>
        <w:pStyle w:val="FootnoteText"/>
      </w:pPr>
      <w:r w:rsidRPr="00E53300">
        <w:rPr>
          <w:rStyle w:val="FootnoteReference"/>
        </w:rPr>
        <w:footnoteRef/>
      </w:r>
      <w:r w:rsidRPr="00E53300">
        <w:t xml:space="preserve"> Id.</w:t>
      </w:r>
    </w:p>
  </w:footnote>
  <w:footnote w:id="135">
    <w:p w14:paraId="7D2C8F65" w14:textId="77777777" w:rsidR="00275DB3" w:rsidRPr="00E53300" w:rsidRDefault="00275DB3" w:rsidP="002C2CAA">
      <w:pPr>
        <w:pStyle w:val="FootnoteText"/>
      </w:pPr>
      <w:r w:rsidRPr="00E53300">
        <w:rPr>
          <w:rStyle w:val="FootnoteReference"/>
        </w:rPr>
        <w:footnoteRef/>
      </w:r>
      <w:r w:rsidRPr="00E53300">
        <w:t xml:space="preserve"> Id.</w:t>
      </w:r>
    </w:p>
  </w:footnote>
  <w:footnote w:id="136">
    <w:p w14:paraId="31860CE7" w14:textId="77777777" w:rsidR="00275DB3" w:rsidRPr="00E53300" w:rsidRDefault="00275DB3" w:rsidP="002C2CAA">
      <w:pPr>
        <w:pStyle w:val="FootnoteText"/>
      </w:pPr>
      <w:r w:rsidRPr="00E53300">
        <w:rPr>
          <w:rStyle w:val="FootnoteReference"/>
        </w:rPr>
        <w:footnoteRef/>
      </w:r>
      <w:r w:rsidRPr="00E53300">
        <w:t xml:space="preserve"> Id. at 3.</w:t>
      </w:r>
    </w:p>
  </w:footnote>
  <w:footnote w:id="137">
    <w:p w14:paraId="7EA9D374" w14:textId="77777777" w:rsidR="00275DB3" w:rsidRPr="00E53300" w:rsidRDefault="00275DB3" w:rsidP="002C2CAA">
      <w:pPr>
        <w:pStyle w:val="FootnoteText"/>
      </w:pPr>
      <w:r w:rsidRPr="00E53300">
        <w:rPr>
          <w:rStyle w:val="FootnoteReference"/>
        </w:rPr>
        <w:footnoteRef/>
      </w:r>
      <w:r w:rsidRPr="00E53300">
        <w:t xml:space="preserve"> Id.</w:t>
      </w:r>
    </w:p>
  </w:footnote>
  <w:footnote w:id="138">
    <w:p w14:paraId="54220BAA" w14:textId="77777777" w:rsidR="00275DB3" w:rsidRPr="00E53300" w:rsidRDefault="00275DB3" w:rsidP="002C2CAA">
      <w:pPr>
        <w:pStyle w:val="FootnoteText"/>
      </w:pPr>
      <w:r w:rsidRPr="00E53300">
        <w:rPr>
          <w:rStyle w:val="FootnoteReference"/>
        </w:rPr>
        <w:footnoteRef/>
      </w:r>
      <w:r w:rsidRPr="00E53300">
        <w:t xml:space="preserve"> Id. at 20</w:t>
      </w:r>
    </w:p>
  </w:footnote>
  <w:footnote w:id="139">
    <w:p w14:paraId="392662C8" w14:textId="77777777" w:rsidR="00275DB3" w:rsidRPr="00E53300" w:rsidRDefault="00275DB3" w:rsidP="002C2CAA">
      <w:pPr>
        <w:pStyle w:val="FootnoteText"/>
      </w:pPr>
      <w:r w:rsidRPr="00E53300">
        <w:rPr>
          <w:rStyle w:val="FootnoteReference"/>
        </w:rPr>
        <w:footnoteRef/>
      </w:r>
      <w:r w:rsidRPr="00E53300">
        <w:t xml:space="preserve"> Cookson, J. Anthony and Fox, Corbin and Gil-</w:t>
      </w:r>
      <w:proofErr w:type="spellStart"/>
      <w:r w:rsidRPr="00E53300">
        <w:t>Bazo</w:t>
      </w:r>
      <w:proofErr w:type="spellEnd"/>
      <w:r w:rsidRPr="00E53300">
        <w:t xml:space="preserve">, Javier and </w:t>
      </w:r>
      <w:proofErr w:type="spellStart"/>
      <w:r w:rsidRPr="00E53300">
        <w:t>Imbet</w:t>
      </w:r>
      <w:proofErr w:type="spellEnd"/>
      <w:r w:rsidRPr="00E53300">
        <w:t xml:space="preserve">, Juan Felipe and Schiller, Christoph, Social Media as a Bank Run Catalyst (April 18, 2023). </w:t>
      </w:r>
      <w:proofErr w:type="spellStart"/>
      <w:r w:rsidRPr="00E53300">
        <w:t>Université</w:t>
      </w:r>
      <w:proofErr w:type="spellEnd"/>
      <w:r w:rsidRPr="00E53300">
        <w:t xml:space="preserve"> Paris-Dauphine Research Paper No. 4422754, Available at  SSRN: </w:t>
      </w:r>
      <w:hyperlink r:id="rId42" w:tgtFrame="_blank" w:history="1">
        <w:r w:rsidRPr="00E53300">
          <w:t>https://ssrn.com/abstract=4422754</w:t>
        </w:r>
      </w:hyperlink>
      <w:r w:rsidRPr="00E53300">
        <w:t> or </w:t>
      </w:r>
      <w:hyperlink r:id="rId43" w:tgtFrame="_blank" w:history="1">
        <w:r w:rsidRPr="00E53300">
          <w:t>http://dx.doi.org/10.2139/ssrn.4422754</w:t>
        </w:r>
      </w:hyperlink>
    </w:p>
  </w:footnote>
  <w:footnote w:id="140">
    <w:p w14:paraId="10A86D53" w14:textId="77777777" w:rsidR="00275DB3" w:rsidRPr="00E53300" w:rsidRDefault="00275DB3" w:rsidP="002C2CAA">
      <w:pPr>
        <w:pStyle w:val="FootnoteText"/>
      </w:pPr>
      <w:r w:rsidRPr="00E53300">
        <w:rPr>
          <w:rStyle w:val="FootnoteReference"/>
        </w:rPr>
        <w:footnoteRef/>
      </w:r>
      <w:r w:rsidRPr="00E53300">
        <w:t xml:space="preserve"> Id. at 1.</w:t>
      </w:r>
    </w:p>
  </w:footnote>
  <w:footnote w:id="141">
    <w:p w14:paraId="2876B463" w14:textId="77777777" w:rsidR="00275DB3" w:rsidRPr="00E53300" w:rsidRDefault="00275DB3" w:rsidP="002C2CAA">
      <w:pPr>
        <w:pStyle w:val="FootnoteText"/>
      </w:pPr>
      <w:r w:rsidRPr="00E53300">
        <w:rPr>
          <w:rStyle w:val="FootnoteReference"/>
        </w:rPr>
        <w:footnoteRef/>
      </w:r>
      <w:r w:rsidRPr="00E53300">
        <w:t xml:space="preserve">  George-</w:t>
      </w:r>
      <w:proofErr w:type="spellStart"/>
      <w:r w:rsidRPr="00E53300">
        <w:t>Marios</w:t>
      </w:r>
      <w:proofErr w:type="spellEnd"/>
      <w:r w:rsidRPr="00E53300">
        <w:t xml:space="preserve"> </w:t>
      </w:r>
      <w:proofErr w:type="spellStart"/>
      <w:r w:rsidRPr="00E53300">
        <w:t>Angeletos</w:t>
      </w:r>
      <w:proofErr w:type="spellEnd"/>
      <w:r w:rsidRPr="00E53300">
        <w:t xml:space="preserve"> &amp; Iván </w:t>
      </w:r>
      <w:proofErr w:type="spellStart"/>
      <w:r w:rsidRPr="00E53300">
        <w:t>Werning</w:t>
      </w:r>
      <w:proofErr w:type="spellEnd"/>
      <w:r w:rsidRPr="00E53300">
        <w:t xml:space="preserve">, Crises and Prices: Information Aggregation, Multiplicity, and Volatility, 96 AMERICAN ECON. REV. 1720 (2006); </w:t>
      </w:r>
      <w:proofErr w:type="spellStart"/>
      <w:r w:rsidRPr="00E53300">
        <w:t>Itay</w:t>
      </w:r>
      <w:proofErr w:type="spellEnd"/>
      <w:r w:rsidRPr="00E53300">
        <w:t xml:space="preserve"> Goldstein &amp; </w:t>
      </w:r>
      <w:proofErr w:type="spellStart"/>
      <w:r w:rsidRPr="00E53300">
        <w:t>Ady</w:t>
      </w:r>
      <w:proofErr w:type="spellEnd"/>
      <w:r w:rsidRPr="00E53300">
        <w:t xml:space="preserve"> </w:t>
      </w:r>
      <w:proofErr w:type="spellStart"/>
      <w:r w:rsidRPr="00E53300">
        <w:t>Pauzner</w:t>
      </w:r>
      <w:proofErr w:type="spellEnd"/>
      <w:r w:rsidRPr="00E53300">
        <w:t>, Demand-Deposit Contracts and the Probability of Bank Runs, 60 J. FIN. 1293 (2005</w:t>
      </w:r>
      <w:proofErr w:type="gramStart"/>
      <w:r w:rsidRPr="00E53300">
        <w:t>);</w:t>
      </w:r>
      <w:proofErr w:type="gramEnd"/>
      <w:r w:rsidRPr="00E53300">
        <w:t xml:space="preserve"> </w:t>
      </w:r>
    </w:p>
  </w:footnote>
  <w:footnote w:id="142">
    <w:p w14:paraId="6CF30C62" w14:textId="77777777" w:rsidR="00275DB3" w:rsidRPr="00E53300" w:rsidRDefault="00275DB3" w:rsidP="002C2CAA">
      <w:pPr>
        <w:pStyle w:val="FootnoteText"/>
      </w:pPr>
      <w:r w:rsidRPr="00E53300">
        <w:rPr>
          <w:rStyle w:val="FootnoteReference"/>
        </w:rPr>
        <w:footnoteRef/>
      </w:r>
      <w:r w:rsidRPr="00E53300">
        <w:t xml:space="preserve"> Goldstein and </w:t>
      </w:r>
      <w:proofErr w:type="spellStart"/>
      <w:r w:rsidRPr="00E53300">
        <w:t>Pauzner</w:t>
      </w:r>
      <w:proofErr w:type="spellEnd"/>
      <w:r w:rsidRPr="00E53300">
        <w:t>, supra.</w:t>
      </w:r>
    </w:p>
  </w:footnote>
  <w:footnote w:id="143">
    <w:p w14:paraId="432F0450" w14:textId="77777777" w:rsidR="00275DB3" w:rsidRPr="00E53300" w:rsidRDefault="00275DB3" w:rsidP="002C2CAA">
      <w:pPr>
        <w:pStyle w:val="FootnoteText"/>
      </w:pPr>
      <w:r w:rsidRPr="00E53300">
        <w:rPr>
          <w:rStyle w:val="FootnoteReference"/>
        </w:rPr>
        <w:footnoteRef/>
      </w:r>
      <w:r w:rsidRPr="00E53300">
        <w:t xml:space="preserve"> M. Kelly and C.Ó. </w:t>
      </w:r>
      <w:proofErr w:type="spellStart"/>
      <w:r w:rsidRPr="00E53300">
        <w:t>Gráda</w:t>
      </w:r>
      <w:proofErr w:type="spellEnd"/>
      <w:r w:rsidRPr="00E53300">
        <w:t xml:space="preserve">, Market Contagion: Evidence </w:t>
      </w:r>
      <w:proofErr w:type="gramStart"/>
      <w:r w:rsidRPr="00E53300">
        <w:t>From</w:t>
      </w:r>
      <w:proofErr w:type="gramEnd"/>
      <w:r w:rsidRPr="00E53300">
        <w:t xml:space="preserve"> the Panics of 1854 and 1857, 90 AMER. ECON. REV. 1110 (2000)</w:t>
      </w:r>
    </w:p>
  </w:footnote>
  <w:footnote w:id="144">
    <w:p w14:paraId="7DC53C83" w14:textId="77777777" w:rsidR="00275DB3" w:rsidRPr="00E53300" w:rsidRDefault="00275DB3" w:rsidP="002C2CAA">
      <w:pPr>
        <w:pStyle w:val="FootnoteText"/>
      </w:pPr>
      <w:r w:rsidRPr="00E53300">
        <w:rPr>
          <w:rStyle w:val="FootnoteReference"/>
        </w:rPr>
        <w:footnoteRef/>
      </w:r>
      <w:r w:rsidRPr="00E53300">
        <w:t xml:space="preserve">  Cookson, J. Anthony and Fox, Corbin and Gil-</w:t>
      </w:r>
      <w:proofErr w:type="spellStart"/>
      <w:r w:rsidRPr="00E53300">
        <w:t>Bazo</w:t>
      </w:r>
      <w:proofErr w:type="spellEnd"/>
      <w:r w:rsidRPr="00E53300">
        <w:t xml:space="preserve">, Javier and </w:t>
      </w:r>
      <w:proofErr w:type="spellStart"/>
      <w:r w:rsidRPr="00E53300">
        <w:t>Imbet</w:t>
      </w:r>
      <w:proofErr w:type="spellEnd"/>
      <w:r w:rsidRPr="00E53300">
        <w:t>, Juan Felipe and Schiller, Christoph, Social Media as a Bank Run Catalyst, supra, at 5.</w:t>
      </w:r>
    </w:p>
  </w:footnote>
  <w:footnote w:id="145">
    <w:p w14:paraId="12AF6A6C" w14:textId="77777777" w:rsidR="00275DB3" w:rsidRPr="00E53300" w:rsidRDefault="00275DB3" w:rsidP="002C2CAA">
      <w:pPr>
        <w:pStyle w:val="FootnoteText"/>
      </w:pPr>
      <w:r w:rsidRPr="00E53300">
        <w:rPr>
          <w:rStyle w:val="FootnoteReference"/>
        </w:rPr>
        <w:footnoteRef/>
      </w:r>
      <w:r w:rsidRPr="00E53300">
        <w:t xml:space="preserve"> Id.  at 6.</w:t>
      </w:r>
    </w:p>
  </w:footnote>
  <w:footnote w:id="146">
    <w:p w14:paraId="6E927C63" w14:textId="77777777" w:rsidR="00275DB3" w:rsidRPr="00E53300" w:rsidRDefault="00275DB3" w:rsidP="002C2CAA">
      <w:pPr>
        <w:pStyle w:val="FootnoteText"/>
      </w:pPr>
      <w:r w:rsidRPr="00E53300">
        <w:rPr>
          <w:rStyle w:val="FootnoteReference"/>
        </w:rPr>
        <w:footnoteRef/>
      </w:r>
      <w:r w:rsidRPr="00E53300">
        <w:t xml:space="preserve">  Nicolas </w:t>
      </w:r>
      <w:proofErr w:type="spellStart"/>
      <w:r w:rsidRPr="00E53300">
        <w:t>Ziebarth</w:t>
      </w:r>
      <w:proofErr w:type="spellEnd"/>
      <w:r w:rsidRPr="00E53300">
        <w:t>, The Radio and Bank Distress in the Great Depression, NBER Working Paper 2016.</w:t>
      </w:r>
    </w:p>
  </w:footnote>
  <w:footnote w:id="147">
    <w:p w14:paraId="04BAC2ED" w14:textId="77777777" w:rsidR="00275DB3" w:rsidRPr="00E53300" w:rsidRDefault="00275DB3" w:rsidP="002C2CAA">
      <w:pPr>
        <w:pStyle w:val="FootnoteText"/>
      </w:pPr>
      <w:r w:rsidRPr="00E53300">
        <w:rPr>
          <w:rStyle w:val="FootnoteReference"/>
        </w:rPr>
        <w:footnoteRef/>
      </w:r>
      <w:r w:rsidRPr="00E53300">
        <w:t xml:space="preserve"> Id.</w:t>
      </w:r>
    </w:p>
  </w:footnote>
  <w:footnote w:id="148">
    <w:p w14:paraId="0BD4B360" w14:textId="77777777" w:rsidR="00275DB3" w:rsidRPr="00E53300" w:rsidRDefault="00275DB3" w:rsidP="002C2CAA">
      <w:pPr>
        <w:pStyle w:val="FootnoteText"/>
      </w:pPr>
      <w:r w:rsidRPr="00E53300">
        <w:rPr>
          <w:rStyle w:val="FootnoteReference"/>
        </w:rPr>
        <w:footnoteRef/>
      </w:r>
      <w:r w:rsidRPr="00E53300">
        <w:t xml:space="preserve"> Id.</w:t>
      </w:r>
    </w:p>
  </w:footnote>
  <w:footnote w:id="149">
    <w:p w14:paraId="79F222F8" w14:textId="77777777" w:rsidR="00275DB3" w:rsidRPr="00E53300" w:rsidRDefault="00275DB3" w:rsidP="002C2CAA">
      <w:pPr>
        <w:pStyle w:val="FootnoteText"/>
      </w:pPr>
      <w:r w:rsidRPr="00E53300">
        <w:rPr>
          <w:rStyle w:val="FootnoteReference"/>
        </w:rPr>
        <w:footnoteRef/>
      </w:r>
      <w:r w:rsidRPr="00E53300">
        <w:t xml:space="preserve"> Cookson, J. Anthony and Fox, Corbin and Gil-</w:t>
      </w:r>
      <w:proofErr w:type="spellStart"/>
      <w:r w:rsidRPr="00E53300">
        <w:t>Bazo</w:t>
      </w:r>
      <w:proofErr w:type="spellEnd"/>
      <w:r w:rsidRPr="00E53300">
        <w:t xml:space="preserve">, Javier and </w:t>
      </w:r>
      <w:proofErr w:type="spellStart"/>
      <w:r w:rsidRPr="00E53300">
        <w:t>Imbet</w:t>
      </w:r>
      <w:proofErr w:type="spellEnd"/>
      <w:r w:rsidRPr="00E53300">
        <w:t>, Juan Felipe and Schiller, Christoph, Social Media as a Bank Run Catalyst, supra, at 28.</w:t>
      </w:r>
    </w:p>
  </w:footnote>
  <w:footnote w:id="150">
    <w:p w14:paraId="59346DAB" w14:textId="77777777" w:rsidR="00275DB3" w:rsidRPr="00270C80" w:rsidRDefault="00275DB3" w:rsidP="002C2CAA">
      <w:pPr>
        <w:pStyle w:val="FootnoteText"/>
        <w:rPr>
          <w:lang w:val="es-ES"/>
        </w:rPr>
      </w:pPr>
      <w:r w:rsidRPr="00E53300">
        <w:rPr>
          <w:rStyle w:val="FootnoteReference"/>
        </w:rPr>
        <w:footnoteRef/>
      </w:r>
      <w:r w:rsidRPr="00270C80">
        <w:rPr>
          <w:lang w:val="es-ES"/>
        </w:rPr>
        <w:t xml:space="preserve"> Id.</w:t>
      </w:r>
    </w:p>
  </w:footnote>
  <w:footnote w:id="151">
    <w:p w14:paraId="4B60106A" w14:textId="77777777" w:rsidR="00275DB3" w:rsidRPr="00270C80" w:rsidRDefault="00275DB3" w:rsidP="002C2CAA">
      <w:pPr>
        <w:pStyle w:val="FootnoteText"/>
        <w:rPr>
          <w:lang w:val="es-ES"/>
        </w:rPr>
      </w:pPr>
      <w:r w:rsidRPr="00E53300">
        <w:rPr>
          <w:rStyle w:val="FootnoteReference"/>
        </w:rPr>
        <w:footnoteRef/>
      </w:r>
      <w:r w:rsidRPr="00270C80">
        <w:rPr>
          <w:lang w:val="es-ES"/>
        </w:rPr>
        <w:t xml:space="preserve"> Id.</w:t>
      </w:r>
    </w:p>
  </w:footnote>
  <w:footnote w:id="152">
    <w:p w14:paraId="3F627D70" w14:textId="77777777" w:rsidR="00275DB3" w:rsidRPr="00270C80" w:rsidRDefault="00275DB3" w:rsidP="002C2CAA">
      <w:pPr>
        <w:pStyle w:val="FootnoteText"/>
        <w:rPr>
          <w:lang w:val="es-ES"/>
        </w:rPr>
      </w:pPr>
      <w:r w:rsidRPr="00E53300">
        <w:rPr>
          <w:rStyle w:val="FootnoteReference"/>
        </w:rPr>
        <w:footnoteRef/>
      </w:r>
      <w:r w:rsidRPr="00270C80">
        <w:rPr>
          <w:lang w:val="es-ES"/>
        </w:rPr>
        <w:t xml:space="preserve"> </w:t>
      </w:r>
      <w:proofErr w:type="spellStart"/>
      <w:r w:rsidRPr="00270C80">
        <w:rPr>
          <w:lang w:val="es-ES"/>
        </w:rPr>
        <w:t>Zingales</w:t>
      </w:r>
      <w:proofErr w:type="spellEnd"/>
      <w:r w:rsidRPr="00270C80">
        <w:rPr>
          <w:lang w:val="es-ES"/>
        </w:rPr>
        <w:t>, et al, supra</w:t>
      </w:r>
    </w:p>
  </w:footnote>
  <w:footnote w:id="153">
    <w:p w14:paraId="4072FDBD" w14:textId="77777777" w:rsidR="00275DB3" w:rsidRPr="00E53300" w:rsidRDefault="00275DB3" w:rsidP="002C2CAA">
      <w:pPr>
        <w:pStyle w:val="FootnoteText"/>
      </w:pPr>
      <w:r w:rsidRPr="00E53300">
        <w:rPr>
          <w:rStyle w:val="FootnoteReference"/>
        </w:rPr>
        <w:footnoteRef/>
      </w:r>
      <w:r w:rsidRPr="00E53300">
        <w:t xml:space="preserve"> Id. at 1.</w:t>
      </w:r>
    </w:p>
  </w:footnote>
  <w:footnote w:id="154">
    <w:p w14:paraId="167D2383" w14:textId="77777777" w:rsidR="00275DB3" w:rsidRPr="00E53300" w:rsidRDefault="00275DB3" w:rsidP="002C2CAA">
      <w:pPr>
        <w:pStyle w:val="FootnoteText"/>
      </w:pPr>
      <w:r w:rsidRPr="00E53300">
        <w:rPr>
          <w:rStyle w:val="FootnoteReference"/>
        </w:rPr>
        <w:footnoteRef/>
      </w:r>
      <w:r w:rsidRPr="00E53300">
        <w:t xml:space="preserve"> Anil Kashyap, Raghuram </w:t>
      </w:r>
      <w:proofErr w:type="spellStart"/>
      <w:r w:rsidRPr="00E53300">
        <w:t>Rajan</w:t>
      </w:r>
      <w:proofErr w:type="spellEnd"/>
      <w:r w:rsidRPr="00E53300">
        <w:t xml:space="preserve"> and Jeremy Stein, Banks as Liquidity Providers: An Explanation for the Coexistence of Lending and Deposit-Taking, </w:t>
      </w:r>
      <w:r>
        <w:t>supra.</w:t>
      </w:r>
    </w:p>
  </w:footnote>
  <w:footnote w:id="155">
    <w:p w14:paraId="59C828FD" w14:textId="77777777" w:rsidR="00275DB3" w:rsidRPr="00E53300" w:rsidRDefault="00275DB3" w:rsidP="002C2CAA">
      <w:pPr>
        <w:pStyle w:val="FootnoteText"/>
      </w:pPr>
      <w:r w:rsidRPr="00E53300">
        <w:rPr>
          <w:rStyle w:val="FootnoteReference"/>
        </w:rPr>
        <w:footnoteRef/>
      </w:r>
      <w:r w:rsidRPr="00E53300">
        <w:t xml:space="preserve"> Kashyap, </w:t>
      </w:r>
      <w:proofErr w:type="spellStart"/>
      <w:r w:rsidRPr="00E53300">
        <w:t>Rajan</w:t>
      </w:r>
      <w:proofErr w:type="spellEnd"/>
      <w:r w:rsidRPr="00E53300">
        <w:t xml:space="preserve"> and Stein use these terms “loan commitments” and “credit lines interchangeably.  See Id. at 34, footnote 3.  A loan commitment is an agreement by a bank or other financial institution to lend a specified sum of money on </w:t>
      </w:r>
      <w:proofErr w:type="gramStart"/>
      <w:r w:rsidRPr="00E53300">
        <w:t>particular terms</w:t>
      </w:r>
      <w:proofErr w:type="gramEnd"/>
      <w:r w:rsidRPr="00E53300">
        <w:t xml:space="preserve">, such as a specified rate of interest and repayment date.  A line of credit is a preset borrowing limit that a borrower can access during the </w:t>
      </w:r>
      <w:proofErr w:type="gramStart"/>
      <w:r w:rsidRPr="00E53300">
        <w:t>period of time</w:t>
      </w:r>
      <w:proofErr w:type="gramEnd"/>
      <w:r w:rsidRPr="00E53300">
        <w:t xml:space="preserve"> when the line of credit is open.</w:t>
      </w:r>
    </w:p>
  </w:footnote>
  <w:footnote w:id="156">
    <w:p w14:paraId="6ED947ED" w14:textId="77777777" w:rsidR="00275DB3" w:rsidRPr="00E53300" w:rsidRDefault="00275DB3" w:rsidP="002C2CAA">
      <w:pPr>
        <w:pStyle w:val="FootnoteText"/>
      </w:pPr>
      <w:r w:rsidRPr="00E53300">
        <w:rPr>
          <w:rStyle w:val="FootnoteReference"/>
        </w:rPr>
        <w:footnoteRef/>
      </w:r>
      <w:r w:rsidRPr="00E53300">
        <w:t xml:space="preserve"> Id. at 34-35.</w:t>
      </w:r>
    </w:p>
  </w:footnote>
  <w:footnote w:id="157">
    <w:p w14:paraId="20A93D05" w14:textId="77777777" w:rsidR="00275DB3" w:rsidRPr="00E53300" w:rsidRDefault="00275DB3" w:rsidP="002C2CAA">
      <w:pPr>
        <w:pStyle w:val="FootnoteText"/>
      </w:pPr>
      <w:r w:rsidRPr="00E53300">
        <w:rPr>
          <w:rStyle w:val="FootnoteReference"/>
        </w:rPr>
        <w:footnoteRef/>
      </w:r>
      <w:r w:rsidRPr="00E53300">
        <w:t xml:space="preserve"> Id. at 35.</w:t>
      </w:r>
    </w:p>
  </w:footnote>
  <w:footnote w:id="158">
    <w:p w14:paraId="1796AE47" w14:textId="77777777" w:rsidR="00275DB3" w:rsidRPr="00E53300" w:rsidRDefault="00275DB3" w:rsidP="002C2CAA">
      <w:pPr>
        <w:pStyle w:val="FootnoteText"/>
      </w:pPr>
      <w:r w:rsidRPr="00E53300">
        <w:rPr>
          <w:rStyle w:val="FootnoteReference"/>
        </w:rPr>
        <w:footnoteRef/>
      </w:r>
      <w:r w:rsidRPr="00E53300">
        <w:t xml:space="preserve"> Id. </w:t>
      </w:r>
    </w:p>
  </w:footnote>
  <w:footnote w:id="159">
    <w:p w14:paraId="0AA89BE2" w14:textId="77777777" w:rsidR="00275DB3" w:rsidRPr="00E53300" w:rsidRDefault="00275DB3" w:rsidP="002C2CAA">
      <w:pPr>
        <w:pStyle w:val="FootnoteText"/>
      </w:pPr>
      <w:r w:rsidRPr="00E53300">
        <w:rPr>
          <w:rStyle w:val="FootnoteReference"/>
        </w:rPr>
        <w:footnoteRef/>
      </w:r>
      <w:r w:rsidRPr="00E53300">
        <w:t xml:space="preserve"> Id.</w:t>
      </w:r>
    </w:p>
  </w:footnote>
  <w:footnote w:id="160">
    <w:p w14:paraId="0170E886" w14:textId="77777777" w:rsidR="00275DB3" w:rsidRPr="00E53300" w:rsidRDefault="00275DB3" w:rsidP="002C2CAA">
      <w:pPr>
        <w:pStyle w:val="FootnoteText"/>
      </w:pPr>
      <w:r w:rsidRPr="00E53300">
        <w:rPr>
          <w:rStyle w:val="FootnoteReference"/>
        </w:rPr>
        <w:footnoteRef/>
      </w:r>
      <w:r w:rsidRPr="00E53300">
        <w:t xml:space="preserve"> Id. at 65. </w:t>
      </w:r>
    </w:p>
  </w:footnote>
  <w:footnote w:id="161">
    <w:p w14:paraId="639511BA" w14:textId="77777777" w:rsidR="00275DB3" w:rsidRPr="00E53300" w:rsidRDefault="00275DB3" w:rsidP="002C2CAA">
      <w:pPr>
        <w:pStyle w:val="FootnoteText"/>
      </w:pPr>
      <w:r w:rsidRPr="00E53300">
        <w:rPr>
          <w:rStyle w:val="FootnoteReference"/>
        </w:rPr>
        <w:footnoteRef/>
      </w:r>
      <w:r w:rsidRPr="00E53300">
        <w:t xml:space="preserve"> Id.</w:t>
      </w:r>
    </w:p>
  </w:footnote>
  <w:footnote w:id="162">
    <w:p w14:paraId="68D5FD7C" w14:textId="77777777" w:rsidR="00275DB3" w:rsidRPr="00E53300" w:rsidRDefault="00275DB3" w:rsidP="002C2CAA">
      <w:pPr>
        <w:pStyle w:val="FootnoteText"/>
      </w:pPr>
      <w:r w:rsidRPr="00E53300">
        <w:rPr>
          <w:rStyle w:val="FootnoteReference"/>
        </w:rPr>
        <w:footnoteRef/>
      </w:r>
      <w:r w:rsidRPr="00E53300">
        <w:t xml:space="preserve"> Id.</w:t>
      </w:r>
    </w:p>
  </w:footnote>
  <w:footnote w:id="163">
    <w:p w14:paraId="746A7F72" w14:textId="77777777" w:rsidR="00275DB3" w:rsidRPr="00E53300" w:rsidRDefault="00275DB3" w:rsidP="002C2CAA">
      <w:pPr>
        <w:pStyle w:val="FootnoteText"/>
      </w:pPr>
      <w:r w:rsidRPr="00E53300">
        <w:rPr>
          <w:rStyle w:val="FootnoteReference"/>
        </w:rPr>
        <w:footnoteRef/>
      </w:r>
      <w:r w:rsidRPr="00E53300">
        <w:t xml:space="preserve"> Id.</w:t>
      </w:r>
    </w:p>
  </w:footnote>
  <w:footnote w:id="164">
    <w:p w14:paraId="34A82CDB" w14:textId="77777777" w:rsidR="00275DB3" w:rsidRPr="00E53300" w:rsidRDefault="00275DB3" w:rsidP="002C2CAA">
      <w:pPr>
        <w:pStyle w:val="FootnoteText"/>
      </w:pPr>
      <w:r w:rsidRPr="00E53300">
        <w:rPr>
          <w:rStyle w:val="FootnoteReference"/>
        </w:rPr>
        <w:footnoteRef/>
      </w:r>
      <w:r w:rsidRPr="00E53300">
        <w:t xml:space="preserve"> Id. at 50.</w:t>
      </w:r>
    </w:p>
  </w:footnote>
  <w:footnote w:id="165">
    <w:p w14:paraId="32CD8B87" w14:textId="77777777" w:rsidR="00275DB3" w:rsidRPr="00E53300" w:rsidRDefault="00275DB3" w:rsidP="002C2CAA">
      <w:pPr>
        <w:pStyle w:val="FootnoteText"/>
      </w:pPr>
      <w:r w:rsidRPr="00E53300">
        <w:rPr>
          <w:rStyle w:val="FootnoteReference"/>
        </w:rPr>
        <w:footnoteRef/>
      </w:r>
      <w:r w:rsidRPr="00E53300">
        <w:t xml:space="preserve"> Id. at 36. In the formal model the assumption that deposit takedowns and withdrawals are perfectly negatively correlated is relaxed, but deposit takedowns and withdrawals must be “less than perfectly positively correlated.”  See Id. at 36, footnote 7.</w:t>
      </w:r>
    </w:p>
  </w:footnote>
  <w:footnote w:id="166">
    <w:p w14:paraId="126E75D7" w14:textId="77777777" w:rsidR="00275DB3" w:rsidRPr="00E53300" w:rsidRDefault="00275DB3" w:rsidP="002C2CAA">
      <w:pPr>
        <w:pStyle w:val="FootnoteText"/>
      </w:pPr>
      <w:r w:rsidRPr="00E53300">
        <w:rPr>
          <w:rStyle w:val="FootnoteReference"/>
        </w:rPr>
        <w:footnoteRef/>
      </w:r>
      <w:r w:rsidRPr="00E53300">
        <w:t xml:space="preserve"> Id. at 35.</w:t>
      </w:r>
    </w:p>
  </w:footnote>
  <w:footnote w:id="167">
    <w:p w14:paraId="32AB6AA2" w14:textId="77777777" w:rsidR="00275DB3" w:rsidRPr="00E53300" w:rsidRDefault="00275DB3" w:rsidP="002C2CAA">
      <w:pPr>
        <w:pStyle w:val="FootnoteText"/>
      </w:pPr>
      <w:r w:rsidRPr="00E53300">
        <w:rPr>
          <w:rStyle w:val="FootnoteReference"/>
        </w:rPr>
        <w:footnoteRef/>
      </w:r>
      <w:r w:rsidRPr="00E53300">
        <w:t xml:space="preserve"> Id at 36 (explaining that the difference between banks and finance companies is that banks have a “deposit franchise,” in the form of a “monopoly position that allows it to pay below-market rates” on its demand deposits.</w:t>
      </w:r>
    </w:p>
  </w:footnote>
  <w:footnote w:id="168">
    <w:p w14:paraId="7526A529" w14:textId="77777777" w:rsidR="00275DB3" w:rsidRPr="00E53300" w:rsidRDefault="00275DB3" w:rsidP="002C2CAA">
      <w:pPr>
        <w:pStyle w:val="FootnoteText"/>
      </w:pPr>
      <w:r w:rsidRPr="00E53300">
        <w:rPr>
          <w:rStyle w:val="FootnoteReference"/>
        </w:rPr>
        <w:footnoteRef/>
      </w:r>
      <w:r w:rsidRPr="00E53300">
        <w:t xml:space="preserve"> Douglas W. Diamond &amp; Philip H. </w:t>
      </w:r>
      <w:proofErr w:type="spellStart"/>
      <w:r w:rsidRPr="00E53300">
        <w:t>Dybvig</w:t>
      </w:r>
      <w:proofErr w:type="spellEnd"/>
      <w:r w:rsidRPr="00E53300">
        <w:t>, Banking Theory, Deposit Insurance, and Bank Regulation, supra, at 62.</w:t>
      </w:r>
    </w:p>
  </w:footnote>
  <w:footnote w:id="169">
    <w:p w14:paraId="669B0DB4" w14:textId="77777777" w:rsidR="00275DB3" w:rsidRPr="00E53300" w:rsidRDefault="00275DB3" w:rsidP="002C2CAA">
      <w:pPr>
        <w:pStyle w:val="FootnoteText"/>
      </w:pPr>
      <w:r w:rsidRPr="00E53300">
        <w:rPr>
          <w:rStyle w:val="FootnoteReference"/>
        </w:rPr>
        <w:footnoteRef/>
      </w:r>
      <w:r w:rsidRPr="00E53300">
        <w:t xml:space="preserve"> See supra, TAN XX-XX; see also Douglas W. Diamond &amp; Philip H. </w:t>
      </w:r>
      <w:proofErr w:type="spellStart"/>
      <w:r w:rsidRPr="00E53300">
        <w:t>Dybvig</w:t>
      </w:r>
      <w:proofErr w:type="spellEnd"/>
      <w:r w:rsidRPr="00E53300">
        <w:t>, Banking Theory, Deposit Insurance, and Bank Regulation, supra, at 64 (“Banks are subject to runs because of the transformation services they offer”).</w:t>
      </w:r>
    </w:p>
  </w:footnote>
  <w:footnote w:id="170">
    <w:p w14:paraId="65699D50" w14:textId="77777777" w:rsidR="00275DB3" w:rsidRPr="00E53300" w:rsidRDefault="00275DB3" w:rsidP="002C2CAA">
      <w:pPr>
        <w:pStyle w:val="FootnoteText"/>
      </w:pPr>
      <w:r w:rsidRPr="00E53300">
        <w:rPr>
          <w:rStyle w:val="FootnoteReference"/>
        </w:rPr>
        <w:footnoteRef/>
      </w:r>
      <w:r w:rsidRPr="00E53300">
        <w:t xml:space="preserve"> ROBERT E. LITAN, WHAT SHOULD BANKS DO? 145 (1987). There is an old and distinguished literature arguing that lending and deposit taking should be unbundled.  See Irving fisher, 100% money (rev. Ed. 1936); Henry C. Simons, A Positive Program for Laissez Faire: Some Proposals for a Liberal Economic Policy (Harry D. </w:t>
      </w:r>
      <w:proofErr w:type="spellStart"/>
      <w:r w:rsidRPr="00E53300">
        <w:t>Gideonse</w:t>
      </w:r>
      <w:proofErr w:type="spellEnd"/>
      <w:r w:rsidRPr="00E53300">
        <w:t xml:space="preserve"> ed., 1934); Milton Friedman, A Program for Monetary Stability (3d </w:t>
      </w:r>
      <w:proofErr w:type="spellStart"/>
      <w:r w:rsidRPr="00E53300">
        <w:t>prtg</w:t>
      </w:r>
      <w:proofErr w:type="spellEnd"/>
      <w:r w:rsidRPr="00E53300">
        <w:t xml:space="preserve">. 1963); Adam J. Levitin, Safe Banking: Finance and Democracy, 83 U. CHI. L. REV. 357 (2016) and John Kay, Center. For The Study Of Fin. Innovation, Narrow Banking: The Reform Of Banking Regulation (2009), </w:t>
      </w:r>
      <w:hyperlink r:id="rId44" w:history="1">
        <w:r w:rsidRPr="00E53300">
          <w:rPr>
            <w:rStyle w:val="Hyperlink"/>
            <w:rFonts w:eastAsia="MS Gothic"/>
          </w:rPr>
          <w:t>https://www.johnkay.com/wp-content/uploads/2009/12/JK-Narrow-Banking.pdf</w:t>
        </w:r>
      </w:hyperlink>
      <w:r w:rsidRPr="00E53300">
        <w:t xml:space="preserve">. </w:t>
      </w:r>
      <w:hyperlink r:id="rId45" w:history="1"/>
      <w:r w:rsidRPr="00E53300">
        <w:t xml:space="preserve"> </w:t>
      </w:r>
    </w:p>
  </w:footnote>
  <w:footnote w:id="171">
    <w:p w14:paraId="1FC4E79F" w14:textId="77777777" w:rsidR="00275DB3" w:rsidRPr="00E53300" w:rsidRDefault="00275DB3" w:rsidP="002C2CAA">
      <w:pPr>
        <w:pStyle w:val="FootnoteText"/>
      </w:pPr>
      <w:r w:rsidRPr="00E53300">
        <w:rPr>
          <w:rStyle w:val="FootnoteReference"/>
        </w:rPr>
        <w:footnoteRef/>
      </w:r>
      <w:r w:rsidRPr="00E53300">
        <w:t xml:space="preserve"> Douglas W. Diamond &amp; Philip H. </w:t>
      </w:r>
      <w:proofErr w:type="spellStart"/>
      <w:r w:rsidRPr="00E53300">
        <w:t>Dybvig</w:t>
      </w:r>
      <w:proofErr w:type="spellEnd"/>
      <w:r w:rsidRPr="00E53300">
        <w:t>, Banking Theory, Deposit Insurance, and Bank Regulation, supra, at 66.</w:t>
      </w:r>
    </w:p>
  </w:footnote>
  <w:footnote w:id="172">
    <w:p w14:paraId="5FF68545" w14:textId="77777777" w:rsidR="00275DB3" w:rsidRPr="00E53300" w:rsidRDefault="00275DB3" w:rsidP="002C2CAA">
      <w:pPr>
        <w:pStyle w:val="FootnoteText"/>
      </w:pPr>
      <w:r w:rsidRPr="00E53300">
        <w:rPr>
          <w:rStyle w:val="FootnoteReference"/>
        </w:rPr>
        <w:footnoteRef/>
      </w:r>
      <w:r w:rsidRPr="00E53300">
        <w:t xml:space="preserve"> Id.  Corporations issuing commercial paper routinely lower their financing costs by obtaining back-up lines of credit in amounts sufficient to cover the repayment of the principal and interest due on the corporations’ outstanding commercial paper.  Fed. Res. Bank of St. Louis Regional Economist, Banks, the Backbone of the Commercial Paper Market, Jan. 1996.  Consistent with the observations here, this article further observes that “[a]</w:t>
      </w:r>
      <w:proofErr w:type="spellStart"/>
      <w:r w:rsidRPr="00E53300">
        <w:t>lthough</w:t>
      </w:r>
      <w:proofErr w:type="spellEnd"/>
      <w:r w:rsidRPr="00E53300">
        <w:t xml:space="preserve"> commercial paper is a substitute for bank financing, bank [sic] play a key role in supporting the commercial paper market through such instruments as liquidity enhancements.  Because commercial paper has a very short maturity--typically 30 to 35 days--firms continuously issue new paper to pay off maturing paper.  Any disruption of the market can prevent a firm from rolling over its paper, even if the disruption has nothing to do with the quality of the firm's outstanding paper.  Liquidity enhancements, also called back-up lines of credit, provide stopgap funding to retire maturing paper when market disruptions prevent a rollover. These lines of credit have become so important, that it's standard practice for ratings services to require one before providing a credit rating for a commercial paper issue.”  Id.  See also Heinz Riehl &amp; Rita M. Rodriguez, Glossary, Foreign </w:t>
      </w:r>
      <w:proofErr w:type="gramStart"/>
      <w:r w:rsidRPr="00E53300">
        <w:t>Exchange</w:t>
      </w:r>
      <w:proofErr w:type="gramEnd"/>
      <w:r w:rsidRPr="00E53300">
        <w:t xml:space="preserve"> and Money Markets: Managing Foreign and Domestic Currency Operations 429 (McGraw-Hill 1983).  </w:t>
      </w:r>
    </w:p>
  </w:footnote>
  <w:footnote w:id="173">
    <w:p w14:paraId="0F637EFD" w14:textId="77777777" w:rsidR="00275DB3" w:rsidRPr="00E53300" w:rsidRDefault="00275DB3" w:rsidP="002C2CAA">
      <w:pPr>
        <w:pStyle w:val="FootnoteText"/>
      </w:pPr>
      <w:r w:rsidRPr="00E53300">
        <w:rPr>
          <w:rStyle w:val="FootnoteReference"/>
        </w:rPr>
        <w:footnoteRef/>
      </w:r>
      <w:r w:rsidRPr="00E53300">
        <w:t xml:space="preserve"> Structured Finance Association, Securitization, May 20, 2019, </w:t>
      </w:r>
      <w:hyperlink r:id="rId46" w:history="1">
        <w:r w:rsidRPr="00E53300">
          <w:rPr>
            <w:rStyle w:val="Hyperlink"/>
            <w:rFonts w:eastAsia="MS Gothic"/>
          </w:rPr>
          <w:t>https://structuredfinance.org/securitization/three-things-you-should-know-about-securitization/</w:t>
        </w:r>
      </w:hyperlink>
      <w:r w:rsidRPr="00E53300">
        <w:t xml:space="preserve"> </w:t>
      </w:r>
    </w:p>
  </w:footnote>
  <w:footnote w:id="174">
    <w:p w14:paraId="770B57FE" w14:textId="77777777" w:rsidR="00275DB3" w:rsidRPr="00E53300" w:rsidRDefault="00275DB3" w:rsidP="002C2CAA">
      <w:pPr>
        <w:pStyle w:val="FootnoteText"/>
      </w:pPr>
      <w:r w:rsidRPr="00E53300">
        <w:rPr>
          <w:rStyle w:val="FootnoteReference"/>
        </w:rPr>
        <w:footnoteRef/>
      </w:r>
      <w:r w:rsidRPr="00E53300">
        <w:t xml:space="preserve"> Rica Dela Cruz &amp; Gaby </w:t>
      </w:r>
      <w:proofErr w:type="spellStart"/>
      <w:r w:rsidRPr="00E53300">
        <w:t>Villaluz</w:t>
      </w:r>
      <w:proofErr w:type="spellEnd"/>
      <w:r w:rsidRPr="00E53300">
        <w:t xml:space="preserve">, Nonbank Lenders Shed Mortgage Market Share as Originations Plummet in 2022, S&amp;P Global Market Intelligence, July 13, 2023, </w:t>
      </w:r>
      <w:hyperlink r:id="rId47" w:anchor=":~:text=Nonbanks%20accounted%20for%2050.9%25%20of,trillion%20in%20mortgages%20in%202022" w:history="1">
        <w:r w:rsidRPr="00E53300">
          <w:rPr>
            <w:rStyle w:val="Hyperlink"/>
            <w:rFonts w:eastAsia="MS Gothic"/>
          </w:rPr>
          <w:t>https://www.spglobal.com/marketintelligence/en/news-insights/latest-news-headlines/nonbank-lenders-shed-mortgage-market-share-as-originations-plummet-in-2022-76481554#:~:text=Nonbanks%20accounted%20for%2050.9%25%20of,trillion%20in%20mortgages%20in%202022</w:t>
        </w:r>
      </w:hyperlink>
      <w:r w:rsidRPr="00E53300">
        <w:t xml:space="preserve">. </w:t>
      </w:r>
    </w:p>
  </w:footnote>
  <w:footnote w:id="175">
    <w:p w14:paraId="093BB24C" w14:textId="77777777" w:rsidR="00275DB3" w:rsidRPr="00E53300" w:rsidRDefault="00275DB3" w:rsidP="002C2CAA">
      <w:pPr>
        <w:pStyle w:val="FootnoteText"/>
      </w:pPr>
      <w:r w:rsidRPr="00E53300">
        <w:rPr>
          <w:rStyle w:val="FootnoteReference"/>
        </w:rPr>
        <w:footnoteRef/>
      </w:r>
      <w:r w:rsidRPr="00E53300">
        <w:t xml:space="preserve"> Bipartisan Policy Center, Nonbank Lenders and Small Business Financing, December 19, 2022, </w:t>
      </w:r>
      <w:hyperlink r:id="rId48" w:history="1">
        <w:r w:rsidRPr="00E53300">
          <w:rPr>
            <w:rStyle w:val="Hyperlink"/>
            <w:rFonts w:eastAsia="MS Gothic"/>
          </w:rPr>
          <w:t>https://bipartisanpolicy.org/explainer/nonbank-lenders/</w:t>
        </w:r>
      </w:hyperlink>
      <w:r w:rsidRPr="00E53300">
        <w:t xml:space="preserve"> </w:t>
      </w:r>
    </w:p>
  </w:footnote>
  <w:footnote w:id="176">
    <w:p w14:paraId="5233CD5F" w14:textId="77777777" w:rsidR="00275DB3" w:rsidRPr="00E53300" w:rsidRDefault="00275DB3" w:rsidP="002C2CAA">
      <w:pPr>
        <w:pStyle w:val="FootnoteText"/>
      </w:pPr>
      <w:r w:rsidRPr="00E53300">
        <w:rPr>
          <w:rStyle w:val="FootnoteReference"/>
        </w:rPr>
        <w:footnoteRef/>
      </w:r>
      <w:r w:rsidRPr="00E53300">
        <w:t xml:space="preserve"> </w:t>
      </w:r>
      <w:proofErr w:type="spellStart"/>
      <w:r w:rsidRPr="00E53300">
        <w:t>Liviten</w:t>
      </w:r>
      <w:proofErr w:type="spellEnd"/>
      <w:r w:rsidRPr="00E53300">
        <w:t>, supra, note, at 420.</w:t>
      </w:r>
    </w:p>
  </w:footnote>
  <w:footnote w:id="177">
    <w:p w14:paraId="285AA575" w14:textId="77777777" w:rsidR="00275DB3" w:rsidRPr="00E53300" w:rsidRDefault="00275DB3" w:rsidP="002C2CAA">
      <w:pPr>
        <w:pStyle w:val="FootnoteText"/>
      </w:pPr>
      <w:r w:rsidRPr="00E53300">
        <w:rPr>
          <w:rStyle w:val="FootnoteReference"/>
        </w:rPr>
        <w:footnoteRef/>
      </w:r>
      <w:r w:rsidRPr="00E53300">
        <w:t xml:space="preserve"> Id.</w:t>
      </w:r>
    </w:p>
  </w:footnote>
  <w:footnote w:id="178">
    <w:p w14:paraId="388A3B38" w14:textId="77777777" w:rsidR="00275DB3" w:rsidRPr="00E53300" w:rsidRDefault="00275DB3" w:rsidP="002C2CAA">
      <w:pPr>
        <w:pStyle w:val="FootnoteText"/>
      </w:pPr>
      <w:r w:rsidRPr="00E53300">
        <w:rPr>
          <w:rStyle w:val="FootnoteReference"/>
        </w:rPr>
        <w:footnoteRef/>
      </w:r>
      <w:r w:rsidRPr="00E53300">
        <w:t xml:space="preserve"> Francisco </w:t>
      </w:r>
      <w:proofErr w:type="spellStart"/>
      <w:r w:rsidRPr="00E53300">
        <w:t>Covas</w:t>
      </w:r>
      <w:proofErr w:type="spellEnd"/>
      <w:r w:rsidRPr="00E53300">
        <w:t xml:space="preserve"> &amp; Gonzalo Fernandez </w:t>
      </w:r>
      <w:proofErr w:type="spellStart"/>
      <w:r w:rsidRPr="00E53300">
        <w:t>Dionis</w:t>
      </w:r>
      <w:proofErr w:type="spellEnd"/>
      <w:r w:rsidRPr="00E53300">
        <w:t xml:space="preserve">, Bank Policy Institute, Assessing the Decline in Bank Lending to Businesses, September 14, 2022, </w:t>
      </w:r>
      <w:hyperlink r:id="rId49" w:history="1">
        <w:r w:rsidRPr="00E53300">
          <w:rPr>
            <w:rStyle w:val="Hyperlink"/>
            <w:rFonts w:eastAsia="MS Gothic"/>
          </w:rPr>
          <w:t>https://bpi.com/assessing-the-decline-in-bank-lending-to-businesses/</w:t>
        </w:r>
      </w:hyperlink>
      <w:r w:rsidRPr="00E53300">
        <w:t xml:space="preserve"> </w:t>
      </w:r>
    </w:p>
  </w:footnote>
  <w:footnote w:id="179">
    <w:p w14:paraId="2A0E9249" w14:textId="77777777" w:rsidR="00275DB3" w:rsidRPr="00E53300" w:rsidRDefault="00275DB3" w:rsidP="002C2CAA">
      <w:pPr>
        <w:pStyle w:val="FootnoteText"/>
      </w:pPr>
      <w:r w:rsidRPr="00E53300">
        <w:rPr>
          <w:rStyle w:val="FootnoteReference"/>
        </w:rPr>
        <w:footnoteRef/>
      </w:r>
      <w:r w:rsidRPr="00E53300">
        <w:t xml:space="preserve"> </w:t>
      </w:r>
      <w:proofErr w:type="spellStart"/>
      <w:r w:rsidRPr="00E53300">
        <w:t>Leviten</w:t>
      </w:r>
      <w:proofErr w:type="spellEnd"/>
      <w:r w:rsidRPr="00E53300">
        <w:t>, supra at 421.</w:t>
      </w:r>
    </w:p>
  </w:footnote>
  <w:footnote w:id="180">
    <w:p w14:paraId="0C0EC42D" w14:textId="77777777" w:rsidR="00275DB3" w:rsidRPr="00E53300" w:rsidRDefault="00275DB3" w:rsidP="002C2CAA">
      <w:pPr>
        <w:pStyle w:val="FootnoteText"/>
      </w:pPr>
      <w:r w:rsidRPr="00E53300">
        <w:rPr>
          <w:rStyle w:val="FootnoteReference"/>
        </w:rPr>
        <w:footnoteRef/>
      </w:r>
      <w:r w:rsidRPr="00E53300">
        <w:t xml:space="preserve"> Id.</w:t>
      </w:r>
    </w:p>
  </w:footnote>
  <w:footnote w:id="181">
    <w:p w14:paraId="2D88BB08" w14:textId="77777777" w:rsidR="00275DB3" w:rsidRPr="00E53300" w:rsidRDefault="00275DB3" w:rsidP="002C2CAA">
      <w:pPr>
        <w:pStyle w:val="FootnoteText"/>
      </w:pPr>
      <w:r w:rsidRPr="00E53300">
        <w:rPr>
          <w:rStyle w:val="FootnoteReference"/>
        </w:rPr>
        <w:footnoteRef/>
      </w:r>
      <w:r w:rsidRPr="00E53300">
        <w:t xml:space="preserve"> Francisco </w:t>
      </w:r>
      <w:proofErr w:type="spellStart"/>
      <w:r w:rsidRPr="00E53300">
        <w:t>Covas</w:t>
      </w:r>
      <w:proofErr w:type="spellEnd"/>
      <w:r w:rsidRPr="00E53300">
        <w:t xml:space="preserve"> &amp; Gonzalo Fernandez </w:t>
      </w:r>
      <w:proofErr w:type="spellStart"/>
      <w:r w:rsidRPr="00E53300">
        <w:t>Dionis</w:t>
      </w:r>
      <w:proofErr w:type="spellEnd"/>
      <w:r w:rsidRPr="00E53300">
        <w:t>, Bank Policy Institute, Assessing the Decline in Bank Lending to Businesses, supra.</w:t>
      </w:r>
    </w:p>
  </w:footnote>
  <w:footnote w:id="182">
    <w:p w14:paraId="717BDCB9" w14:textId="77777777" w:rsidR="00275DB3" w:rsidRPr="00E53300" w:rsidRDefault="00275DB3" w:rsidP="002C2CAA">
      <w:pPr>
        <w:pStyle w:val="FootnoteText"/>
      </w:pPr>
      <w:r w:rsidRPr="00E53300">
        <w:rPr>
          <w:rStyle w:val="FootnoteReference"/>
        </w:rPr>
        <w:footnoteRef/>
      </w:r>
      <w:r w:rsidRPr="00E53300">
        <w:t xml:space="preserve"> Levitin, supra at 420-421; Finley, How Non-bank Lending is Reshaping the Economy, November 16, 2022, </w:t>
      </w:r>
      <w:hyperlink r:id="rId50" w:history="1">
        <w:r w:rsidRPr="00E53300">
          <w:rPr>
            <w:rStyle w:val="Hyperlink"/>
            <w:rFonts w:eastAsia="MS Gothic"/>
          </w:rPr>
          <w:t>https://www.finleycms.com/how-non-bank-lending-is-reshaping-the-economy</w:t>
        </w:r>
      </w:hyperlink>
      <w:r w:rsidRPr="00E53300">
        <w:t xml:space="preserve"> (“Here's a common understanding of business credit: when small- and medium-sized businesses need capital to run or grow their business, they get a loan from a bank. This loan is standard, easily obtainable, and easy to understand.  While this may have been how business credit functioned in the past, it is very far from how the world works today. In 2022, small- and medium-sized businesses typically turn to non-bank lenders for their capital needs,”).</w:t>
      </w:r>
    </w:p>
  </w:footnote>
  <w:footnote w:id="183">
    <w:p w14:paraId="37CF959A" w14:textId="77777777" w:rsidR="00275DB3" w:rsidRPr="00E53300" w:rsidRDefault="00275DB3" w:rsidP="002C2CAA">
      <w:pPr>
        <w:pStyle w:val="FootnoteText"/>
      </w:pPr>
      <w:r w:rsidRPr="00E53300">
        <w:rPr>
          <w:rStyle w:val="FootnoteReference"/>
        </w:rPr>
        <w:footnoteRef/>
      </w:r>
      <w:r w:rsidRPr="00E53300">
        <w:t xml:space="preserve"> Ann Marie </w:t>
      </w:r>
      <w:proofErr w:type="spellStart"/>
      <w:r w:rsidRPr="00E53300">
        <w:t>Wiersch</w:t>
      </w:r>
      <w:proofErr w:type="spellEnd"/>
      <w:r w:rsidRPr="00E53300">
        <w:t xml:space="preserve">, Barbara J. Lipman, Kim Wilson, and Lucas </w:t>
      </w:r>
      <w:proofErr w:type="spellStart"/>
      <w:r w:rsidRPr="00E53300">
        <w:t>Misera</w:t>
      </w:r>
      <w:proofErr w:type="spellEnd"/>
      <w:r w:rsidRPr="00E53300">
        <w:t>, “Clicking for Credit: Experiences of Online Lender Applicants from the Small Business Credit Survey,” Federal Reserve Bank of Cleveland, August 2022.</w:t>
      </w:r>
    </w:p>
  </w:footnote>
  <w:footnote w:id="184">
    <w:p w14:paraId="31AAFA1B" w14:textId="77777777" w:rsidR="00275DB3" w:rsidRPr="00E53300" w:rsidRDefault="00275DB3" w:rsidP="002C2CAA">
      <w:pPr>
        <w:pStyle w:val="FootnoteText"/>
      </w:pPr>
      <w:r w:rsidRPr="00E53300">
        <w:rPr>
          <w:rStyle w:val="FootnoteReference"/>
        </w:rPr>
        <w:footnoteRef/>
      </w:r>
      <w:r w:rsidRPr="00E53300">
        <w:t xml:space="preserve"> Robert Bartlett, Adair Morse, Richard Stanton, &amp; Nancy Wallace, Consumer-Lending Discrimination in the FinTech Era, 143 J. FIN. ECON. 30, 32 (2022).  An FHA loan is a loan for a mortgage that is insured by the Federal Housing Administration.  As explained by the Consumer Financial Protection Bureau: “The FHA administers a program of loan insurance to expand home ownership opportunities.  FHA provides mortgage insurance to FHA-approved lenders to protect these lenders against losses if the homeowner defaults.  The cost of the mortgage insurance is passed along to the homeowner.” Consumer Financial Protection Bureau, </w:t>
      </w:r>
      <w:proofErr w:type="gramStart"/>
      <w:r w:rsidRPr="00E53300">
        <w:t>What</w:t>
      </w:r>
      <w:proofErr w:type="gramEnd"/>
      <w:r w:rsidRPr="00E53300">
        <w:t xml:space="preserve"> is an FHA Loan? February 2, 2024, </w:t>
      </w:r>
      <w:hyperlink r:id="rId51" w:history="1">
        <w:r w:rsidRPr="00E53300">
          <w:rPr>
            <w:rStyle w:val="Hyperlink"/>
            <w:rFonts w:eastAsia="MS Gothic"/>
          </w:rPr>
          <w:t>https://www.consumerfinance.gov/ask-cfpb/what-is-an-fha-loan-en-112/</w:t>
        </w:r>
      </w:hyperlink>
      <w:r w:rsidRPr="00E53300">
        <w:t xml:space="preserve">. </w:t>
      </w:r>
    </w:p>
  </w:footnote>
  <w:footnote w:id="185">
    <w:p w14:paraId="0749AA64" w14:textId="77777777" w:rsidR="00275DB3" w:rsidRPr="00E53300" w:rsidRDefault="00275DB3" w:rsidP="002C2CAA">
      <w:pPr>
        <w:pStyle w:val="FootnoteText"/>
      </w:pPr>
      <w:r w:rsidRPr="00E53300">
        <w:rPr>
          <w:rStyle w:val="FootnoteReference"/>
        </w:rPr>
        <w:footnoteRef/>
      </w:r>
      <w:r w:rsidRPr="00E53300">
        <w:t xml:space="preserve"> Robert Bartlett, Adair Morse, Richard Stanton, &amp; Nancy Wallace, Consumer-Lending Discrimination in the FinTech Era, 143 J. FIN. ECON. 30, 32 (2022)</w:t>
      </w:r>
    </w:p>
  </w:footnote>
  <w:footnote w:id="186">
    <w:p w14:paraId="301A63DE" w14:textId="77777777" w:rsidR="00275DB3" w:rsidRDefault="00275DB3" w:rsidP="002C2CAA">
      <w:pPr>
        <w:pStyle w:val="FootnoteText"/>
      </w:pPr>
      <w:r>
        <w:rPr>
          <w:rStyle w:val="FootnoteReference"/>
        </w:rPr>
        <w:footnoteRef/>
      </w:r>
      <w:r>
        <w:t xml:space="preserve"> Erik Dolson </w:t>
      </w:r>
      <w:r w:rsidRPr="00ED3150">
        <w:t xml:space="preserve">&amp; </w:t>
      </w:r>
      <w:proofErr w:type="spellStart"/>
      <w:r w:rsidRPr="00ED3150">
        <w:t>J</w:t>
      </w:r>
      <w:r>
        <w:t>ulapa</w:t>
      </w:r>
      <w:proofErr w:type="spellEnd"/>
      <w:r>
        <w:t xml:space="preserve"> </w:t>
      </w:r>
      <w:proofErr w:type="spellStart"/>
      <w:proofErr w:type="gramStart"/>
      <w:r>
        <w:t>Jagtiani</w:t>
      </w:r>
      <w:proofErr w:type="spellEnd"/>
      <w:r>
        <w:t xml:space="preserve">,  </w:t>
      </w:r>
      <w:r w:rsidRPr="00ED3150">
        <w:t>Which</w:t>
      </w:r>
      <w:proofErr w:type="gramEnd"/>
      <w:r w:rsidRPr="00ED3150">
        <w:t xml:space="preserve"> Lenders are More Likely to Reach Out to Underserved Consumers: Banks Versus </w:t>
      </w:r>
      <w:proofErr w:type="spellStart"/>
      <w:r w:rsidRPr="00ED3150">
        <w:t>Fintechs</w:t>
      </w:r>
      <w:proofErr w:type="spellEnd"/>
      <w:r w:rsidRPr="00ED3150">
        <w:t xml:space="preserve"> Versus Other Nonbanks? </w:t>
      </w:r>
      <w:r>
        <w:t xml:space="preserve">1 J. ALTERNATIVE FINANCE, 1 35 (2023), </w:t>
      </w:r>
      <w:r w:rsidRPr="00ED3150">
        <w:t xml:space="preserve"> </w:t>
      </w:r>
      <w:hyperlink r:id="rId52" w:history="1">
        <w:r w:rsidRPr="001A6A07">
          <w:rPr>
            <w:rStyle w:val="Hyperlink"/>
            <w:rFonts w:eastAsia="MS Gothic"/>
          </w:rPr>
          <w:t>https://doi.org/10.1177/27533743231218019</w:t>
        </w:r>
      </w:hyperlink>
      <w:r>
        <w:t xml:space="preserve"> </w:t>
      </w:r>
    </w:p>
  </w:footnote>
  <w:footnote w:id="187">
    <w:p w14:paraId="7F76158F" w14:textId="77777777" w:rsidR="00275DB3" w:rsidRDefault="00275DB3" w:rsidP="002C2CAA">
      <w:pPr>
        <w:pStyle w:val="FootnoteText"/>
      </w:pPr>
      <w:r>
        <w:rPr>
          <w:rStyle w:val="FootnoteReference"/>
        </w:rPr>
        <w:footnoteRef/>
      </w:r>
      <w:r>
        <w:t xml:space="preserve"> Id. at </w:t>
      </w:r>
    </w:p>
  </w:footnote>
  <w:footnote w:id="188">
    <w:p w14:paraId="70260DF3" w14:textId="77777777" w:rsidR="00275DB3" w:rsidRPr="00E53300" w:rsidRDefault="00275DB3" w:rsidP="002C2CAA">
      <w:pPr>
        <w:pStyle w:val="FootnoteText"/>
      </w:pPr>
      <w:r w:rsidRPr="00E53300">
        <w:rPr>
          <w:rStyle w:val="FootnoteReference"/>
        </w:rPr>
        <w:footnoteRef/>
      </w:r>
      <w:r w:rsidRPr="00E53300">
        <w:t xml:space="preserve"> Lisa J. </w:t>
      </w:r>
      <w:proofErr w:type="spellStart"/>
      <w:r w:rsidRPr="00E53300">
        <w:t>Servon</w:t>
      </w:r>
      <w:proofErr w:type="spellEnd"/>
      <w:r w:rsidRPr="00E53300">
        <w:t>, The High Cost, For the Poor, of Using a Bank, The New Yorker, October 9, 2013.</w:t>
      </w:r>
      <w:r w:rsidRPr="0047698B">
        <w:t xml:space="preserve"> </w:t>
      </w:r>
      <w:hyperlink r:id="rId53" w:history="1">
        <w:r w:rsidRPr="001A6A07">
          <w:rPr>
            <w:rStyle w:val="Hyperlink"/>
            <w:rFonts w:eastAsia="MS Gothic"/>
          </w:rPr>
          <w:t>https://www.newyorker.com/business/currency/the-high-cost-for-the-poor-of-using-a-bank?_sp=fb25f73f-5223-49b4-9727-6b53cbec191a.1709683391583</w:t>
        </w:r>
      </w:hyperlink>
      <w:r>
        <w:t xml:space="preserve"> </w:t>
      </w:r>
    </w:p>
  </w:footnote>
  <w:footnote w:id="189">
    <w:p w14:paraId="7EF21EFB" w14:textId="77777777" w:rsidR="00275DB3" w:rsidRDefault="00275DB3" w:rsidP="002C2CAA">
      <w:pPr>
        <w:pStyle w:val="FootnoteText"/>
      </w:pPr>
      <w:r>
        <w:rPr>
          <w:rStyle w:val="FootnoteReference"/>
        </w:rPr>
        <w:footnoteRef/>
      </w:r>
      <w:r>
        <w:t xml:space="preserve"> Id.</w:t>
      </w:r>
    </w:p>
  </w:footnote>
  <w:footnote w:id="190">
    <w:p w14:paraId="299B7F31" w14:textId="77777777" w:rsidR="00275DB3" w:rsidRDefault="00275DB3" w:rsidP="002C2CAA">
      <w:pPr>
        <w:pStyle w:val="FootnoteText"/>
      </w:pPr>
      <w:r>
        <w:rPr>
          <w:rStyle w:val="FootnoteReference"/>
        </w:rPr>
        <w:footnoteRef/>
      </w:r>
      <w:r>
        <w:t xml:space="preserve"> Id.  See also Berkeley Economic Review Staff, Banking and Poverty: Why the Poor Turn to Alternative Financial Services, Berkeley Economic Review, April 15, 2019, </w:t>
      </w:r>
      <w:hyperlink r:id="rId54" w:history="1">
        <w:r w:rsidRPr="001A6A07">
          <w:rPr>
            <w:rStyle w:val="Hyperlink"/>
            <w:rFonts w:eastAsia="MS Gothic"/>
          </w:rPr>
          <w:t>https://econreview.berkeley.edu/banking-and-poverty-why-the-poor-turn-to-alternative-financial-services/</w:t>
        </w:r>
      </w:hyperlink>
      <w:r>
        <w:t xml:space="preserve">  (for low and middle class households because “low income families are burdened with an excess of fees… </w:t>
      </w:r>
      <w:r>
        <w:rPr>
          <w:rFonts w:ascii="Merriweather" w:hAnsi="Merriweather"/>
          <w:color w:val="040404"/>
          <w:sz w:val="27"/>
          <w:szCs w:val="27"/>
          <w:shd w:val="clear" w:color="auto" w:fill="FFFFFF"/>
        </w:rPr>
        <w:t>check cashers and other financial alternatives become the less costly option</w:t>
      </w:r>
      <w:r>
        <w:t>”).</w:t>
      </w:r>
    </w:p>
  </w:footnote>
  <w:footnote w:id="191">
    <w:p w14:paraId="4D6B45F4" w14:textId="77777777" w:rsidR="00275DB3" w:rsidRPr="00E53300" w:rsidRDefault="00275DB3" w:rsidP="002C2CAA">
      <w:pPr>
        <w:pStyle w:val="FootnoteText"/>
      </w:pPr>
      <w:r w:rsidRPr="00E53300">
        <w:rPr>
          <w:rStyle w:val="FootnoteReference"/>
        </w:rPr>
        <w:footnoteRef/>
      </w:r>
      <w:r w:rsidRPr="00E53300">
        <w:t xml:space="preserve"> Board of Governors of the Federal Reserve System, Report on the Well-Being of U.S. Households in 2022-May 2023, June 2, 2023. </w:t>
      </w:r>
    </w:p>
    <w:p w14:paraId="2767829A" w14:textId="77777777" w:rsidR="00275DB3" w:rsidRPr="00E53300" w:rsidRDefault="00275DB3" w:rsidP="002C2CAA">
      <w:pPr>
        <w:pStyle w:val="FootnoteText"/>
      </w:pPr>
      <w:hyperlink r:id="rId55" w:history="1">
        <w:r w:rsidRPr="00E53300">
          <w:rPr>
            <w:rStyle w:val="Hyperlink"/>
            <w:rFonts w:eastAsia="MS Gothic"/>
          </w:rPr>
          <w:t>https://www.federalreserve.gov/publications/2023-economic-well-being-of-us-households-in-2022-banking-credit.htm</w:t>
        </w:r>
      </w:hyperlink>
      <w:r w:rsidRPr="00E53300">
        <w:t xml:space="preserve"> </w:t>
      </w:r>
    </w:p>
  </w:footnote>
  <w:footnote w:id="192">
    <w:p w14:paraId="490A0312" w14:textId="77777777" w:rsidR="00275DB3" w:rsidRPr="00E53300" w:rsidRDefault="00275DB3" w:rsidP="002C2CAA">
      <w:pPr>
        <w:pStyle w:val="FootnoteText"/>
      </w:pPr>
      <w:r w:rsidRPr="00E53300">
        <w:rPr>
          <w:rStyle w:val="FootnoteReference"/>
        </w:rPr>
        <w:footnoteRef/>
      </w:r>
      <w:r w:rsidRPr="00E53300">
        <w:t xml:space="preserve"> Id.</w:t>
      </w:r>
    </w:p>
  </w:footnote>
  <w:footnote w:id="193">
    <w:p w14:paraId="20249B10" w14:textId="77777777" w:rsidR="00275DB3" w:rsidRPr="00E53300" w:rsidRDefault="00275DB3" w:rsidP="002C2CAA">
      <w:pPr>
        <w:pStyle w:val="FootnoteText"/>
      </w:pPr>
      <w:r w:rsidRPr="00E53300">
        <w:rPr>
          <w:rStyle w:val="FootnoteReference"/>
        </w:rPr>
        <w:footnoteRef/>
      </w:r>
      <w:r w:rsidRPr="00E53300">
        <w:t xml:space="preserve"> Id.</w:t>
      </w:r>
    </w:p>
  </w:footnote>
  <w:footnote w:id="194">
    <w:p w14:paraId="375D8044" w14:textId="77777777" w:rsidR="00275DB3" w:rsidRPr="00E53300" w:rsidRDefault="00275DB3" w:rsidP="002C2CAA">
      <w:pPr>
        <w:pStyle w:val="FootnoteText"/>
      </w:pPr>
      <w:r w:rsidRPr="00E53300">
        <w:rPr>
          <w:rStyle w:val="FootnoteReference"/>
        </w:rPr>
        <w:footnoteRef/>
      </w:r>
      <w:r w:rsidRPr="00E53300">
        <w:t xml:space="preserve"> Id.</w:t>
      </w:r>
    </w:p>
  </w:footnote>
  <w:footnote w:id="195">
    <w:p w14:paraId="190E872C" w14:textId="77777777" w:rsidR="00275DB3" w:rsidRPr="00E53300" w:rsidRDefault="00275DB3" w:rsidP="002C2CAA">
      <w:pPr>
        <w:pStyle w:val="FootnoteText"/>
      </w:pPr>
      <w:r w:rsidRPr="00E53300">
        <w:rPr>
          <w:rStyle w:val="FootnoteReference"/>
        </w:rPr>
        <w:footnoteRef/>
      </w:r>
      <w:r w:rsidRPr="00E53300">
        <w:t xml:space="preserve"> Lisa J. </w:t>
      </w:r>
      <w:proofErr w:type="spellStart"/>
      <w:r w:rsidRPr="00E53300">
        <w:t>Servon</w:t>
      </w:r>
      <w:proofErr w:type="spellEnd"/>
      <w:r w:rsidRPr="00E53300">
        <w:t>, The High Cost, For the Poor, of Using a Bank, supra, (“</w:t>
      </w:r>
      <w:r w:rsidRPr="00E53300">
        <w:rPr>
          <w:color w:val="000000"/>
          <w:shd w:val="clear" w:color="auto" w:fill="FFFFFF"/>
        </w:rPr>
        <w:t>The numbers of “unbanked” and “underbanked” people are indeed growing. Seventeen million people nationwide are unbanked, up from ten million in 2002; forty-three million are underbanked. In very low-income areas like the South Bronx, where I worked, more than half of the residents have no bank account.</w:t>
      </w:r>
      <w:r w:rsidRPr="00E53300">
        <w:t>”).</w:t>
      </w:r>
    </w:p>
  </w:footnote>
  <w:footnote w:id="196">
    <w:p w14:paraId="5D646DFC" w14:textId="77777777" w:rsidR="00275DB3" w:rsidRPr="00E53300" w:rsidRDefault="00275DB3" w:rsidP="002C2CAA">
      <w:pPr>
        <w:pStyle w:val="FootnoteText"/>
      </w:pPr>
      <w:r w:rsidRPr="00E53300">
        <w:rPr>
          <w:rStyle w:val="FootnoteReference"/>
        </w:rPr>
        <w:footnoteRef/>
      </w:r>
      <w:r w:rsidRPr="00E53300">
        <w:t xml:space="preserve"> Robert Bartlett, Adair Morse, Richard Stanton, &amp; Nancy Wallace, Consumer-Lending Discrimination in the FinTech Era, supra, at 32 (2022)</w:t>
      </w:r>
      <w:r>
        <w:t>.</w:t>
      </w:r>
    </w:p>
  </w:footnote>
  <w:footnote w:id="197">
    <w:p w14:paraId="70DC55EE" w14:textId="77777777" w:rsidR="00275DB3" w:rsidRPr="00E53300" w:rsidRDefault="00275DB3" w:rsidP="002C2CAA">
      <w:pPr>
        <w:pStyle w:val="FootnoteText"/>
      </w:pPr>
      <w:r w:rsidRPr="00E53300">
        <w:rPr>
          <w:rStyle w:val="FootnoteReference"/>
        </w:rPr>
        <w:footnoteRef/>
      </w:r>
      <w:r w:rsidRPr="00E53300">
        <w:t xml:space="preserve"> Diamond &amp; </w:t>
      </w:r>
      <w:proofErr w:type="spellStart"/>
      <w:r w:rsidRPr="00E53300">
        <w:t>Dybvig</w:t>
      </w:r>
      <w:proofErr w:type="spellEnd"/>
      <w:r w:rsidRPr="00E53300">
        <w:t>, Banking Theory, Deposit Insurance and Bank Regulation, supra, at 62.</w:t>
      </w:r>
    </w:p>
  </w:footnote>
  <w:footnote w:id="198">
    <w:p w14:paraId="4FD96F31" w14:textId="77777777" w:rsidR="00275DB3" w:rsidRPr="00E53300" w:rsidRDefault="00275DB3" w:rsidP="002C2CAA">
      <w:pPr>
        <w:pStyle w:val="FootnoteText"/>
      </w:pPr>
      <w:r w:rsidRPr="00E53300">
        <w:rPr>
          <w:rStyle w:val="FootnoteReference"/>
        </w:rPr>
        <w:footnoteRef/>
      </w:r>
      <w:r w:rsidRPr="00E53300">
        <w:t xml:space="preserve"> Id. </w:t>
      </w:r>
    </w:p>
  </w:footnote>
  <w:footnote w:id="199">
    <w:p w14:paraId="638B7BA6" w14:textId="77777777" w:rsidR="00275DB3" w:rsidRPr="00E53300" w:rsidRDefault="00275DB3" w:rsidP="002C2CAA">
      <w:pPr>
        <w:pStyle w:val="FootnoteText"/>
      </w:pPr>
      <w:r w:rsidRPr="00E53300">
        <w:rPr>
          <w:rStyle w:val="FootnoteReference"/>
        </w:rPr>
        <w:footnoteRef/>
      </w:r>
      <w:r w:rsidRPr="00E53300">
        <w:t xml:space="preserve"> Id. </w:t>
      </w:r>
    </w:p>
  </w:footnote>
  <w:footnote w:id="200">
    <w:p w14:paraId="791368C4" w14:textId="77777777" w:rsidR="00275DB3" w:rsidRPr="00E53300" w:rsidRDefault="00275DB3" w:rsidP="002C2CAA">
      <w:pPr>
        <w:pStyle w:val="FootnoteText"/>
      </w:pPr>
      <w:r w:rsidRPr="00E53300">
        <w:rPr>
          <w:rStyle w:val="FootnoteReference"/>
        </w:rPr>
        <w:footnoteRef/>
      </w:r>
      <w:r w:rsidRPr="00E53300">
        <w:t xml:space="preserve"> Jonathan Macey, Reducing Systemic Risk: The Role of Money Market Mutual Funds as Substitutes for Federally Insured Bank Deposits, 17 STAN. J. L. BUS. &amp; FIN. 131, 135 (2011).</w:t>
      </w:r>
    </w:p>
  </w:footnote>
  <w:footnote w:id="201">
    <w:p w14:paraId="78A722C2" w14:textId="77777777" w:rsidR="00275DB3" w:rsidRDefault="00275DB3" w:rsidP="002C2CAA">
      <w:pPr>
        <w:pStyle w:val="FootnoteText"/>
      </w:pPr>
      <w:r>
        <w:rPr>
          <w:rStyle w:val="FootnoteReference"/>
        </w:rPr>
        <w:footnoteRef/>
      </w:r>
      <w:r>
        <w:t xml:space="preserve"> Id.</w:t>
      </w:r>
    </w:p>
  </w:footnote>
  <w:footnote w:id="202">
    <w:p w14:paraId="3EED5A8C" w14:textId="77777777" w:rsidR="00275DB3" w:rsidRDefault="00275DB3" w:rsidP="002C2CAA">
      <w:pPr>
        <w:pStyle w:val="FootnoteText"/>
      </w:pPr>
      <w:r>
        <w:rPr>
          <w:rStyle w:val="FootnoteReference"/>
        </w:rPr>
        <w:footnoteRef/>
      </w:r>
      <w:r>
        <w:t xml:space="preserve"> </w:t>
      </w:r>
      <w:r w:rsidRPr="00E53300">
        <w:t>Jonathan Macey, Reducing Systemic Risk: The Role of Money Market Mutual Funds as Substitutes for Federally Insured Bank Deposits, 17 STAN. J. L. BUS</w:t>
      </w:r>
      <w:r>
        <w:t>. 131 (2011).</w:t>
      </w:r>
    </w:p>
  </w:footnote>
  <w:footnote w:id="203">
    <w:p w14:paraId="32B78041" w14:textId="77777777" w:rsidR="00275DB3" w:rsidRDefault="00275DB3" w:rsidP="002C2CAA">
      <w:pPr>
        <w:pStyle w:val="FootnoteText"/>
      </w:pPr>
      <w:r>
        <w:rPr>
          <w:rStyle w:val="FootnoteReference"/>
        </w:rPr>
        <w:footnoteRef/>
      </w:r>
      <w:r>
        <w:t xml:space="preserve"> I</w:t>
      </w:r>
      <w:r w:rsidRPr="00DC019F">
        <w:t>nvestment Company Act of 1940, 15 U.S.C. § 80a-1–64 (2018)</w:t>
      </w:r>
    </w:p>
  </w:footnote>
  <w:footnote w:id="204">
    <w:p w14:paraId="44C01DD2" w14:textId="77777777" w:rsidR="00275DB3" w:rsidRDefault="00275DB3" w:rsidP="002C2CAA">
      <w:pPr>
        <w:pStyle w:val="FootnoteText"/>
      </w:pPr>
      <w:r>
        <w:rPr>
          <w:rStyle w:val="FootnoteReference"/>
        </w:rPr>
        <w:footnoteRef/>
      </w:r>
      <w:r>
        <w:t xml:space="preserve"> </w:t>
      </w:r>
      <w:r w:rsidRPr="00BF2909">
        <w:t>Report of the President’s Working Group on Financial Markets, Money Market Fund Reform Options, Oct. 2010</w:t>
      </w:r>
    </w:p>
  </w:footnote>
  <w:footnote w:id="205">
    <w:p w14:paraId="1944E3D3" w14:textId="77777777" w:rsidR="00275DB3" w:rsidRDefault="00275DB3" w:rsidP="002C2CAA">
      <w:pPr>
        <w:pStyle w:val="FootnoteText"/>
      </w:pPr>
      <w:r>
        <w:rPr>
          <w:rStyle w:val="FootnoteReference"/>
        </w:rPr>
        <w:footnoteRef/>
      </w:r>
      <w:r>
        <w:t xml:space="preserve"> Dan Awrey, Bad Money 106 CORNELL L. REV. 1, 34 (2020)</w:t>
      </w:r>
    </w:p>
  </w:footnote>
  <w:footnote w:id="206">
    <w:p w14:paraId="02E4C3AA" w14:textId="77777777" w:rsidR="00275DB3" w:rsidRDefault="00275DB3" w:rsidP="002C2CAA">
      <w:pPr>
        <w:pStyle w:val="FootnoteText"/>
      </w:pPr>
      <w:r>
        <w:rPr>
          <w:rStyle w:val="FootnoteReference"/>
        </w:rPr>
        <w:footnoteRef/>
      </w:r>
      <w:r>
        <w:t xml:space="preserve"> Id. at 35. See also </w:t>
      </w:r>
      <w:r w:rsidRPr="00311745">
        <w:t xml:space="preserve">Jonathan R. Macey &amp; Geoffrey P. Miller, </w:t>
      </w:r>
      <w:proofErr w:type="spellStart"/>
      <w:r w:rsidRPr="00311745">
        <w:t>Nondeposit</w:t>
      </w:r>
      <w:proofErr w:type="spellEnd"/>
      <w:r w:rsidRPr="00311745">
        <w:t xml:space="preserve"> </w:t>
      </w:r>
      <w:proofErr w:type="gramStart"/>
      <w:r w:rsidRPr="00311745">
        <w:t>Deposits</w:t>
      </w:r>
      <w:proofErr w:type="gramEnd"/>
      <w:r w:rsidRPr="00311745">
        <w:t xml:space="preserve"> and the</w:t>
      </w:r>
      <w:r>
        <w:t xml:space="preserve"> F</w:t>
      </w:r>
      <w:r w:rsidRPr="00311745">
        <w:t>uture of Bank Regulation, 91 MICH. L. REV. 237, 245 (1992).</w:t>
      </w:r>
    </w:p>
  </w:footnote>
  <w:footnote w:id="207">
    <w:p w14:paraId="1D32F21A" w14:textId="77777777" w:rsidR="00275DB3" w:rsidRDefault="00275DB3" w:rsidP="002C2CAA">
      <w:pPr>
        <w:pStyle w:val="FootnoteText"/>
      </w:pPr>
      <w:r>
        <w:rPr>
          <w:rStyle w:val="FootnoteReference"/>
        </w:rPr>
        <w:footnoteRef/>
      </w:r>
      <w:r>
        <w:t xml:space="preserve"> Dan Awrey, Bad Money, supra, at 38.</w:t>
      </w:r>
    </w:p>
  </w:footnote>
  <w:footnote w:id="208">
    <w:p w14:paraId="467EA2C5" w14:textId="77777777" w:rsidR="00275DB3" w:rsidRDefault="00275DB3" w:rsidP="002C2CAA">
      <w:pPr>
        <w:pStyle w:val="FootnoteText"/>
      </w:pPr>
      <w:r>
        <w:rPr>
          <w:rStyle w:val="FootnoteReference"/>
        </w:rPr>
        <w:footnoteRef/>
      </w:r>
      <w:r>
        <w:t xml:space="preserve"> Kate Dore, CNBC, Money Market Funds Are Paying Above 5%: What to Know Before Ditching Your Savings Account, FA Playbook, August 4, 2023</w:t>
      </w:r>
      <w:hyperlink r:id="rId56" w:history="1">
        <w:r w:rsidRPr="00CB3930">
          <w:rPr>
            <w:rStyle w:val="Hyperlink"/>
            <w:rFonts w:eastAsia="MS Gothic"/>
            <w:spacing w:val="-7"/>
            <w:sz w:val="27"/>
            <w:szCs w:val="27"/>
            <w:shd w:val="clear" w:color="auto" w:fill="FEFEFE"/>
          </w:rPr>
          <w:t>https://www.cnbc.com/2023/08/04/money-market-funds-are-paying-above-5percent-what-to-know-before-buying-.html</w:t>
        </w:r>
      </w:hyperlink>
      <w:r>
        <w:rPr>
          <w:rStyle w:val="Hyperlink"/>
          <w:rFonts w:eastAsia="MS Gothic"/>
          <w:spacing w:val="-7"/>
          <w:sz w:val="27"/>
          <w:szCs w:val="27"/>
          <w:shd w:val="clear" w:color="auto" w:fill="FEFEFE"/>
        </w:rPr>
        <w:t xml:space="preserve"> </w:t>
      </w:r>
      <w:r>
        <w:t>See also Vanguard, What are Money Market Funds, (“</w:t>
      </w:r>
      <w:r>
        <w:rPr>
          <w:rFonts w:ascii="FF Mark" w:hAnsi="FF Mark"/>
          <w:color w:val="040505"/>
          <w:sz w:val="26"/>
          <w:szCs w:val="26"/>
        </w:rPr>
        <w:t>Because they're mutual funds, money market fund sales are processed like sales of other mutual funds—the trade is processed at the close of business following your trade request, and the money then takes 2 business days to transfer to your bank account. Bottom line, you'll need to allow time for money movement.”</w:t>
      </w:r>
      <w:r>
        <w:t xml:space="preserve">). </w:t>
      </w:r>
      <w:hyperlink r:id="rId57" w:anchor=":~:text=Because%20they're%20mutual%20funds,allow%20time%20for%20money%20movement" w:history="1">
        <w:r w:rsidRPr="001A6A07">
          <w:rPr>
            <w:rStyle w:val="Hyperlink"/>
            <w:rFonts w:eastAsia="MS Gothic"/>
          </w:rPr>
          <w:t>https://investor.vanguard.com/investor-resources-education/mutual-funds/what-are-money-market-funds#:~:text=Because%20they're%20mutual%20funds,allow%20time%20for%20money%20movement</w:t>
        </w:r>
      </w:hyperlink>
      <w:r w:rsidRPr="000910F5">
        <w:t>.</w:t>
      </w:r>
      <w:r>
        <w:t xml:space="preserve"> </w:t>
      </w:r>
    </w:p>
  </w:footnote>
  <w:footnote w:id="209">
    <w:p w14:paraId="03372973" w14:textId="77777777" w:rsidR="00275DB3" w:rsidRDefault="00275DB3" w:rsidP="002C2CAA">
      <w:pPr>
        <w:pStyle w:val="FootnoteText"/>
      </w:pPr>
      <w:r>
        <w:rPr>
          <w:rStyle w:val="FootnoteReference"/>
        </w:rPr>
        <w:footnoteRef/>
      </w:r>
      <w:r>
        <w:t xml:space="preserve"> Standard &amp; Poor’s Global Market Intelligence, US Banks Report $872B YOY Drop in Deposits, September 25, 2023, </w:t>
      </w:r>
      <w:hyperlink r:id="rId58" w:history="1">
        <w:r w:rsidRPr="00CB3930">
          <w:rPr>
            <w:rStyle w:val="Hyperlink"/>
            <w:rFonts w:eastAsia="MS Gothic"/>
            <w:spacing w:val="-7"/>
            <w:sz w:val="27"/>
            <w:szCs w:val="27"/>
            <w:shd w:val="clear" w:color="auto" w:fill="FEFEFE"/>
          </w:rPr>
          <w:t>https://www.spglobal.com/marketintelligence/en/news-insights/latest-news-headlines/us-banks-report-872b-yoy-drop-in-deposits-77596674</w:t>
        </w:r>
      </w:hyperlink>
      <w:r>
        <w:rPr>
          <w:color w:val="0A0A0A"/>
          <w:spacing w:val="-7"/>
          <w:sz w:val="27"/>
          <w:szCs w:val="27"/>
          <w:shd w:val="clear" w:color="auto" w:fill="FEFEFE"/>
        </w:rPr>
        <w:t xml:space="preserve"> </w:t>
      </w:r>
      <w:r w:rsidRPr="00562744">
        <w:rPr>
          <w:color w:val="0A0A0A"/>
          <w:spacing w:val="-7"/>
          <w:sz w:val="27"/>
          <w:szCs w:val="27"/>
          <w:shd w:val="clear" w:color="auto" w:fill="FEFEFE"/>
        </w:rPr>
        <w:t xml:space="preserve"> </w:t>
      </w:r>
    </w:p>
  </w:footnote>
  <w:footnote w:id="210">
    <w:p w14:paraId="763DD7FF" w14:textId="77777777" w:rsidR="00275DB3" w:rsidRDefault="00275DB3" w:rsidP="002C2CAA">
      <w:pPr>
        <w:pStyle w:val="FootnoteText"/>
      </w:pPr>
      <w:r>
        <w:rPr>
          <w:rStyle w:val="FootnoteReference"/>
        </w:rPr>
        <w:footnoteRef/>
      </w:r>
      <w:r>
        <w:t xml:space="preserve"> Kate Dore, CNBC, Money Market Funds Are Paying Above 5%: What to Know Before Ditching Your Savings Account, FA Playbook, August 4, 2023, supra.</w:t>
      </w:r>
    </w:p>
  </w:footnote>
  <w:footnote w:id="211">
    <w:p w14:paraId="3D944CD2" w14:textId="77777777" w:rsidR="00275DB3" w:rsidRDefault="00275DB3" w:rsidP="002C2CAA">
      <w:pPr>
        <w:pStyle w:val="FootnoteText"/>
      </w:pPr>
      <w:r>
        <w:rPr>
          <w:rStyle w:val="FootnoteReference"/>
        </w:rPr>
        <w:footnoteRef/>
      </w:r>
      <w:r>
        <w:t xml:space="preserve"> 17 C.F.R. Section 270.2a-7 (2020) </w:t>
      </w:r>
    </w:p>
  </w:footnote>
  <w:footnote w:id="212">
    <w:p w14:paraId="7D53F684" w14:textId="77777777" w:rsidR="00275DB3" w:rsidRDefault="00275DB3" w:rsidP="002C2CAA">
      <w:pPr>
        <w:pStyle w:val="FootnoteText"/>
      </w:pPr>
      <w:r>
        <w:rPr>
          <w:rStyle w:val="FootnoteReference"/>
        </w:rPr>
        <w:footnoteRef/>
      </w:r>
      <w:r>
        <w:t xml:space="preserve"> Investment Company Act Rule 38a-1</w:t>
      </w:r>
    </w:p>
  </w:footnote>
  <w:footnote w:id="213">
    <w:p w14:paraId="19252B2E" w14:textId="77777777" w:rsidR="00275DB3" w:rsidRDefault="00275DB3" w:rsidP="002C2CAA">
      <w:pPr>
        <w:pStyle w:val="FootnoteText"/>
      </w:pPr>
      <w:r>
        <w:rPr>
          <w:rStyle w:val="FootnoteReference"/>
        </w:rPr>
        <w:footnoteRef/>
      </w:r>
      <w:r>
        <w:t xml:space="preserve"> Securities and Exchange Commission 17 CFR Parts 270, 274, and 279, </w:t>
      </w:r>
      <w:r w:rsidRPr="00B34863">
        <w:t>Release Nos. 33-11211; 34-97876; IA-6344; IC-34959; File No. S7-22-21</w:t>
      </w:r>
      <w:r>
        <w:t xml:space="preserve">, </w:t>
      </w:r>
      <w:r w:rsidRPr="00B34863">
        <w:t>Money Market Fund Reforms; Form PF Reporting Requirements for Large Liquidity Fund Advisers; Technical Amendme</w:t>
      </w:r>
      <w:r>
        <w:t>nts to Form N-CSR and Form N-1A, D</w:t>
      </w:r>
      <w:r w:rsidRPr="000E46D9">
        <w:t xml:space="preserve">aily liquid assets and weekly liquid assets </w:t>
      </w:r>
      <w:r>
        <w:t>are money market mutual fund</w:t>
      </w:r>
      <w:r w:rsidRPr="000E46D9">
        <w:t xml:space="preserve"> holdings that can be readily converted to cash within one or five business days, respectively.</w:t>
      </w:r>
      <w:r>
        <w:t xml:space="preserve"> Cash and securities that will mature or are subject to a demand feature exercisable and payable within one business day are examples of daily liquid assets.  Government agency discount notes with maturities of 60 days or less and receivables scheduled to be paid within five business days are examples </w:t>
      </w:r>
      <w:proofErr w:type="spellStart"/>
      <w:r>
        <w:t>o</w:t>
      </w:r>
      <w:proofErr w:type="spellEnd"/>
      <w:r>
        <w:t xml:space="preserve"> weekly liquid assets under Rule 2a-7.</w:t>
      </w:r>
    </w:p>
  </w:footnote>
  <w:footnote w:id="214">
    <w:p w14:paraId="41F635B0" w14:textId="77777777" w:rsidR="00275DB3" w:rsidRDefault="00275DB3" w:rsidP="002C2CAA">
      <w:pPr>
        <w:pStyle w:val="FootnoteText"/>
      </w:pPr>
      <w:r>
        <w:rPr>
          <w:rStyle w:val="FootnoteReference"/>
        </w:rPr>
        <w:footnoteRef/>
      </w:r>
      <w:r>
        <w:t xml:space="preserve"> SEC Rule 2a-7.  </w:t>
      </w:r>
      <w:proofErr w:type="gramStart"/>
      <w:r>
        <w:t>Generally speaking, r</w:t>
      </w:r>
      <w:r w:rsidRPr="00DC1C0C">
        <w:t>etail</w:t>
      </w:r>
      <w:proofErr w:type="gramEnd"/>
      <w:r w:rsidRPr="00DC1C0C">
        <w:t xml:space="preserve"> MMFs are held only by natural persons (individual investors). Institutional MMFs are purchased by financial firms, nonfinancial firms, and other entities.</w:t>
      </w:r>
      <w:r>
        <w:t xml:space="preserve">  Recently, the </w:t>
      </w:r>
      <w:proofErr w:type="gramStart"/>
      <w:r>
        <w:t>GAO  found</w:t>
      </w:r>
      <w:proofErr w:type="gramEnd"/>
      <w:r>
        <w:t xml:space="preserve"> that imposing liquidity fees may contribute to runs on money market mutual funds by incentivizing investors to preemptively redeem their MMF shares in order to avoid incurring a liquidity fee.  A similar MMF regulation, the imposition of so-called “redemption gates” or delays in investor access to their funds when MMFs are experiencing heavy redemptions, was found to have the same unintended consequence.  Government Accountability Office, Money Market Mutual Funds, Pandemic Revealed Unresolved Vulnerabilities, GAO-23-105535, February 2023, at 1.</w:t>
      </w:r>
    </w:p>
  </w:footnote>
  <w:footnote w:id="215">
    <w:p w14:paraId="1D7680B3" w14:textId="77777777" w:rsidR="00275DB3" w:rsidRDefault="00275DB3" w:rsidP="002C2CAA">
      <w:pPr>
        <w:pStyle w:val="FootnoteText"/>
      </w:pPr>
      <w:r>
        <w:rPr>
          <w:rStyle w:val="FootnoteReference"/>
        </w:rPr>
        <w:footnoteRef/>
      </w:r>
      <w:r>
        <w:t xml:space="preserve"> Dan Awrey, Bad Money, supra, at 5.</w:t>
      </w:r>
    </w:p>
  </w:footnote>
  <w:footnote w:id="216">
    <w:p w14:paraId="66340BBF" w14:textId="77777777" w:rsidR="00275DB3" w:rsidRDefault="00275DB3" w:rsidP="002C2CAA">
      <w:pPr>
        <w:pStyle w:val="FootnoteText"/>
      </w:pPr>
      <w:r>
        <w:rPr>
          <w:rStyle w:val="FootnoteReference"/>
        </w:rPr>
        <w:footnoteRef/>
      </w:r>
      <w:r>
        <w:t xml:space="preserve"> Government Accountability Office, Money Market Mutual Funds, Pandemic Revealed Unresolved Vulnerabilities, supra, at 1.</w:t>
      </w:r>
    </w:p>
  </w:footnote>
  <w:footnote w:id="217">
    <w:p w14:paraId="75B38B7B" w14:textId="77777777" w:rsidR="00275DB3" w:rsidRDefault="00275DB3" w:rsidP="002C2CAA">
      <w:pPr>
        <w:pStyle w:val="FootnoteText"/>
      </w:pPr>
      <w:r>
        <w:rPr>
          <w:rStyle w:val="FootnoteReference"/>
        </w:rPr>
        <w:footnoteRef/>
      </w:r>
      <w:r>
        <w:t xml:space="preserve"> Jeffrey N. Gordon and Christopher M. </w:t>
      </w:r>
      <w:proofErr w:type="spellStart"/>
      <w:r>
        <w:t>Gandia</w:t>
      </w:r>
      <w:proofErr w:type="spellEnd"/>
      <w:r>
        <w:t>, Money Market Funds Run Risk: Will Floating Net Asset Value Fix the Problem? 2 COLUMBIA BUSINESS L. REV. 313, 319 (2014) (“addressing the fragility of money market funds has been a major post-crisis regulatory objective.”).</w:t>
      </w:r>
    </w:p>
  </w:footnote>
  <w:footnote w:id="218">
    <w:p w14:paraId="03FAD982" w14:textId="77777777" w:rsidR="00275DB3" w:rsidRDefault="00275DB3" w:rsidP="002C2CAA">
      <w:pPr>
        <w:pStyle w:val="FootnoteText"/>
      </w:pPr>
      <w:r>
        <w:rPr>
          <w:rStyle w:val="FootnoteReference"/>
        </w:rPr>
        <w:footnoteRef/>
      </w:r>
      <w:r>
        <w:t xml:space="preserve"> </w:t>
      </w:r>
      <w:r w:rsidRPr="00E53300">
        <w:t>Jonathan Macey, Reducing Systemic Risk: The Role of Money Market Mutual Funds as Substitutes for Federally Insured Bank Deposits</w:t>
      </w:r>
      <w:r>
        <w:t>, supra.</w:t>
      </w:r>
    </w:p>
  </w:footnote>
  <w:footnote w:id="219">
    <w:p w14:paraId="49771263" w14:textId="77777777" w:rsidR="00275DB3" w:rsidRDefault="00275DB3" w:rsidP="002C2CAA">
      <w:pPr>
        <w:pStyle w:val="FootnoteText"/>
      </w:pPr>
      <w:r>
        <w:rPr>
          <w:rStyle w:val="FootnoteReference"/>
        </w:rPr>
        <w:footnoteRef/>
      </w:r>
      <w:r>
        <w:t xml:space="preserve"> </w:t>
      </w:r>
      <w:r w:rsidRPr="00DB56FB">
        <w:t>Fund Update: Additional Information Regarding the Primary</w:t>
      </w:r>
      <w:r>
        <w:t xml:space="preserve"> Fund-In Liquidation, PRIMARY FU</w:t>
      </w:r>
      <w:r w:rsidRPr="00DB56FB">
        <w:t>ND IN LIQUIDATION (July 29, 2011), http://www.primary-yieldplus­inliquidation.com/pdf/FundUpdate-July201l.pdf.</w:t>
      </w:r>
    </w:p>
  </w:footnote>
  <w:footnote w:id="220">
    <w:p w14:paraId="780948B6" w14:textId="77777777" w:rsidR="00275DB3" w:rsidRDefault="00275DB3" w:rsidP="002C2CAA">
      <w:pPr>
        <w:pStyle w:val="FootnoteText"/>
      </w:pPr>
      <w:r>
        <w:rPr>
          <w:rStyle w:val="FootnoteReference"/>
        </w:rPr>
        <w:footnoteRef/>
      </w:r>
      <w:r>
        <w:t xml:space="preserve"> Gary Gorton &amp; Andrew </w:t>
      </w:r>
      <w:proofErr w:type="spellStart"/>
      <w:r>
        <w:t>Metrick</w:t>
      </w:r>
      <w:proofErr w:type="spellEnd"/>
      <w:r>
        <w:t xml:space="preserve">, Regulating the Shadow Banking System, Brookings Papers on Economic Activity, Fall 2010. </w:t>
      </w:r>
    </w:p>
  </w:footnote>
  <w:footnote w:id="221">
    <w:p w14:paraId="17376BC6" w14:textId="77777777" w:rsidR="00275DB3" w:rsidRDefault="00275DB3" w:rsidP="002C2CAA">
      <w:pPr>
        <w:pStyle w:val="FootnoteText"/>
      </w:pPr>
      <w:r>
        <w:rPr>
          <w:rStyle w:val="FootnoteReference"/>
        </w:rPr>
        <w:footnoteRef/>
      </w:r>
      <w:r>
        <w:t xml:space="preserve"> Group of Thirty, Financial Reform: A Framework for Financial Stability.” </w:t>
      </w:r>
    </w:p>
    <w:p w14:paraId="442E55EF" w14:textId="77777777" w:rsidR="00275DB3" w:rsidRDefault="00275DB3" w:rsidP="002C2CAA">
      <w:pPr>
        <w:pStyle w:val="FootnoteText"/>
      </w:pPr>
      <w:r>
        <w:t xml:space="preserve">Washington, 2009 </w:t>
      </w:r>
    </w:p>
  </w:footnote>
  <w:footnote w:id="222">
    <w:p w14:paraId="40A384D8" w14:textId="77777777" w:rsidR="00275DB3" w:rsidRDefault="00275DB3" w:rsidP="002C2CAA">
      <w:pPr>
        <w:pStyle w:val="FootnoteText"/>
      </w:pPr>
      <w:r>
        <w:rPr>
          <w:rStyle w:val="FootnoteReference"/>
        </w:rPr>
        <w:footnoteRef/>
      </w:r>
      <w:r>
        <w:t xml:space="preserve"> Id.</w:t>
      </w:r>
    </w:p>
  </w:footnote>
  <w:footnote w:id="223">
    <w:p w14:paraId="5C2C3632" w14:textId="77777777" w:rsidR="00275DB3" w:rsidRDefault="00275DB3" w:rsidP="002C2CAA">
      <w:pPr>
        <w:pStyle w:val="FootnoteText"/>
      </w:pPr>
      <w:r>
        <w:rPr>
          <w:rStyle w:val="FootnoteReference"/>
        </w:rPr>
        <w:footnoteRef/>
      </w:r>
      <w:r>
        <w:t xml:space="preserve"> See </w:t>
      </w:r>
      <w:proofErr w:type="spellStart"/>
      <w:r>
        <w:t>Kashap</w:t>
      </w:r>
      <w:proofErr w:type="spellEnd"/>
      <w:r>
        <w:t xml:space="preserve">, </w:t>
      </w:r>
      <w:proofErr w:type="spellStart"/>
      <w:proofErr w:type="gramStart"/>
      <w:r>
        <w:t>Rajan</w:t>
      </w:r>
      <w:proofErr w:type="spellEnd"/>
      <w:r>
        <w:t xml:space="preserve">  &amp;</w:t>
      </w:r>
      <w:proofErr w:type="gramEnd"/>
      <w:r>
        <w:t xml:space="preserve"> Stein, supra, and discussion at TAN XX-XX, supra.</w:t>
      </w:r>
    </w:p>
  </w:footnote>
  <w:footnote w:id="224">
    <w:p w14:paraId="2728134D" w14:textId="77777777" w:rsidR="00275DB3" w:rsidRDefault="00275DB3" w:rsidP="002C2CAA">
      <w:pPr>
        <w:pStyle w:val="FootnoteText"/>
      </w:pPr>
      <w:r>
        <w:rPr>
          <w:rStyle w:val="FootnoteReference"/>
        </w:rPr>
        <w:footnoteRef/>
      </w:r>
      <w:r>
        <w:t xml:space="preserve"> Diamond &amp; </w:t>
      </w:r>
      <w:proofErr w:type="spellStart"/>
      <w:r>
        <w:t>Dybvig</w:t>
      </w:r>
      <w:proofErr w:type="spellEnd"/>
      <w:r>
        <w:t>, supra, at 66.</w:t>
      </w:r>
    </w:p>
  </w:footnote>
  <w:footnote w:id="225">
    <w:p w14:paraId="47794378" w14:textId="77777777" w:rsidR="00275DB3" w:rsidRDefault="00275DB3" w:rsidP="002C2CAA">
      <w:pPr>
        <w:pStyle w:val="FootnoteText"/>
      </w:pPr>
      <w:r>
        <w:rPr>
          <w:rStyle w:val="FootnoteReference"/>
        </w:rPr>
        <w:footnoteRef/>
      </w:r>
      <w:r>
        <w:t xml:space="preserve"> </w:t>
      </w:r>
      <w:proofErr w:type="spellStart"/>
      <w:r>
        <w:t>Kashap</w:t>
      </w:r>
      <w:proofErr w:type="spellEnd"/>
      <w:r>
        <w:t xml:space="preserve">, </w:t>
      </w:r>
      <w:proofErr w:type="spellStart"/>
      <w:proofErr w:type="gramStart"/>
      <w:r>
        <w:t>Rajan</w:t>
      </w:r>
      <w:proofErr w:type="spellEnd"/>
      <w:r>
        <w:t xml:space="preserve">  &amp;</w:t>
      </w:r>
      <w:proofErr w:type="gramEnd"/>
      <w:r>
        <w:t xml:space="preserve"> Stein, supra, at 48.  </w:t>
      </w:r>
      <w:proofErr w:type="spellStart"/>
      <w:r>
        <w:t>Kashap</w:t>
      </w:r>
      <w:proofErr w:type="spellEnd"/>
      <w:r>
        <w:t xml:space="preserve">, </w:t>
      </w:r>
      <w:proofErr w:type="spellStart"/>
      <w:r>
        <w:t>Rajan</w:t>
      </w:r>
      <w:proofErr w:type="spellEnd"/>
      <w:r>
        <w:t xml:space="preserve"> and Stein argue that once a bank expends the resources necessary to investigate potential borrowers seeking contingent debt, this cost is “sunk,” so the bank “will clearly be at an advantage in making a term loan to the same borrower.” Id. </w:t>
      </w:r>
    </w:p>
  </w:footnote>
  <w:footnote w:id="226">
    <w:p w14:paraId="121E2BE9" w14:textId="77777777" w:rsidR="00275DB3" w:rsidRDefault="00275DB3" w:rsidP="002C2CAA">
      <w:pPr>
        <w:pStyle w:val="FootnoteText"/>
      </w:pPr>
      <w:r>
        <w:rPr>
          <w:rStyle w:val="FootnoteReference"/>
        </w:rPr>
        <w:footnoteRef/>
      </w:r>
      <w:r>
        <w:t xml:space="preserve"> </w:t>
      </w:r>
      <w:proofErr w:type="gramStart"/>
      <w:r>
        <w:t xml:space="preserve">In particular, </w:t>
      </w:r>
      <w:proofErr w:type="spellStart"/>
      <w:r>
        <w:t>Leviten</w:t>
      </w:r>
      <w:proofErr w:type="spellEnd"/>
      <w:proofErr w:type="gramEnd"/>
      <w:r>
        <w:t xml:space="preserve"> and </w:t>
      </w:r>
    </w:p>
  </w:footnote>
  <w:footnote w:id="227">
    <w:p w14:paraId="2A8750E7" w14:textId="77777777" w:rsidR="00275DB3" w:rsidRDefault="00275DB3" w:rsidP="002C2CAA">
      <w:pPr>
        <w:pStyle w:val="FootnoteText"/>
      </w:pPr>
      <w:r>
        <w:rPr>
          <w:rStyle w:val="FootnoteReference"/>
        </w:rPr>
        <w:footnoteRef/>
      </w:r>
      <w:r>
        <w:t xml:space="preserve"> </w:t>
      </w:r>
      <w:proofErr w:type="spellStart"/>
      <w:r>
        <w:t>Kashap</w:t>
      </w:r>
      <w:proofErr w:type="spellEnd"/>
      <w:r>
        <w:t xml:space="preserve">, </w:t>
      </w:r>
      <w:proofErr w:type="spellStart"/>
      <w:proofErr w:type="gramStart"/>
      <w:r>
        <w:t>Rajan</w:t>
      </w:r>
      <w:proofErr w:type="spellEnd"/>
      <w:r>
        <w:t xml:space="preserve">  &amp;</w:t>
      </w:r>
      <w:proofErr w:type="gramEnd"/>
      <w:r>
        <w:t xml:space="preserve"> Stein, supra, at 50.</w:t>
      </w:r>
    </w:p>
  </w:footnote>
  <w:footnote w:id="228">
    <w:p w14:paraId="24377DCB" w14:textId="77777777" w:rsidR="00275DB3" w:rsidRDefault="00275DB3" w:rsidP="002C2CAA">
      <w:pPr>
        <w:pStyle w:val="FootnoteText"/>
      </w:pPr>
      <w:r>
        <w:rPr>
          <w:rStyle w:val="FootnoteReference"/>
        </w:rPr>
        <w:footnoteRef/>
      </w:r>
      <w:r>
        <w:t xml:space="preserve"> Id.</w:t>
      </w:r>
    </w:p>
  </w:footnote>
  <w:footnote w:id="229">
    <w:p w14:paraId="7FE1A058" w14:textId="77777777" w:rsidR="00275DB3" w:rsidRDefault="00275DB3" w:rsidP="002C2CAA">
      <w:pPr>
        <w:pStyle w:val="FootnoteText"/>
      </w:pPr>
      <w:r>
        <w:rPr>
          <w:rStyle w:val="FootnoteReference"/>
        </w:rPr>
        <w:footnoteRef/>
      </w:r>
      <w:r>
        <w:t xml:space="preserve"> </w:t>
      </w:r>
      <w:proofErr w:type="spellStart"/>
      <w:r>
        <w:t>Leviten</w:t>
      </w:r>
      <w:proofErr w:type="spellEnd"/>
      <w:r>
        <w:t>, supra, at 383.</w:t>
      </w:r>
    </w:p>
  </w:footnote>
  <w:footnote w:id="230">
    <w:p w14:paraId="0DD15ABD" w14:textId="77777777" w:rsidR="00275DB3" w:rsidRDefault="00275DB3" w:rsidP="002C2CAA">
      <w:pPr>
        <w:pStyle w:val="FootnoteText"/>
      </w:pPr>
      <w:r>
        <w:rPr>
          <w:rStyle w:val="FootnoteReference"/>
        </w:rPr>
        <w:footnoteRef/>
      </w:r>
      <w:r>
        <w:t xml:space="preserve"> </w:t>
      </w:r>
      <w:proofErr w:type="spellStart"/>
      <w:r>
        <w:t>Leviten</w:t>
      </w:r>
      <w:proofErr w:type="spellEnd"/>
      <w:r>
        <w:t>, supra, at 362.</w:t>
      </w:r>
    </w:p>
  </w:footnote>
  <w:footnote w:id="231">
    <w:p w14:paraId="3392C76C" w14:textId="77777777" w:rsidR="00275DB3" w:rsidRPr="00DD1256" w:rsidRDefault="00275DB3" w:rsidP="002C2CAA">
      <w:pPr>
        <w:outlineLvl w:val="0"/>
        <w:rPr>
          <w:i/>
        </w:rPr>
      </w:pPr>
      <w:r>
        <w:rPr>
          <w:rStyle w:val="FootnoteReference"/>
        </w:rPr>
        <w:footnoteRef/>
      </w:r>
      <w:r>
        <w:t xml:space="preserve"> Roberta Romano, Are There Empirical Foundations for the Iron Law of Financial Regulation? </w:t>
      </w:r>
      <w:r w:rsidRPr="00DD1256">
        <w:t xml:space="preserve">American Law &amp; Economics Review, </w:t>
      </w:r>
      <w:r w:rsidRPr="00DD1256">
        <w:rPr>
          <w:i/>
        </w:rPr>
        <w:t>forthcoming</w:t>
      </w:r>
      <w:r w:rsidRPr="00DD1256">
        <w:t xml:space="preserve"> 2024</w:t>
      </w:r>
      <w:r>
        <w:t>.</w:t>
      </w:r>
    </w:p>
  </w:footnote>
  <w:footnote w:id="232">
    <w:p w14:paraId="20F94E02" w14:textId="77777777" w:rsidR="00275DB3" w:rsidRPr="00E53300" w:rsidRDefault="00275DB3" w:rsidP="002C2CAA">
      <w:pPr>
        <w:pStyle w:val="FootnoteText"/>
      </w:pPr>
      <w:r w:rsidRPr="00E53300">
        <w:rPr>
          <w:rStyle w:val="FootnoteReference"/>
        </w:rPr>
        <w:footnoteRef/>
      </w:r>
      <w:r w:rsidRPr="00E53300">
        <w:t xml:space="preserve"> Awrey, supra, at 720.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0A72"/>
    <w:multiLevelType w:val="hybridMultilevel"/>
    <w:tmpl w:val="D2B4CC04"/>
    <w:lvl w:ilvl="0" w:tplc="F1B2BED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45803"/>
    <w:multiLevelType w:val="hybridMultilevel"/>
    <w:tmpl w:val="F2E495D8"/>
    <w:lvl w:ilvl="0" w:tplc="9F32DBE2">
      <w:start w:val="3"/>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A06C8B"/>
    <w:multiLevelType w:val="hybridMultilevel"/>
    <w:tmpl w:val="E1B0C022"/>
    <w:lvl w:ilvl="0" w:tplc="3A346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2C2F30"/>
    <w:multiLevelType w:val="hybridMultilevel"/>
    <w:tmpl w:val="7AA23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D6BE5"/>
    <w:multiLevelType w:val="hybridMultilevel"/>
    <w:tmpl w:val="4A2A8B54"/>
    <w:lvl w:ilvl="0" w:tplc="3EC4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26296F"/>
    <w:multiLevelType w:val="hybridMultilevel"/>
    <w:tmpl w:val="CD802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713D1"/>
    <w:multiLevelType w:val="hybridMultilevel"/>
    <w:tmpl w:val="89DAEBF4"/>
    <w:lvl w:ilvl="0" w:tplc="75744EDE">
      <w:start w:val="2"/>
      <w:numFmt w:val="upperRoman"/>
      <w:lvlText w:val="%1."/>
      <w:lvlJc w:val="left"/>
      <w:pPr>
        <w:ind w:left="1440" w:hanging="720"/>
      </w:pPr>
      <w:rPr>
        <w:rFonts w:hint="default"/>
      </w:rPr>
    </w:lvl>
    <w:lvl w:ilvl="1" w:tplc="B1266EA4">
      <w:start w:val="1"/>
      <w:numFmt w:val="lowerLetter"/>
      <w:lvlText w:val="%2."/>
      <w:lvlJc w:val="left"/>
      <w:pPr>
        <w:ind w:left="1800" w:hanging="360"/>
      </w:pPr>
      <w:rPr>
        <w:cap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DD459B"/>
    <w:multiLevelType w:val="hybridMultilevel"/>
    <w:tmpl w:val="635E7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E45609"/>
    <w:multiLevelType w:val="hybridMultilevel"/>
    <w:tmpl w:val="F16ED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2"/>
  </w:num>
  <w:num w:numId="5">
    <w:abstractNumId w:val="8"/>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AA"/>
    <w:rsid w:val="0003207C"/>
    <w:rsid w:val="00240B74"/>
    <w:rsid w:val="00275DB3"/>
    <w:rsid w:val="002C2CAA"/>
    <w:rsid w:val="004B63B1"/>
    <w:rsid w:val="00757A65"/>
    <w:rsid w:val="009535BC"/>
    <w:rsid w:val="0099575B"/>
    <w:rsid w:val="00D85FE7"/>
    <w:rsid w:val="00E6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8DAB"/>
  <w15:chartTrackingRefBased/>
  <w15:docId w15:val="{55D1D75F-B7AA-4EB9-8591-83DEA322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CAA"/>
    <w:pPr>
      <w:keepNext/>
      <w:spacing w:before="240" w:after="60" w:line="240" w:lineRule="auto"/>
      <w:jc w:val="center"/>
      <w:outlineLvl w:val="0"/>
    </w:pPr>
    <w:rPr>
      <w:rFonts w:ascii="Times New Roman" w:eastAsia="MS Gothic" w:hAnsi="Times New Roman" w:cs="Times New Roman"/>
      <w:smallCaps/>
      <w:kern w:val="32"/>
      <w:sz w:val="24"/>
      <w:szCs w:val="24"/>
    </w:rPr>
  </w:style>
  <w:style w:type="paragraph" w:styleId="Heading2">
    <w:name w:val="heading 2"/>
    <w:basedOn w:val="Normal"/>
    <w:next w:val="Normal"/>
    <w:link w:val="Heading2Char"/>
    <w:uiPriority w:val="9"/>
    <w:unhideWhenUsed/>
    <w:qFormat/>
    <w:rsid w:val="002C2CAA"/>
    <w:pPr>
      <w:keepNext/>
      <w:spacing w:before="240" w:after="60" w:line="240" w:lineRule="auto"/>
      <w:jc w:val="center"/>
      <w:outlineLvl w:val="1"/>
    </w:pPr>
    <w:rPr>
      <w:rFonts w:ascii="Times New Roman" w:eastAsia="MS Gothic" w:hAnsi="Times New Roman" w:cs="Times New Roman"/>
      <w:bCs/>
      <w:i/>
      <w:iCs/>
      <w:sz w:val="24"/>
      <w:szCs w:val="24"/>
    </w:rPr>
  </w:style>
  <w:style w:type="paragraph" w:styleId="Heading3">
    <w:name w:val="heading 3"/>
    <w:basedOn w:val="Normal"/>
    <w:next w:val="Normal"/>
    <w:link w:val="Heading3Char"/>
    <w:uiPriority w:val="9"/>
    <w:semiHidden/>
    <w:unhideWhenUsed/>
    <w:qFormat/>
    <w:rsid w:val="002C2CAA"/>
    <w:pPr>
      <w:keepNext/>
      <w:keepLines/>
      <w:spacing w:before="40" w:after="0"/>
      <w:outlineLvl w:val="2"/>
    </w:pPr>
    <w:rPr>
      <w:rFonts w:eastAsia="MS Gothic"/>
      <w:bCs/>
      <w:i/>
      <w:sz w:val="24"/>
      <w:szCs w:val="24"/>
    </w:rPr>
  </w:style>
  <w:style w:type="paragraph" w:styleId="Heading5">
    <w:name w:val="heading 5"/>
    <w:basedOn w:val="Normal"/>
    <w:next w:val="Normal"/>
    <w:link w:val="Heading5Char"/>
    <w:uiPriority w:val="9"/>
    <w:semiHidden/>
    <w:unhideWhenUsed/>
    <w:qFormat/>
    <w:rsid w:val="002C2CAA"/>
    <w:pPr>
      <w:keepNext/>
      <w:keepLines/>
      <w:spacing w:before="40" w:after="0"/>
      <w:outlineLvl w:val="4"/>
    </w:pPr>
    <w:rPr>
      <w:rFonts w:ascii="Calibri" w:eastAsia="MS Gothic" w:hAnsi="Calibri" w:cs="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CAA"/>
    <w:rPr>
      <w:rFonts w:ascii="Times New Roman" w:eastAsia="MS Gothic" w:hAnsi="Times New Roman" w:cs="Times New Roman"/>
      <w:smallCaps/>
      <w:kern w:val="32"/>
      <w:sz w:val="24"/>
      <w:szCs w:val="24"/>
    </w:rPr>
  </w:style>
  <w:style w:type="character" w:customStyle="1" w:styleId="Heading2Char">
    <w:name w:val="Heading 2 Char"/>
    <w:basedOn w:val="DefaultParagraphFont"/>
    <w:link w:val="Heading2"/>
    <w:uiPriority w:val="9"/>
    <w:rsid w:val="002C2CAA"/>
    <w:rPr>
      <w:rFonts w:ascii="Times New Roman" w:eastAsia="MS Gothic" w:hAnsi="Times New Roman" w:cs="Times New Roman"/>
      <w:bCs/>
      <w:i/>
      <w:iCs/>
      <w:sz w:val="24"/>
      <w:szCs w:val="24"/>
    </w:rPr>
  </w:style>
  <w:style w:type="paragraph" w:customStyle="1" w:styleId="Heading31">
    <w:name w:val="Heading 31"/>
    <w:basedOn w:val="Normal"/>
    <w:next w:val="Normal"/>
    <w:uiPriority w:val="9"/>
    <w:unhideWhenUsed/>
    <w:qFormat/>
    <w:rsid w:val="002C2CAA"/>
    <w:pPr>
      <w:keepNext/>
      <w:keepLines/>
      <w:spacing w:before="200" w:after="0" w:line="240" w:lineRule="auto"/>
      <w:jc w:val="center"/>
      <w:outlineLvl w:val="2"/>
    </w:pPr>
    <w:rPr>
      <w:rFonts w:ascii="Times New Roman" w:eastAsia="MS Gothic" w:hAnsi="Times New Roman" w:cs="Times New Roman"/>
      <w:bCs/>
      <w:i/>
      <w:sz w:val="24"/>
      <w:szCs w:val="24"/>
    </w:rPr>
  </w:style>
  <w:style w:type="paragraph" w:customStyle="1" w:styleId="Heading51">
    <w:name w:val="Heading 51"/>
    <w:basedOn w:val="Normal"/>
    <w:next w:val="Normal"/>
    <w:uiPriority w:val="9"/>
    <w:unhideWhenUsed/>
    <w:qFormat/>
    <w:rsid w:val="002C2CAA"/>
    <w:pPr>
      <w:keepNext/>
      <w:keepLines/>
      <w:spacing w:before="40" w:after="0" w:line="240" w:lineRule="auto"/>
      <w:outlineLvl w:val="4"/>
    </w:pPr>
    <w:rPr>
      <w:rFonts w:ascii="Calibri" w:eastAsia="MS Gothic" w:hAnsi="Calibri" w:cs="Times New Roman"/>
      <w:color w:val="365F91"/>
      <w:sz w:val="24"/>
      <w:szCs w:val="24"/>
    </w:rPr>
  </w:style>
  <w:style w:type="numbering" w:customStyle="1" w:styleId="NoList1">
    <w:name w:val="No List1"/>
    <w:next w:val="NoList"/>
    <w:uiPriority w:val="99"/>
    <w:semiHidden/>
    <w:unhideWhenUsed/>
    <w:rsid w:val="002C2CAA"/>
  </w:style>
  <w:style w:type="paragraph" w:styleId="BalloonText">
    <w:name w:val="Balloon Text"/>
    <w:basedOn w:val="Normal"/>
    <w:link w:val="BalloonTextChar"/>
    <w:semiHidden/>
    <w:rsid w:val="002C2CAA"/>
    <w:pPr>
      <w:spacing w:after="0" w:line="240" w:lineRule="auto"/>
    </w:pPr>
    <w:rPr>
      <w:rFonts w:ascii="Lucida Grande" w:eastAsia="Times New Roman" w:hAnsi="Lucida Grande" w:cs="Times New Roman"/>
      <w:sz w:val="18"/>
      <w:szCs w:val="18"/>
    </w:rPr>
  </w:style>
  <w:style w:type="character" w:customStyle="1" w:styleId="BalloonTextChar">
    <w:name w:val="Balloon Text Char"/>
    <w:basedOn w:val="DefaultParagraphFont"/>
    <w:link w:val="BalloonText"/>
    <w:semiHidden/>
    <w:rsid w:val="002C2CAA"/>
    <w:rPr>
      <w:rFonts w:ascii="Lucida Grande" w:eastAsia="Times New Roman" w:hAnsi="Lucida Grande" w:cs="Times New Roman"/>
      <w:sz w:val="18"/>
      <w:szCs w:val="18"/>
    </w:rPr>
  </w:style>
  <w:style w:type="character" w:styleId="Hyperlink">
    <w:name w:val="Hyperlink"/>
    <w:uiPriority w:val="99"/>
    <w:rsid w:val="002C2CAA"/>
    <w:rPr>
      <w:color w:val="0000FF"/>
      <w:u w:val="single"/>
    </w:rPr>
  </w:style>
  <w:style w:type="paragraph" w:styleId="FootnoteText">
    <w:name w:val="footnote text"/>
    <w:basedOn w:val="Normal"/>
    <w:link w:val="FootnoteTextChar"/>
    <w:qFormat/>
    <w:rsid w:val="002C2CAA"/>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2C2CAA"/>
    <w:rPr>
      <w:rFonts w:ascii="Times New Roman" w:eastAsia="Times New Roman" w:hAnsi="Times New Roman" w:cs="Times New Roman"/>
      <w:sz w:val="24"/>
      <w:szCs w:val="24"/>
    </w:rPr>
  </w:style>
  <w:style w:type="character" w:styleId="FootnoteReference">
    <w:name w:val="footnote reference"/>
    <w:aliases w:val="FR,a Footnote Reference,fr"/>
    <w:uiPriority w:val="99"/>
    <w:rsid w:val="002C2CAA"/>
    <w:rPr>
      <w:vertAlign w:val="superscript"/>
    </w:rPr>
  </w:style>
  <w:style w:type="paragraph" w:styleId="EndnoteText">
    <w:name w:val="endnote text"/>
    <w:basedOn w:val="Normal"/>
    <w:link w:val="EndnoteTextChar"/>
    <w:semiHidden/>
    <w:rsid w:val="002C2CA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C2CAA"/>
    <w:rPr>
      <w:rFonts w:ascii="Times New Roman" w:eastAsia="Times New Roman" w:hAnsi="Times New Roman" w:cs="Times New Roman"/>
      <w:sz w:val="20"/>
      <w:szCs w:val="20"/>
    </w:rPr>
  </w:style>
  <w:style w:type="character" w:styleId="EndnoteReference">
    <w:name w:val="endnote reference"/>
    <w:uiPriority w:val="99"/>
    <w:rsid w:val="002C2CAA"/>
    <w:rPr>
      <w:vertAlign w:val="superscript"/>
    </w:rPr>
  </w:style>
  <w:style w:type="character" w:styleId="FollowedHyperlink">
    <w:name w:val="FollowedHyperlink"/>
    <w:rsid w:val="002C2CAA"/>
    <w:rPr>
      <w:color w:val="800080"/>
      <w:u w:val="single"/>
    </w:rPr>
  </w:style>
  <w:style w:type="paragraph" w:styleId="Footer">
    <w:name w:val="footer"/>
    <w:basedOn w:val="Normal"/>
    <w:link w:val="FooterChar"/>
    <w:uiPriority w:val="99"/>
    <w:unhideWhenUsed/>
    <w:rsid w:val="002C2CA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C2CAA"/>
    <w:rPr>
      <w:rFonts w:ascii="Times New Roman" w:eastAsia="Times New Roman" w:hAnsi="Times New Roman" w:cs="Times New Roman"/>
      <w:sz w:val="24"/>
      <w:szCs w:val="24"/>
    </w:rPr>
  </w:style>
  <w:style w:type="character" w:styleId="PageNumber">
    <w:name w:val="page number"/>
    <w:uiPriority w:val="99"/>
    <w:semiHidden/>
    <w:unhideWhenUsed/>
    <w:rsid w:val="002C2CAA"/>
  </w:style>
  <w:style w:type="paragraph" w:styleId="Header">
    <w:name w:val="header"/>
    <w:basedOn w:val="Normal"/>
    <w:link w:val="HeaderChar"/>
    <w:uiPriority w:val="99"/>
    <w:unhideWhenUsed/>
    <w:rsid w:val="002C2CA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C2CAA"/>
    <w:rPr>
      <w:rFonts w:ascii="Times New Roman" w:eastAsia="Times New Roman" w:hAnsi="Times New Roman" w:cs="Times New Roman"/>
      <w:sz w:val="24"/>
      <w:szCs w:val="24"/>
    </w:rPr>
  </w:style>
  <w:style w:type="paragraph" w:customStyle="1" w:styleId="TOC11">
    <w:name w:val="TOC 11"/>
    <w:basedOn w:val="Normal"/>
    <w:next w:val="Normal"/>
    <w:autoRedefine/>
    <w:uiPriority w:val="39"/>
    <w:unhideWhenUsed/>
    <w:rsid w:val="002C2CAA"/>
    <w:pPr>
      <w:tabs>
        <w:tab w:val="right" w:leader="dot" w:pos="8630"/>
      </w:tabs>
      <w:spacing w:before="120" w:after="0" w:line="240" w:lineRule="auto"/>
    </w:pPr>
    <w:rPr>
      <w:rFonts w:eastAsia="Times New Roman" w:cs="Times New Roman"/>
      <w:b/>
      <w:bCs/>
      <w:i/>
      <w:iCs/>
      <w:sz w:val="24"/>
      <w:szCs w:val="24"/>
    </w:rPr>
  </w:style>
  <w:style w:type="paragraph" w:customStyle="1" w:styleId="TOC21">
    <w:name w:val="TOC 21"/>
    <w:basedOn w:val="Normal"/>
    <w:next w:val="Normal"/>
    <w:autoRedefine/>
    <w:uiPriority w:val="39"/>
    <w:unhideWhenUsed/>
    <w:rsid w:val="002C2CAA"/>
    <w:pPr>
      <w:spacing w:before="120" w:after="0" w:line="240" w:lineRule="auto"/>
      <w:ind w:left="240"/>
    </w:pPr>
    <w:rPr>
      <w:rFonts w:eastAsia="Times New Roman" w:cs="Times New Roman"/>
      <w:b/>
      <w:bCs/>
    </w:rPr>
  </w:style>
  <w:style w:type="paragraph" w:customStyle="1" w:styleId="TOC31">
    <w:name w:val="TOC 31"/>
    <w:basedOn w:val="Normal"/>
    <w:next w:val="Normal"/>
    <w:autoRedefine/>
    <w:uiPriority w:val="39"/>
    <w:unhideWhenUsed/>
    <w:rsid w:val="002C2CAA"/>
    <w:pPr>
      <w:spacing w:after="0" w:line="240" w:lineRule="auto"/>
      <w:ind w:left="480"/>
    </w:pPr>
    <w:rPr>
      <w:rFonts w:eastAsia="Times New Roman" w:cs="Times New Roman"/>
      <w:sz w:val="20"/>
      <w:szCs w:val="20"/>
    </w:rPr>
  </w:style>
  <w:style w:type="paragraph" w:customStyle="1" w:styleId="TOC41">
    <w:name w:val="TOC 41"/>
    <w:basedOn w:val="Normal"/>
    <w:next w:val="Normal"/>
    <w:autoRedefine/>
    <w:uiPriority w:val="39"/>
    <w:unhideWhenUsed/>
    <w:rsid w:val="002C2CAA"/>
    <w:pPr>
      <w:spacing w:after="0" w:line="240" w:lineRule="auto"/>
      <w:ind w:left="720"/>
    </w:pPr>
    <w:rPr>
      <w:rFonts w:eastAsia="Times New Roman" w:cs="Times New Roman"/>
      <w:sz w:val="20"/>
      <w:szCs w:val="20"/>
    </w:rPr>
  </w:style>
  <w:style w:type="paragraph" w:customStyle="1" w:styleId="TOC51">
    <w:name w:val="TOC 51"/>
    <w:basedOn w:val="Normal"/>
    <w:next w:val="Normal"/>
    <w:autoRedefine/>
    <w:uiPriority w:val="39"/>
    <w:unhideWhenUsed/>
    <w:rsid w:val="002C2CAA"/>
    <w:pPr>
      <w:spacing w:after="0" w:line="240" w:lineRule="auto"/>
      <w:ind w:left="960"/>
    </w:pPr>
    <w:rPr>
      <w:rFonts w:eastAsia="Times New Roman" w:cs="Times New Roman"/>
      <w:sz w:val="20"/>
      <w:szCs w:val="20"/>
    </w:rPr>
  </w:style>
  <w:style w:type="paragraph" w:customStyle="1" w:styleId="TOC61">
    <w:name w:val="TOC 61"/>
    <w:basedOn w:val="Normal"/>
    <w:next w:val="Normal"/>
    <w:autoRedefine/>
    <w:uiPriority w:val="39"/>
    <w:unhideWhenUsed/>
    <w:rsid w:val="002C2CAA"/>
    <w:pPr>
      <w:spacing w:after="0" w:line="240" w:lineRule="auto"/>
      <w:ind w:left="1200"/>
    </w:pPr>
    <w:rPr>
      <w:rFonts w:eastAsia="Times New Roman" w:cs="Times New Roman"/>
      <w:sz w:val="20"/>
      <w:szCs w:val="20"/>
    </w:rPr>
  </w:style>
  <w:style w:type="paragraph" w:customStyle="1" w:styleId="TOC71">
    <w:name w:val="TOC 71"/>
    <w:basedOn w:val="Normal"/>
    <w:next w:val="Normal"/>
    <w:autoRedefine/>
    <w:uiPriority w:val="39"/>
    <w:unhideWhenUsed/>
    <w:rsid w:val="002C2CAA"/>
    <w:pPr>
      <w:spacing w:after="0" w:line="240" w:lineRule="auto"/>
      <w:ind w:left="1440"/>
    </w:pPr>
    <w:rPr>
      <w:rFonts w:eastAsia="Times New Roman" w:cs="Times New Roman"/>
      <w:sz w:val="20"/>
      <w:szCs w:val="20"/>
    </w:rPr>
  </w:style>
  <w:style w:type="paragraph" w:customStyle="1" w:styleId="TOC81">
    <w:name w:val="TOC 81"/>
    <w:basedOn w:val="Normal"/>
    <w:next w:val="Normal"/>
    <w:autoRedefine/>
    <w:uiPriority w:val="39"/>
    <w:unhideWhenUsed/>
    <w:rsid w:val="002C2CAA"/>
    <w:pPr>
      <w:spacing w:after="0" w:line="240" w:lineRule="auto"/>
      <w:ind w:left="1680"/>
    </w:pPr>
    <w:rPr>
      <w:rFonts w:eastAsia="Times New Roman" w:cs="Times New Roman"/>
      <w:sz w:val="20"/>
      <w:szCs w:val="20"/>
    </w:rPr>
  </w:style>
  <w:style w:type="paragraph" w:customStyle="1" w:styleId="TOC91">
    <w:name w:val="TOC 91"/>
    <w:basedOn w:val="Normal"/>
    <w:next w:val="Normal"/>
    <w:autoRedefine/>
    <w:uiPriority w:val="39"/>
    <w:unhideWhenUsed/>
    <w:rsid w:val="002C2CAA"/>
    <w:pPr>
      <w:spacing w:after="0" w:line="240" w:lineRule="auto"/>
      <w:ind w:left="1920"/>
    </w:pPr>
    <w:rPr>
      <w:rFonts w:eastAsia="Times New Roman" w:cs="Times New Roman"/>
      <w:sz w:val="20"/>
      <w:szCs w:val="20"/>
    </w:rPr>
  </w:style>
  <w:style w:type="paragraph" w:styleId="ListParagraph">
    <w:name w:val="List Paragraph"/>
    <w:basedOn w:val="Normal"/>
    <w:uiPriority w:val="34"/>
    <w:qFormat/>
    <w:rsid w:val="002C2CAA"/>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C2CAA"/>
    <w:rPr>
      <w:rFonts w:eastAsia="MS Gothic"/>
      <w:bCs/>
      <w:i/>
      <w:sz w:val="24"/>
      <w:szCs w:val="24"/>
    </w:rPr>
  </w:style>
  <w:style w:type="character" w:styleId="CommentReference">
    <w:name w:val="annotation reference"/>
    <w:basedOn w:val="DefaultParagraphFont"/>
    <w:uiPriority w:val="99"/>
    <w:semiHidden/>
    <w:unhideWhenUsed/>
    <w:rsid w:val="002C2CAA"/>
    <w:rPr>
      <w:sz w:val="18"/>
      <w:szCs w:val="18"/>
    </w:rPr>
  </w:style>
  <w:style w:type="paragraph" w:styleId="CommentText">
    <w:name w:val="annotation text"/>
    <w:basedOn w:val="Normal"/>
    <w:link w:val="CommentTextChar"/>
    <w:uiPriority w:val="99"/>
    <w:semiHidden/>
    <w:unhideWhenUsed/>
    <w:rsid w:val="002C2CAA"/>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2C2CA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C2CAA"/>
    <w:rPr>
      <w:b/>
      <w:bCs/>
      <w:sz w:val="20"/>
      <w:szCs w:val="20"/>
    </w:rPr>
  </w:style>
  <w:style w:type="character" w:customStyle="1" w:styleId="CommentSubjectChar">
    <w:name w:val="Comment Subject Char"/>
    <w:basedOn w:val="CommentTextChar"/>
    <w:link w:val="CommentSubject"/>
    <w:uiPriority w:val="99"/>
    <w:semiHidden/>
    <w:rsid w:val="002C2CAA"/>
    <w:rPr>
      <w:rFonts w:ascii="Times New Roman" w:eastAsia="Times New Roman" w:hAnsi="Times New Roman" w:cs="Times New Roman"/>
      <w:b/>
      <w:bCs/>
      <w:sz w:val="20"/>
      <w:szCs w:val="20"/>
    </w:rPr>
  </w:style>
  <w:style w:type="paragraph" w:styleId="NormalWeb">
    <w:name w:val="Normal (Web)"/>
    <w:basedOn w:val="Normal"/>
    <w:uiPriority w:val="99"/>
    <w:unhideWhenUsed/>
    <w:rsid w:val="002C2CAA"/>
    <w:pPr>
      <w:spacing w:after="0" w:line="240" w:lineRule="auto"/>
    </w:pPr>
    <w:rPr>
      <w:rFonts w:ascii="Times New Roman" w:eastAsia="Times New Roman" w:hAnsi="Times New Roman" w:cs="Times New Roman"/>
      <w:sz w:val="24"/>
      <w:szCs w:val="24"/>
    </w:rPr>
  </w:style>
  <w:style w:type="paragraph" w:customStyle="1" w:styleId="FootNote">
    <w:name w:val="_FootNote"/>
    <w:basedOn w:val="Normal"/>
    <w:qFormat/>
    <w:rsid w:val="002C2CAA"/>
    <w:pPr>
      <w:widowControl w:val="0"/>
      <w:tabs>
        <w:tab w:val="right" w:pos="480"/>
        <w:tab w:val="left" w:pos="600"/>
      </w:tabs>
      <w:spacing w:after="0" w:line="210" w:lineRule="exact"/>
      <w:jc w:val="both"/>
    </w:pPr>
    <w:rPr>
      <w:rFonts w:ascii="Times" w:eastAsia="Times New Roman" w:hAnsi="Times" w:cs="Times New Roman"/>
      <w:sz w:val="18"/>
      <w:szCs w:val="20"/>
    </w:rPr>
  </w:style>
  <w:style w:type="character" w:customStyle="1" w:styleId="NoterefInNote">
    <w:name w:val="_NoterefInNote"/>
    <w:basedOn w:val="DefaultParagraphFont"/>
    <w:qFormat/>
    <w:rsid w:val="002C2CAA"/>
    <w:rPr>
      <w:rFonts w:ascii="Times" w:hAnsi="Times"/>
      <w:sz w:val="18"/>
      <w:vertAlign w:val="baseline"/>
    </w:rPr>
  </w:style>
  <w:style w:type="character" w:customStyle="1" w:styleId="NoterefInText">
    <w:name w:val="_NoterefInText"/>
    <w:basedOn w:val="DefaultParagraphFont"/>
    <w:qFormat/>
    <w:rsid w:val="002C2CAA"/>
    <w:rPr>
      <w:rFonts w:ascii="Times" w:hAnsi="Times"/>
      <w:kern w:val="13"/>
      <w:position w:val="10"/>
      <w:sz w:val="13"/>
      <w:vertAlign w:val="baseline"/>
    </w:rPr>
  </w:style>
  <w:style w:type="table" w:styleId="TableGrid">
    <w:name w:val="Table Grid"/>
    <w:basedOn w:val="TableNormal"/>
    <w:uiPriority w:val="39"/>
    <w:rsid w:val="002C2CAA"/>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C2CAA"/>
    <w:rPr>
      <w:color w:val="605E5C"/>
      <w:shd w:val="clear" w:color="auto" w:fill="E1DFDD"/>
    </w:rPr>
  </w:style>
  <w:style w:type="paragraph" w:styleId="Revision">
    <w:name w:val="Revision"/>
    <w:hidden/>
    <w:uiPriority w:val="99"/>
    <w:semiHidden/>
    <w:rsid w:val="002C2CAA"/>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2C2CAA"/>
    <w:rPr>
      <w:rFonts w:ascii="Calibri" w:eastAsia="MS Gothic" w:hAnsi="Calibri" w:cs="Times New Roman"/>
      <w:color w:val="365F91"/>
    </w:rPr>
  </w:style>
  <w:style w:type="character" w:styleId="Emphasis">
    <w:name w:val="Emphasis"/>
    <w:basedOn w:val="DefaultParagraphFont"/>
    <w:uiPriority w:val="20"/>
    <w:qFormat/>
    <w:rsid w:val="002C2CAA"/>
    <w:rPr>
      <w:i/>
      <w:iCs/>
    </w:rPr>
  </w:style>
  <w:style w:type="paragraph" w:customStyle="1" w:styleId="TOCHeading1">
    <w:name w:val="TOC Heading1"/>
    <w:basedOn w:val="Heading1"/>
    <w:next w:val="Normal"/>
    <w:uiPriority w:val="39"/>
    <w:unhideWhenUsed/>
    <w:qFormat/>
    <w:rsid w:val="002C2CAA"/>
    <w:pPr>
      <w:keepLines/>
      <w:spacing w:after="0" w:line="259" w:lineRule="auto"/>
      <w:jc w:val="left"/>
      <w:outlineLvl w:val="9"/>
    </w:pPr>
    <w:rPr>
      <w:rFonts w:ascii="Calibri" w:hAnsi="Calibri"/>
      <w:smallCaps w:val="0"/>
      <w:color w:val="365F91"/>
      <w:kern w:val="0"/>
      <w:sz w:val="32"/>
      <w:szCs w:val="32"/>
    </w:rPr>
  </w:style>
  <w:style w:type="character" w:customStyle="1" w:styleId="UnresolvedMention2">
    <w:name w:val="Unresolved Mention2"/>
    <w:basedOn w:val="DefaultParagraphFont"/>
    <w:uiPriority w:val="99"/>
    <w:semiHidden/>
    <w:unhideWhenUsed/>
    <w:rsid w:val="002C2CAA"/>
    <w:rPr>
      <w:color w:val="605E5C"/>
      <w:shd w:val="clear" w:color="auto" w:fill="E1DFDD"/>
    </w:rPr>
  </w:style>
  <w:style w:type="character" w:customStyle="1" w:styleId="Heading3Char1">
    <w:name w:val="Heading 3 Char1"/>
    <w:basedOn w:val="DefaultParagraphFont"/>
    <w:link w:val="Heading3"/>
    <w:uiPriority w:val="9"/>
    <w:semiHidden/>
    <w:rsid w:val="002C2CAA"/>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link w:val="Heading5"/>
    <w:uiPriority w:val="9"/>
    <w:semiHidden/>
    <w:rsid w:val="002C2CA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nber.org/papers/w31350" TargetMode="External"/><Relationship Id="rId18" Type="http://schemas.openxmlformats.org/officeDocument/2006/relationships/hyperlink" Target="https://stripe.com/resources/more/open-banking-explained" TargetMode="External"/><Relationship Id="rId26" Type="http://schemas.openxmlformats.org/officeDocument/2006/relationships/hyperlink" Target="https://assets.publishing.service.gov.uk/government/uploads/system/uploads/attachment_data/file/60084%202/retail-banking-market-investigation-order-2017.pdf" TargetMode="External"/><Relationship Id="rId39" Type="http://schemas.openxmlformats.org/officeDocument/2006/relationships/hyperlink" Target="https://www.federalreserve.gov/cbdc-faqs.htm" TargetMode="External"/><Relationship Id="rId21" Type="http://schemas.openxmlformats.org/officeDocument/2006/relationships/hyperlink" Target="https://www.mayerbrown.com/en/insights/publications/2023/12/cfpb-proposes-long-awaited-rule-to-accelerate-open-banking-development" TargetMode="External"/><Relationship Id="rId34" Type="http://schemas.openxmlformats.org/officeDocument/2006/relationships/hyperlink" Target="https://www.coinbase.com/learn/crypto-basics/what-is-defi" TargetMode="External"/><Relationship Id="rId42" Type="http://schemas.openxmlformats.org/officeDocument/2006/relationships/hyperlink" Target="https://ssrn.com/abstract=4422754" TargetMode="External"/><Relationship Id="rId47" Type="http://schemas.openxmlformats.org/officeDocument/2006/relationships/hyperlink" Target="https://www.spglobal.com/marketintelligence/en/news-insights/latest-news-headlines/nonbank-lenders-shed-mortgage-market-share-as-originations-plummet-in-2022-76481554" TargetMode="External"/><Relationship Id="rId50" Type="http://schemas.openxmlformats.org/officeDocument/2006/relationships/hyperlink" Target="https://www.finleycms.com/how-non-bank-lending-is-reshaping-the-economy" TargetMode="External"/><Relationship Id="rId55" Type="http://schemas.openxmlformats.org/officeDocument/2006/relationships/hyperlink" Target="https://www.federalreserve.gov/publications/2023-economic-well-being-of-us-households-in-2022-banking-credit.htm" TargetMode="External"/><Relationship Id="rId7" Type="http://schemas.openxmlformats.org/officeDocument/2006/relationships/hyperlink" Target="https://research.stlouisfed.org/publications/yield-curve/what-is-the-yield-curve" TargetMode="External"/><Relationship Id="rId2" Type="http://schemas.openxmlformats.org/officeDocument/2006/relationships/hyperlink" Target="https://ssrn.com/abstract=4626125" TargetMode="External"/><Relationship Id="rId16" Type="http://schemas.openxmlformats.org/officeDocument/2006/relationships/hyperlink" Target="https://quickbooks.intuit.com/business-banking/loans/term-loans/" TargetMode="External"/><Relationship Id="rId29" Type="http://schemas.openxmlformats.org/officeDocument/2006/relationships/hyperlink" Target="https://paymentcloudinc.com/blog/plaid-vs-stripe/" TargetMode="External"/><Relationship Id="rId11" Type="http://schemas.openxmlformats.org/officeDocument/2006/relationships/hyperlink" Target="https://www.iadi.org/en/about-iadi/deposit-insurance-systems/dis-worldwide/" TargetMode="External"/><Relationship Id="rId24" Type="http://schemas.openxmlformats.org/officeDocument/2006/relationships/hyperlink" Target="https://www.bis.org/bcbs/publ/d486.pdf" TargetMode="External"/><Relationship Id="rId32" Type="http://schemas.openxmlformats.org/officeDocument/2006/relationships/hyperlink" Target="https://hbr.org/2021/10/what-if-central-banks-issued-digital-currency?utm_medium=paidsearch&amp;utm_source=google&amp;utm_campaign=domcontent&amp;utm_term=Non-Brand&amp;tpcc=paidsearch.google.dsacontent&amp;gad_source=1&amp;gclid=CjwKCAiA_tuuBhAUEiwAvxkgTpmFutuhAztfMo18RE-msLnUnDlwYiULIf1e9ycvht-j42U159pBpxoC0RIQAvD_BwE" TargetMode="External"/><Relationship Id="rId37" Type="http://schemas.openxmlformats.org/officeDocument/2006/relationships/hyperlink" Target="https://www.circle.com/en/usdc" TargetMode="External"/><Relationship Id="rId40" Type="http://schemas.openxmlformats.org/officeDocument/2006/relationships/hyperlink" Target="https://www.economist.com/the-economist-explains/2021/02/16/what-is-the-fuss-over-central-bank-digital-currencies?utm_medium=cpc.adword.pd&amp;utm_source=google&amp;ppccampaignID=17210591673&amp;ppcadID=&amp;utm_campaign=a.22brand_pmax&amp;utm_content=conversion.direct-response.anonymous&amp;gad_source=1&amp;gclid=CjwKCAiA_tuuBhAUEiwAvxkgTuWGs5ZcI9lmKU3oWbVx1XdCNSdFsH2Byu3cSPpgqslQ3QdpXu8HMRoCPsYQAvD_BwE&amp;gclsrc=aw.ds" TargetMode="External"/><Relationship Id="rId45" Type="http://schemas.openxmlformats.org/officeDocument/2006/relationships/hyperlink" Target="https://static1.squarespace.com/static/54d620fce4b049bf4cd5be9b/t/5532be2de4b07fb5e0478c7d/1429388845292/Narrow&#254;Banking%2C&#254;the&#254;reform&#254;of&#254;banking&#254;regulation%2C&#254;by&#254;John&#254;Kay.pdf" TargetMode="External"/><Relationship Id="rId53" Type="http://schemas.openxmlformats.org/officeDocument/2006/relationships/hyperlink" Target="https://www.newyorker.com/business/currency/the-high-cost-for-the-poor-of-using-a-bank?_sp=fb25f73f-5223-49b4-9727-6b53cbec191a.1709683391583" TargetMode="External"/><Relationship Id="rId58" Type="http://schemas.openxmlformats.org/officeDocument/2006/relationships/hyperlink" Target="https://www.spglobal.com/marketintelligence/en/news-insights/latest-news-headlines/us-banks-report-872b-yoy-drop-in-deposits-77596674" TargetMode="External"/><Relationship Id="rId5" Type="http://schemas.openxmlformats.org/officeDocument/2006/relationships/hyperlink" Target="https://doi.org/10.1596/1813-9450-1699" TargetMode="External"/><Relationship Id="rId19" Type="http://schemas.openxmlformats.org/officeDocument/2006/relationships/hyperlink" Target="http://www.federalreserve.gov/publications/files/what-small-business-borrowers-find-when-browsing-online-lender-websites.pdf" TargetMode="External"/><Relationship Id="rId4" Type="http://schemas.openxmlformats.org/officeDocument/2006/relationships/hyperlink" Target="https://economics.mit.edu/sites/default/files/publications/creative%20destruction.pdf" TargetMode="External"/><Relationship Id="rId9" Type="http://schemas.openxmlformats.org/officeDocument/2006/relationships/hyperlink" Target="https://www.brookings.edu/articles/how-does-deposit-insurance-work/" TargetMode="External"/><Relationship Id="rId14" Type="http://schemas.openxmlformats.org/officeDocument/2006/relationships/hyperlink" Target="https://technologyadvice.com/blog/human-resources/quickbooks-vs-quicken/" TargetMode="External"/><Relationship Id="rId22" Type="http://schemas.openxmlformats.org/officeDocument/2006/relationships/hyperlink" Target="https://files.consumerfinance.gov/f/documents/cfpb-1033-nprm-reg-text-with-1001_2023-10.pdf" TargetMode="External"/><Relationship Id="rId27" Type="http://schemas.openxmlformats.org/officeDocument/2006/relationships/hyperlink" Target="https://assets.publishing.service.gov.uk/media/57ac9667e5274a0f6c00007a/retail-banking-market-investigation-full-final-report.pdf" TargetMode="External"/><Relationship Id="rId30" Type="http://schemas.openxmlformats.org/officeDocument/2006/relationships/hyperlink" Target="https://www.consumerfinance.gov/about-us/newsroom/cfpb-proposes-rule-to-jumpstart-competition-and-accelerate-shift-to-open-banking/" TargetMode="External"/><Relationship Id="rId35" Type="http://schemas.openxmlformats.org/officeDocument/2006/relationships/hyperlink" Target="http://www.bis.org/publ/work1066.pdf" TargetMode="External"/><Relationship Id="rId43" Type="http://schemas.openxmlformats.org/officeDocument/2006/relationships/hyperlink" Target="https://dx.doi.org/10.2139/ssrn.4422754" TargetMode="External"/><Relationship Id="rId48" Type="http://schemas.openxmlformats.org/officeDocument/2006/relationships/hyperlink" Target="https://bipartisanpolicy.org/explainer/nonbank-lenders/" TargetMode="External"/><Relationship Id="rId56" Type="http://schemas.openxmlformats.org/officeDocument/2006/relationships/hyperlink" Target="https://www.cnbc.com/2023/08/04/money-market-funds-are-paying-above-5percent-what-to-know-before-buying-.html" TargetMode="External"/><Relationship Id="rId8" Type="http://schemas.openxmlformats.org/officeDocument/2006/relationships/hyperlink" Target="https://doi.org/10.29338/wp2023-14" TargetMode="External"/><Relationship Id="rId51" Type="http://schemas.openxmlformats.org/officeDocument/2006/relationships/hyperlink" Target="https://www.consumerfinance.gov/ask-cfpb/what-is-an-fha-loan-en-112/" TargetMode="External"/><Relationship Id="rId3" Type="http://schemas.openxmlformats.org/officeDocument/2006/relationships/hyperlink" Target="https://dx.doi.org/10.2139/ssrn.4626125" TargetMode="External"/><Relationship Id="rId12" Type="http://schemas.openxmlformats.org/officeDocument/2006/relationships/hyperlink" Target="http://dx.doi.org/10.2139/ssrn.3674147" TargetMode="External"/><Relationship Id="rId17" Type="http://schemas.openxmlformats.org/officeDocument/2006/relationships/hyperlink" Target="https://www.bis.org/bcbs/publ/d486.pdf" TargetMode="External"/><Relationship Id="rId25" Type="http://schemas.openxmlformats.org/officeDocument/2006/relationships/hyperlink" Target="https://www.legislation.gov.uk/uksi/2017/752/made/data.pdf" TargetMode="External"/><Relationship Id="rId33" Type="http://schemas.openxmlformats.org/officeDocument/2006/relationships/hyperlink" Target="https://doi.org/10.17016/IFDP.2022.1334" TargetMode="External"/><Relationship Id="rId38" Type="http://schemas.openxmlformats.org/officeDocument/2006/relationships/hyperlink" Target="https://yield.app/earn?utm_source=web&amp;utm_medium=referral&amp;utm_campaign=bitcompare_lending" TargetMode="External"/><Relationship Id="rId46" Type="http://schemas.openxmlformats.org/officeDocument/2006/relationships/hyperlink" Target="https://structuredfinance.org/securitization/three-things-you-should-know-about-securitization/" TargetMode="External"/><Relationship Id="rId20" Type="http://schemas.openxmlformats.org/officeDocument/2006/relationships/hyperlink" Target="https://www.consumerfinance.gov/about-us/newsroom/cfpb-proposes-rule-to-jumpstart-competition-and-accelerate-shift-to-open-banking/" TargetMode="External"/><Relationship Id="rId41" Type="http://schemas.openxmlformats.org/officeDocument/2006/relationships/hyperlink" Target="https://www.atlanticcouncil.org/cbdctracker/" TargetMode="External"/><Relationship Id="rId54" Type="http://schemas.openxmlformats.org/officeDocument/2006/relationships/hyperlink" Target="https://econreview.berkeley.edu/banking-and-poverty-why-the-poor-turn-to-alternative-financial-services/" TargetMode="External"/><Relationship Id="rId1" Type="http://schemas.openxmlformats.org/officeDocument/2006/relationships/hyperlink" Target="https://www.economist.com/leaders/2024/02/13/another-bank-subsidy-america-should-kill-off" TargetMode="External"/><Relationship Id="rId6" Type="http://schemas.openxmlformats.org/officeDocument/2006/relationships/hyperlink" Target="https://libertystreeteconomics.newyorkfed.org/2023/04/how-do-interest-rates-and-depositors-impact-measures-of-bank-value/" TargetMode="External"/><Relationship Id="rId15" Type="http://schemas.openxmlformats.org/officeDocument/2006/relationships/hyperlink" Target="https://staxpayments.com/blog/quicken-vs-quickbooks-which-is-best-for-small-businesses/" TargetMode="External"/><Relationship Id="rId23" Type="http://schemas.openxmlformats.org/officeDocument/2006/relationships/hyperlink" Target="https://www.consumerfinance.gov/about-us/blog/laying-the-foundation-for-open-banking-in-the-united-states/" TargetMode="External"/><Relationship Id="rId28" Type="http://schemas.openxmlformats.org/officeDocument/2006/relationships/hyperlink" Target="https://parlinfo.aph.gov.au/parlInfo/download/legislation/bills/r6370_aspassed/toc_pdf/19126b01.pdf" TargetMode="External"/><Relationship Id="rId36" Type="http://schemas.openxmlformats.org/officeDocument/2006/relationships/hyperlink" Target="https://www.nytimes.com/interactive/2022/03/18/technology/what-is-defi-cryptocurrency.html" TargetMode="External"/><Relationship Id="rId49" Type="http://schemas.openxmlformats.org/officeDocument/2006/relationships/hyperlink" Target="https://bpi.com/assessing-the-decline-in-bank-lending-to-businesses/" TargetMode="External"/><Relationship Id="rId57" Type="http://schemas.openxmlformats.org/officeDocument/2006/relationships/hyperlink" Target="https://investor.vanguard.com/investor-resources-education/mutual-funds/what-are-money-market-funds" TargetMode="External"/><Relationship Id="rId10" Type="http://schemas.openxmlformats.org/officeDocument/2006/relationships/hyperlink" Target="https://ssrn.com/abstract=3091914" TargetMode="External"/><Relationship Id="rId31" Type="http://schemas.openxmlformats.org/officeDocument/2006/relationships/hyperlink" Target="https://www.brookings.edu/articles/a-debate-should-u-s-raise-the-250000-ceiling-on-deposit-insurance/" TargetMode="External"/><Relationship Id="rId44" Type="http://schemas.openxmlformats.org/officeDocument/2006/relationships/hyperlink" Target="https://www.johnkay.com/wp-content/uploads/2009/12/JK-Narrow-Banking.pdf" TargetMode="External"/><Relationship Id="rId52" Type="http://schemas.openxmlformats.org/officeDocument/2006/relationships/hyperlink" Target="https://doi.org/10.1177/27533743231218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9A17-D1CA-4672-933D-1CFFC5F5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45</Pages>
  <Words>14597</Words>
  <Characters>83207</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Macey, Jonathan</dc:creator>
  <cp:keywords/>
  <dc:description/>
  <cp:lastModifiedBy>Macey, Jonathan</cp:lastModifiedBy>
  <cp:revision>5</cp:revision>
  <dcterms:created xsi:type="dcterms:W3CDTF">2024-03-29T13:22:00Z</dcterms:created>
  <dcterms:modified xsi:type="dcterms:W3CDTF">2024-03-29T17:24:00Z</dcterms:modified>
</cp:coreProperties>
</file>