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7F" w:rsidRDefault="00A00AA7" w:rsidP="00A00AA7">
      <w:pPr>
        <w:pStyle w:val="NormalWeb"/>
        <w:spacing w:line="360" w:lineRule="auto"/>
        <w:jc w:val="both"/>
        <w:rPr>
          <w:rFonts w:ascii="Arial" w:hAnsi="Arial" w:cs="Arial"/>
          <w:b/>
          <w:noProof/>
        </w:rPr>
      </w:pPr>
      <w:r w:rsidRPr="0029057F">
        <w:rPr>
          <w:rFonts w:ascii="Arial" w:hAnsi="Arial" w:cs="Arial"/>
          <w:b/>
          <w:noProof/>
        </w:rPr>
        <w:t>BUSINESS, HUMAN RIGHTS AND SOCIAL JUSTICE: The role of ESG in implementing the sustainable development goals</w:t>
      </w:r>
    </w:p>
    <w:p w:rsidR="00AE265A" w:rsidRPr="0029057F" w:rsidRDefault="00AE265A" w:rsidP="00A00AA7">
      <w:pPr>
        <w:pStyle w:val="NormalWeb"/>
        <w:spacing w:line="360" w:lineRule="auto"/>
        <w:jc w:val="both"/>
        <w:rPr>
          <w:rFonts w:ascii="Arial" w:hAnsi="Arial" w:cs="Arial"/>
          <w:b/>
          <w:noProof/>
        </w:rPr>
      </w:pPr>
    </w:p>
    <w:p w:rsidR="00A00AA7" w:rsidRPr="005151B8" w:rsidRDefault="0029057F" w:rsidP="0029057F">
      <w:pPr>
        <w:pStyle w:val="NormalWeb"/>
        <w:spacing w:line="360" w:lineRule="auto"/>
        <w:ind w:firstLine="1560"/>
        <w:jc w:val="right"/>
        <w:rPr>
          <w:rFonts w:ascii="Arial" w:hAnsi="Arial" w:cs="Arial"/>
          <w:i/>
          <w:noProof/>
        </w:rPr>
      </w:pPr>
      <w:r w:rsidRPr="005151B8">
        <w:rPr>
          <w:rFonts w:ascii="Arial" w:hAnsi="Arial" w:cs="Arial"/>
          <w:i/>
          <w:noProof/>
        </w:rPr>
        <w:t>Ana Luisa de Oliveira Ribeiro</w:t>
      </w:r>
      <w:r w:rsidR="006D4668">
        <w:rPr>
          <w:rStyle w:val="Refdenotaderodap"/>
          <w:rFonts w:ascii="Arial" w:hAnsi="Arial" w:cs="Arial"/>
          <w:i/>
          <w:noProof/>
        </w:rPr>
        <w:footnoteReference w:id="1"/>
      </w:r>
    </w:p>
    <w:p w:rsidR="005151B8" w:rsidRDefault="005151B8" w:rsidP="0029057F">
      <w:pPr>
        <w:pStyle w:val="NormalWeb"/>
        <w:spacing w:line="360" w:lineRule="auto"/>
        <w:ind w:firstLine="1560"/>
        <w:jc w:val="right"/>
        <w:rPr>
          <w:rFonts w:ascii="Arial" w:hAnsi="Arial" w:cs="Arial"/>
          <w:noProof/>
        </w:rPr>
      </w:pPr>
    </w:p>
    <w:p w:rsidR="005151B8" w:rsidRPr="005151B8" w:rsidRDefault="005151B8" w:rsidP="005151B8">
      <w:pPr>
        <w:pStyle w:val="NormalWeb"/>
        <w:spacing w:line="360" w:lineRule="auto"/>
        <w:rPr>
          <w:rFonts w:ascii="Arial" w:hAnsi="Arial" w:cs="Arial"/>
          <w:b/>
          <w:noProof/>
        </w:rPr>
      </w:pPr>
      <w:r w:rsidRPr="005151B8">
        <w:rPr>
          <w:rFonts w:ascii="Arial" w:hAnsi="Arial" w:cs="Arial"/>
          <w:b/>
          <w:noProof/>
        </w:rPr>
        <w:t>ABSTRACT</w:t>
      </w:r>
      <w:bookmarkStart w:id="0" w:name="_GoBack"/>
      <w:bookmarkEnd w:id="0"/>
    </w:p>
    <w:p w:rsidR="0029057F" w:rsidRDefault="00A00AA7" w:rsidP="00A00AA7">
      <w:pPr>
        <w:pStyle w:val="NormalWeb"/>
        <w:spacing w:line="360" w:lineRule="auto"/>
        <w:ind w:firstLine="1416"/>
        <w:jc w:val="both"/>
        <w:rPr>
          <w:rFonts w:ascii="Arial" w:hAnsi="Arial" w:cs="Arial"/>
          <w:noProof/>
        </w:rPr>
      </w:pPr>
      <w:r w:rsidRPr="00A00AA7">
        <w:rPr>
          <w:rFonts w:ascii="Arial" w:hAnsi="Arial" w:cs="Arial"/>
          <w:noProof/>
        </w:rPr>
        <w:t xml:space="preserve">The consolidation of the principles of International Law and Human Rights is intrinsically linked to the promotion of equality and social justice on a global scale. </w:t>
      </w:r>
    </w:p>
    <w:p w:rsidR="00A00AA7" w:rsidRPr="00A00AA7" w:rsidRDefault="00A00AA7" w:rsidP="00A00AA7">
      <w:pPr>
        <w:pStyle w:val="NormalWeb"/>
        <w:spacing w:line="360" w:lineRule="auto"/>
        <w:ind w:firstLine="1416"/>
        <w:jc w:val="both"/>
        <w:rPr>
          <w:rFonts w:ascii="Arial" w:hAnsi="Arial" w:cs="Arial"/>
          <w:noProof/>
        </w:rPr>
      </w:pPr>
      <w:r w:rsidRPr="00A00AA7">
        <w:rPr>
          <w:rFonts w:ascii="Arial" w:hAnsi="Arial" w:cs="Arial"/>
          <w:noProof/>
        </w:rPr>
        <w:t>With the growing influence of transnational corporations, which rely on technological, human, and structural resources inherent to globalization, it becomes evident that business objectives must be aligned with the United Nations 2030 Agenda. In this regard, the effective integration of ESG (Environmental, Social and Governance) parameters into corporate practices is crucial (UNITED NATIONS, 2015).</w:t>
      </w:r>
    </w:p>
    <w:p w:rsidR="0029057F" w:rsidRDefault="00A00AA7" w:rsidP="0029057F">
      <w:pPr>
        <w:pStyle w:val="NormalWeb"/>
        <w:spacing w:line="360" w:lineRule="auto"/>
        <w:ind w:firstLine="1418"/>
        <w:jc w:val="both"/>
        <w:rPr>
          <w:rFonts w:ascii="Arial" w:hAnsi="Arial" w:cs="Arial"/>
          <w:noProof/>
        </w:rPr>
      </w:pPr>
      <w:r w:rsidRPr="00A00AA7">
        <w:rPr>
          <w:rFonts w:ascii="Arial" w:hAnsi="Arial" w:cs="Arial"/>
          <w:noProof/>
        </w:rPr>
        <w:t xml:space="preserve">By establishing standards of environmental sustainability, social responsibility, and ethical governance, ESG emerges as an indispensable instrument to align corporate activity with the Sustainable Development Goals (SDGs). Without the concrete application of these parameters, there is a risk of perpetuating human rights violations, structural inequalities, and setbacks in hard-won social achievements (BOBBIO, 2004). </w:t>
      </w:r>
    </w:p>
    <w:p w:rsidR="00A00AA7" w:rsidRPr="00A00AA7" w:rsidRDefault="00A00AA7" w:rsidP="0029057F">
      <w:pPr>
        <w:pStyle w:val="NormalWeb"/>
        <w:spacing w:line="360" w:lineRule="auto"/>
        <w:ind w:firstLine="1418"/>
        <w:jc w:val="both"/>
        <w:rPr>
          <w:rFonts w:ascii="Arial" w:hAnsi="Arial" w:cs="Arial"/>
          <w:noProof/>
        </w:rPr>
      </w:pPr>
      <w:r w:rsidRPr="00A00AA7">
        <w:rPr>
          <w:rFonts w:ascii="Arial" w:hAnsi="Arial" w:cs="Arial"/>
          <w:noProof/>
        </w:rPr>
        <w:t xml:space="preserve">The absence of governance mechanisms sensitive to diversity, inclusion, and equity undermines not only corporate credibility but also the achievement of key goals such as poverty eradication, gender equality, decent </w:t>
      </w:r>
      <w:r w:rsidRPr="00A00AA7">
        <w:rPr>
          <w:rFonts w:ascii="Arial" w:hAnsi="Arial" w:cs="Arial"/>
          <w:noProof/>
        </w:rPr>
        <w:lastRenderedPageBreak/>
        <w:t>work, and the reduction of inequalities. These challenges, directly or indirectly, affect society as a whole and the prospects for harmonious coexistence.</w:t>
      </w:r>
    </w:p>
    <w:p w:rsidR="0029057F" w:rsidRDefault="00A00AA7" w:rsidP="0029057F">
      <w:pPr>
        <w:pStyle w:val="NormalWeb"/>
        <w:spacing w:line="360" w:lineRule="auto"/>
        <w:ind w:firstLine="1560"/>
        <w:jc w:val="both"/>
        <w:rPr>
          <w:rFonts w:ascii="Arial" w:hAnsi="Arial" w:cs="Arial"/>
          <w:noProof/>
        </w:rPr>
      </w:pPr>
      <w:r w:rsidRPr="00A00AA7">
        <w:rPr>
          <w:rFonts w:ascii="Arial" w:hAnsi="Arial" w:cs="Arial"/>
          <w:noProof/>
        </w:rPr>
        <w:t xml:space="preserve">This article proposes to reflect on ESG as a normative axis capable of bringing corporate action closer to international requirements for the protection of human rights, exploring the dialogue between global legal norms and responsible corporate practices. </w:t>
      </w:r>
    </w:p>
    <w:p w:rsidR="0029057F" w:rsidRDefault="00A00AA7" w:rsidP="0029057F">
      <w:pPr>
        <w:pStyle w:val="NormalWeb"/>
        <w:spacing w:line="360" w:lineRule="auto"/>
        <w:ind w:firstLine="1560"/>
        <w:jc w:val="both"/>
        <w:rPr>
          <w:rFonts w:ascii="Arial" w:hAnsi="Arial" w:cs="Arial"/>
          <w:noProof/>
        </w:rPr>
      </w:pPr>
      <w:r w:rsidRPr="00A00AA7">
        <w:rPr>
          <w:rFonts w:ascii="Arial" w:hAnsi="Arial" w:cs="Arial"/>
          <w:noProof/>
        </w:rPr>
        <w:t xml:space="preserve">The methodology is based on bibliographic and documentary research, with emphasis on international instruments, particularly those of the United Nations. The central argument is that the effectiveness of ESG, beyond being a market trend, is an essential condition for ensuring social justice in an increasingly interdependent world. </w:t>
      </w:r>
    </w:p>
    <w:p w:rsidR="00B63943" w:rsidRPr="005151B8" w:rsidRDefault="00A00AA7" w:rsidP="005151B8">
      <w:pPr>
        <w:pStyle w:val="NormalWeb"/>
        <w:spacing w:line="360" w:lineRule="auto"/>
        <w:ind w:firstLine="1560"/>
        <w:jc w:val="both"/>
        <w:rPr>
          <w:rFonts w:ascii="Arial" w:hAnsi="Arial" w:cs="Arial"/>
          <w:noProof/>
        </w:rPr>
      </w:pPr>
      <w:r w:rsidRPr="00A00AA7">
        <w:rPr>
          <w:rFonts w:ascii="Arial" w:hAnsi="Arial" w:cs="Arial"/>
          <w:noProof/>
        </w:rPr>
        <w:t>Thus, the consistent integration of ESG parameters should not be regarded as a mere reputational strategy but as an ethical and legal duty of companies before the international community. Only through such internalization will it be possible to prevent setbacks, guarantee human dignity, and advance towar</w:t>
      </w:r>
      <w:r w:rsidR="00B63943">
        <w:rPr>
          <w:rFonts w:ascii="Arial" w:hAnsi="Arial" w:cs="Arial"/>
          <w:noProof/>
        </w:rPr>
        <w:t>ds the goals of the 2030 Agenda</w:t>
      </w:r>
      <w:r w:rsidR="009177DF" w:rsidRPr="00987CEA">
        <w:rPr>
          <w:rFonts w:ascii="Arial" w:hAnsi="Arial" w:cs="Arial"/>
          <w:noProof/>
        </w:rPr>
        <w:t>.</w:t>
      </w:r>
      <w:r>
        <w:rPr>
          <w:rFonts w:ascii="Arial" w:hAnsi="Arial" w:cs="Arial"/>
          <w:noProof/>
        </w:rPr>
        <w:tab/>
      </w:r>
    </w:p>
    <w:p w:rsidR="009177DF" w:rsidRPr="00B63943" w:rsidRDefault="00457619" w:rsidP="00457619">
      <w:pPr>
        <w:jc w:val="both"/>
        <w:rPr>
          <w:rFonts w:ascii="Arial" w:hAnsi="Arial" w:cs="Arial"/>
          <w:b/>
          <w:noProof/>
          <w:sz w:val="24"/>
          <w:szCs w:val="24"/>
        </w:rPr>
      </w:pPr>
      <w:r w:rsidRPr="00B63943">
        <w:rPr>
          <w:rFonts w:ascii="Arial" w:hAnsi="Arial" w:cs="Arial"/>
          <w:b/>
          <w:noProof/>
          <w:sz w:val="24"/>
          <w:szCs w:val="24"/>
        </w:rPr>
        <w:t>Bibliographical references</w:t>
      </w:r>
    </w:p>
    <w:p w:rsidR="009177DF" w:rsidRPr="00457619" w:rsidRDefault="009177DF" w:rsidP="00457619">
      <w:pPr>
        <w:jc w:val="both"/>
        <w:rPr>
          <w:rFonts w:ascii="Arial" w:hAnsi="Arial" w:cs="Arial"/>
          <w:noProof/>
          <w:sz w:val="24"/>
          <w:szCs w:val="24"/>
        </w:rPr>
      </w:pPr>
      <w:r w:rsidRPr="00457619">
        <w:rPr>
          <w:rFonts w:ascii="Arial" w:hAnsi="Arial" w:cs="Arial"/>
          <w:noProof/>
          <w:sz w:val="24"/>
          <w:szCs w:val="24"/>
        </w:rPr>
        <w:t xml:space="preserve">. </w:t>
      </w:r>
    </w:p>
    <w:p w:rsidR="009177DF" w:rsidRPr="00417679" w:rsidRDefault="009177DF" w:rsidP="00457619">
      <w:pPr>
        <w:pStyle w:val="NormalWeb"/>
        <w:jc w:val="both"/>
        <w:rPr>
          <w:rFonts w:ascii="Arial" w:hAnsi="Arial" w:cs="Arial"/>
          <w:noProof/>
        </w:rPr>
      </w:pPr>
      <w:r w:rsidRPr="00417679">
        <w:rPr>
          <w:rFonts w:ascii="Arial" w:hAnsi="Arial" w:cs="Arial"/>
          <w:noProof/>
        </w:rPr>
        <w:t xml:space="preserve">BOBBIO, Norberto. </w:t>
      </w:r>
      <w:r w:rsidRPr="00417679">
        <w:rPr>
          <w:rStyle w:val="nfase"/>
          <w:rFonts w:ascii="Arial" w:hAnsi="Arial" w:cs="Arial"/>
          <w:noProof/>
        </w:rPr>
        <w:t>A Era dos Direitos</w:t>
      </w:r>
      <w:r w:rsidRPr="00417679">
        <w:rPr>
          <w:rFonts w:ascii="Arial" w:hAnsi="Arial" w:cs="Arial"/>
          <w:noProof/>
        </w:rPr>
        <w:t>. Rio de Janeiro: Elsevier, 2004</w:t>
      </w:r>
      <w:r w:rsidR="00457619" w:rsidRPr="00417679">
        <w:rPr>
          <w:rFonts w:ascii="Arial" w:hAnsi="Arial" w:cs="Arial"/>
          <w:noProof/>
        </w:rPr>
        <w:t>.</w:t>
      </w:r>
    </w:p>
    <w:p w:rsidR="009177DF" w:rsidRPr="00417679" w:rsidRDefault="009177DF" w:rsidP="00457619">
      <w:pPr>
        <w:pStyle w:val="NormalWeb"/>
        <w:jc w:val="both"/>
        <w:rPr>
          <w:rFonts w:ascii="Arial" w:hAnsi="Arial" w:cs="Arial"/>
          <w:noProof/>
        </w:rPr>
      </w:pPr>
      <w:r w:rsidRPr="00417679">
        <w:rPr>
          <w:rFonts w:ascii="Arial" w:hAnsi="Arial" w:cs="Arial"/>
          <w:noProof/>
        </w:rPr>
        <w:t xml:space="preserve">DONNELLY, Jack. </w:t>
      </w:r>
      <w:r w:rsidRPr="00417679">
        <w:rPr>
          <w:rStyle w:val="nfase"/>
          <w:rFonts w:ascii="Arial" w:hAnsi="Arial" w:cs="Arial"/>
          <w:noProof/>
        </w:rPr>
        <w:t>Universal Human Rights in Theory and Practice</w:t>
      </w:r>
      <w:r w:rsidRPr="00417679">
        <w:rPr>
          <w:rFonts w:ascii="Arial" w:hAnsi="Arial" w:cs="Arial"/>
          <w:noProof/>
        </w:rPr>
        <w:t>. 3. ed. Ithaca: Cornell University Press, 2013.</w:t>
      </w:r>
    </w:p>
    <w:p w:rsidR="009177DF" w:rsidRPr="00417679" w:rsidRDefault="009177DF" w:rsidP="00457619">
      <w:pPr>
        <w:pStyle w:val="NormalWeb"/>
        <w:jc w:val="both"/>
        <w:rPr>
          <w:rFonts w:ascii="Arial" w:hAnsi="Arial" w:cs="Arial"/>
          <w:noProof/>
        </w:rPr>
      </w:pPr>
      <w:r w:rsidRPr="00417679">
        <w:rPr>
          <w:rFonts w:ascii="Arial" w:hAnsi="Arial" w:cs="Arial"/>
          <w:noProof/>
        </w:rPr>
        <w:t xml:space="preserve">PIOVESAN, Flávia. </w:t>
      </w:r>
      <w:r w:rsidRPr="00417679">
        <w:rPr>
          <w:rStyle w:val="nfase"/>
          <w:rFonts w:ascii="Arial" w:hAnsi="Arial" w:cs="Arial"/>
          <w:noProof/>
        </w:rPr>
        <w:t>Direitos Humanos e o Direito Constitucional Internacional</w:t>
      </w:r>
      <w:r w:rsidRPr="00417679">
        <w:rPr>
          <w:rFonts w:ascii="Arial" w:hAnsi="Arial" w:cs="Arial"/>
          <w:noProof/>
        </w:rPr>
        <w:t>. 16. ed. São Paulo: Saraiva, 2023.</w:t>
      </w:r>
    </w:p>
    <w:p w:rsidR="00457619" w:rsidRPr="00417679" w:rsidRDefault="00457619" w:rsidP="00457619">
      <w:pPr>
        <w:pStyle w:val="NormalWeb"/>
        <w:jc w:val="both"/>
        <w:rPr>
          <w:rFonts w:ascii="Arial" w:hAnsi="Arial" w:cs="Arial"/>
          <w:noProof/>
        </w:rPr>
      </w:pPr>
      <w:r w:rsidRPr="00417679">
        <w:rPr>
          <w:rFonts w:ascii="Arial" w:hAnsi="Arial" w:cs="Arial"/>
          <w:noProof/>
        </w:rPr>
        <w:t xml:space="preserve">GOY ,F.; RIBIERO, M. </w:t>
      </w:r>
      <w:r w:rsidRPr="00417679">
        <w:rPr>
          <w:rStyle w:val="nfase"/>
          <w:rFonts w:ascii="Arial" w:hAnsi="Arial" w:cs="Arial"/>
          <w:noProof/>
        </w:rPr>
        <w:t>ESG e Sustentabilidade Corporativa: Reflexões Jurídicas e Econômicas</w:t>
      </w:r>
      <w:r w:rsidRPr="00417679">
        <w:rPr>
          <w:rFonts w:ascii="Arial" w:hAnsi="Arial" w:cs="Arial"/>
          <w:noProof/>
        </w:rPr>
        <w:t>. São Paulo: Almedina (2022).</w:t>
      </w:r>
    </w:p>
    <w:p w:rsidR="00DF7568" w:rsidRPr="00417679" w:rsidRDefault="00457619" w:rsidP="00457619">
      <w:pPr>
        <w:pStyle w:val="NormalWeb"/>
        <w:jc w:val="both"/>
        <w:rPr>
          <w:rFonts w:ascii="Arial" w:hAnsi="Arial" w:cs="Arial"/>
          <w:noProof/>
        </w:rPr>
      </w:pPr>
      <w:r w:rsidRPr="00417679">
        <w:rPr>
          <w:rFonts w:ascii="Arial" w:hAnsi="Arial" w:cs="Arial"/>
          <w:noProof/>
        </w:rPr>
        <w:t xml:space="preserve">  SACHS, J. D. </w:t>
      </w:r>
      <w:r w:rsidRPr="00417679">
        <w:rPr>
          <w:rStyle w:val="nfase"/>
          <w:rFonts w:ascii="Arial" w:hAnsi="Arial" w:cs="Arial"/>
          <w:noProof/>
        </w:rPr>
        <w:t>The Age of Sustainable Development</w:t>
      </w:r>
      <w:r w:rsidRPr="00417679">
        <w:rPr>
          <w:rFonts w:ascii="Arial" w:hAnsi="Arial" w:cs="Arial"/>
          <w:noProof/>
        </w:rPr>
        <w:t>. New York: Columbia University Press. 2015.</w:t>
      </w:r>
    </w:p>
    <w:p w:rsidR="00DF7568" w:rsidRPr="00417679" w:rsidRDefault="00DF7568" w:rsidP="00417679">
      <w:pPr>
        <w:jc w:val="both"/>
        <w:rPr>
          <w:rFonts w:ascii="Arial" w:hAnsi="Arial" w:cs="Arial"/>
          <w:noProof/>
          <w:sz w:val="24"/>
          <w:szCs w:val="24"/>
        </w:rPr>
      </w:pPr>
      <w:r w:rsidRPr="00417679">
        <w:rPr>
          <w:rFonts w:ascii="Arial" w:hAnsi="Arial" w:cs="Arial"/>
          <w:noProof/>
          <w:sz w:val="24"/>
          <w:szCs w:val="24"/>
        </w:rPr>
        <w:t xml:space="preserve">UNITED NATIONS. </w:t>
      </w:r>
      <w:r w:rsidRPr="00417679">
        <w:rPr>
          <w:rStyle w:val="nfase"/>
          <w:rFonts w:ascii="Arial" w:hAnsi="Arial" w:cs="Arial"/>
          <w:noProof/>
          <w:sz w:val="24"/>
          <w:szCs w:val="24"/>
        </w:rPr>
        <w:t>Guiding Principles on Business and Human Rights: Implementing the United Nations “Protect, Respect and Remedy” Framework</w:t>
      </w:r>
      <w:r w:rsidRPr="00417679">
        <w:rPr>
          <w:rFonts w:ascii="Arial" w:hAnsi="Arial" w:cs="Arial"/>
          <w:noProof/>
          <w:sz w:val="24"/>
          <w:szCs w:val="24"/>
        </w:rPr>
        <w:t>. New York/Geneva: United Nations, 2011.</w:t>
      </w:r>
    </w:p>
    <w:p w:rsidR="00DF7568" w:rsidRPr="00457619" w:rsidRDefault="00457619" w:rsidP="00457619">
      <w:pPr>
        <w:jc w:val="both"/>
        <w:rPr>
          <w:rFonts w:ascii="Arial" w:hAnsi="Arial" w:cs="Arial"/>
          <w:noProof/>
          <w:sz w:val="24"/>
          <w:szCs w:val="24"/>
        </w:rPr>
      </w:pPr>
      <w:r w:rsidRPr="00417679">
        <w:rPr>
          <w:rFonts w:ascii="Arial" w:hAnsi="Arial" w:cs="Arial"/>
          <w:noProof/>
          <w:sz w:val="24"/>
          <w:szCs w:val="24"/>
        </w:rPr>
        <w:lastRenderedPageBreak/>
        <w:t>United Nations</w:t>
      </w:r>
      <w:r w:rsidR="00DF7568" w:rsidRPr="00417679">
        <w:rPr>
          <w:rFonts w:ascii="Arial" w:hAnsi="Arial" w:cs="Arial"/>
          <w:noProof/>
          <w:sz w:val="24"/>
          <w:szCs w:val="24"/>
        </w:rPr>
        <w:t xml:space="preserve">. </w:t>
      </w:r>
      <w:r w:rsidRPr="00417679">
        <w:rPr>
          <w:rStyle w:val="nfase"/>
          <w:rFonts w:ascii="Arial" w:hAnsi="Arial" w:cs="Arial"/>
          <w:noProof/>
          <w:sz w:val="24"/>
          <w:szCs w:val="24"/>
        </w:rPr>
        <w:t>Transforming our world: The 2030 Agenda for Sustainable Development</w:t>
      </w:r>
      <w:r w:rsidR="00DF7568" w:rsidRPr="00417679">
        <w:rPr>
          <w:rFonts w:ascii="Arial" w:hAnsi="Arial" w:cs="Arial"/>
          <w:noProof/>
          <w:sz w:val="24"/>
          <w:szCs w:val="24"/>
        </w:rPr>
        <w:t>. (2015).</w:t>
      </w:r>
      <w:r w:rsidR="005151B8" w:rsidRPr="00457619">
        <w:rPr>
          <w:rFonts w:ascii="Arial" w:hAnsi="Arial" w:cs="Arial"/>
          <w:noProof/>
          <w:sz w:val="24"/>
          <w:szCs w:val="24"/>
        </w:rPr>
        <w:t xml:space="preserve"> </w:t>
      </w:r>
    </w:p>
    <w:sectPr w:rsidR="00DF7568" w:rsidRPr="0045761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6E" w:rsidRDefault="00557F6E" w:rsidP="006D4668">
      <w:pPr>
        <w:spacing w:after="0" w:line="240" w:lineRule="auto"/>
      </w:pPr>
      <w:r>
        <w:separator/>
      </w:r>
    </w:p>
  </w:endnote>
  <w:endnote w:type="continuationSeparator" w:id="0">
    <w:p w:rsidR="00557F6E" w:rsidRDefault="00557F6E" w:rsidP="006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668" w:rsidRDefault="006D46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6E" w:rsidRDefault="00557F6E" w:rsidP="006D4668">
      <w:pPr>
        <w:spacing w:after="0" w:line="240" w:lineRule="auto"/>
      </w:pPr>
      <w:r>
        <w:separator/>
      </w:r>
    </w:p>
  </w:footnote>
  <w:footnote w:type="continuationSeparator" w:id="0">
    <w:p w:rsidR="00557F6E" w:rsidRDefault="00557F6E" w:rsidP="006D4668">
      <w:pPr>
        <w:spacing w:after="0" w:line="240" w:lineRule="auto"/>
      </w:pPr>
      <w:r>
        <w:continuationSeparator/>
      </w:r>
    </w:p>
  </w:footnote>
  <w:footnote w:id="1">
    <w:p w:rsidR="006D4668" w:rsidRDefault="006D4668">
      <w:pPr>
        <w:pStyle w:val="Textodenotaderodap"/>
      </w:pPr>
      <w:r>
        <w:rPr>
          <w:rStyle w:val="Refdenotaderodap"/>
        </w:rPr>
        <w:footnoteRef/>
      </w:r>
      <w:r>
        <w:t xml:space="preserve"> </w:t>
      </w:r>
      <w:r w:rsidRPr="006D4668">
        <w:t>PhD Candidate in Human Rights at the Un</w:t>
      </w:r>
      <w:r>
        <w:t xml:space="preserve">iversidad de Salamanca (Spain) and </w:t>
      </w:r>
      <w:r w:rsidRPr="006D4668">
        <w:t>Legal Adviser at the Public Prosecutor’s Office of the State of Minas Gerais (Brasil)</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5A"/>
    <w:rsid w:val="0029057F"/>
    <w:rsid w:val="003A7989"/>
    <w:rsid w:val="003E10B7"/>
    <w:rsid w:val="00417679"/>
    <w:rsid w:val="00457619"/>
    <w:rsid w:val="005005E1"/>
    <w:rsid w:val="005151B8"/>
    <w:rsid w:val="00557F6E"/>
    <w:rsid w:val="006D4668"/>
    <w:rsid w:val="009177DF"/>
    <w:rsid w:val="00987CEA"/>
    <w:rsid w:val="00A00AA7"/>
    <w:rsid w:val="00A8739B"/>
    <w:rsid w:val="00AE265A"/>
    <w:rsid w:val="00AE7DA3"/>
    <w:rsid w:val="00B63943"/>
    <w:rsid w:val="00C7265A"/>
    <w:rsid w:val="00DF7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60331-2AF8-420E-B747-626ED04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177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177DF"/>
    <w:rPr>
      <w:i/>
      <w:iCs/>
    </w:rPr>
  </w:style>
  <w:style w:type="paragraph" w:styleId="Cabealho">
    <w:name w:val="header"/>
    <w:basedOn w:val="Normal"/>
    <w:link w:val="CabealhoChar"/>
    <w:uiPriority w:val="99"/>
    <w:unhideWhenUsed/>
    <w:rsid w:val="006D4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4668"/>
  </w:style>
  <w:style w:type="paragraph" w:styleId="Rodap">
    <w:name w:val="footer"/>
    <w:basedOn w:val="Normal"/>
    <w:link w:val="RodapChar"/>
    <w:uiPriority w:val="99"/>
    <w:unhideWhenUsed/>
    <w:rsid w:val="006D4668"/>
    <w:pPr>
      <w:tabs>
        <w:tab w:val="center" w:pos="4252"/>
        <w:tab w:val="right" w:pos="8504"/>
      </w:tabs>
      <w:spacing w:after="0" w:line="240" w:lineRule="auto"/>
    </w:pPr>
  </w:style>
  <w:style w:type="character" w:customStyle="1" w:styleId="RodapChar">
    <w:name w:val="Rodapé Char"/>
    <w:basedOn w:val="Fontepargpadro"/>
    <w:link w:val="Rodap"/>
    <w:uiPriority w:val="99"/>
    <w:rsid w:val="006D4668"/>
  </w:style>
  <w:style w:type="paragraph" w:styleId="Textodenotaderodap">
    <w:name w:val="footnote text"/>
    <w:basedOn w:val="Normal"/>
    <w:link w:val="TextodenotaderodapChar"/>
    <w:uiPriority w:val="99"/>
    <w:semiHidden/>
    <w:unhideWhenUsed/>
    <w:rsid w:val="006D46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4668"/>
    <w:rPr>
      <w:sz w:val="20"/>
      <w:szCs w:val="20"/>
    </w:rPr>
  </w:style>
  <w:style w:type="character" w:styleId="Refdenotaderodap">
    <w:name w:val="footnote reference"/>
    <w:basedOn w:val="Fontepargpadro"/>
    <w:uiPriority w:val="99"/>
    <w:semiHidden/>
    <w:unhideWhenUsed/>
    <w:rsid w:val="006D46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0821">
      <w:bodyDiv w:val="1"/>
      <w:marLeft w:val="0"/>
      <w:marRight w:val="0"/>
      <w:marTop w:val="0"/>
      <w:marBottom w:val="0"/>
      <w:divBdr>
        <w:top w:val="none" w:sz="0" w:space="0" w:color="auto"/>
        <w:left w:val="none" w:sz="0" w:space="0" w:color="auto"/>
        <w:bottom w:val="none" w:sz="0" w:space="0" w:color="auto"/>
        <w:right w:val="none" w:sz="0" w:space="0" w:color="auto"/>
      </w:divBdr>
    </w:div>
    <w:div w:id="353504901">
      <w:bodyDiv w:val="1"/>
      <w:marLeft w:val="0"/>
      <w:marRight w:val="0"/>
      <w:marTop w:val="0"/>
      <w:marBottom w:val="0"/>
      <w:divBdr>
        <w:top w:val="none" w:sz="0" w:space="0" w:color="auto"/>
        <w:left w:val="none" w:sz="0" w:space="0" w:color="auto"/>
        <w:bottom w:val="none" w:sz="0" w:space="0" w:color="auto"/>
        <w:right w:val="none" w:sz="0" w:space="0" w:color="auto"/>
      </w:divBdr>
    </w:div>
    <w:div w:id="1520118228">
      <w:bodyDiv w:val="1"/>
      <w:marLeft w:val="0"/>
      <w:marRight w:val="0"/>
      <w:marTop w:val="0"/>
      <w:marBottom w:val="0"/>
      <w:divBdr>
        <w:top w:val="none" w:sz="0" w:space="0" w:color="auto"/>
        <w:left w:val="none" w:sz="0" w:space="0" w:color="auto"/>
        <w:bottom w:val="none" w:sz="0" w:space="0" w:color="auto"/>
        <w:right w:val="none" w:sz="0" w:space="0" w:color="auto"/>
      </w:divBdr>
    </w:div>
    <w:div w:id="19079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8D77A-B701-464F-89B0-BA04563B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507</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2025-09-30T17:01:00Z</dcterms:created>
  <dcterms:modified xsi:type="dcterms:W3CDTF">2025-09-30T19:01:00Z</dcterms:modified>
</cp:coreProperties>
</file>