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jc w:val="both"/>
        <w:rPr>
          <w:rFonts w:ascii="Garamond" w:cs="Garamond" w:hAnsi="Garamond" w:eastAsia="Garamond"/>
          <w:b w:val="1"/>
          <w:bCs w:val="1"/>
          <w:sz w:val="28"/>
          <w:szCs w:val="28"/>
        </w:rPr>
      </w:pPr>
      <w:r>
        <w:rPr>
          <w:rFonts w:ascii="Garamond" w:hAnsi="Garamond"/>
          <w:b w:val="1"/>
          <w:bCs w:val="1"/>
          <w:sz w:val="28"/>
          <w:szCs w:val="28"/>
          <w:rtl w:val="0"/>
          <w:lang w:val="de-DE"/>
        </w:rPr>
        <w:t>GREEN RHETORIC, GREY REALITY: ALGORITHMIC DETECTION AND ESG OVERSIGHT IN FINANCIAL MARKETS</w:t>
      </w:r>
    </w:p>
    <w:p>
      <w:pPr>
        <w:pStyle w:val="Body"/>
        <w:spacing w:before="100" w:after="100"/>
        <w:jc w:val="both"/>
        <w:outlineLvl w:val="0"/>
        <w:rPr>
          <w:rFonts w:ascii="Garamond" w:cs="Garamond" w:hAnsi="Garamond" w:eastAsia="Garamond"/>
        </w:rPr>
      </w:pPr>
      <w:r>
        <w:rPr>
          <w:rFonts w:ascii="Garamond" w:hAnsi="Garamond"/>
          <w:rtl w:val="0"/>
          <w:lang w:val="en-US"/>
        </w:rPr>
        <w:t>Umberto Nizza</w:t>
      </w:r>
    </w:p>
    <w:p>
      <w:pPr>
        <w:pStyle w:val="Body"/>
        <w:jc w:val="both"/>
        <w:rPr>
          <w:rFonts w:ascii="Garamond" w:cs="Garamond" w:hAnsi="Garamond" w:eastAsia="Garamond"/>
          <w:sz w:val="20"/>
          <w:szCs w:val="20"/>
        </w:rPr>
      </w:pPr>
      <w:r>
        <w:rPr>
          <w:rFonts w:ascii="Garamond" w:hAnsi="Garamond"/>
          <w:sz w:val="20"/>
          <w:szCs w:val="20"/>
          <w:rtl w:val="0"/>
          <w:lang w:val="en-US"/>
        </w:rPr>
        <w:t xml:space="preserve">Abstract: This paper investigates the systemic opacity and semantic vagueness characterizing environmental claims in the non-financial disclosures of major European banking institutions. By cross-referencing the emerging European legal framework </w:t>
      </w:r>
      <w:r>
        <w:rPr>
          <w:rFonts w:ascii="Garamond" w:hAnsi="Garamond" w:hint="default"/>
          <w:sz w:val="20"/>
          <w:szCs w:val="20"/>
          <w:rtl w:val="0"/>
          <w:lang w:val="en-US"/>
        </w:rPr>
        <w:t xml:space="preserve">– </w:t>
      </w:r>
      <w:r>
        <w:rPr>
          <w:rFonts w:ascii="Garamond" w:hAnsi="Garamond"/>
          <w:sz w:val="20"/>
          <w:szCs w:val="20"/>
          <w:rtl w:val="0"/>
          <w:lang w:val="en-US"/>
        </w:rPr>
        <w:t xml:space="preserve">in particular after the introduction of the new Directive 2024/825 </w:t>
      </w:r>
      <w:r>
        <w:rPr>
          <w:rFonts w:ascii="Garamond" w:hAnsi="Garamond" w:hint="default"/>
          <w:sz w:val="20"/>
          <w:szCs w:val="20"/>
          <w:rtl w:val="0"/>
          <w:lang w:val="en-US"/>
        </w:rPr>
        <w:t xml:space="preserve">– </w:t>
      </w:r>
      <w:r>
        <w:rPr>
          <w:rFonts w:ascii="Garamond" w:hAnsi="Garamond"/>
          <w:sz w:val="20"/>
          <w:szCs w:val="20"/>
          <w:rtl w:val="0"/>
          <w:lang w:val="en-US"/>
        </w:rPr>
        <w:t>with empirical findings obtained through algorithmic analysis of consolidated sustainability reports, the paper exposes widespread use of vague, unverifiable, and prospective ESG statements that could qualify as misleading under EU law. Using a Python-based natural language processing tool, the study identifies recurrent linguistic patterns that diverge from the transparency, verifiability, and measurability standards now mandated. It argues for the adoption of algorithmic auditing both as a preventive compliance mechanism and as a regulatory enforcement tool, proposing a shift towards a new model of semantic supervision capable of aligning rhetorical ESG narratives with demonstrable corporate commitments.</w:t>
      </w:r>
    </w:p>
    <w:p>
      <w:pPr>
        <w:pStyle w:val="Body"/>
        <w:rPr>
          <w:rFonts w:ascii="Garamond" w:cs="Garamond" w:hAnsi="Garamond" w:eastAsia="Garamond"/>
          <w:sz w:val="20"/>
          <w:szCs w:val="20"/>
        </w:rPr>
      </w:pPr>
    </w:p>
    <w:p>
      <w:pPr>
        <w:pStyle w:val="Body"/>
        <w:jc w:val="both"/>
        <w:rPr>
          <w:rFonts w:ascii="Garamond" w:cs="Garamond" w:hAnsi="Garamond" w:eastAsia="Garamond"/>
          <w:sz w:val="20"/>
          <w:szCs w:val="20"/>
        </w:rPr>
      </w:pPr>
      <w:r>
        <w:rPr>
          <w:rFonts w:ascii="Garamond" w:hAnsi="Garamond"/>
          <w:sz w:val="20"/>
          <w:szCs w:val="20"/>
          <w:rtl w:val="0"/>
          <w:lang w:val="en-US"/>
        </w:rPr>
        <w:t>Keywords: Greenwashing; ESG Disclosure; Artificial Intelligence and Legal Compliance; EU Sustainability Regulation; Algorithmic Supervision</w:t>
      </w:r>
    </w:p>
    <w:p>
      <w:pPr>
        <w:pStyle w:val="Body"/>
        <w:rPr>
          <w:rFonts w:ascii="Garamond" w:cs="Garamond" w:hAnsi="Garamond" w:eastAsia="Garamond"/>
          <w:sz w:val="20"/>
          <w:szCs w:val="20"/>
        </w:rPr>
      </w:pPr>
      <w:r>
        <w:rPr>
          <w:rFonts w:ascii="Garamond" w:hAnsi="Garamond"/>
          <w:sz w:val="20"/>
          <w:szCs w:val="20"/>
          <w:rtl w:val="0"/>
        </w:rPr>
        <w:t>JEL Codes: K23, K32</w:t>
      </w:r>
    </w:p>
    <w:p>
      <w:pPr>
        <w:pStyle w:val="Body"/>
        <w:rPr>
          <w:rFonts w:ascii="Garamond" w:cs="Garamond" w:hAnsi="Garamond" w:eastAsia="Garamond"/>
          <w:sz w:val="22"/>
          <w:szCs w:val="22"/>
        </w:rPr>
      </w:pPr>
    </w:p>
    <w:p>
      <w:pPr>
        <w:pStyle w:val="Body Text"/>
        <w:outlineLvl w:val="0"/>
        <w:rPr>
          <w:rFonts w:ascii="Garamond" w:cs="Garamond" w:hAnsi="Garamond" w:eastAsia="Garamond"/>
          <w:b w:val="1"/>
          <w:bCs w:val="1"/>
          <w:sz w:val="22"/>
          <w:szCs w:val="22"/>
          <w:lang w:val="en-US"/>
        </w:rPr>
      </w:pPr>
      <w:r>
        <w:rPr>
          <w:rFonts w:ascii="Garamond" w:hAnsi="Garamond"/>
          <w:b w:val="1"/>
          <w:bCs w:val="1"/>
          <w:sz w:val="22"/>
          <w:szCs w:val="22"/>
          <w:rtl w:val="0"/>
          <w:lang w:val="en-US"/>
        </w:rPr>
        <w:t>1. Introduction</w:t>
      </w:r>
    </w:p>
    <w:p>
      <w:pPr>
        <w:pStyle w:val="Body"/>
        <w:tabs>
          <w:tab w:val="left" w:pos="1749"/>
        </w:tabs>
        <w:spacing w:line="254" w:lineRule="auto"/>
        <w:ind w:firstLine="425"/>
        <w:jc w:val="both"/>
        <w:rPr>
          <w:rFonts w:ascii="Garamond" w:cs="Garamond" w:hAnsi="Garamond" w:eastAsia="Garamond"/>
          <w:outline w:val="0"/>
          <w:color w:val="231f20"/>
          <w:sz w:val="22"/>
          <w:szCs w:val="22"/>
          <w:u w:color="231f20"/>
          <w14:textFill>
            <w14:solidFill>
              <w14:srgbClr w14:val="231F20"/>
            </w14:solidFill>
          </w14:textFill>
        </w:rPr>
      </w:pP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Over the past decade, there has been a growing focus on Environmental, Social, and Governance (ESG) factors, leading to a profound transformation in both the financial and industrial markets (Senadheera et al., 2022). This transformation is evident both from a regulatory perspective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through the imposition of binding disclosure and reporting obligations on companies, economic operators, and institutional investors (Ho et al., 2019)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and from an operational perspective, with the introduction of social responsibility measures for those who do not operate in a traceable, transparent, and coherent manner (Zervoudi et al., 2025) concerning non-financial information provided to the public and market participants (Green, 2018). This shift has also been influenced by value commitments towards greater sustainability (L</w:t>
      </w:r>
      <w:r>
        <w:rPr>
          <w:rFonts w:ascii="Garamond" w:hAnsi="Garamond" w:hint="default"/>
          <w:outline w:val="0"/>
          <w:color w:val="231f20"/>
          <w:sz w:val="22"/>
          <w:szCs w:val="22"/>
          <w:u w:color="231f20"/>
          <w:rtl w:val="0"/>
          <w:lang w:val="en-US"/>
          <w14:textFill>
            <w14:solidFill>
              <w14:srgbClr w14:val="231F20"/>
            </w14:solidFill>
          </w14:textFill>
        </w:rPr>
        <w:t>ó</w:t>
      </w:r>
      <w:r>
        <w:rPr>
          <w:rFonts w:ascii="Garamond" w:hAnsi="Garamond"/>
          <w:outline w:val="0"/>
          <w:color w:val="231f20"/>
          <w:sz w:val="22"/>
          <w:szCs w:val="22"/>
          <w:u w:color="231f20"/>
          <w:rtl w:val="0"/>
          <w:lang w:val="en-US"/>
          <w14:textFill>
            <w14:solidFill>
              <w14:srgbClr w14:val="231F20"/>
            </w14:solidFill>
          </w14:textFill>
        </w:rPr>
        <w:t>pez-Cabarcos et al., 2025) and the protection of intergenerational interests (Cheong, 2025), which demand the promotion of a lasting balance between economic growth (Diaye et al., 2022), social inclusion (Poggi, 2025), and environmental protection (Li &amp; Li, 2022), both in the short and long term. From this perspective, the environment is now legally and socially recognized as a primary and indispensable asset and an essential prerequisite for human survival (</w:t>
      </w:r>
      <w:r>
        <w:rPr>
          <w:rFonts w:ascii="Garamond" w:hAnsi="Garamond"/>
          <w:sz w:val="22"/>
          <w:szCs w:val="22"/>
          <w:rtl w:val="0"/>
          <w:lang w:val="de-DE"/>
        </w:rPr>
        <w:t>Bratspies, 2015</w:t>
      </w:r>
      <w:r>
        <w:rPr>
          <w:rFonts w:ascii="Garamond" w:hAnsi="Garamond"/>
          <w:outline w:val="0"/>
          <w:color w:val="231f20"/>
          <w:sz w:val="22"/>
          <w:szCs w:val="22"/>
          <w:u w:color="231f20"/>
          <w:rtl w:val="0"/>
          <w:lang w:val="en-US"/>
          <w14:textFill>
            <w14:solidFill>
              <w14:srgbClr w14:val="231F20"/>
            </w14:solidFill>
          </w14:textFill>
        </w:rPr>
        <w:t>), based on a responsibility and solidarity framework between businesses, citizens, and the environment (de Larrag</w:t>
      </w:r>
      <w:r>
        <w:rPr>
          <w:rFonts w:ascii="Garamond" w:hAnsi="Garamond" w:hint="default"/>
          <w:outline w:val="0"/>
          <w:color w:val="231f20"/>
          <w:sz w:val="22"/>
          <w:szCs w:val="22"/>
          <w:u w:color="231f20"/>
          <w:rtl w:val="0"/>
          <w:lang w:val="en-US"/>
          <w14:textFill>
            <w14:solidFill>
              <w14:srgbClr w14:val="231F20"/>
            </w14:solidFill>
          </w14:textFill>
        </w:rPr>
        <w:t>á</w:t>
      </w:r>
      <w:r>
        <w:rPr>
          <w:rFonts w:ascii="Garamond" w:hAnsi="Garamond"/>
          <w:outline w:val="0"/>
          <w:color w:val="231f20"/>
          <w:sz w:val="22"/>
          <w:szCs w:val="22"/>
          <w:u w:color="231f20"/>
          <w:rtl w:val="0"/>
          <w:lang w:val="en-US"/>
          <w14:textFill>
            <w14:solidFill>
              <w14:srgbClr w14:val="231F20"/>
            </w14:solidFill>
          </w14:textFill>
        </w:rPr>
        <w:t>n, 2011), with the need for businesses to align their management decisions with this limitation (Annesi et al., 2025).</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This societal shift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manifesting in a new collective awareness that imposes growing obligations on businesses not only in terms of operational and managerial compliance with ESG principles but also in terms of truthful, transparent, accurate, and non-misleading communication of all initiatives undertaken in the environmental and social domains (Mollers, 2022)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has made the market increasingly sensitive to the reputation and public perception of corporate actions (Khalid et al., 2024). The communication and transparency framework has become a competitive tool (Gao et al., 2025), capable of influencing purchasing decisions, investment policies, and, more generally, the competitive positioning of market operators, especially in a globalized and interconnected economic context. In the absence of accuracy and transparency, misleading practices may arise that fail to ensure consistency between the company</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actual conduct and the public statements made (Utz, 2019), giving rise to forms of fa</w:t>
      </w:r>
      <w:r>
        <w:rPr>
          <w:rFonts w:ascii="Garamond" w:hAnsi="Garamond" w:hint="default"/>
          <w:outline w:val="0"/>
          <w:color w:val="231f20"/>
          <w:sz w:val="22"/>
          <w:szCs w:val="22"/>
          <w:u w:color="231f20"/>
          <w:rtl w:val="0"/>
          <w:lang w:val="en-US"/>
          <w14:textFill>
            <w14:solidFill>
              <w14:srgbClr w14:val="231F20"/>
            </w14:solidFill>
          </w14:textFill>
        </w:rPr>
        <w:t>ç</w:t>
      </w:r>
      <w:r>
        <w:rPr>
          <w:rFonts w:ascii="Garamond" w:hAnsi="Garamond"/>
          <w:outline w:val="0"/>
          <w:color w:val="231f20"/>
          <w:sz w:val="22"/>
          <w:szCs w:val="22"/>
          <w:u w:color="231f20"/>
          <w:rtl w:val="0"/>
          <w:lang w:val="en-US"/>
          <w14:textFill>
            <w14:solidFill>
              <w14:srgbClr w14:val="231F20"/>
            </w14:solidFill>
          </w14:textFill>
        </w:rPr>
        <w:t>ade environmentalism (Blandini et al., 2022) that artificially present positive environmental credentials, with the sole purpose of obtaining reputational advantages and economic returns based on asymmetric information between businesses, consumers, and competitors (Seele &amp; Schultz, 2022).</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In the banking and financial sector, greenwashing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i.e., the promotion of superficial or misleading sustainability claims (de Freitas Netto et al., 2020)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presents a particularly insidious risk, as it takes on multidimensional characteristics and may contribute to the systemic erosion of public trust in the sector's overall commitment to sustainability (Ghaemi Asl et al, 2025). This distorts, potentially significantly, the credibility and overall resilience of the banking market (</w:t>
      </w:r>
      <w:r>
        <w:rPr>
          <w:rFonts w:ascii="Garamond" w:hAnsi="Garamond"/>
          <w:sz w:val="22"/>
          <w:szCs w:val="22"/>
          <w:rtl w:val="0"/>
          <w:lang w:val="nl-NL"/>
        </w:rPr>
        <w:t>Neves Proen</w:t>
      </w:r>
      <w:r>
        <w:rPr>
          <w:rFonts w:ascii="Garamond" w:hAnsi="Garamond" w:hint="default"/>
          <w:sz w:val="22"/>
          <w:szCs w:val="22"/>
          <w:rtl w:val="0"/>
          <w:lang w:val="en-US"/>
        </w:rPr>
        <w:t>ç</w:t>
      </w:r>
      <w:r>
        <w:rPr>
          <w:rFonts w:ascii="Garamond" w:hAnsi="Garamond"/>
          <w:sz w:val="22"/>
          <w:szCs w:val="22"/>
          <w:rtl w:val="0"/>
        </w:rPr>
        <w:t>a</w:t>
      </w:r>
      <w:r>
        <w:rPr>
          <w:rFonts w:ascii="Garamond" w:hAnsi="Garamond"/>
          <w:outline w:val="0"/>
          <w:color w:val="231f20"/>
          <w:sz w:val="22"/>
          <w:szCs w:val="22"/>
          <w:u w:color="231f20"/>
          <w:rtl w:val="0"/>
          <w:lang w:val="en-US"/>
          <w14:textFill>
            <w14:solidFill>
              <w14:srgbClr w14:val="231F20"/>
            </w14:solidFill>
          </w14:textFill>
        </w:rPr>
        <w:t xml:space="preserve"> et al, 2025) which would require, instead, a proper allocation of resources and a high level of consumer trust. Greenwashing, instead, harms operators who genuinely invest in the ecological transition compared to those employing opportunistic communication strategies aimed at conveying an artificial image of their sustainability commitments (</w:t>
      </w:r>
      <w:r>
        <w:rPr>
          <w:rFonts w:ascii="Garamond" w:hAnsi="Garamond"/>
          <w:sz w:val="22"/>
          <w:szCs w:val="22"/>
          <w:rtl w:val="0"/>
          <w:lang w:val="de-DE"/>
        </w:rPr>
        <w:t>Senftleben, 2024)</w:t>
      </w:r>
      <w:r>
        <w:rPr>
          <w:rFonts w:ascii="Garamond" w:hAnsi="Garamond"/>
          <w:outline w:val="0"/>
          <w:color w:val="231f20"/>
          <w:sz w:val="22"/>
          <w:szCs w:val="22"/>
          <w:u w:color="231f20"/>
          <w:rtl w:val="0"/>
          <w:lang w:val="en-US"/>
          <w14:textFill>
            <w14:solidFill>
              <w14:srgbClr w14:val="231F20"/>
            </w14:solidFill>
          </w14:textFill>
        </w:rPr>
        <w:t>. Within the context of an economy increasingly focused on the internalization of environmental impacts (Eidelwein et al., 2018), the banking sector must also reformulate its operational and investment strategies according to ESG criteria (Menicucci, 2025), orienting itself towards a decarbonized, inclusive, and resilient economy that is not merely superficial, but that treats these criteria as intangible and essential assets (Lapinskait</w:t>
      </w:r>
      <w:r>
        <w:rPr>
          <w:rFonts w:ascii="Garamond" w:hAnsi="Garamond" w:hint="default"/>
          <w:outline w:val="0"/>
          <w:color w:val="231f20"/>
          <w:sz w:val="22"/>
          <w:szCs w:val="22"/>
          <w:u w:color="231f20"/>
          <w:rtl w:val="0"/>
          <w:lang w:val="en-US"/>
          <w14:textFill>
            <w14:solidFill>
              <w14:srgbClr w14:val="231F20"/>
            </w14:solidFill>
          </w14:textFill>
        </w:rPr>
        <w:t>ė</w:t>
      </w:r>
      <w:r>
        <w:rPr>
          <w:rFonts w:ascii="Garamond" w:hAnsi="Garamond"/>
          <w:outline w:val="0"/>
          <w:color w:val="231f20"/>
          <w:sz w:val="22"/>
          <w:szCs w:val="22"/>
          <w:u w:color="231f20"/>
          <w:rtl w:val="0"/>
          <w:lang w:val="en-US"/>
          <w14:textFill>
            <w14:solidFill>
              <w14:srgbClr w14:val="231F20"/>
            </w14:solidFill>
          </w14:textFill>
        </w:rPr>
        <w:t xml:space="preserve"> et al., 2025) for the proper functioning of financial markets. The urgency of this requirement is underscored by a systemic reality: the traditional axiological equation between economic development, social progress, and environmental protection has, in practice, resulted in a marked predominance of the former two dimensions over the latter (O'Hara, 2009). This has led to the progressive erosion of natural capital at an unsustainable rate, far exceeding the regenerative capacity of ecosystems (Nemetz, 2022).</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field of sustainability and environmental protection has been the focus of numerous interventions by European Union (EU) lawmakers, aimed at significantly reducing the scope for market self-regulation, which has failed to deliver adequate results (Vigneau &amp; Adams, 2023). These structural responses, within the framework of the so-called Green Deal, aim to shift the regulatory axis from a voluntaristic paradigm to one based on stringent obligations capable of reorienting financial flows towards investments compatible with the EU's climate objectives (Bruno &amp; Lagasio, 2021). In light of these ambitious goals, lawmakers have established specific provisions "to tackle unfair commercial practices that mislead consumers and prevent them from making sustainable consumption choices," with regulations intended to combat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misleading information about the social characteristics of products or traders</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businesses, or non-transparent and non-credible sustainability labels" (Directive 2024/825). The European legislator pursues a dual objective: on one hand, to protect the average consumer from manipulative practices that can unduly influence purchasing decisions (Leblebici Kocer et al., 2023); on the other, to ensure fair competition among businesses (Agarwal, 2021), discouraging the instrumental use of sustainability as a marketing lever without real substance.</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In light of this regulatory framework, this paper aims to assess, through textual and semantic analysis facilitated by cutting-edge linguistic models, whether the most recent non-financial statements publicly available and produced by major European banking groups contain formulations that could potentially be categorized as misleading according to the EU legislative standards. The analysis is based on the premise that if environmental communication is to comply with transparency, truthfulness, and verifiability criteria (Dathe et al., 2024), such compliance cannot be deemed satisfied if non-financial statements merely set out future goals or commitments. Such goals would be indefinitely deferred and lack concrete, measurable, and current elements that would allow for an objective assessment. Without these factual prerequisites, the risk is that such assertive statements may mislead the recipient regarding the actual environmental sustainability of the economic operator, potentially constituting, at least abstractly, a misleading informational practice under European law on greenwashing and environmental sustainability.</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As this paper will show, empirical results highlight a widespread tendency to use expression patterns characterized by high semantic vagueness. These include the recurrent use of generic formulations, assertive statements not supported by documentary evidence, and unspecified or extended timeframes, with a rhetoric that takes the form of principled declarations that are difficult to reconcile with the transparency requirements set out by European legislation on financial reporting. The deadlines for adapting environmental statements have not yet expired, as Directive 2024/825 is expected to enter into force by September 27, 2026. Therefore, there is still time for banking institutions to review the quality of the information provided on sustainability. At the same time, given that these algorithmic tools can be employed both by companies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i w:val="1"/>
          <w:iCs w:val="1"/>
          <w:outline w:val="0"/>
          <w:color w:val="231f20"/>
          <w:sz w:val="22"/>
          <w:szCs w:val="22"/>
          <w:u w:color="231f20"/>
          <w:rtl w:val="0"/>
          <w:lang w:val="es-ES_tradnl"/>
          <w14:textFill>
            <w14:solidFill>
              <w14:srgbClr w14:val="231F20"/>
            </w14:solidFill>
          </w14:textFill>
        </w:rPr>
        <w:t>ex ante</w:t>
      </w:r>
      <w:r>
        <w:rPr>
          <w:rFonts w:ascii="Garamond" w:hAnsi="Garamond"/>
          <w:outline w:val="0"/>
          <w:color w:val="231f20"/>
          <w:sz w:val="22"/>
          <w:szCs w:val="22"/>
          <w:u w:color="231f20"/>
          <w:rtl w:val="0"/>
          <w:lang w:val="en-US"/>
          <w14:textFill>
            <w14:solidFill>
              <w14:srgbClr w14:val="231F20"/>
            </w14:solidFill>
          </w14:textFill>
        </w:rPr>
        <w:t>, for greater compliance</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and by regulators</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i w:val="1"/>
          <w:iCs w:val="1"/>
          <w:outline w:val="0"/>
          <w:color w:val="231f20"/>
          <w:sz w:val="22"/>
          <w:szCs w:val="22"/>
          <w:u w:color="231f20"/>
          <w:rtl w:val="0"/>
          <w:lang w:val="fr-FR"/>
          <w14:textFill>
            <w14:solidFill>
              <w14:srgbClr w14:val="231F20"/>
            </w14:solidFill>
          </w14:textFill>
        </w:rPr>
        <w:t>ex post</w:t>
      </w:r>
      <w:r>
        <w:rPr>
          <w:rFonts w:ascii="Garamond" w:hAnsi="Garamond"/>
          <w:outline w:val="0"/>
          <w:color w:val="231f20"/>
          <w:sz w:val="22"/>
          <w:szCs w:val="22"/>
          <w:u w:color="231f20"/>
          <w:rtl w:val="0"/>
          <w:lang w:val="en-US"/>
          <w14:textFill>
            <w14:solidFill>
              <w14:srgbClr w14:val="231F20"/>
            </w14:solidFill>
          </w14:textFill>
        </w:rPr>
        <w:t>, to identify incorrect practices and impose sanctions</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this paper argues that the use of natural language processing algorithms and, more generally, technology-based tools could play a pivotal role in restoring and enhancing communication transparency in the realm of ESG. In a complex legal analysis context, such tools could provide significant support for regulatory and oversight authorities</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 xml:space="preserve">creating new standardized compliance policies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in verifying any discrepancies between the content of non-financial statements and the normative criteria derived from EU law. Beyond their diagnostic function, artificial intelligence could assume a proactive role in the process of standardization and improvement of communication practices, helping to identify recurring patterns of potentially misleading communication, bridging the gap between regulatory expectations and the discursive practices adopted in the banking sector, which plays a central role in channeling financial flows towards sustainable economic activities in the long term.</w:t>
      </w:r>
    </w:p>
    <w:p>
      <w:pPr>
        <w:pStyle w:val="Body"/>
        <w:tabs>
          <w:tab w:val="left" w:pos="1749"/>
        </w:tabs>
        <w:spacing w:line="254" w:lineRule="auto"/>
        <w:jc w:val="both"/>
        <w:rPr>
          <w:rFonts w:ascii="Garamond" w:cs="Garamond" w:hAnsi="Garamond" w:eastAsia="Garamond"/>
          <w:outline w:val="0"/>
          <w:color w:val="231f20"/>
          <w:sz w:val="22"/>
          <w:szCs w:val="22"/>
          <w:u w:color="231f20"/>
          <w14:textFill>
            <w14:solidFill>
              <w14:srgbClr w14:val="231F20"/>
            </w14:solidFill>
          </w14:textFill>
        </w:rPr>
      </w:pPr>
      <w:r>
        <w:rPr>
          <w:rFonts w:ascii="Garamond" w:cs="Garamond" w:hAnsi="Garamond" w:eastAsia="Garamond"/>
          <w:outline w:val="0"/>
          <w:color w:val="231f20"/>
          <w:sz w:val="22"/>
          <w:szCs w:val="22"/>
          <w:u w:color="231f20"/>
          <w14:textFill>
            <w14:solidFill>
              <w14:srgbClr w14:val="231F20"/>
            </w14:solidFill>
          </w14:textFill>
        </w:rPr>
        <mc:AlternateContent>
          <mc:Choice Requires="wps">
            <w:drawing xmlns:a="http://schemas.openxmlformats.org/drawingml/2006/main">
              <wp:inline distT="0" distB="0" distL="0" distR="0">
                <wp:extent cx="4867148" cy="1040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4867148" cy="104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383.2pt;height:0.8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tabs>
          <w:tab w:val="left" w:pos="1749"/>
        </w:tabs>
        <w:spacing w:line="254" w:lineRule="auto"/>
        <w:jc w:val="both"/>
        <w:rPr>
          <w:rFonts w:ascii="Garamond" w:cs="Garamond" w:hAnsi="Garamond" w:eastAsia="Garamond"/>
          <w:outline w:val="0"/>
          <w:color w:val="231f20"/>
          <w:sz w:val="22"/>
          <w:szCs w:val="22"/>
          <w:u w:color="231f20"/>
          <w14:textFill>
            <w14:solidFill>
              <w14:srgbClr w14:val="231F20"/>
            </w14:solidFill>
          </w14:textFill>
        </w:rPr>
      </w:pPr>
    </w:p>
    <w:p>
      <w:pPr>
        <w:pStyle w:val="Body"/>
        <w:tabs>
          <w:tab w:val="left" w:pos="1749"/>
        </w:tabs>
        <w:spacing w:line="254" w:lineRule="auto"/>
        <w:jc w:val="both"/>
        <w:outlineLvl w:val="0"/>
        <w:rPr>
          <w:rFonts w:ascii="Garamond" w:cs="Garamond" w:hAnsi="Garamond" w:eastAsia="Garamond"/>
          <w:b w:val="1"/>
          <w:bCs w:val="1"/>
          <w:outline w:val="0"/>
          <w:color w:val="231f20"/>
          <w:sz w:val="22"/>
          <w:szCs w:val="22"/>
          <w:u w:color="231f20"/>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2. The European Regulatory Framework on Sustainability: Transparency, Verifiability, and the Fight Against Greenwashing</w:t>
      </w:r>
    </w:p>
    <w:p>
      <w:pPr>
        <w:pStyle w:val="Body"/>
        <w:tabs>
          <w:tab w:val="left" w:pos="1749"/>
        </w:tabs>
        <w:spacing w:line="254" w:lineRule="auto"/>
        <w:jc w:val="both"/>
        <w:rPr>
          <w:rFonts w:ascii="Garamond" w:cs="Garamond" w:hAnsi="Garamond" w:eastAsia="Garamond"/>
          <w:outline w:val="0"/>
          <w:color w:val="231f20"/>
          <w:sz w:val="22"/>
          <w:szCs w:val="22"/>
          <w:u w:color="231f20"/>
          <w14:textFill>
            <w14:solidFill>
              <w14:srgbClr w14:val="231F20"/>
            </w14:solidFill>
          </w14:textFill>
        </w:rPr>
      </w:pP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From a regulatory perspective, the first impulses towards sustainability practices emerged in the late 1990s, with the Brundtland Report (also known as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Our Common Future</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from the World Commission on Environment and Development, which enshrined the necessity to meet present needs without compromising the ability of future generations to meet their own needs (Del Sarto, 2025). Over time, this evolved into a broad concept of ESG balance and durability (Cl</w:t>
      </w:r>
      <w:r>
        <w:rPr>
          <w:rFonts w:ascii="Garamond" w:hAnsi="Garamond" w:hint="default"/>
          <w:outline w:val="0"/>
          <w:color w:val="231f20"/>
          <w:sz w:val="22"/>
          <w:szCs w:val="22"/>
          <w:u w:color="231f20"/>
          <w:rtl w:val="0"/>
          <w:lang w:val="en-US"/>
          <w14:textFill>
            <w14:solidFill>
              <w14:srgbClr w14:val="231F20"/>
            </w14:solidFill>
          </w14:textFill>
        </w:rPr>
        <w:t>é</w:t>
      </w:r>
      <w:r>
        <w:rPr>
          <w:rFonts w:ascii="Garamond" w:hAnsi="Garamond"/>
          <w:outline w:val="0"/>
          <w:color w:val="231f20"/>
          <w:sz w:val="22"/>
          <w:szCs w:val="22"/>
          <w:u w:color="231f20"/>
          <w:rtl w:val="0"/>
          <w:lang w:val="en-US"/>
          <w14:textFill>
            <w14:solidFill>
              <w14:srgbClr w14:val="231F20"/>
            </w14:solidFill>
          </w14:textFill>
        </w:rPr>
        <w:t>ment et al., 2022), applicable to both private and public actors with decision-making roles. This concept eventually converged into initiatives aimed at combating climate change</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such as the Paris Agreement, the UN 2030 Agenda, and subsequently the European Green Deal</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 xml:space="preserve">along with the improvement of the green transition. These initiatives emphasize greater inclusivity (Almeida et al., 2023), territorial cohesion (Sielker et al., 2021), and improvements across environmental, economic, institutional, political, and social spheres (Adamowicz, 2022). The European legislator has imposed transparency and disclosure obligations on all products with sustainable investment objectives or those promoting environmental and social characteristics, particularly through Regulation 2019/2088 and Regulation 2020/852, to be discussed </w:t>
      </w:r>
      <w:r>
        <w:rPr>
          <w:rFonts w:ascii="Garamond" w:hAnsi="Garamond"/>
          <w:i w:val="1"/>
          <w:iCs w:val="1"/>
          <w:outline w:val="0"/>
          <w:color w:val="231f20"/>
          <w:sz w:val="22"/>
          <w:szCs w:val="22"/>
          <w:u w:color="231f20"/>
          <w:rtl w:val="0"/>
          <w14:textFill>
            <w14:solidFill>
              <w14:srgbClr w14:val="231F20"/>
            </w14:solidFill>
          </w14:textFill>
        </w:rPr>
        <w:t>infra</w:t>
      </w:r>
      <w:r>
        <w:rPr>
          <w:rFonts w:ascii="Garamond" w:hAnsi="Garamond"/>
          <w:outline w:val="0"/>
          <w:color w:val="231f20"/>
          <w:sz w:val="22"/>
          <w:szCs w:val="22"/>
          <w:u w:color="231f20"/>
          <w:rtl w:val="0"/>
          <w14:textFill>
            <w14:solidFill>
              <w14:srgbClr w14:val="231F20"/>
            </w14:solidFill>
          </w14:textFill>
        </w:rPr>
        <w:t>.</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Sustainability Disclosure Regulation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i.e., Regulation 2019/2088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clarifies in Article 2, point 17, that a sustainable investment is one that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contributes to an environmental objective, as measured, for example, by key resource efficiency indicators on the use of energy, renewable energy, raw materials, water and land, on the production of waste, and greenhouse gas emissions, or on its impact on biodiversity and the circular economy, or an investment in an economic activity that contributes to a social objective, in particular an investment that contributes to tackling inequality or that fosters social cohesion, social integration and labor relations, or an investment in human capital or economically or socially disadvantaged communities, provided that such investments do not significantly harm any of those objectives and that the investee companies follow good governance practices, in particular with respect to sound management structures, employee relations, remuneration of staff and tax compliance.</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xml:space="preserve"> The same regulation mandates, in Article 3, that all operators must provide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information about their policies on the integration of sustainability risks in their investment decision</w:t>
      </w:r>
      <w:r>
        <w:rPr>
          <w:rFonts w:ascii="Cambria Math" w:cs="Cambria Math" w:hAnsi="Cambria Math" w:eastAsia="Cambria Math"/>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making process,</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14:textFill>
            <w14:solidFill>
              <w14:srgbClr w14:val="231F20"/>
            </w14:solidFill>
          </w14:textFill>
        </w:rPr>
        <w:t xml:space="preserve">or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investment advice or insurance advice,</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with the clear aim of building an investment trajectory within the EU that supports the climate transition.</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To complement the disclosure obligations regarding sustainability, the Regulation establishing a framework to promote sustainable investments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i.e., Regulation 2020/852, also known as the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Taxonomy Regulation</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 xml:space="preserve">aware of the urgent nature of the climate challenge (de Oliveira Neves, 2022) and the costs associated with the fragmentation of the previous regulatory framework (Villiers, 2022) as well as the risk of undermining investor trust in sustainable investments (Dempere et al., 2024), defined conditions and uniform criteria for classifying an economic activity and investment as eco-sustainable. The Regulation also describes how to address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greenwashing</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practices, considering that such behavior involve marketing a financial product as eco-friendly when, in reality, it fails to meet basic environmental standards (Nygaard, 2023), thus allowing the perpetrator to gain an unfair competitive advantage. With this regulation, the legislator introduced additional obligations in the corporate sector to disclose management policies, aiming to promote a comprehensive strategic vision focused on sustainability and long-term orientation (Siri &amp; Zhu, 2024). The goal was to prevent market participants from obstructing, through their communications, the European-wide objectives of creating a fully sustainable European financial system (Papathanassiou &amp; Nieto, 2025). Failure to comply would result in a significant compromise of the transparency now required by the market (van Oostrum, 2021), along with prejudice to the correct allocation of financial resources towards activities that genuinely align with the environmental goals established by the Union (Steuer &amp; Tr</w:t>
      </w:r>
      <w:r>
        <w:rPr>
          <w:rFonts w:ascii="Garamond" w:hAnsi="Garamond" w:hint="default"/>
          <w:outline w:val="0"/>
          <w:color w:val="231f20"/>
          <w:sz w:val="22"/>
          <w:szCs w:val="22"/>
          <w:u w:color="231f20"/>
          <w:rtl w:val="0"/>
          <w:lang w:val="en-US"/>
          <w14:textFill>
            <w14:solidFill>
              <w14:srgbClr w14:val="231F20"/>
            </w14:solidFill>
          </w14:textFill>
        </w:rPr>
        <w:t>ö</w:t>
      </w:r>
      <w:r>
        <w:rPr>
          <w:rFonts w:ascii="Garamond" w:hAnsi="Garamond"/>
          <w:outline w:val="0"/>
          <w:color w:val="231f20"/>
          <w:sz w:val="22"/>
          <w:szCs w:val="22"/>
          <w:u w:color="231f20"/>
          <w:rtl w:val="0"/>
          <w:lang w:val="en-US"/>
          <w14:textFill>
            <w14:solidFill>
              <w14:srgbClr w14:val="231F20"/>
            </w14:solidFill>
          </w14:textFill>
        </w:rPr>
        <w:t>ger, 2022), hindering the challenging process of ecological and climate transition under the Green Deal.</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Lastly, the legislator, through Directive 2024/825, prohibited all environmental claims that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clear, objective, publicly available and verifiable commitments and targets</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set by the economic operator, defined in a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detailed and realistic implementation plan that shows how those commitments and targets will be achieved and that allocates resources to that end.</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The directive clarified that vague, generic, or unverifiable environmental claims are contrary to Union law, preferring instead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fair, understandable, and reliable</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statements based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exclusively on recognized excellence in environmental performance,</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with the aim of encouraging competition by leading to more eco-sustainable products and reducing the negative environmental impact. Compared to previous regulatory interventions, this directive reflects a more mature understanding of the impact corporate communications can have on the contractual choices of economic operators, representing a significant evolution in the effort to address the evolving</w:t>
      </w:r>
      <w:r>
        <w:rPr>
          <w:rFonts w:ascii="Garamond" w:hAnsi="Garamond" w:hint="default"/>
          <w:outline w:val="0"/>
          <w:color w:val="231f20"/>
          <w:sz w:val="22"/>
          <w:szCs w:val="22"/>
          <w:u w:color="231f20"/>
          <w:rtl w:val="0"/>
          <w:lang w:val="en-US"/>
          <w14:textFill>
            <w14:solidFill>
              <w14:srgbClr w14:val="231F20"/>
            </w14:solidFill>
          </w14:textFill>
        </w:rPr>
        <w:t> </w:t>
      </w:r>
      <w:r>
        <w:rPr>
          <w:rFonts w:ascii="Garamond" w:hAnsi="Garamond"/>
          <w:outline w:val="0"/>
          <w:color w:val="231f20"/>
          <w:sz w:val="22"/>
          <w:szCs w:val="22"/>
          <w:u w:color="231f20"/>
          <w:rtl w:val="0"/>
          <w:lang w:val="en-US"/>
          <w14:textFill>
            <w14:solidFill>
              <w14:srgbClr w14:val="231F20"/>
            </w14:solidFill>
          </w14:textFill>
        </w:rPr>
        <w:t>nature of greenwashing tactics (Sciortino et al., 2025).</w:t>
      </w:r>
    </w:p>
    <w:p>
      <w:pPr>
        <w:pStyle w:val="Body"/>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According to the framework established by this latest regulatory intervention, all environmental claims referring to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future performance in the form of a transition to carbon or climate neutrality</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14:textFill>
            <w14:solidFill>
              <w14:srgbClr w14:val="231F20"/>
            </w14:solidFill>
          </w14:textFill>
        </w:rPr>
        <w:t>i.e.,</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fr-FR"/>
          <w14:textFill>
            <w14:solidFill>
              <w14:srgbClr w14:val="231F20"/>
            </w14:solidFill>
          </w14:textFill>
        </w:rPr>
        <w:t>future claims</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14:textFill>
            <w14:solidFill>
              <w14:srgbClr w14:val="231F20"/>
            </w14:solidFill>
          </w14:textFill>
        </w:rPr>
        <w:t xml:space="preserve">or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forward-looking claims</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 xml:space="preserve">are considered deemed misleading because they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create the impression that consumers contribute to a low-carbon economy by purchasing their products</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that are not accompanied by clearly defined, objective, publicly accessible commitments and goals susceptible to verification, as formalized in an implementation plan</w:t>
      </w:r>
      <w:r>
        <w:rPr>
          <w:rFonts w:ascii="Garamond" w:cs="Garamond" w:hAnsi="Garamond" w:eastAsia="Garamond"/>
          <w:outline w:val="0"/>
          <w:color w:val="231f20"/>
          <w:sz w:val="22"/>
          <w:szCs w:val="22"/>
          <w:u w:color="231f20"/>
          <w:vertAlign w:val="superscript"/>
          <w14:textFill>
            <w14:solidFill>
              <w14:srgbClr w14:val="231F20"/>
            </w14:solidFill>
          </w14:textFill>
        </w:rPr>
        <w:footnoteReference w:id="1"/>
      </w:r>
      <w:r>
        <w:rPr>
          <w:rFonts w:ascii="Garamond" w:hAnsi="Garamond"/>
          <w:outline w:val="0"/>
          <w:color w:val="231f20"/>
          <w:sz w:val="22"/>
          <w:szCs w:val="22"/>
          <w:u w:color="231f20"/>
          <w:rtl w:val="0"/>
          <w:lang w:val="en-US"/>
          <w14:textFill>
            <w14:solidFill>
              <w14:srgbClr w14:val="231F20"/>
            </w14:solidFill>
          </w14:textFill>
        </w:rPr>
        <w:t xml:space="preserve">. These claims do not reflect concrete, measurable, and time-bound objectives (Amatucci &amp; Mollo, 2024). Simultaneously, any generic references to environmental or social values, such as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environmentally friendly</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eco-friendly</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green</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nature</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friend</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it-IT"/>
          <w14:textFill>
            <w14:solidFill>
              <w14:srgbClr w14:val="231F20"/>
            </w14:solidFill>
          </w14:textFill>
        </w:rPr>
        <w:t>ecological</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environmentally correct</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climate friendly</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gentle on the environment</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carbon friendly</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energy efficient</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s-ES_tradnl"/>
          <w14:textFill>
            <w14:solidFill>
              <w14:srgbClr w14:val="231F20"/>
            </w14:solidFill>
          </w14:textFill>
        </w:rPr>
        <w:t>biodegradable</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w:t>
      </w:r>
      <w:r>
        <w:rPr>
          <w:rFonts w:ascii="Garamond" w:hAnsi="Garamond"/>
          <w:outline w:val="0"/>
          <w:color w:val="231f20"/>
          <w:sz w:val="22"/>
          <w:szCs w:val="22"/>
          <w:u w:color="231f20"/>
          <w:rtl w:val="0"/>
          <w14:textFill>
            <w14:solidFill>
              <w14:srgbClr w14:val="231F20"/>
            </w14:solidFill>
          </w14:textFill>
        </w:rPr>
        <w:t xml:space="preserve"> </w:t>
      </w:r>
      <w:r>
        <w:rPr>
          <w:outline w:val="0"/>
          <w:color w:val="231f20"/>
          <w:sz w:val="22"/>
          <w:szCs w:val="22"/>
          <w:u w:color="231f20"/>
          <w:rtl w:val="1"/>
          <w:lang w:val="ar-SA" w:bidi="ar-SA"/>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biobased</w:t>
      </w:r>
      <w:r>
        <w:rPr>
          <w:outline w:val="0"/>
          <w:color w:val="231f20"/>
          <w:sz w:val="22"/>
          <w:szCs w:val="22"/>
          <w:u w:color="231f20"/>
          <w:rtl w:val="0"/>
          <w14:textFill>
            <w14:solidFill>
              <w14:srgbClr w14:val="231F20"/>
            </w14:solidFill>
          </w14:textFill>
        </w:rPr>
        <w:t>,</w:t>
      </w:r>
      <w:r>
        <w:rPr>
          <w:outline w:val="0"/>
          <w:color w:val="231f20"/>
          <w:sz w:val="22"/>
          <w:szCs w:val="22"/>
          <w:u w:color="231f20"/>
          <w:rtl w:val="0"/>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or similar statements that suggest or create the impression of excellent environmental performance are deemed illegitimate and misleading unless they can demonstrate that the product, service, or organization to which they refer achieves a level of environmental and social performance that is genuinely verifiable and defined over time</w:t>
      </w:r>
      <w:r>
        <w:rPr>
          <w:rFonts w:ascii="Garamond" w:cs="Garamond" w:hAnsi="Garamond" w:eastAsia="Garamond"/>
          <w:outline w:val="0"/>
          <w:color w:val="231f20"/>
          <w:sz w:val="22"/>
          <w:szCs w:val="22"/>
          <w:u w:color="231f20"/>
          <w:vertAlign w:val="superscript"/>
          <w14:textFill>
            <w14:solidFill>
              <w14:srgbClr w14:val="231F20"/>
            </w14:solidFill>
          </w14:textFill>
        </w:rPr>
        <w:footnoteReference w:id="2"/>
      </w:r>
      <w:r>
        <w:rPr>
          <w:rFonts w:ascii="Garamond" w:hAnsi="Garamond"/>
          <w:outline w:val="0"/>
          <w:color w:val="231f20"/>
          <w:sz w:val="22"/>
          <w:szCs w:val="22"/>
          <w:u w:color="231f20"/>
          <w:rtl w:val="0"/>
          <w:lang w:val="en-US"/>
          <w14:textFill>
            <w14:solidFill>
              <w14:srgbClr w14:val="231F20"/>
            </w14:solidFill>
          </w14:textFill>
        </w:rPr>
        <w:t>. The legislative choice, therefore, led to the adoption of an analytical and detailed approach (MacLennan &amp; De Catelle, 2025), outlining precisely the information the intermediary must provide, along with a comprehensive list of unfair commercial practices that are prohibited. The question is whether this implies that sustainability, eco-compatibility, and environmental soundness of products and services should be assessed in an analytical and restrictive manner, following the principle that where the law is silent, it is not to be presumed (Koszowski, 2016)</w:t>
      </w:r>
      <w:r>
        <w:rPr>
          <w:rFonts w:ascii="Garamond" w:cs="Garamond" w:hAnsi="Garamond" w:eastAsia="Garamond"/>
          <w:outline w:val="0"/>
          <w:color w:val="231f20"/>
          <w:sz w:val="22"/>
          <w:szCs w:val="22"/>
          <w:u w:color="231f20"/>
          <w:vertAlign w:val="superscript"/>
          <w14:textFill>
            <w14:solidFill>
              <w14:srgbClr w14:val="231F20"/>
            </w14:solidFill>
          </w14:textFill>
        </w:rPr>
        <w:footnoteReference w:id="3"/>
      </w:r>
      <w:r>
        <w:rPr>
          <w:rFonts w:ascii="Garamond" w:hAnsi="Garamond"/>
          <w:outline w:val="0"/>
          <w:color w:val="231f20"/>
          <w:sz w:val="22"/>
          <w:szCs w:val="22"/>
          <w:u w:color="231f20"/>
          <w:rtl w:val="0"/>
          <w14:textFill>
            <w14:solidFill>
              <w14:srgbClr w14:val="231F20"/>
            </w14:solidFill>
          </w14:textFill>
        </w:rPr>
        <w:t>.</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Within the framework outlined by the European regulatory landscape, it can be argued that, as in other areas of banking analysis</w:t>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 xml:space="preserve">where algorithmic processing plays an important role in systematically assessing credit risk (Montevechi, 2024; Bello, 2023; Shi et al., 2022; Chen et al., 2016)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it would be desirable to apply algorithmic systems to verify the consistency of sustainability reports (Brown et al., 2016) with the aforementioned provisions on misleading environmental claims. These tools can assist in identifying critical elements and consequently preventing them. The comprehensive disclosure obligations imposed by the Union are well-suited to automated analysis using computational models capable of performing a structured comparison between declared data and the requirements imposed regarding transparency, verifiability, consistency, and measurability. Such tools could provide an efficient, objective, and replicable evaluation of the compliance of environmental and social claims made by market participants (Beyrer et al., 2022), supporting the monitoring and supervision of environmental declarations, and providing a tool for regulators. At the same time, these tools might encourage a higher level of responsibility among financial operators, as they strongly discourage evasive or manipulative conduct due to the systemic nature and the depth and detail of the analyses. This would represent a technological-regulatory application (Brownsword, 2019), consistent with the broader European strategy to prevent consumer fraud and the misallocation of resources (Weber, 2016) to truly sustainable investments. Greenwashing phenomena undermine investor and consumer confidence in a sustainable and lasting ecological transition (Teichmann et al., 2023), as they showcase only apparent, superficial, illusory, and misleading forms of sustainability.</w:t>
      </w:r>
    </w:p>
    <w:p>
      <w:pPr>
        <w:pStyle w:val="Body"/>
        <w:tabs>
          <w:tab w:val="left" w:pos="1749"/>
        </w:tabs>
        <w:spacing w:line="254" w:lineRule="auto"/>
        <w:ind w:firstLine="567"/>
        <w:jc w:val="both"/>
        <w:rPr>
          <w:rFonts w:ascii="Garamond" w:cs="Garamond" w:hAnsi="Garamond" w:eastAsia="Garamond"/>
          <w:outline w:val="0"/>
          <w:color w:val="231f20"/>
          <w:sz w:val="22"/>
          <w:szCs w:val="22"/>
          <w:u w:color="231f20"/>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From a technical-operational perspective, it should be noted that implementing such automated control is not particularly complex and is, in fact, fully achievable given current technological capabilities. In particular, considering the evolution of large language models (Singh &amp; Namin, 2025), trained on extensive textual datasets and endowed with advanced semantic and syntactic competencies, it is now possible to subject very complex and specialized texts (Veeramachaneni, 2025), such as non-financial consolidated statements (Villacampa-Porta et al., 2025) prepared by banking operators, to automatic reading and interpretation (Liu et al., 2025) to detect forbidden terms as stipulated by the regulations, and to identify ambiguous, assertive, prospective formulations (Davenport, 2025) that lack objective verifiability, which could be considered in violation of the aforementioned regulations. In light of the above, the following sections will provide an illustrative example of an algorithmic tool that could operate to identify statements that lack the required verifiability, consistency, and measurability as set by European sustainability laws, offering the reader a clear and direct representation of the scope and effectiveness of such an algorithmic approach in identifying potential greenwashing practices.</w:t>
      </w:r>
    </w:p>
    <w:p>
      <w:pPr>
        <w:pStyle w:val="Body"/>
        <w:tabs>
          <w:tab w:val="left" w:pos="1749"/>
        </w:tabs>
        <w:spacing w:line="254" w:lineRule="auto"/>
        <w:jc w:val="both"/>
        <w:rPr>
          <w:rFonts w:ascii="Garamond" w:cs="Garamond" w:hAnsi="Garamond" w:eastAsia="Garamond"/>
          <w:outline w:val="0"/>
          <w:color w:val="231f20"/>
          <w:sz w:val="22"/>
          <w:szCs w:val="22"/>
          <w:u w:color="231f20"/>
          <w14:textFill>
            <w14:solidFill>
              <w14:srgbClr w14:val="231F20"/>
            </w14:solidFill>
          </w14:textFill>
        </w:rPr>
      </w:pPr>
      <w:r>
        <w:rPr>
          <w:rFonts w:ascii="Garamond" w:cs="Garamond" w:hAnsi="Garamond" w:eastAsia="Garamond"/>
          <w:outline w:val="0"/>
          <w:color w:val="231f20"/>
          <w:sz w:val="22"/>
          <w:szCs w:val="22"/>
          <w:u w:color="231f20"/>
          <w14:textFill>
            <w14:solidFill>
              <w14:srgbClr w14:val="231F20"/>
            </w14:solidFill>
          </w14:textFill>
        </w:rPr>
        <mc:AlternateContent>
          <mc:Choice Requires="wps">
            <w:drawing xmlns:a="http://schemas.openxmlformats.org/drawingml/2006/main">
              <wp:inline distT="0" distB="0" distL="0" distR="0">
                <wp:extent cx="4867148" cy="104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4867148" cy="1040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383.2pt;height:0.8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Text"/>
        <w:spacing w:before="1" w:line="254" w:lineRule="auto"/>
        <w:ind w:right="178" w:firstLine="383"/>
        <w:jc w:val="both"/>
        <w:rPr>
          <w:rFonts w:ascii="Garamond" w:cs="Garamond" w:hAnsi="Garamond" w:eastAsia="Garamond"/>
          <w:b w:val="1"/>
          <w:bCs w:val="1"/>
          <w:outline w:val="0"/>
          <w:color w:val="231f20"/>
          <w:sz w:val="22"/>
          <w:szCs w:val="22"/>
          <w:u w:color="231f20"/>
          <w:lang w:val="en-US"/>
          <w14:textFill>
            <w14:solidFill>
              <w14:srgbClr w14:val="231F20"/>
            </w14:solidFill>
          </w14:textFill>
        </w:rPr>
      </w:pPr>
    </w:p>
    <w:p>
      <w:pPr>
        <w:pStyle w:val="Body Text"/>
        <w:spacing w:before="1" w:line="254" w:lineRule="auto"/>
        <w:ind w:right="178" w:firstLine="383"/>
        <w:jc w:val="both"/>
        <w:outlineLvl w:val="0"/>
        <w:rPr>
          <w:rFonts w:ascii="Garamond" w:cs="Garamond" w:hAnsi="Garamond" w:eastAsia="Garamond"/>
          <w:b w:val="1"/>
          <w:bCs w:val="1"/>
          <w:outline w:val="0"/>
          <w:color w:val="231f20"/>
          <w:sz w:val="22"/>
          <w:szCs w:val="22"/>
          <w:u w:color="231f20"/>
          <w:lang w:val="en-US"/>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3. Automated Analysis of Environmental Disclosures: A Case Study on Banking Sector Compliance with EU Greenwashing Regulations</w:t>
      </w:r>
    </w:p>
    <w:p>
      <w:pPr>
        <w:pStyle w:val="Body Text"/>
        <w:spacing w:before="1" w:line="254" w:lineRule="auto"/>
        <w:ind w:right="178"/>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It has been argued, above, that the currently available algorithms are capable of providing an automated reading of banking documentation (Gerling &amp; Lessmann, 2025), in particular on environmental statements and offering a useful tool to assess whether these statements violate the aforementioned regulations or, additionally, whether they consist of mere prospective assessments that hinder the final user from evaluating their concreteness, as they lack a defined and verifiable time horizon in the short or medium term. As will be shown shortly, in fact, algorithms can conduct a systematic search for keywords (Delgado-Chaves et al., 2025)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such as those selected by the legislator for environmental disclosure practices deemed prohibited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within the texts extracted from the sustainability reports contained in the consolidated non-financial statements, using pattern-matching techniques (Gu et al., 2025) that can detect the presence of expressions even in flexible forms or with minimal syntactical variations (Cong, 2025). As will be seen, the empirical analysis reveals that, with very few exceptions, almost all the consolidated non-financial statements examined contain at least one of the generic environmental expressions identified as misleading by Directive 2024/825 and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across all the banking groups analyzed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the recurrence of merely prospective formulation, indicative of a generalized tendency to use future projections or intentions that are not sufficiently specified from a temporal perspective.</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From a methodological standpoint, the study employed an algorithm developed in </w:t>
      </w:r>
      <w:r>
        <w:rPr>
          <w:rFonts w:ascii="Garamond" w:hAnsi="Garamond"/>
          <w:i w:val="1"/>
          <w:iCs w:val="1"/>
          <w:outline w:val="0"/>
          <w:color w:val="231f20"/>
          <w:sz w:val="22"/>
          <w:szCs w:val="22"/>
          <w:u w:color="231f20"/>
          <w:rtl w:val="0"/>
          <w:lang w:val="en-US"/>
          <w14:textFill>
            <w14:solidFill>
              <w14:srgbClr w14:val="231F20"/>
            </w14:solidFill>
          </w14:textFill>
        </w:rPr>
        <w:t>Python</w:t>
      </w:r>
      <w:r>
        <w:rPr>
          <w:rFonts w:ascii="Garamond" w:hAnsi="Garamond"/>
          <w:outline w:val="0"/>
          <w:color w:val="231f20"/>
          <w:sz w:val="22"/>
          <w:szCs w:val="22"/>
          <w:u w:color="231f20"/>
          <w:rtl w:val="0"/>
          <w:lang w:val="en-US"/>
          <w14:textFill>
            <w14:solidFill>
              <w14:srgbClr w14:val="231F20"/>
            </w14:solidFill>
          </w14:textFill>
        </w:rPr>
        <w:t>, specifically programmed to automatically detect the presence and frequency of generic and potentially misleading environmental expressions, as hypothesized by European regulations. The algorithm was structured to extract the text of the consolidated non-financial statements made available by the top ten European banking groups by total assets</w:t>
      </w: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erence w:id="4"/>
      </w:r>
      <w:r>
        <w:rPr>
          <w:rFonts w:ascii="Garamond" w:hAnsi="Garamond"/>
          <w:outline w:val="0"/>
          <w:color w:val="231f20"/>
          <w:sz w:val="22"/>
          <w:szCs w:val="22"/>
          <w:u w:color="231f20"/>
          <w:rtl w:val="0"/>
          <w:lang w:val="en-US"/>
          <w14:textFill>
            <w14:solidFill>
              <w14:srgbClr w14:val="231F20"/>
            </w14:solidFill>
          </w14:textFill>
        </w:rPr>
        <w:t xml:space="preserve"> retrieving all the text contained within them. Then, it searched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through the </w:t>
      </w:r>
      <w:r>
        <w:rPr>
          <w:rFonts w:ascii="Garamond" w:hAnsi="Garamond"/>
          <w:i w:val="1"/>
          <w:iCs w:val="1"/>
          <w:outline w:val="0"/>
          <w:color w:val="231f20"/>
          <w:sz w:val="22"/>
          <w:szCs w:val="22"/>
          <w:u w:color="231f20"/>
          <w:rtl w:val="0"/>
          <w:lang w:val="en-US"/>
          <w14:textFill>
            <w14:solidFill>
              <w14:srgbClr w14:val="231F20"/>
            </w14:solidFill>
          </w14:textFill>
        </w:rPr>
        <w:t>re</w:t>
      </w:r>
      <w:r>
        <w:rPr>
          <w:rFonts w:ascii="Garamond" w:hAnsi="Garamond"/>
          <w:outline w:val="0"/>
          <w:color w:val="231f20"/>
          <w:sz w:val="22"/>
          <w:szCs w:val="22"/>
          <w:u w:color="231f20"/>
          <w:rtl w:val="0"/>
          <w:lang w:val="en-US"/>
          <w14:textFill>
            <w14:solidFill>
              <w14:srgbClr w14:val="231F20"/>
            </w14:solidFill>
          </w14:textFill>
        </w:rPr>
        <w:t xml:space="preserve"> package, an abbreviation for regular expressions from </w:t>
      </w:r>
      <w:r>
        <w:rPr>
          <w:rFonts w:ascii="Garamond" w:hAnsi="Garamond"/>
          <w:i w:val="1"/>
          <w:iCs w:val="1"/>
          <w:outline w:val="0"/>
          <w:color w:val="231f20"/>
          <w:sz w:val="22"/>
          <w:szCs w:val="22"/>
          <w:u w:color="231f20"/>
          <w:rtl w:val="0"/>
          <w:lang w:val="en-US"/>
          <w14:textFill>
            <w14:solidFill>
              <w14:srgbClr w14:val="231F20"/>
            </w14:solidFill>
          </w14:textFill>
        </w:rPr>
        <w:t>Python</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xml:space="preserve">s standard library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for the expressions considered as generic environmental claims by the legislator</w:t>
      </w: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erence w:id="5"/>
      </w:r>
      <w:r>
        <w:rPr>
          <w:rFonts w:ascii="Garamond" w:hAnsi="Garamond"/>
          <w:outline w:val="0"/>
          <w:color w:val="231f20"/>
          <w:sz w:val="22"/>
          <w:szCs w:val="22"/>
          <w:u w:color="231f20"/>
          <w:rtl w:val="0"/>
          <w:lang w:val="en-US"/>
          <w14:textFill>
            <w14:solidFill>
              <w14:srgbClr w14:val="231F20"/>
            </w14:solidFill>
          </w14:textFill>
        </w:rPr>
        <w:t>. These keywords were codified into a list and systematically compared to the textual content of each statement, associating each sustainability report with a score that links the banking group</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xml:space="preserve">s name to a respective numerical value, encoding the frequency with which the generic environmental claims identified in recital 9 of Directive 2024/825 are repeated. To facilitate readability and interpretation of the result, the results were grouped in a bar chart that offers, visually, a direct comparison between the different operators. The results of the empirical analysis are shown in </w: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begin" w:fldLock="0"/>
      </w:r>
      <w:r>
        <w:rPr>
          <w:rStyle w:val="Hyperlink.1"/>
          <w:rFonts w:ascii="Garamond" w:cs="Garamond" w:hAnsi="Garamond" w:eastAsia="Garamond"/>
          <w:outline w:val="0"/>
          <w:color w:val="595959"/>
          <w:sz w:val="22"/>
          <w:szCs w:val="22"/>
          <w:u w:color="595959"/>
          <w:lang w:val="en-US"/>
          <w14:textFill>
            <w14:solidFill>
              <w14:srgbClr w14:val="595959"/>
            </w14:solidFill>
          </w14:textFill>
        </w:rPr>
        <w:instrText xml:space="preserve"> HYPERLINK \l "Figure1" </w:instrTex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separate" w:fldLock="0"/>
      </w:r>
      <w:r>
        <w:rPr>
          <w:rStyle w:val="Hyperlink.1"/>
          <w:rFonts w:ascii="Garamond" w:hAnsi="Garamond"/>
          <w:outline w:val="0"/>
          <w:color w:val="595959"/>
          <w:sz w:val="22"/>
          <w:szCs w:val="22"/>
          <w:u w:color="595959"/>
          <w:rtl w:val="0"/>
          <w:lang w:val="en-US"/>
          <w14:textFill>
            <w14:solidFill>
              <w14:srgbClr w14:val="595959"/>
            </w14:solidFill>
          </w14:textFill>
        </w:rPr>
        <w:t>Figure 1</w:t>
      </w:r>
      <w:r>
        <w:rPr>
          <w:lang w:val="en-US"/>
        </w:rPr>
        <w:fldChar w:fldCharType="end" w:fldLock="0"/>
      </w:r>
      <w:r>
        <w:rPr>
          <w:rFonts w:ascii="Garamond" w:hAnsi="Garamond"/>
          <w:outline w:val="0"/>
          <w:color w:val="231f20"/>
          <w:sz w:val="22"/>
          <w:szCs w:val="22"/>
          <w:u w:color="231f20"/>
          <w:rtl w:val="0"/>
          <w:lang w:val="en-US"/>
          <w14:textFill>
            <w14:solidFill>
              <w14:srgbClr w14:val="231F20"/>
            </w14:solidFill>
          </w14:textFill>
        </w:rPr>
        <w:t>, which demonstrates that almost all of the analyzed banking groups report at least one of the terms prohibited by the European legislator.</w:t>
      </w:r>
    </w:p>
    <w:p>
      <w:pPr>
        <w:pStyle w:val="Body Text"/>
        <w:spacing w:before="240" w:line="254" w:lineRule="auto"/>
        <w:ind w:right="176"/>
        <w:jc w:val="both"/>
        <w:outlineLvl w:val="0"/>
        <w:rPr>
          <w:rFonts w:ascii="Garamond" w:cs="Garamond" w:hAnsi="Garamond" w:eastAsia="Garamond"/>
          <w:b w:val="1"/>
          <w:bCs w:val="1"/>
          <w:outline w:val="0"/>
          <w:color w:val="231f20"/>
          <w:sz w:val="22"/>
          <w:szCs w:val="22"/>
          <w:u w:color="231f20"/>
          <w:lang w:val="en-US"/>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Figure 1:</w:t>
      </w:r>
    </w:p>
    <w:p>
      <w:pPr>
        <w:pStyle w:val="Body Text"/>
        <w:spacing w:before="1" w:line="254" w:lineRule="auto"/>
        <w:ind w:right="178"/>
        <w:jc w:val="both"/>
        <w:rPr>
          <w:rFonts w:ascii="Garamond" w:cs="Garamond" w:hAnsi="Garamond" w:eastAsia="Garamond"/>
          <w:outline w:val="0"/>
          <w:color w:val="231f20"/>
          <w:sz w:val="22"/>
          <w:szCs w:val="22"/>
          <w:u w:color="231f20"/>
          <w14:textFill>
            <w14:solidFill>
              <w14:srgbClr w14:val="231F20"/>
            </w14:solidFill>
          </w14:textFill>
        </w:rPr>
      </w:pPr>
      <w:bookmarkStart w:name="Figure1" w:id="0"/>
      <w:r>
        <w:rPr>
          <w:rFonts w:ascii="Garamond" w:cs="Garamond" w:hAnsi="Garamond" w:eastAsia="Garamond"/>
          <w:outline w:val="0"/>
          <w:color w:val="231f20"/>
          <w:sz w:val="22"/>
          <w:szCs w:val="22"/>
          <w:u w:color="231f20"/>
          <w14:textFill>
            <w14:solidFill>
              <w14:srgbClr w14:val="231F20"/>
            </w14:solidFill>
          </w14:textFill>
        </w:rPr>
        <w:drawing xmlns:a="http://schemas.openxmlformats.org/drawingml/2006/main">
          <wp:inline distT="0" distB="0" distL="0" distR="0">
            <wp:extent cx="4754119" cy="2852471"/>
            <wp:effectExtent l="0" t="0" r="0" b="0"/>
            <wp:docPr id="1073741827" name="officeArt object" descr="Picture 6"/>
            <wp:cNvGraphicFramePr/>
            <a:graphic xmlns:a="http://schemas.openxmlformats.org/drawingml/2006/main">
              <a:graphicData uri="http://schemas.openxmlformats.org/drawingml/2006/picture">
                <pic:pic xmlns:pic="http://schemas.openxmlformats.org/drawingml/2006/picture">
                  <pic:nvPicPr>
                    <pic:cNvPr id="1073741827" name="Picture 6" descr="Picture 6"/>
                    <pic:cNvPicPr>
                      <a:picLocks noChangeAspect="1"/>
                    </pic:cNvPicPr>
                  </pic:nvPicPr>
                  <pic:blipFill>
                    <a:blip r:embed="rId4">
                      <a:extLst/>
                    </a:blip>
                    <a:stretch>
                      <a:fillRect/>
                    </a:stretch>
                  </pic:blipFill>
                  <pic:spPr>
                    <a:xfrm>
                      <a:off x="0" y="0"/>
                      <a:ext cx="4754119" cy="2852471"/>
                    </a:xfrm>
                    <a:prstGeom prst="rect">
                      <a:avLst/>
                    </a:prstGeom>
                    <a:ln w="12700" cap="flat">
                      <a:noFill/>
                      <a:miter lim="400000"/>
                    </a:ln>
                    <a:effectLst/>
                  </pic:spPr>
                </pic:pic>
              </a:graphicData>
            </a:graphic>
          </wp:inline>
        </w:drawing>
      </w:r>
      <w:bookmarkEnd w:id="0"/>
    </w:p>
    <w:p>
      <w:pPr>
        <w:pStyle w:val="Body Text"/>
        <w:spacing w:before="1" w:after="240" w:line="254" w:lineRule="auto"/>
        <w:ind w:right="176"/>
        <w:jc w:val="both"/>
        <w:rPr>
          <w:rFonts w:ascii="Garamond" w:cs="Garamond" w:hAnsi="Garamond" w:eastAsia="Garamond"/>
          <w:outline w:val="0"/>
          <w:color w:val="231f20"/>
          <w:u w:color="231f20"/>
          <w:lang w:val="en-US"/>
          <w14:textFill>
            <w14:solidFill>
              <w14:srgbClr w14:val="231F20"/>
            </w14:solidFill>
          </w14:textFill>
        </w:rPr>
      </w:pPr>
      <w:r>
        <w:rPr>
          <w:rFonts w:ascii="Garamond" w:hAnsi="Garamond"/>
          <w:outline w:val="0"/>
          <w:color w:val="231f20"/>
          <w:u w:color="231f20"/>
          <w:rtl w:val="0"/>
          <w:lang w:val="en-US"/>
          <w14:textFill>
            <w14:solidFill>
              <w14:srgbClr w14:val="231F20"/>
            </w14:solidFill>
          </w14:textFill>
        </w:rPr>
        <w:t>Note: The graph shows the proportion of occurrences of generic claims related to greenwashing practices, as derived from the list provided by Directive 2024/825, based on the text contained in the consolidated non-financial statements of the top ten European banking institutions by capitalization. Each bar represents a single banking operator, with the horizontal axis showing the bank names and the vertical axis indicating the number of generic environmental claims identified in the text. The dashed blue line represents the median number of occurrences, providing a robust central measure relative to the extremes.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As shown in the graph above, the results demonstrate a widespread tendency, although not homogeneous, to use generic formulations that are considered by the European legislator as misleading and deceptive environmental claims. There is notable variability between the different operators, but what stands out from a systemic perspective is the cross-cutting presence of statements that do not seem compatible with the clarity, reliability, and verifiability requirements set by European regulations. The empirical analysis shows a disconnect between the formal presence of information and the substantial requirement for its reliability, clearly indicating a widespread communicative practice that could, in theory, generate an undue and potentially unlawful reputational advantage under the scope of the generic environmental claims prohibited by Directive 2024/825. The prohibition on using expressions that, while not strictly false, are capable of misleading the average consumer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due to their vagueness, lack of contextual references, and absence of measurability or verifiability (Van der Ven, 2019)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stems from the European recognition that environmental semantics is a crucial competitive lever and, as such, needs to be subject to both formal and substantial constraints. In this context, it is evident that banking institutions will need, in the near future, to radically reformulate their sustainability statements, at least in relation to the syntactical and semantic quality of the environmental claims contained in their consolidated non-financial statements.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The need for a reconsideration of communication strategies concerning sustainability and non-financial disclosures becomes even clearer when analyzing the presence of purely prospective claims within these reports</w:t>
      </w: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erence w:id="6"/>
      </w:r>
      <w:r>
        <w:rPr>
          <w:rFonts w:ascii="Garamond" w:hAnsi="Garamond"/>
          <w:outline w:val="0"/>
          <w:color w:val="231f20"/>
          <w:sz w:val="22"/>
          <w:szCs w:val="22"/>
          <w:u w:color="231f20"/>
          <w:rtl w:val="0"/>
          <w:lang w:val="en-US"/>
          <w14:textFill>
            <w14:solidFill>
              <w14:srgbClr w14:val="231F20"/>
            </w14:solidFill>
          </w14:textFill>
        </w:rPr>
        <w:t xml:space="preserve">. In this case, using another algorithm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based on the combination of </w:t>
      </w:r>
      <w:r>
        <w:rPr>
          <w:rFonts w:ascii="Garamond" w:hAnsi="Garamond"/>
          <w:i w:val="1"/>
          <w:iCs w:val="1"/>
          <w:outline w:val="0"/>
          <w:color w:val="231f20"/>
          <w:sz w:val="22"/>
          <w:szCs w:val="22"/>
          <w:u w:color="231f20"/>
          <w:rtl w:val="0"/>
          <w:lang w:val="en-US"/>
          <w14:textFill>
            <w14:solidFill>
              <w14:srgbClr w14:val="231F20"/>
            </w14:solidFill>
          </w14:textFill>
        </w:rPr>
        <w:t>re</w:t>
      </w:r>
      <w:r>
        <w:rPr>
          <w:rFonts w:ascii="Garamond" w:hAnsi="Garamond"/>
          <w:outline w:val="0"/>
          <w:color w:val="231f20"/>
          <w:sz w:val="22"/>
          <w:szCs w:val="22"/>
          <w:u w:color="231f20"/>
          <w:rtl w:val="0"/>
          <w:lang w:val="en-US"/>
          <w14:textFill>
            <w14:solidFill>
              <w14:srgbClr w14:val="231F20"/>
            </w14:solidFill>
          </w14:textFill>
        </w:rPr>
        <w:t xml:space="preserve"> with the additional Python package </w:t>
      </w:r>
      <w:r>
        <w:rPr>
          <w:rFonts w:ascii="Garamond" w:hAnsi="Garamond"/>
          <w:i w:val="1"/>
          <w:iCs w:val="1"/>
          <w:outline w:val="0"/>
          <w:color w:val="231f20"/>
          <w:sz w:val="22"/>
          <w:szCs w:val="22"/>
          <w:u w:color="231f20"/>
          <w:rtl w:val="0"/>
          <w:lang w:val="en-US"/>
          <w14:textFill>
            <w14:solidFill>
              <w14:srgbClr w14:val="231F20"/>
            </w14:solidFill>
          </w14:textFill>
        </w:rPr>
        <w:t xml:space="preserve">contextlib </w:t>
      </w:r>
      <w:r>
        <w:rPr>
          <w:rFonts w:ascii="Garamond" w:hAnsi="Garamond"/>
          <w:outline w:val="0"/>
          <w:color w:val="231f20"/>
          <w:sz w:val="22"/>
          <w:szCs w:val="22"/>
          <w:u w:color="231f20"/>
          <w:rtl w:val="0"/>
          <w:lang w:val="en-US"/>
          <w14:textFill>
            <w14:solidFill>
              <w14:srgbClr w14:val="231F20"/>
            </w14:solidFill>
          </w14:textFill>
        </w:rPr>
        <w:t xml:space="preserve">for evaluating regular expressions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it is possible to identify occurrences of linguistic formulations indicative of a form of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prospective greenwashing,</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i.e., formulas referring to mere, unquantified future commitments. These expressions refer to goals in the process of definition or statements that, while referring to environmental sustainability, constitute non-binding claims or fail to provide objective feedback about current environmental performance. This approach aims to empirically quantify the use of potentially elusive environmental rhetoric, providing a synthetic indicator of the use of purely prospective environmental rhetoric, which may be misleading. The results of this empirical exercise are presented in </w: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begin" w:fldLock="0"/>
      </w:r>
      <w:r>
        <w:rPr>
          <w:rStyle w:val="Hyperlink.1"/>
          <w:rFonts w:ascii="Garamond" w:cs="Garamond" w:hAnsi="Garamond" w:eastAsia="Garamond"/>
          <w:outline w:val="0"/>
          <w:color w:val="595959"/>
          <w:sz w:val="22"/>
          <w:szCs w:val="22"/>
          <w:u w:color="595959"/>
          <w:lang w:val="en-US"/>
          <w14:textFill>
            <w14:solidFill>
              <w14:srgbClr w14:val="595959"/>
            </w14:solidFill>
          </w14:textFill>
        </w:rPr>
        <w:instrText xml:space="preserve"> HYPERLINK \l "Figure2" </w:instrTex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separate" w:fldLock="0"/>
      </w:r>
      <w:r>
        <w:rPr>
          <w:rStyle w:val="Hyperlink.1"/>
          <w:rFonts w:ascii="Garamond" w:hAnsi="Garamond"/>
          <w:outline w:val="0"/>
          <w:color w:val="595959"/>
          <w:sz w:val="22"/>
          <w:szCs w:val="22"/>
          <w:u w:color="595959"/>
          <w:rtl w:val="0"/>
          <w:lang w:val="en-US"/>
          <w14:textFill>
            <w14:solidFill>
              <w14:srgbClr w14:val="595959"/>
            </w14:solidFill>
          </w14:textFill>
        </w:rPr>
        <w:t>Figure 2</w:t>
      </w:r>
      <w:r>
        <w:rPr>
          <w:lang w:val="en-US"/>
        </w:rPr>
        <w:fldChar w:fldCharType="end" w:fldLock="0"/>
      </w:r>
      <w:r>
        <w:rPr>
          <w:rFonts w:ascii="Garamond" w:hAnsi="Garamond"/>
          <w:outline w:val="0"/>
          <w:color w:val="231f20"/>
          <w:sz w:val="22"/>
          <w:szCs w:val="22"/>
          <w:u w:color="231f20"/>
          <w:rtl w:val="0"/>
          <w:lang w:val="en-US"/>
          <w14:textFill>
            <w14:solidFill>
              <w14:srgbClr w14:val="231F20"/>
            </w14:solidFill>
          </w14:textFill>
        </w:rPr>
        <w:t>.</w:t>
      </w:r>
    </w:p>
    <w:p>
      <w:pPr>
        <w:pStyle w:val="Body Text"/>
        <w:spacing w:before="1" w:line="254" w:lineRule="auto"/>
        <w:ind w:right="178" w:firstLine="383"/>
        <w:jc w:val="both"/>
        <w:rPr>
          <w:rFonts w:ascii="Garamond" w:cs="Garamond" w:hAnsi="Garamond" w:eastAsia="Garamond"/>
          <w:b w:val="1"/>
          <w:bCs w:val="1"/>
          <w:outline w:val="0"/>
          <w:color w:val="231f20"/>
          <w:sz w:val="22"/>
          <w:szCs w:val="22"/>
          <w:u w:color="231f20"/>
          <w:lang w:val="en-US"/>
          <w14:textFill>
            <w14:solidFill>
              <w14:srgbClr w14:val="231F20"/>
            </w14:solidFill>
          </w14:textFill>
        </w:rPr>
      </w:pPr>
    </w:p>
    <w:p>
      <w:pPr>
        <w:pStyle w:val="Body Text"/>
        <w:spacing w:before="1" w:line="254" w:lineRule="auto"/>
        <w:ind w:right="178"/>
        <w:jc w:val="both"/>
        <w:outlineLvl w:val="0"/>
        <w:rPr>
          <w:rFonts w:ascii="Garamond" w:cs="Garamond" w:hAnsi="Garamond" w:eastAsia="Garamond"/>
          <w:b w:val="1"/>
          <w:bCs w:val="1"/>
          <w:outline w:val="0"/>
          <w:color w:val="231f20"/>
          <w:sz w:val="22"/>
          <w:szCs w:val="22"/>
          <w:u w:color="231f20"/>
          <w:lang w:val="en-US"/>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Figure 2:</w:t>
      </w:r>
    </w:p>
    <w:p>
      <w:pPr>
        <w:pStyle w:val="Body Text"/>
        <w:spacing w:before="1" w:line="254" w:lineRule="auto"/>
        <w:ind w:right="178"/>
        <w:jc w:val="both"/>
        <w:rPr>
          <w:rFonts w:ascii="Garamond" w:cs="Garamond" w:hAnsi="Garamond" w:eastAsia="Garamond"/>
          <w:outline w:val="0"/>
          <w:color w:val="231f20"/>
          <w:sz w:val="22"/>
          <w:szCs w:val="22"/>
          <w:u w:color="231f20"/>
          <w14:textFill>
            <w14:solidFill>
              <w14:srgbClr w14:val="231F20"/>
            </w14:solidFill>
          </w14:textFill>
        </w:rPr>
      </w:pPr>
      <w:bookmarkStart w:name="Figure2" w:id="1"/>
      <w:r>
        <w:rPr>
          <w:rFonts w:ascii="Garamond" w:cs="Garamond" w:hAnsi="Garamond" w:eastAsia="Garamond"/>
          <w:outline w:val="0"/>
          <w:color w:val="231f20"/>
          <w:sz w:val="22"/>
          <w:szCs w:val="22"/>
          <w:u w:color="231f20"/>
          <w14:textFill>
            <w14:solidFill>
              <w14:srgbClr w14:val="231F20"/>
            </w14:solidFill>
          </w14:textFill>
        </w:rPr>
        <w:drawing xmlns:a="http://schemas.openxmlformats.org/drawingml/2006/main">
          <wp:inline distT="0" distB="0" distL="0" distR="0">
            <wp:extent cx="4754119" cy="2852471"/>
            <wp:effectExtent l="0" t="0" r="0" b="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5">
                      <a:extLst/>
                    </a:blip>
                    <a:stretch>
                      <a:fillRect/>
                    </a:stretch>
                  </pic:blipFill>
                  <pic:spPr>
                    <a:xfrm>
                      <a:off x="0" y="0"/>
                      <a:ext cx="4754119" cy="2852471"/>
                    </a:xfrm>
                    <a:prstGeom prst="rect">
                      <a:avLst/>
                    </a:prstGeom>
                    <a:ln w="12700" cap="flat">
                      <a:noFill/>
                      <a:miter lim="400000"/>
                    </a:ln>
                    <a:effectLst/>
                  </pic:spPr>
                </pic:pic>
              </a:graphicData>
            </a:graphic>
          </wp:inline>
        </w:drawing>
      </w:r>
      <w:bookmarkEnd w:id="1"/>
    </w:p>
    <w:p>
      <w:pPr>
        <w:pStyle w:val="Body Text"/>
        <w:spacing w:before="1" w:after="240" w:line="254" w:lineRule="auto"/>
        <w:ind w:right="176"/>
        <w:jc w:val="both"/>
        <w:rPr>
          <w:rFonts w:ascii="Garamond" w:cs="Garamond" w:hAnsi="Garamond" w:eastAsia="Garamond"/>
          <w:outline w:val="0"/>
          <w:color w:val="231f20"/>
          <w:u w:color="231f20"/>
          <w:lang w:val="en-US"/>
          <w14:textFill>
            <w14:solidFill>
              <w14:srgbClr w14:val="231F20"/>
            </w14:solidFill>
          </w14:textFill>
        </w:rPr>
      </w:pPr>
      <w:r>
        <w:rPr>
          <w:rFonts w:ascii="Garamond" w:hAnsi="Garamond"/>
          <w:outline w:val="0"/>
          <w:color w:val="231f20"/>
          <w:u w:color="231f20"/>
          <w:rtl w:val="0"/>
          <w:lang w:val="en-US"/>
          <w14:textFill>
            <w14:solidFill>
              <w14:srgbClr w14:val="231F20"/>
            </w14:solidFill>
          </w14:textFill>
        </w:rPr>
        <w:t>Note: The graph shows the number of occurrences, per page, of purely prospective claims that could, in theory, be considered forms of greenwashing under Directive 2024/825. The analysis is based on the content of the consolidated non-financial statements of the top ten European banking institutions by market capitalization. Each bar represents a single banking operator, with the horizontal axis showing the bank names and the vertical axis indicating the rate of prospective environmental claims identified in the text.</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The empirical results provide an objective assessment of the material soundness of the strategies declared by the various banking groups analyzed. It is clear, from the analysis, that all the banks in the study present communications based on future perspectives that, under Directive 2024/825, appear to be vague and unsubstantiated being, in prospective, be divergent to the provisions set by the European legislator. The decision to include flexible forms and syntactic variations in the algorithm allows for an in-depth analysis of all the different communicative facets and aspirational linguistic formulas used by the analyzed banking groups. The results obtained from this analytical exercise demonstrate a persistent abuse of expressions lacking an objective reference to defined deadlines, with the risk, when the directive will come into force, that all the analyzed statements could be considered misleading and unlawful, and, as such, considered misleading commercial practices according to the obligations set by European law on greenwashing. There is literature suggesting significant heterogeneity in the communication practices of the banking operators (Bantel &amp; Jackson, 1989), but the common factor is that none of them are free from dilatory and non-binding rhetoric, as the algorithm analyzes the presence of vague and purely prospective commitments</w:t>
      </w: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erence w:id="7"/>
      </w:r>
      <w:r>
        <w:rPr>
          <w:rFonts w:ascii="Garamond" w:hAnsi="Garamond"/>
          <w:outline w:val="0"/>
          <w:color w:val="231f20"/>
          <w:sz w:val="22"/>
          <w:szCs w:val="22"/>
          <w:u w:color="231f20"/>
          <w:rtl w:val="0"/>
          <w:lang w:val="en-US"/>
          <w14:textFill>
            <w14:solidFill>
              <w14:srgbClr w14:val="231F20"/>
            </w14:solidFill>
          </w14:textFill>
        </w:rPr>
        <w:t>. The empirical findings reveal that all the analyzed banks extensively use statements referring to future intentions, programs, projects, or ambitions, creating a shared and consolidated communicative register that reflects a way of conceiving sustainability not as a truly achieved asset, but rather as an ongoing prospective horizon. What stands out is the frequency and systemic nature of greenwashing violations that contradicts sustainability narratives (Ruggeri et al., 2025) among ESG reporting, given a predominantly programmatic rather than conclusive structure.</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In general terms, the empirical results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see </w: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begin" w:fldLock="0"/>
      </w:r>
      <w:r>
        <w:rPr>
          <w:rStyle w:val="Hyperlink.1"/>
          <w:rFonts w:ascii="Garamond" w:cs="Garamond" w:hAnsi="Garamond" w:eastAsia="Garamond"/>
          <w:outline w:val="0"/>
          <w:color w:val="595959"/>
          <w:sz w:val="22"/>
          <w:szCs w:val="22"/>
          <w:u w:color="595959"/>
          <w:lang w:val="en-US"/>
          <w14:textFill>
            <w14:solidFill>
              <w14:srgbClr w14:val="595959"/>
            </w14:solidFill>
          </w14:textFill>
        </w:rPr>
        <w:instrText xml:space="preserve"> HYPERLINK \l "Figure1" </w:instrTex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separate" w:fldLock="0"/>
      </w:r>
      <w:r>
        <w:rPr>
          <w:rStyle w:val="Hyperlink.1"/>
          <w:rFonts w:ascii="Garamond" w:hAnsi="Garamond"/>
          <w:outline w:val="0"/>
          <w:color w:val="595959"/>
          <w:sz w:val="22"/>
          <w:szCs w:val="22"/>
          <w:u w:color="595959"/>
          <w:rtl w:val="0"/>
          <w:lang w:val="en-US"/>
          <w14:textFill>
            <w14:solidFill>
              <w14:srgbClr w14:val="595959"/>
            </w14:solidFill>
          </w14:textFill>
        </w:rPr>
        <w:t>Figure 1</w:t>
      </w:r>
      <w:r>
        <w:rPr>
          <w:lang w:val="en-US"/>
        </w:rPr>
        <w:fldChar w:fldCharType="end" w:fldLock="0"/>
      </w:r>
      <w:r>
        <w:rPr>
          <w:rFonts w:ascii="Garamond" w:hAnsi="Garamond"/>
          <w:outline w:val="0"/>
          <w:color w:val="231f20"/>
          <w:sz w:val="22"/>
          <w:szCs w:val="22"/>
          <w:u w:color="231f20"/>
          <w:rtl w:val="0"/>
          <w:lang w:val="en-US"/>
          <w14:textFill>
            <w14:solidFill>
              <w14:srgbClr w14:val="231F20"/>
            </w14:solidFill>
          </w14:textFill>
        </w:rPr>
        <w:t xml:space="preserve"> and </w: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begin" w:fldLock="0"/>
      </w:r>
      <w:r>
        <w:rPr>
          <w:rStyle w:val="Hyperlink.1"/>
          <w:rFonts w:ascii="Garamond" w:cs="Garamond" w:hAnsi="Garamond" w:eastAsia="Garamond"/>
          <w:outline w:val="0"/>
          <w:color w:val="595959"/>
          <w:sz w:val="22"/>
          <w:szCs w:val="22"/>
          <w:u w:color="595959"/>
          <w:lang w:val="en-US"/>
          <w14:textFill>
            <w14:solidFill>
              <w14:srgbClr w14:val="595959"/>
            </w14:solidFill>
          </w14:textFill>
        </w:rPr>
        <w:instrText xml:space="preserve"> HYPERLINK \l "Figure2" </w:instrText>
      </w:r>
      <w:r>
        <w:rPr>
          <w:rStyle w:val="Hyperlink.1"/>
          <w:rFonts w:ascii="Garamond" w:cs="Garamond" w:hAnsi="Garamond" w:eastAsia="Garamond"/>
          <w:outline w:val="0"/>
          <w:color w:val="595959"/>
          <w:sz w:val="22"/>
          <w:szCs w:val="22"/>
          <w:u w:color="595959"/>
          <w:lang w:val="en-US"/>
          <w14:textFill>
            <w14:solidFill>
              <w14:srgbClr w14:val="595959"/>
            </w14:solidFill>
          </w14:textFill>
        </w:rPr>
        <w:fldChar w:fldCharType="separate" w:fldLock="0"/>
      </w:r>
      <w:r>
        <w:rPr>
          <w:rStyle w:val="Hyperlink.1"/>
          <w:rFonts w:ascii="Garamond" w:hAnsi="Garamond"/>
          <w:outline w:val="0"/>
          <w:color w:val="595959"/>
          <w:sz w:val="22"/>
          <w:szCs w:val="22"/>
          <w:u w:color="595959"/>
          <w:rtl w:val="0"/>
          <w:lang w:val="en-US"/>
          <w14:textFill>
            <w14:solidFill>
              <w14:srgbClr w14:val="595959"/>
            </w14:solidFill>
          </w14:textFill>
        </w:rPr>
        <w:t>Figure 2</w:t>
      </w:r>
      <w:r>
        <w:rPr>
          <w:lang w:val="en-US"/>
        </w:rPr>
        <w:fldChar w:fldCharType="end" w:fldLock="0"/>
      </w:r>
      <w:r>
        <w:rPr>
          <w:rFonts w:ascii="Garamond" w:hAnsi="Garamond" w:hint="default"/>
          <w:outline w:val="0"/>
          <w:color w:val="231f20"/>
          <w:sz w:val="22"/>
          <w:szCs w:val="22"/>
          <w:u w:color="231f20"/>
          <w:rtl w:val="0"/>
          <w:lang w:val="en-US"/>
          <w14:textFill>
            <w14:solidFill>
              <w14:srgbClr w14:val="231F20"/>
            </w14:solidFill>
          </w14:textFill>
        </w:rPr>
        <w:t xml:space="preserve"> – </w:t>
      </w:r>
      <w:r>
        <w:rPr>
          <w:rFonts w:ascii="Garamond" w:hAnsi="Garamond"/>
          <w:outline w:val="0"/>
          <w:color w:val="231f20"/>
          <w:sz w:val="22"/>
          <w:szCs w:val="22"/>
          <w:u w:color="231f20"/>
          <w:rtl w:val="0"/>
          <w:lang w:val="en-US"/>
          <w14:textFill>
            <w14:solidFill>
              <w14:srgbClr w14:val="231F20"/>
            </w14:solidFill>
          </w14:textFill>
        </w:rPr>
        <w:t xml:space="preserve">demonstrate that the vast majority of the banking groups analyzed are still relying on communication models that do not comply with the new European regulatory framework. Therefore, the quantitative data presented highlights a latent risk indicator, as all the market operators analyzed could face increasing responsibilities (Lashitew, 2021), reputational damage (Santos et al., 2024a), and potential sanctions (Free et al., 2024) from the competent banking supervisory authorities in the near future. In a context of growing demand for the promotion of a sustainable and transparent economic transition within the banking sector (Bouma et al., 2017), all practices linked to false sustainability or mere "greenwashing" are now identified as a significant source of market distortion (Marcatajo, 2023), as they undermine the Union's efforts to create a unified and credible system of environmental responsibility and sustainable development (Kluza et al., 2021), damaging the trust of consumers (Hossain et al., 2025) and investors (Haidar, 2025) in the truly responsible management of scarce resources. In this context of collective responsibility (Ardoin et al., 2023), when a company simulates pursuing specific environmental commitments without actually implementing concrete measures, it not only gains undue reputational (Wang et al., 2025) and competitive advantages (Ioannou et al., 2023) but can also divert resources, both in terms of trust and investment, away from economic operators who pursue genuinely responsible socio-environmental objectives (Shuang et al., 2024). This phenomenon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undermining the credibility of the entire sustainability system (Santos et al., 2024b) and compromising the effectiveness of public policies aimed at promoting an economically neutral and socially fair economy (Liang &amp; Gao, 2025)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slows down, as a whole, the diffusion of virtuous practices, rendering ineffective market instruments intended to promote sustainable behaviors.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The results of the analysis conducted so far clearly demonstrate that there are significant opportunities to apply transparent and replicable computational methodologies to support all environmental compliance and disclosure activities. The aim of this empirical exercise was to show how a range of technical tools exist that can actively contribute to the legislator</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xml:space="preserve">s efforts to improve market transparency in line with the principle of prevention and the goals of the European Green Deal, as well as combat misleading and distorting practices. In particular, the ability to subject consolidated non-financial statements to automated analysis based on syntactic and semantic criteria consistent with regulatory standards paves the way for a new paradigm of assisted compliance, overcoming the structural limitations of purely manual and discretionary controls. In other words, this would make operational a form of predictive oversight that, in compliance with the principles of legality and proportionality, can intercept textual indicators symptomatic of misleading environmental information practices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i.e., greenwashing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acting, in potential, before they generate distorting effects on stakeholder behavior (Torelli et al., 2020). Such an approach would not only increase control efficiency but also promote a new culture of reporting, where companies do not limit themselves to merely producing ESG data according to a logic of formal compliance but internalize sustainability as a substantive obligation. The reported evidence shows that artificial intelligence and algorithms can serve as ESG-washing detection tools (Lagasio, 2024) and potential tools for achieving greater compliance (Kamruzzaman et al., 2025) and systemic coherence (De Conca, 2022), strengthening the information symmetry between the economic operator and the final recipient of the statement, serving as an external guarantor of the reliability of the information provided by the banks.</w:t>
      </w:r>
    </w:p>
    <w:p>
      <w:pPr>
        <w:pStyle w:val="Body Text"/>
        <w:spacing w:before="1" w:line="254" w:lineRule="auto"/>
        <w:ind w:right="178"/>
        <w:jc w:val="both"/>
        <w:rPr>
          <w:rFonts w:ascii="Garamond" w:cs="Garamond" w:hAnsi="Garamond" w:eastAsia="Garamond"/>
          <w:outline w:val="0"/>
          <w:color w:val="231f20"/>
          <w:sz w:val="22"/>
          <w:szCs w:val="22"/>
          <w:u w:color="231f20"/>
          <w14:textFill>
            <w14:solidFill>
              <w14:srgbClr w14:val="231F20"/>
            </w14:solidFill>
          </w14:textFill>
        </w:rPr>
      </w:pPr>
      <w:r>
        <w:rPr>
          <w:rFonts w:ascii="Garamond" w:cs="Garamond" w:hAnsi="Garamond" w:eastAsia="Garamond"/>
          <w:outline w:val="0"/>
          <w:color w:val="231f20"/>
          <w:sz w:val="22"/>
          <w:szCs w:val="22"/>
          <w:u w:color="231f20"/>
          <w14:textFill>
            <w14:solidFill>
              <w14:srgbClr w14:val="231F20"/>
            </w14:solidFill>
          </w14:textFill>
        </w:rPr>
        <mc:AlternateContent>
          <mc:Choice Requires="wps">
            <w:drawing xmlns:a="http://schemas.openxmlformats.org/drawingml/2006/main">
              <wp:inline distT="0" distB="0" distL="0" distR="0">
                <wp:extent cx="4754119" cy="10398"/>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4754119" cy="10398"/>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374.3pt;height:0.8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Text"/>
        <w:spacing w:before="1" w:line="254" w:lineRule="auto"/>
        <w:ind w:right="178" w:firstLine="383"/>
        <w:jc w:val="both"/>
        <w:rPr>
          <w:rFonts w:ascii="Garamond" w:cs="Garamond" w:hAnsi="Garamond" w:eastAsia="Garamond"/>
          <w:outline w:val="0"/>
          <w:color w:val="231f20"/>
          <w:sz w:val="22"/>
          <w:szCs w:val="22"/>
          <w:u w:color="231f20"/>
          <w14:textFill>
            <w14:solidFill>
              <w14:srgbClr w14:val="231F20"/>
            </w14:solidFill>
          </w14:textFill>
        </w:rPr>
      </w:pPr>
    </w:p>
    <w:p>
      <w:pPr>
        <w:pStyle w:val="Body Text"/>
        <w:spacing w:before="1" w:line="254" w:lineRule="auto"/>
        <w:ind w:right="178" w:firstLine="383"/>
        <w:jc w:val="both"/>
        <w:outlineLvl w:val="0"/>
        <w:rPr>
          <w:rFonts w:ascii="Garamond" w:cs="Garamond" w:hAnsi="Garamond" w:eastAsia="Garamond"/>
          <w:b w:val="1"/>
          <w:bCs w:val="1"/>
          <w:outline w:val="0"/>
          <w:color w:val="231f20"/>
          <w:sz w:val="22"/>
          <w:szCs w:val="22"/>
          <w:u w:color="231f20"/>
          <w:lang w:val="en-US"/>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4. From Rhetoric to Regulation: Algorithmic Standards for ESG Disclosure Compliance</w:t>
      </w:r>
    </w:p>
    <w:p>
      <w:pPr>
        <w:pStyle w:val="Body Text"/>
        <w:spacing w:before="1" w:line="254" w:lineRule="auto"/>
        <w:ind w:right="178"/>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In light of the considerations developed so far, the concerns repeatedly expressed by the European Commission</w:t>
      </w: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erence w:id="8"/>
      </w:r>
      <w:r>
        <w:rPr>
          <w:rFonts w:ascii="Garamond" w:hAnsi="Garamond"/>
          <w:outline w:val="0"/>
          <w:color w:val="231f20"/>
          <w:sz w:val="22"/>
          <w:szCs w:val="22"/>
          <w:u w:color="231f20"/>
          <w:rtl w:val="0"/>
          <w:lang w:val="en-US"/>
          <w14:textFill>
            <w14:solidFill>
              <w14:srgbClr w14:val="231F20"/>
            </w14:solidFill>
          </w14:textFill>
        </w:rPr>
        <w:t xml:space="preserve"> seem to be confirmed, regarding the exponential growth of generic, vague, or unverifiable environmental claims, i.e., sustainability statements that do not provide sufficient elements to assess the accuracy of the declarations, offering vague, misleading, and unfounded information. This represents a genuine and urgent problem that needs to be swiftly addressed (Conti &amp; Seele, 2025). The results of the analysis conducted in this study reveal a systemic dysfunction within the banking sustainability reporting framework, with recurring and recursive linguistic formulations that, although not strictly false, fail to meet the transparency, verifiability, and specificity requirements imposed by the new European regulatory framework. The presence of numerous misleading environmental claims in the non-financial banking disclosures highlights a longstanding trend, tolerated in practice, but now in contrast with the emerging regulatory structure, which demands an upgrade, even in terms of monitoring tools. It is in this direction that the proposal for a systematic and consistent use of algorithmic technologies and computational models to safeguard ESG compliance fits. In fact, many areas of banking law already see the use of artificial intelligence-based tools and credit rating and prudential risk management algorithms (Srivastava et al., 2024). Therefore, it is not clear why these same tools cannot find similar applications in the assessment of informational transparency, especially in the context of environmental statements, which are highly prone to semantic ambiguity and informational asymmetry between regulators and the regulated parties.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In combating these distorting practices, within the framework of market supervision activities that ensure healthy competition among companies investing and fully supporting sustainability (Xu et al., 2025 it is surprising that, at least for the moment, algorithmic analysis systems are not being used to check if the sustainability declared by companies corresponds to actual commitments, verifying the indeterminacy, relevance, and lack of real environmental sustainability criteria by market operators. There is, beyond the empirical evidence mentioned above, numerous confirmations of the usefulness of proceeding with these computational tools for the systematic identification of superficial statements within environmental disclosure documents (Chuang et al., 2025). Artificial intelligence and natural language processing technologies, in fact, can recognize vague or misleading expressions even within lengthy documents, images, and tables, systematically and almost automatically evaluating all the statements banks provide about their environmental resilience and sustainability strategy. This would essentially be a preliminary screening tool capable of significantly extending the control capacity compared to traditional tools, which are not currently supported by quantitative analysis, providing new investigative, selection, and alert capabilities in the context of an exploratory analysis of vague, dilatory, or unverifiable linguistic expressions that could be subject to interpretation. The use of scalable diagnostic tools based on predefined parameters could be an essential step toward a structural transformation of supervisory practices (Khan et al., 2024), laying the groundwork for an effective and efficient oversight system capable of responding to market "gray" dynamics with objective, replicable, and scalable analysis tools. These tools are crucial both for regulatory authorities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which could strengthen their surveillance functions (Aldasoro et al., 2025)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and for economic operators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who could use them to improve banking compliance (Mer et al., 2024).</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In this context, it would be logically coherent to entrust computational and systemic systems with the task of identifying elusive linguistic formulations within vast document corpora (Wu et al., 2024), aiming to increase the reliability and effectiveness of transparency and environmental responsibility policies (Pappachan et al., 2024). The adoption of a proactive supervisory model based on textual data analysis could, in this sense, strengthen the effectiveness of greenwashing regulations, which, due to their technical complexity could greatly benefit from these analysis tools. The algorithm used here, in its simplicity, represents an experimental proposal for technical instrumentation to complement traditional control tools, capable of providing objective and replicable support (Borgogno &amp; Perrazzelli, 2025) in verifying the consistency between public statements and the tangible commitments made by market operators, in the context of environmental protection and the welfare of future generations, which now assumes a systemic and compelling character, in light of a diacronic and synchronic solidarity between individuals that must continually self-sustain and improve(Fusco Girard, 2024).</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advantages of an algorithmic approach are particularly evident and far-reaching. From the perspective of legislators and regulatory authorities, implementing algorithmic analysis technologies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whose codes could be public, open-source, and verifiable ex ante by operators, investors, and consumers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would optimize available resources and analyze vast amounts of data compared to what could be achieved with human experts alone, guiding control policies in a targeted and proactive way to detect manipulations of information or inconsistent environmental statements, which are sustainable only on paper. A secondary, but not insignificant, aspect is that the use of transparent, verifiable, and replicable algorithms would also foster greater trust among market operators, who would face a system of surveillance that is understandable, clear, and predictable </w:t>
      </w:r>
      <w:r>
        <w:rPr>
          <w:rFonts w:ascii="Garamond" w:hAnsi="Garamond"/>
          <w:i w:val="1"/>
          <w:iCs w:val="1"/>
          <w:outline w:val="0"/>
          <w:color w:val="231f20"/>
          <w:sz w:val="22"/>
          <w:szCs w:val="22"/>
          <w:u w:color="231f20"/>
          <w:rtl w:val="0"/>
          <w:lang w:val="en-US"/>
          <w14:textFill>
            <w14:solidFill>
              <w14:srgbClr w14:val="231F20"/>
            </w14:solidFill>
          </w14:textFill>
        </w:rPr>
        <w:t>ex ante</w:t>
      </w:r>
      <w:r>
        <w:rPr>
          <w:rFonts w:ascii="Garamond" w:hAnsi="Garamond"/>
          <w:outline w:val="0"/>
          <w:color w:val="231f20"/>
          <w:sz w:val="22"/>
          <w:szCs w:val="22"/>
          <w:u w:color="231f20"/>
          <w:rtl w:val="0"/>
          <w:lang w:val="en-US"/>
          <w14:textFill>
            <w14:solidFill>
              <w14:srgbClr w14:val="231F20"/>
            </w14:solidFill>
          </w14:textFill>
        </w:rPr>
        <w:t xml:space="preserve">. </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efficiency of such a process for analyzing non-financial statements could also represent a form of systemic deterrence for all operators who intend to use potentially misleading declarations, as each linguistic formulation or presented data could be scrutinized for inconsistency or misalignment with concrete actions. As a result, operators could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even before publishing their declarations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verify and anticipate potential violations before they materialize, thus avoiding reputational damages that could affect the credibility of the sustainability strategies pursued. It is worth noting that this does not necessarily imply a complete replacement of human labor traditionally involved in monitoring and surveillance practices, but rather a synergistic integration between quantitative data and qualitative assessments of more complex or ambiguous situations (Fragiadakis et al., 2024). There is nothing preventing this evolution, given that the technological tool would respect the criteria of transparency, objectivity, neutrality, efficiency, cost-effectiveness, and simplification of supervisory activities, providing an efficient response to banks' need to meet regulatory compliance and reporting requirements (Kothandapani, 2025) demanded by the market systematically.</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By utilizing pattern recognition, semantic matching, and language modeling techniques, a dual environmental strategy is fostered: on the one hand, it indirectly promotes the adoption of algorithmic self-assessment tools by market operators and, on the other hand, equips supervisory authorities with computational tools that are dedicated and easily integrated into risk-based supervision models, capable of detecting discursive anomalies, rhetorical recurrences, and semantic deviations from the standards set by the European legislator. This would overcome the current limitations of oversight concerning the objectives set by the Green Deal, avoiding reliance on reactive ex post phenomena and hierarchical logic in which operators perceive environmental compliance as a cost rather than an opportunity for growth. Supervisory algorithms could, in this sense, contribute to promoting a virtuous process of voluntary adjustment, in which the market, made aware that reporting will no longer be judged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under Directive 2024/825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based on the overall content, but also regarding the linguistic quality and semantic coherence of the statements, will be naturally incentivized to reformulate their communication strategies in a more rigorous and transparent manner.</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Preliminary analysis activities by companies could further be integrated by using large-scale linguistic models and artificial intelligence systems to measure non-compliance risk, as well as to precisely identify the structural weaknesses in their environmental communications, promptly detecting any issues requiring urgent corrective action (Surampudi, 2024). At the same time, given that, in banking, management analyses through algorithms and machine learning are a strong point, there are ample opportunities to rethink a coherent, transparent, and legitimate application of these technologies. </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Ultimately, it is up to the legislator to provide any necessary guarantees for the transparency of these tools (Quttainah et al., 2024), which, far from absolving economic actors of responsibility, could strengthen their obligations of truth, thereby improving the trust-based relationship between companies and society in the pursuit of long-term sustainability goals. This evolution towards a form of compliance-by-design (Terzidou, 2025) and algorithmization of supervision (Leeuw, 2025) would also shift the enforcement focus from a repressive logic to a structural one, capable of correcting systemic distortions, compliance errors, and discrepancies through a technologically-assisted regulatory environment that combines pragmatic consistency assessments between ESG statements and the concrete commitments made to investors and consumers. One could even envision, </w:t>
      </w:r>
      <w:r>
        <w:rPr>
          <w:rFonts w:ascii="Garamond" w:hAnsi="Garamond"/>
          <w:i w:val="1"/>
          <w:iCs w:val="1"/>
          <w:outline w:val="0"/>
          <w:color w:val="231f20"/>
          <w:sz w:val="22"/>
          <w:szCs w:val="22"/>
          <w:u w:color="231f20"/>
          <w:rtl w:val="0"/>
          <w:lang w:val="en-US"/>
          <w14:textFill>
            <w14:solidFill>
              <w14:srgbClr w14:val="231F20"/>
            </w14:solidFill>
          </w14:textFill>
        </w:rPr>
        <w:t>de iure condendo</w:t>
      </w:r>
      <w:r>
        <w:rPr>
          <w:rFonts w:ascii="Garamond" w:hAnsi="Garamond"/>
          <w:outline w:val="0"/>
          <w:color w:val="231f20"/>
          <w:sz w:val="22"/>
          <w:szCs w:val="22"/>
          <w:u w:color="231f20"/>
          <w:rtl w:val="0"/>
          <w:lang w:val="en-US"/>
          <w14:textFill>
            <w14:solidFill>
              <w14:srgbClr w14:val="231F20"/>
            </w14:solidFill>
          </w14:textFill>
        </w:rPr>
        <w:t>, implementing a new operational approach for supervisory authorities on a systemic scale, in which, rather than relying solely on selective and limited checks, they could have access to a platform capable of automatically processing all consolidated non-financial statements filed annually, returning targeted alerts, semantic risk clusters, and inconsistency maps between sustainability report statements and potential risk classification mechanisms, creating a form of "augmented supervision" in which algorithms and artificial intelligence guide, filter, and enhance human evaluations.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jc w:val="both"/>
        <w:rPr>
          <w:rFonts w:ascii="Garamond" w:cs="Garamond" w:hAnsi="Garamond" w:eastAsia="Garamond"/>
          <w:outline w:val="0"/>
          <w:color w:val="231f20"/>
          <w:sz w:val="22"/>
          <w:szCs w:val="22"/>
          <w:u w:color="231f20"/>
          <w14:textFill>
            <w14:solidFill>
              <w14:srgbClr w14:val="231F20"/>
            </w14:solidFill>
          </w14:textFill>
        </w:rPr>
      </w:pPr>
      <w:r>
        <w:rPr>
          <w:rFonts w:ascii="Garamond" w:cs="Garamond" w:hAnsi="Garamond" w:eastAsia="Garamond"/>
          <w:outline w:val="0"/>
          <w:color w:val="231f20"/>
          <w:sz w:val="22"/>
          <w:szCs w:val="22"/>
          <w:u w:color="231f20"/>
          <w14:textFill>
            <w14:solidFill>
              <w14:srgbClr w14:val="231F20"/>
            </w14:solidFill>
          </w14:textFill>
        </w:rPr>
        <mc:AlternateContent>
          <mc:Choice Requires="wps">
            <w:drawing xmlns:a="http://schemas.openxmlformats.org/drawingml/2006/main">
              <wp:inline distT="0" distB="0" distL="0" distR="0">
                <wp:extent cx="4754119" cy="10398"/>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4754119" cy="10398"/>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374.3pt;height:0.8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Text"/>
        <w:spacing w:before="1" w:line="254" w:lineRule="auto"/>
        <w:ind w:right="178" w:firstLine="383"/>
        <w:jc w:val="both"/>
        <w:rPr>
          <w:rFonts w:ascii="Garamond" w:cs="Garamond" w:hAnsi="Garamond" w:eastAsia="Garamond"/>
          <w:outline w:val="0"/>
          <w:color w:val="231f20"/>
          <w:sz w:val="22"/>
          <w:szCs w:val="22"/>
          <w:u w:color="231f20"/>
          <w14:textFill>
            <w14:solidFill>
              <w14:srgbClr w14:val="231F20"/>
            </w14:solidFill>
          </w14:textFill>
        </w:rPr>
      </w:pPr>
    </w:p>
    <w:p>
      <w:pPr>
        <w:pStyle w:val="Body Text"/>
        <w:spacing w:before="1" w:line="254" w:lineRule="auto"/>
        <w:ind w:right="178" w:firstLine="383"/>
        <w:jc w:val="both"/>
        <w:outlineLvl w:val="0"/>
        <w:rPr>
          <w:rFonts w:ascii="Garamond" w:cs="Garamond" w:hAnsi="Garamond" w:eastAsia="Garamond"/>
          <w:b w:val="1"/>
          <w:bCs w:val="1"/>
          <w:outline w:val="0"/>
          <w:color w:val="231f20"/>
          <w:sz w:val="22"/>
          <w:szCs w:val="22"/>
          <w:u w:color="231f20"/>
          <w:lang w:val="en-US"/>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5. Reassessing Misleading ESG Claims Through a Tripartite Legal-Economic Framework</w:t>
      </w:r>
    </w:p>
    <w:p>
      <w:pPr>
        <w:pStyle w:val="Body Text"/>
        <w:spacing w:before="1" w:line="254" w:lineRule="auto"/>
        <w:ind w:right="178"/>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preceding chapters have provided both normative and empirical evidence that the communication of environmental sustainability claims by major European banking institutions often fails to meet the standards of clarity, verifiability, and measurability now imposed by the European legal framework. Nonetheless, we might contextualize these findings within a more structured model of analysis, drawing on established principles of consumer protection law and adapting them to the specificities of ESG disclosure in the banking sector. In particular, the tripartite structure of assessment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based on the detection of misleading content, the evaluation of its interpretive effects on the average recipient, and the examination of its economic materiality (Avi, 2025)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might offer a coherent analytical framework through which the potential illegitimacy of environmental statements can be rigorously ascertained from a material perspective (Shvyreva &amp; Petukh, 2018).</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first stage of this model focuses on the objective nature of the information provided. Here, the central question is whether the statement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whether verbal, visual, or multimodal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corresponds to the factual characteristics of the product, service, or institutional behavior it purports to describe. Under the logic of current regulatory standards, the misleading character of a claim may arise not only from falsity in the strict sense, but also from its indeterminacy, non-verifiability, or selective omission of relevant data. This is particularly salient in the case of ESG declarations that rely on aspirational language, generalized commitments, or future-oriented objectives without any present reference to measurable indicators or resource allocation. Although such claims may appear benign from a discursive standpoint, they risk creating an unjustified perception of environmental performance or commitment that is not supported by the underlying factual reality. In this sense, the normative criterion of </w:t>
      </w:r>
      <w:r>
        <w:rPr>
          <w:rFonts w:ascii="Garamond" w:hAnsi="Garamond"/>
          <w:i w:val="1"/>
          <w:iCs w:val="1"/>
          <w:outline w:val="0"/>
          <w:color w:val="231f20"/>
          <w:sz w:val="22"/>
          <w:szCs w:val="22"/>
          <w:u w:color="231f20"/>
          <w:rtl w:val="0"/>
          <w:lang w:val="en-US"/>
          <w14:textFill>
            <w14:solidFill>
              <w14:srgbClr w14:val="231F20"/>
            </w14:solidFill>
          </w14:textFill>
        </w:rPr>
        <w:t>truthfulness</w:t>
      </w:r>
      <w:r>
        <w:rPr>
          <w:rFonts w:ascii="Garamond" w:hAnsi="Garamond"/>
          <w:outline w:val="0"/>
          <w:color w:val="231f20"/>
          <w:sz w:val="22"/>
          <w:szCs w:val="22"/>
          <w:u w:color="231f20"/>
          <w:rtl w:val="0"/>
          <w:lang w:val="en-US"/>
          <w14:textFill>
            <w14:solidFill>
              <w14:srgbClr w14:val="231F20"/>
            </w14:solidFill>
          </w14:textFill>
        </w:rPr>
        <w:t xml:space="preserve"> encompasses not only what is said, but also how it is said and what is left unsaid.</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second stage relates to the interpretive impact of the claim on the average recipient. The regulatory doctrine, particularly in the European context, is not concerned exclusively with whether a statement is misleading </w:t>
      </w:r>
      <w:r>
        <w:rPr>
          <w:rFonts w:ascii="Garamond" w:hAnsi="Garamond"/>
          <w:i w:val="1"/>
          <w:iCs w:val="1"/>
          <w:outline w:val="0"/>
          <w:color w:val="231f20"/>
          <w:sz w:val="22"/>
          <w:szCs w:val="22"/>
          <w:u w:color="231f20"/>
          <w:rtl w:val="0"/>
          <w:lang w:val="en-US"/>
          <w14:textFill>
            <w14:solidFill>
              <w14:srgbClr w14:val="231F20"/>
            </w14:solidFill>
          </w14:textFill>
        </w:rPr>
        <w:t>per se</w:t>
      </w:r>
      <w:r>
        <w:rPr>
          <w:rFonts w:ascii="Garamond" w:hAnsi="Garamond"/>
          <w:outline w:val="0"/>
          <w:color w:val="231f20"/>
          <w:sz w:val="22"/>
          <w:szCs w:val="22"/>
          <w:u w:color="231f20"/>
          <w:rtl w:val="0"/>
          <w:lang w:val="en-US"/>
          <w14:textFill>
            <w14:solidFill>
              <w14:srgbClr w14:val="231F20"/>
            </w14:solidFill>
          </w14:textFill>
        </w:rPr>
        <w:t xml:space="preserve">, but also with whether it is </w:t>
      </w:r>
      <w:r>
        <w:rPr>
          <w:rFonts w:ascii="Garamond" w:hAnsi="Garamond"/>
          <w:i w:val="1"/>
          <w:iCs w:val="1"/>
          <w:outline w:val="0"/>
          <w:color w:val="231f20"/>
          <w:sz w:val="22"/>
          <w:szCs w:val="22"/>
          <w:u w:color="231f20"/>
          <w:rtl w:val="0"/>
          <w:lang w:val="en-US"/>
          <w14:textFill>
            <w14:solidFill>
              <w14:srgbClr w14:val="231F20"/>
            </w14:solidFill>
          </w14:textFill>
        </w:rPr>
        <w:t>likely to mislead</w:t>
      </w:r>
      <w:r>
        <w:rPr>
          <w:rFonts w:ascii="Garamond" w:hAnsi="Garamond"/>
          <w:outline w:val="0"/>
          <w:color w:val="231f20"/>
          <w:sz w:val="22"/>
          <w:szCs w:val="22"/>
          <w:u w:color="231f20"/>
          <w:rtl w:val="0"/>
          <w:lang w:val="en-US"/>
          <w14:textFill>
            <w14:solidFill>
              <w14:srgbClr w14:val="231F20"/>
            </w14:solidFill>
          </w14:textFill>
        </w:rPr>
        <w:t>, given the cognitive and informational position of the average consumer or investor. This introduces a behavioral dimension into the legal analysis, which requires assessing the probable effects of the message on the interpretive framework of its addressee. In the ESG context, this assessment must take into account the asymmetries in expertise, access to information, and capacity to verify sustainability claims that characterize the relationship between financial institutions and their stakeholders. As a result, even statements that may not be demonstrably false can qualify as misleading if they plausibly induce recipients to form mistaken impressions about the bank</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environmental performance or strategic orientation.</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The third and final stage is that of materiality, which functions as a normative threshold to determine whether the misleading nature of the statement is legally relevant. In this context, a claim is deemed materially misleading if it is likely to influence the economic behavior of the recipient</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that is, to cause a change in the recipient</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purchasing decision, investment choice, or any other market-relevant conduct. This requirement reflects the principle that regulatory intervention should be limited to informational practices that have an appreciable effect on market dynamics or consumer autonomy. In the context of sustainability disclosures, the materiality test acquires particular significance: claims concerning environmental conduct are not peripheral, but often central to a bank</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reputation, brand value, and capacity to attract ESG-oriented capital. It follows that even subtle deviations from factual accuracy</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especially if systematic</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can lead to a distortion of market expectations, with consequences that are both private (e.g., misallocation of investor trust) and systemic (e.g., undercutting of regulatory goals related to sustainable finance).</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Applied to the domain of greenwashing in financial reporting, this tripartite model reveals the normative deficiencies of the current communicative practices of many banking institutions. The widespread use of generalized expressions (e.g.,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we are committed to sustainability</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xml:space="preserve">) and future-oriented language (e.g.,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we aim to be carbon neutral by 2050</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 without an accompanying implementation plan or evidence of present actions renders the statement susceptible to legal scrutiny under all three stages of the model. First, it is semantically vague and unsupported by verifiable data; second, it is capable of producing misleading inferences in the mind of the reasonable investor or consumer; third, it pertains to a dimension of institutional identity</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namely, environmental performance</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that is increasingly determinant in shaping market decisions and competitive positioning.</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Furthermore, the application of this model has implications that go beyond retrospective enforcement. It provides ex ante guidance to market operators regarding the boundaries of lawful sustainability communication. By making explicit the requirement that environmental claims must not only be truthful but also specific, verifiable, and economically relevant, it redefines the acceptable parameters of non-financial reporting. This, in turn, may produce adaptive effects on the communicative behavior of financial institutions, particularly with regard to long-term ESG projections. As the threshold for acceptable environmental discourse becomes more demanding</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legally, semantically, and economically</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banks may progressively reduce their reliance on distant, abstract, or aspirational goals that are not anchored in current performance indicators or operational plans.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This effect is not merely speculative. The empirical results discussed in this paper suggest a communicative environment in which forward-looking claims serve primarily a reputational function, often in the absence of contemporaneous evidence that would allow stakeholders to evaluate the credibility or feasibility of those claims. Under the model proposed here, such strategies would no longer be viable, as they fail the materiality test in the absence of concrete indications that the stated objectives influence present conduct or resource allocation. As a consequence, we may observe a reconfiguration of sustainability communication strategies, in which banking institutions are incentivized to prioritize short- and medium-term actions</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those that can be substantiated, documented, and externally verified</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over general declarations about long-term decarbonization or climate neutrality goals that lack any measurable foundation in the present.</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Such a reorientation is not merely a response to the legal risk of sanction, but also reflects a deeper institutional logic. As sustainability claims become subject to a regime of structured scrutiny</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based on objective content, interpretive plausibility, and economic significance</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banks will be required to align their communicative strategies with demonstrable actions. This may result in the abandonment of certain discursive registers that have traditionally populated non-financial statements</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registers characterized by strategic ambiguity, reputational signaling, and forward-looking rhetoric not tethered to current practice. Instead, institutions may be required to adopt a more evidentiary style of communication, in which each environmental claim is accompanied by supporting data, implementation timelines, and performance indicators. In this context, the tripartite model functions not only as an evaluative framework for regulators and courts, but also as an internal compliance benchmark for firms wishing to ensure that their sustainability statements meet the standards of legal acceptability.</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jc w:val="both"/>
        <w:rPr>
          <w:rFonts w:ascii="Garamond" w:cs="Garamond" w:hAnsi="Garamond" w:eastAsia="Garamond"/>
          <w:outline w:val="0"/>
          <w:color w:val="231f20"/>
          <w:sz w:val="22"/>
          <w:szCs w:val="22"/>
          <w:u w:color="231f20"/>
          <w14:textFill>
            <w14:solidFill>
              <w14:srgbClr w14:val="231F20"/>
            </w14:solidFill>
          </w14:textFill>
        </w:rPr>
      </w:pPr>
      <w:r>
        <w:rPr>
          <w:rFonts w:ascii="Garamond" w:cs="Garamond" w:hAnsi="Garamond" w:eastAsia="Garamond"/>
          <w:outline w:val="0"/>
          <w:color w:val="231f20"/>
          <w:sz w:val="22"/>
          <w:szCs w:val="22"/>
          <w:u w:color="231f20"/>
          <w14:textFill>
            <w14:solidFill>
              <w14:srgbClr w14:val="231F20"/>
            </w14:solidFill>
          </w14:textFill>
        </w:rPr>
        <mc:AlternateContent>
          <mc:Choice Requires="wps">
            <w:drawing xmlns:a="http://schemas.openxmlformats.org/drawingml/2006/main">
              <wp:inline distT="0" distB="0" distL="0" distR="0">
                <wp:extent cx="4754119" cy="11427"/>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4754119" cy="11427"/>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374.3pt;height:0.9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Text"/>
        <w:spacing w:before="1" w:line="254" w:lineRule="auto"/>
        <w:ind w:right="178" w:firstLine="383"/>
        <w:jc w:val="both"/>
        <w:rPr>
          <w:rFonts w:ascii="Garamond" w:cs="Garamond" w:hAnsi="Garamond" w:eastAsia="Garamond"/>
          <w:outline w:val="0"/>
          <w:color w:val="231f20"/>
          <w:sz w:val="22"/>
          <w:szCs w:val="22"/>
          <w:u w:color="231f20"/>
          <w14:textFill>
            <w14:solidFill>
              <w14:srgbClr w14:val="231F20"/>
            </w14:solidFill>
          </w14:textFill>
        </w:rPr>
      </w:pPr>
    </w:p>
    <w:p>
      <w:pPr>
        <w:pStyle w:val="Body Text"/>
        <w:spacing w:before="1" w:line="254" w:lineRule="auto"/>
        <w:ind w:right="178" w:firstLine="383"/>
        <w:jc w:val="both"/>
        <w:outlineLvl w:val="0"/>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b w:val="1"/>
          <w:bCs w:val="1"/>
          <w:outline w:val="0"/>
          <w:color w:val="231f20"/>
          <w:sz w:val="22"/>
          <w:szCs w:val="22"/>
          <w:u w:color="231f20"/>
          <w:rtl w:val="0"/>
          <w:lang w:val="en-US"/>
          <w14:textFill>
            <w14:solidFill>
              <w14:srgbClr w14:val="231F20"/>
            </w14:solidFill>
          </w14:textFill>
        </w:rPr>
        <w:t>6</w:t>
      </w:r>
      <w:r>
        <w:rPr>
          <w:rFonts w:ascii="Garamond" w:hAnsi="Garamond"/>
          <w:outline w:val="0"/>
          <w:color w:val="231f20"/>
          <w:sz w:val="22"/>
          <w:szCs w:val="22"/>
          <w:u w:color="231f20"/>
          <w:rtl w:val="0"/>
          <w:lang w:val="en-US"/>
          <w14:textFill>
            <w14:solidFill>
              <w14:srgbClr w14:val="231F20"/>
            </w14:solidFill>
          </w14:textFill>
        </w:rPr>
        <w:t xml:space="preserve">. </w:t>
      </w:r>
      <w:r>
        <w:rPr>
          <w:rFonts w:ascii="Garamond" w:hAnsi="Garamond"/>
          <w:b w:val="1"/>
          <w:bCs w:val="1"/>
          <w:outline w:val="0"/>
          <w:color w:val="231f20"/>
          <w:sz w:val="22"/>
          <w:szCs w:val="22"/>
          <w:u w:color="231f20"/>
          <w:rtl w:val="0"/>
          <w:lang w:val="en-US"/>
          <w14:textFill>
            <w14:solidFill>
              <w14:srgbClr w14:val="231F20"/>
            </w14:solidFill>
          </w14:textFill>
        </w:rPr>
        <w:t>Conclusions</w:t>
      </w:r>
      <w:r>
        <w:rPr>
          <w:rFonts w:ascii="Garamond" w:hAnsi="Garamond"/>
          <w:outline w:val="0"/>
          <w:color w:val="231f20"/>
          <w:sz w:val="22"/>
          <w:szCs w:val="22"/>
          <w:u w:color="231f20"/>
          <w:rtl w:val="0"/>
          <w:lang w:val="en-US"/>
          <w14:textFill>
            <w14:solidFill>
              <w14:srgbClr w14:val="231F20"/>
            </w14:solidFill>
          </w14:textFill>
        </w:rPr>
        <w:t xml:space="preserve"> </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This contribution has aimed to address the issue of misleading environmental claims and potential countermeasures to combat the phenomenon of greenwashing, through a multilayered and interdisciplinary lens. In a context where environmental protection and sustainability are increasingly seen as integral dimensions of economic policy, market regulation, and corporate responsibility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with growing emphasis on long-term sustainability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it becomes imperative to define a new model of social organization. This model should ensure that the redistribution of resources, inclusivity, and socio-economic cohesion compel market operators to redefine their disclosure practices, acknowledging that environmental information constitutes a legally protected asset. The European legislator</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strategy is to transform such information into a primary competitive factor capable of producing a form of targeted financial nudging (Gajewski et al., 2024), whereby the Union</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s legal framework sets the conditions for a structural shift beyond the notion of accidental or voluntary sustainability. Instead, sustainability is reshaped as an organic and concretely measurable prerequisite, in which compliance with transparency obligations is no longer left to the responsible self-determination of undertakings but is anchored in specific duties and ex ante standards set by law.</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In such a context, where the legislator provides a detailed list of substantive and procedural requirements applicable to all market actors, it becomes essential to ensure a coherent alignment between form and substance, words and conduct, promises and concrete outcomes. Every environmental claim must be supported by verifiable, transparent, and documentable commitments. In this study, an in-depth analysis was conducted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 xml:space="preserve">using a Python-based algorithmic text analysis tool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on the consolidated non-financial statements of the ten largest European banking groups by asset capitalization. The objective was to detect potential violations of the principles and criteria introduced by Directive 2024/825, set to enter into force in September 2026. Under the new directive, the European legislator no longer tolerates ESG statements formulated in self-referential or aspirational terms. Instead, it requires clarity, measurable targets, concrete transparency, and effective verifiability.</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The findings of this analysis reveal, first and foremost, a widespread presence of potentially misleading ESG statements among the examined banks. These include numerous vague and assertive expressions which, under the new regulatory regime, will require prompt revision, and in case of continued non-compliance, may be subject to sanctions imposed by the competent authorities. Secondly, the results open up new possibilities for strengthening the supervisory powers of authorities such as the European Banking Authority (EBA) and the European Securities and Markets Authority (ESMA). By integrating algorithmic oversight tools, these bodies could facilitate a virtuous dialogue between technology and the sustainable economic and communicative requirements defined by the European legal framework on greenwashing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that is, misleading, non-transparent, or deceptive environmental claims which ultimately result in unfair commercial practices.</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As a computational instrument, the algorithm may serve as a technical intermediary between the European requirements for clarity, transparency, and verifiability, and the semantic nuances inherently present in any discursive representation </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such as those found in banks' ESG disclosures. It offers objective and transparent criteria for the assessment of non-financial information, while simultaneously promoting informational quality and communicative credibility. Against the risk of superficial or merely rhetorical environmental claims, this paper proposes the systematic integration of artificial intelligence into semantic and declarative oversight mechanisms. Using pattern recognition techniques and automated linguistic analysis, it becomes possible to systematically, objectively, scalably, and reproducibly identify potentially misleading assertions in ESG reporting.</w:t>
      </w:r>
    </w:p>
    <w:p>
      <w:pPr>
        <w:pStyle w:val="Body Text"/>
        <w:spacing w:before="1" w:line="254" w:lineRule="auto"/>
        <w:ind w:right="178" w:firstLine="383"/>
        <w:jc w:val="both"/>
        <w:rPr>
          <w:rFonts w:ascii="Garamond" w:cs="Garamond" w:hAnsi="Garamond" w:eastAsia="Garamond"/>
          <w:outline w:val="0"/>
          <w:color w:val="231f20"/>
          <w:sz w:val="22"/>
          <w:szCs w:val="22"/>
          <w:u w:color="231f20"/>
          <w:lang w:val="en-US"/>
          <w14:textFill>
            <w14:solidFill>
              <w14:srgbClr w14:val="231F20"/>
            </w14:solidFill>
          </w14:textFill>
        </w:rPr>
      </w:pPr>
      <w:r>
        <w:rPr>
          <w:rFonts w:ascii="Garamond" w:hAnsi="Garamond"/>
          <w:outline w:val="0"/>
          <w:color w:val="231f20"/>
          <w:sz w:val="22"/>
          <w:szCs w:val="22"/>
          <w:u w:color="231f20"/>
          <w:rtl w:val="0"/>
          <w:lang w:val="en-US"/>
          <w14:textFill>
            <w14:solidFill>
              <w14:srgbClr w14:val="231F20"/>
            </w14:solidFill>
          </w14:textFill>
        </w:rPr>
        <w:t xml:space="preserve">In this perspective, the accuracy of environmental claims can no longer rely on the good faith of the disclosing entity. Instead, such accuracy can be technically verified, even in its most obscure, manipulative, or deceptive aspects. This enables the unmasking of rhetorical excesses and linguistic vagueness, restoring focus on the alignment between stated commitments and demonstrable actions. In a world where sustainability must become the shared language and goal of businesses, the current overproduction of unjustified environmental assertions calls for a fundamental rethinking of the safeguards in place to address systemic pathologies. The ultimate aim is to clearly distinguish between what is truly </w:t>
      </w:r>
      <w:r>
        <w:rPr>
          <w:rFonts w:ascii="Garamond" w:hAnsi="Garamond" w:hint="default"/>
          <w:outline w:val="0"/>
          <w:color w:val="231f20"/>
          <w:sz w:val="22"/>
          <w:szCs w:val="22"/>
          <w:u w:color="231f20"/>
          <w:rtl w:val="0"/>
          <w:lang w:val="en-US"/>
          <w14:textFill>
            <w14:solidFill>
              <w14:srgbClr w14:val="231F20"/>
            </w14:solidFill>
          </w14:textFill>
        </w:rPr>
        <w:t>“</w:t>
      </w:r>
      <w:r>
        <w:rPr>
          <w:rFonts w:ascii="Garamond" w:hAnsi="Garamond"/>
          <w:outline w:val="0"/>
          <w:color w:val="231f20"/>
          <w:sz w:val="22"/>
          <w:szCs w:val="22"/>
          <w:u w:color="231f20"/>
          <w:rtl w:val="0"/>
          <w:lang w:val="en-US"/>
          <w14:textFill>
            <w14:solidFill>
              <w14:srgbClr w14:val="231F20"/>
            </w14:solidFill>
          </w14:textFill>
        </w:rPr>
        <w:t>green</w:t>
      </w:r>
      <w:r>
        <w:rPr>
          <w:rFonts w:ascii="Garamond" w:hAnsi="Garamond" w:hint="default"/>
          <w:outline w:val="0"/>
          <w:color w:val="231f20"/>
          <w:sz w:val="22"/>
          <w:szCs w:val="22"/>
          <w:u w:color="231f20"/>
          <w:rtl w:val="0"/>
          <w:lang w:val="en-US"/>
          <w14:textFill>
            <w14:solidFill>
              <w14:srgbClr w14:val="231F20"/>
            </w14:solidFill>
          </w14:textFill>
        </w:rPr>
        <w:t xml:space="preserve">” </w:t>
      </w:r>
      <w:r>
        <w:rPr>
          <w:rFonts w:ascii="Garamond" w:hAnsi="Garamond"/>
          <w:outline w:val="0"/>
          <w:color w:val="231f20"/>
          <w:sz w:val="22"/>
          <w:szCs w:val="22"/>
          <w:u w:color="231f20"/>
          <w:rtl w:val="0"/>
          <w:lang w:val="en-US"/>
          <w14:textFill>
            <w14:solidFill>
              <w14:srgbClr w14:val="231F20"/>
            </w14:solidFill>
          </w14:textFill>
        </w:rPr>
        <w:t>and what merely presents itself as such for rhetorical or marketing purposes.</w:t>
      </w:r>
    </w:p>
    <w:p>
      <w:pPr>
        <w:pStyle w:val="Body Text"/>
        <w:spacing w:before="1" w:line="254" w:lineRule="auto"/>
        <w:ind w:right="178"/>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jc w:val="both"/>
        <w:rPr>
          <w:rFonts w:ascii="Garamond" w:cs="Garamond" w:hAnsi="Garamond" w:eastAsia="Garamond"/>
          <w:outline w:val="0"/>
          <w:color w:val="231f20"/>
          <w:sz w:val="22"/>
          <w:szCs w:val="22"/>
          <w:u w:color="231f20"/>
          <w:lang w:val="en-US"/>
          <w14:textFill>
            <w14:solidFill>
              <w14:srgbClr w14:val="231F20"/>
            </w14:solidFill>
          </w14:textFill>
        </w:rPr>
      </w:pPr>
    </w:p>
    <w:p>
      <w:pPr>
        <w:pStyle w:val="Body Text"/>
        <w:spacing w:before="1" w:line="254" w:lineRule="auto"/>
        <w:ind w:right="178"/>
        <w:jc w:val="both"/>
        <w:rPr>
          <w:rFonts w:ascii="Garamond" w:cs="Garamond" w:hAnsi="Garamond" w:eastAsia="Garamond"/>
          <w:outline w:val="0"/>
          <w:color w:val="231f20"/>
          <w:sz w:val="22"/>
          <w:szCs w:val="22"/>
          <w:u w:val="single" w:color="231f20"/>
          <w:lang w:val="en-US"/>
          <w14:textFill>
            <w14:solidFill>
              <w14:srgbClr w14:val="231F20"/>
            </w14:solidFill>
          </w14:textFill>
        </w:rPr>
      </w:pPr>
      <w:r>
        <w:rPr>
          <w:rFonts w:ascii="Garamond" w:hAnsi="Garamond"/>
          <w:outline w:val="0"/>
          <w:color w:val="231f20"/>
          <w:sz w:val="22"/>
          <w:szCs w:val="22"/>
          <w:u w:val="single" w:color="231f20"/>
          <w:rtl w:val="0"/>
          <w:lang w:val="en-US"/>
          <w14:textFill>
            <w14:solidFill>
              <w14:srgbClr w14:val="231F20"/>
            </w14:solidFill>
          </w14:textFill>
        </w:rPr>
        <w:t>Bibliography</w:t>
      </w:r>
      <w:r>
        <w:rPr>
          <w:rFonts w:ascii="Garamond" w:cs="Garamond" w:hAnsi="Garamond" w:eastAsia="Garamond"/>
          <w:outline w:val="0"/>
          <w:color w:val="231f20"/>
          <w:sz w:val="22"/>
          <w:szCs w:val="22"/>
          <w:u w:val="single" w:color="231f20"/>
          <w:lang w:val="en-US"/>
          <w14:textFill>
            <w14:solidFill>
              <w14:srgbClr w14:val="231F20"/>
            </w14:solidFill>
          </w14:textFill>
        </w:rPr>
        <w:br w:type="textWrapping"/>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Adamowicz, M. (2022). Green deal, green growth and green economy as a means of support for attaining the sustainable development goals. </w:t>
      </w:r>
      <w:r>
        <w:rPr>
          <w:rFonts w:ascii="Garamond" w:hAnsi="Garamond"/>
          <w:sz w:val="20"/>
          <w:szCs w:val="20"/>
          <w:rtl w:val="0"/>
          <w:lang w:val="it-IT"/>
        </w:rPr>
        <w:t xml:space="preserve">Sustainability, 14(10), 5901. </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Agarwal, P. (2021). Green Anti-Trust: A New Way Forward. </w:t>
      </w:r>
      <w:r>
        <w:rPr>
          <w:rFonts w:ascii="Garamond" w:hAnsi="Garamond"/>
          <w:i w:val="1"/>
          <w:iCs w:val="1"/>
          <w:sz w:val="20"/>
          <w:szCs w:val="20"/>
          <w:rtl w:val="0"/>
          <w:lang w:val="en-US"/>
        </w:rPr>
        <w:t>International Journal of Law Management &amp; Humanities</w:t>
      </w:r>
      <w:r>
        <w:rPr>
          <w:rFonts w:ascii="Garamond" w:hAnsi="Garamond"/>
          <w:sz w:val="20"/>
          <w:szCs w:val="20"/>
          <w:rtl w:val="0"/>
          <w:lang w:val="en-US"/>
        </w:rPr>
        <w:t>., 4(3), 4913-4922.</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Aldasoro, I., Doerr, S., Gambacorta, L., Notra, S., Oliviero, T., &amp; Whyte, D. (2025). </w:t>
      </w:r>
      <w:r>
        <w:rPr>
          <w:rFonts w:ascii="Garamond" w:hAnsi="Garamond"/>
          <w:sz w:val="20"/>
          <w:szCs w:val="20"/>
          <w:rtl w:val="0"/>
          <w:lang w:val="en-US"/>
        </w:rPr>
        <w:t xml:space="preserve">Generative artificial intelligence and cyber security in central banking. </w:t>
      </w:r>
      <w:r>
        <w:rPr>
          <w:rFonts w:ascii="Garamond" w:hAnsi="Garamond"/>
          <w:i w:val="1"/>
          <w:iCs w:val="1"/>
          <w:sz w:val="20"/>
          <w:szCs w:val="20"/>
          <w:rtl w:val="0"/>
          <w:lang w:val="en-US"/>
        </w:rPr>
        <w:t>Journal of Financial Regulation</w:t>
      </w:r>
      <w:r>
        <w:rPr>
          <w:rFonts w:ascii="Garamond" w:hAnsi="Garamond"/>
          <w:sz w:val="20"/>
          <w:szCs w:val="20"/>
          <w:rtl w:val="0"/>
          <w:lang w:val="en-US"/>
        </w:rPr>
        <w:t>, 11(1), 119-128.</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Almeida, D. V., Kolinjivadi, V., Ferrando, T., Roy, B., Herrera, H., Gon</w:t>
      </w:r>
      <w:r>
        <w:rPr>
          <w:rFonts w:ascii="Garamond" w:hAnsi="Garamond" w:hint="default"/>
          <w:sz w:val="20"/>
          <w:szCs w:val="20"/>
          <w:rtl w:val="0"/>
          <w:lang w:val="en-US"/>
        </w:rPr>
        <w:t>ç</w:t>
      </w:r>
      <w:r>
        <w:rPr>
          <w:rFonts w:ascii="Garamond" w:hAnsi="Garamond"/>
          <w:sz w:val="20"/>
          <w:szCs w:val="20"/>
          <w:rtl w:val="0"/>
          <w:lang w:val="en-US"/>
        </w:rPr>
        <w:t xml:space="preserve">alves, M. V., &amp; Van Hecken, G. (2023). The </w:t>
      </w:r>
      <w:r>
        <w:rPr>
          <w:rFonts w:ascii="Garamond" w:hAnsi="Garamond" w:hint="default"/>
          <w:sz w:val="20"/>
          <w:szCs w:val="20"/>
          <w:rtl w:val="0"/>
          <w:lang w:val="en-US"/>
        </w:rPr>
        <w:t>“</w:t>
      </w:r>
      <w:r>
        <w:rPr>
          <w:rFonts w:ascii="Garamond" w:hAnsi="Garamond"/>
          <w:sz w:val="20"/>
          <w:szCs w:val="20"/>
          <w:rtl w:val="0"/>
          <w:lang w:val="en-US"/>
        </w:rPr>
        <w:t>greening</w:t>
      </w:r>
      <w:r>
        <w:rPr>
          <w:rFonts w:ascii="Garamond" w:hAnsi="Garamond" w:hint="default"/>
          <w:sz w:val="20"/>
          <w:szCs w:val="20"/>
          <w:rtl w:val="0"/>
          <w:lang w:val="en-US"/>
        </w:rPr>
        <w:t xml:space="preserve">” </w:t>
      </w:r>
      <w:r>
        <w:rPr>
          <w:rFonts w:ascii="Garamond" w:hAnsi="Garamond"/>
          <w:sz w:val="20"/>
          <w:szCs w:val="20"/>
          <w:rtl w:val="0"/>
          <w:lang w:val="en-US"/>
        </w:rPr>
        <w:t>of empire: The European Green Deal as the EU first agenda.</w:t>
      </w:r>
      <w:r>
        <w:rPr>
          <w:rFonts w:ascii="Garamond" w:hAnsi="Garamond" w:hint="default"/>
          <w:sz w:val="20"/>
          <w:szCs w:val="20"/>
          <w:rtl w:val="0"/>
          <w:lang w:val="en-US"/>
        </w:rPr>
        <w:t> </w:t>
      </w:r>
      <w:r>
        <w:rPr>
          <w:rFonts w:ascii="Garamond" w:hAnsi="Garamond"/>
          <w:i w:val="1"/>
          <w:iCs w:val="1"/>
          <w:sz w:val="20"/>
          <w:szCs w:val="20"/>
          <w:rtl w:val="0"/>
          <w:lang w:val="it-IT"/>
        </w:rPr>
        <w:t>Political Geography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105</w:t>
      </w:r>
      <w:r>
        <w:rPr>
          <w:rFonts w:ascii="Garamond" w:hAnsi="Garamond"/>
          <w:sz w:val="20"/>
          <w:szCs w:val="20"/>
          <w:rtl w:val="0"/>
          <w:lang w:val="it-IT"/>
        </w:rPr>
        <w:t>, 102925, 1-10.</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Amatucci, C., &amp; Mollo, G. (2024). EU v. Greenwashing: the reliability of environmental claims to safeguard green consumerism.</w:t>
      </w:r>
      <w:r>
        <w:rPr>
          <w:rFonts w:ascii="Garamond" w:hAnsi="Garamond" w:hint="default"/>
          <w:sz w:val="20"/>
          <w:szCs w:val="20"/>
          <w:rtl w:val="0"/>
          <w:lang w:val="en-US"/>
        </w:rPr>
        <w:t> </w:t>
      </w:r>
      <w:r>
        <w:rPr>
          <w:rFonts w:ascii="Garamond" w:hAnsi="Garamond"/>
          <w:i w:val="1"/>
          <w:iCs w:val="1"/>
          <w:sz w:val="20"/>
          <w:szCs w:val="20"/>
          <w:rtl w:val="0"/>
          <w:lang w:val="it-IT"/>
        </w:rPr>
        <w:t>Revue Lexsoci</w:t>
      </w:r>
      <w:r>
        <w:rPr>
          <w:rFonts w:ascii="Garamond" w:hAnsi="Garamond" w:hint="default"/>
          <w:i w:val="1"/>
          <w:iCs w:val="1"/>
          <w:sz w:val="20"/>
          <w:szCs w:val="20"/>
          <w:rtl w:val="0"/>
          <w:lang w:val="it-IT"/>
        </w:rPr>
        <w:t>é</w:t>
      </w:r>
      <w:r>
        <w:rPr>
          <w:rFonts w:ascii="Garamond" w:hAnsi="Garamond"/>
          <w:i w:val="1"/>
          <w:iCs w:val="1"/>
          <w:sz w:val="20"/>
          <w:szCs w:val="20"/>
          <w:rtl w:val="0"/>
          <w:lang w:val="it-IT"/>
        </w:rPr>
        <w:t>t</w:t>
      </w:r>
      <w:r>
        <w:rPr>
          <w:rFonts w:ascii="Garamond" w:hAnsi="Garamond" w:hint="default"/>
          <w:i w:val="1"/>
          <w:iCs w:val="1"/>
          <w:sz w:val="20"/>
          <w:szCs w:val="20"/>
          <w:rtl w:val="0"/>
          <w:lang w:val="it-IT"/>
        </w:rPr>
        <w:t>é</w:t>
      </w:r>
      <w:r>
        <w:rPr>
          <w:rFonts w:ascii="Garamond" w:hAnsi="Garamond"/>
          <w:sz w:val="20"/>
          <w:szCs w:val="20"/>
          <w:rtl w:val="0"/>
          <w:lang w:val="it-IT"/>
        </w:rPr>
        <w:t>, 1-18.</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Annesi, N., Battaglia, M., Ceglia, I., &amp; Mercuri, F. (2025). </w:t>
      </w:r>
      <w:r>
        <w:rPr>
          <w:rFonts w:ascii="Garamond" w:hAnsi="Garamond"/>
          <w:sz w:val="20"/>
          <w:szCs w:val="20"/>
          <w:rtl w:val="0"/>
          <w:lang w:val="en-US"/>
        </w:rPr>
        <w:t>Navigating paradoxes: Building a sustainable strategy for an integrated ESG corporate governance.</w:t>
      </w:r>
      <w:r>
        <w:rPr>
          <w:rFonts w:ascii="Garamond" w:hAnsi="Garamond" w:hint="default"/>
          <w:sz w:val="20"/>
          <w:szCs w:val="20"/>
          <w:rtl w:val="0"/>
          <w:lang w:val="en-US"/>
        </w:rPr>
        <w:t> </w:t>
      </w:r>
      <w:r>
        <w:rPr>
          <w:rFonts w:ascii="Garamond" w:hAnsi="Garamond"/>
          <w:i w:val="1"/>
          <w:iCs w:val="1"/>
          <w:sz w:val="20"/>
          <w:szCs w:val="20"/>
          <w:rtl w:val="0"/>
          <w:lang w:val="it-IT"/>
        </w:rPr>
        <w:t>Management Decision</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63</w:t>
      </w:r>
      <w:r>
        <w:rPr>
          <w:rFonts w:ascii="Garamond" w:hAnsi="Garamond"/>
          <w:sz w:val="20"/>
          <w:szCs w:val="20"/>
          <w:rtl w:val="0"/>
          <w:lang w:val="it-IT"/>
        </w:rPr>
        <w:t>(2), 531-559.</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Ardoin, N. M., Bowers, A. W., &amp; Wheaton, M. (2023). Leveraging collective action and environmental literacy to address complex sustainability challenges.</w:t>
      </w:r>
      <w:r>
        <w:rPr>
          <w:rFonts w:ascii="Garamond" w:hAnsi="Garamond" w:hint="default"/>
          <w:sz w:val="20"/>
          <w:szCs w:val="20"/>
          <w:rtl w:val="0"/>
          <w:lang w:val="en-US"/>
        </w:rPr>
        <w:t> </w:t>
      </w:r>
      <w:r>
        <w:rPr>
          <w:rFonts w:ascii="Garamond" w:hAnsi="Garamond"/>
          <w:i w:val="1"/>
          <w:iCs w:val="1"/>
          <w:sz w:val="20"/>
          <w:szCs w:val="20"/>
          <w:rtl w:val="0"/>
          <w:lang w:val="it-IT"/>
        </w:rPr>
        <w:t>Ambio</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52</w:t>
      </w:r>
      <w:r>
        <w:rPr>
          <w:rFonts w:ascii="Garamond" w:hAnsi="Garamond"/>
          <w:sz w:val="20"/>
          <w:szCs w:val="20"/>
          <w:rtl w:val="0"/>
          <w:lang w:val="it-IT"/>
        </w:rPr>
        <w:t>(1), 30-44.</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Avi, M. S. (2022). Materiality and Relevance in Financial Reporting. Interpretation Problems and Solutions Adopted Internationally. </w:t>
      </w:r>
      <w:r>
        <w:rPr>
          <w:rFonts w:ascii="Garamond" w:hAnsi="Garamond"/>
          <w:i w:val="1"/>
          <w:iCs w:val="1"/>
          <w:sz w:val="20"/>
          <w:szCs w:val="20"/>
          <w:rtl w:val="0"/>
          <w:lang w:val="en-US"/>
        </w:rPr>
        <w:t>International Journal of Accounting and Finance Studies</w:t>
      </w:r>
      <w:r>
        <w:rPr>
          <w:rFonts w:ascii="Garamond" w:hAnsi="Garamond"/>
          <w:sz w:val="20"/>
          <w:szCs w:val="20"/>
          <w:rtl w:val="0"/>
          <w:lang w:val="en-US"/>
        </w:rPr>
        <w:t>, 5(2), 1-60.</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Bantel, K. A., &amp; Jackson, S. E. (1989). Top management and innovations in banking: does the composition of the top team make a difference?.</w:t>
      </w:r>
      <w:r>
        <w:rPr>
          <w:rFonts w:ascii="Garamond" w:hAnsi="Garamond" w:hint="default"/>
          <w:sz w:val="20"/>
          <w:szCs w:val="20"/>
          <w:rtl w:val="0"/>
          <w:lang w:val="en-US"/>
        </w:rPr>
        <w:t> </w:t>
      </w:r>
      <w:r>
        <w:rPr>
          <w:rFonts w:ascii="Garamond" w:hAnsi="Garamond"/>
          <w:i w:val="1"/>
          <w:iCs w:val="1"/>
          <w:sz w:val="20"/>
          <w:szCs w:val="20"/>
          <w:rtl w:val="0"/>
          <w:lang w:val="it-IT"/>
        </w:rPr>
        <w:t>Strategic management journal</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10</w:t>
      </w:r>
      <w:r>
        <w:rPr>
          <w:rFonts w:ascii="Garamond" w:hAnsi="Garamond"/>
          <w:sz w:val="20"/>
          <w:szCs w:val="20"/>
          <w:rtl w:val="0"/>
          <w:lang w:val="it-IT"/>
        </w:rPr>
        <w:t>(S1), 107-124.</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Bello, O. A. (2023). Machine learning algorithms for credit risk assessment: an economic and financial analysis.</w:t>
      </w:r>
      <w:r>
        <w:rPr>
          <w:rFonts w:ascii="Garamond" w:hAnsi="Garamond" w:hint="default"/>
          <w:sz w:val="20"/>
          <w:szCs w:val="20"/>
          <w:rtl w:val="0"/>
          <w:lang w:val="en-US"/>
        </w:rPr>
        <w:t> </w:t>
      </w:r>
      <w:r>
        <w:rPr>
          <w:rFonts w:ascii="Garamond" w:hAnsi="Garamond"/>
          <w:i w:val="1"/>
          <w:iCs w:val="1"/>
          <w:sz w:val="20"/>
          <w:szCs w:val="20"/>
          <w:rtl w:val="0"/>
          <w:lang w:val="it-IT"/>
        </w:rPr>
        <w:t>International Journal of Management</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10</w:t>
      </w:r>
      <w:r>
        <w:rPr>
          <w:rFonts w:ascii="Garamond" w:hAnsi="Garamond"/>
          <w:sz w:val="20"/>
          <w:szCs w:val="20"/>
          <w:rtl w:val="0"/>
          <w:lang w:val="it-IT"/>
        </w:rPr>
        <w:t>(1), 109-133.</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Beyrer, J., Abedtash, H., Hornbuckle, K., &amp; Murray, J. F. (2022). A review of stakeholder recommendations for defining fit-for-purpose real-world evidence algorithms.</w:t>
      </w:r>
      <w:r>
        <w:rPr>
          <w:rFonts w:ascii="Garamond" w:hAnsi="Garamond" w:hint="default"/>
          <w:sz w:val="20"/>
          <w:szCs w:val="20"/>
          <w:rtl w:val="0"/>
          <w:lang w:val="en-US"/>
        </w:rPr>
        <w:t> </w:t>
      </w:r>
      <w:r>
        <w:rPr>
          <w:rFonts w:ascii="Garamond" w:hAnsi="Garamond"/>
          <w:i w:val="1"/>
          <w:iCs w:val="1"/>
          <w:sz w:val="20"/>
          <w:szCs w:val="20"/>
          <w:rtl w:val="0"/>
          <w:lang w:val="it-IT"/>
        </w:rPr>
        <w:t>Journal of comparative effectiveness research</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11</w:t>
      </w:r>
      <w:r>
        <w:rPr>
          <w:rFonts w:ascii="Garamond" w:hAnsi="Garamond"/>
          <w:sz w:val="20"/>
          <w:szCs w:val="20"/>
          <w:rtl w:val="0"/>
          <w:lang w:val="it-IT"/>
        </w:rPr>
        <w:t>(7), 499-511.</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Borgogno, O., &amp; Perrazzelli, A. (2025). From principles to practice: The case for coordinated international LLMs supervision. </w:t>
      </w:r>
      <w:r>
        <w:rPr>
          <w:rFonts w:ascii="Garamond" w:hAnsi="Garamond"/>
          <w:i w:val="1"/>
          <w:iCs w:val="1"/>
          <w:sz w:val="20"/>
          <w:szCs w:val="20"/>
          <w:rtl w:val="0"/>
          <w:lang w:val="it-IT"/>
        </w:rPr>
        <w:t>Cambridge Forum on AI: Law and Governance</w:t>
      </w:r>
      <w:r>
        <w:rPr>
          <w:rFonts w:ascii="Garamond" w:hAnsi="Garamond"/>
          <w:sz w:val="20"/>
          <w:szCs w:val="20"/>
          <w:rtl w:val="0"/>
          <w:lang w:val="it-IT"/>
        </w:rPr>
        <w:t>, 1, e13</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Bouma, J. J., Jeucken, M., &amp; Klinkers, L. (Eds.). (2017). Sustainable banking: The greening of finance. </w:t>
      </w:r>
      <w:r>
        <w:rPr>
          <w:rFonts w:ascii="Garamond" w:hAnsi="Garamond"/>
          <w:sz w:val="20"/>
          <w:szCs w:val="20"/>
          <w:rtl w:val="0"/>
          <w:lang w:val="it-IT"/>
        </w:rPr>
        <w:t>Routledge.</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Brown, H. S., de Jong, M., &amp; Levy, D. L. (2009). Building institutions based on information disclosure: lessons from GRI's sustainability reporting.</w:t>
      </w:r>
      <w:r>
        <w:rPr>
          <w:rFonts w:ascii="Garamond" w:hAnsi="Garamond" w:hint="default"/>
          <w:sz w:val="20"/>
          <w:szCs w:val="20"/>
          <w:rtl w:val="0"/>
          <w:lang w:val="en-US"/>
        </w:rPr>
        <w:t> </w:t>
      </w:r>
      <w:r>
        <w:rPr>
          <w:rFonts w:ascii="Garamond" w:hAnsi="Garamond"/>
          <w:i w:val="1"/>
          <w:iCs w:val="1"/>
          <w:sz w:val="20"/>
          <w:szCs w:val="20"/>
          <w:rtl w:val="0"/>
          <w:lang w:val="it-IT"/>
        </w:rPr>
        <w:t>Journal of cleaner production</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17</w:t>
      </w:r>
      <w:r>
        <w:rPr>
          <w:rFonts w:ascii="Garamond" w:hAnsi="Garamond"/>
          <w:sz w:val="20"/>
          <w:szCs w:val="20"/>
          <w:rtl w:val="0"/>
          <w:lang w:val="it-IT"/>
        </w:rPr>
        <w:t>(6), 571-580.</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Brownsword, R. (2019).</w:t>
      </w:r>
      <w:r>
        <w:rPr>
          <w:rFonts w:ascii="Garamond" w:hAnsi="Garamond" w:hint="default"/>
          <w:sz w:val="20"/>
          <w:szCs w:val="20"/>
          <w:rtl w:val="0"/>
          <w:lang w:val="en-US"/>
        </w:rPr>
        <w:t> </w:t>
      </w:r>
      <w:r>
        <w:rPr>
          <w:rFonts w:ascii="Garamond" w:hAnsi="Garamond"/>
          <w:i w:val="1"/>
          <w:iCs w:val="1"/>
          <w:sz w:val="20"/>
          <w:szCs w:val="20"/>
          <w:rtl w:val="0"/>
          <w:lang w:val="en-US"/>
        </w:rPr>
        <w:t>Law, technology and society: reimagining the regulatory environment</w:t>
      </w:r>
      <w:r>
        <w:rPr>
          <w:rFonts w:ascii="Garamond" w:hAnsi="Garamond"/>
          <w:sz w:val="20"/>
          <w:szCs w:val="20"/>
          <w:rtl w:val="0"/>
          <w:lang w:val="en-US"/>
        </w:rPr>
        <w:t xml:space="preserve">. </w:t>
      </w:r>
      <w:r>
        <w:rPr>
          <w:rFonts w:ascii="Garamond" w:hAnsi="Garamond"/>
          <w:sz w:val="20"/>
          <w:szCs w:val="20"/>
          <w:rtl w:val="0"/>
          <w:lang w:val="it-IT"/>
        </w:rPr>
        <w:t>Routledge.</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Bruno, M., &amp; Lagasio, V. (2021). An overview of the European policies on ESG in the banking sector. </w:t>
      </w:r>
      <w:r>
        <w:rPr>
          <w:rFonts w:ascii="Garamond" w:hAnsi="Garamond"/>
          <w:i w:val="1"/>
          <w:iCs w:val="1"/>
          <w:sz w:val="20"/>
          <w:szCs w:val="20"/>
          <w:rtl w:val="0"/>
          <w:lang w:val="it-IT"/>
        </w:rPr>
        <w:t>Sustainability</w:t>
      </w:r>
      <w:r>
        <w:rPr>
          <w:rFonts w:ascii="Garamond" w:hAnsi="Garamond"/>
          <w:sz w:val="20"/>
          <w:szCs w:val="20"/>
          <w:rtl w:val="0"/>
          <w:lang w:val="it-IT"/>
        </w:rPr>
        <w:t>, 13(22), 12641.</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Blandini, A., Alfano, G., &amp; Cappabianca, P. (2022). </w:t>
      </w:r>
      <w:r>
        <w:rPr>
          <w:rFonts w:ascii="Garamond" w:hAnsi="Garamond"/>
          <w:sz w:val="20"/>
          <w:szCs w:val="20"/>
          <w:rtl w:val="0"/>
          <w:lang w:val="en-US"/>
        </w:rPr>
        <w:t>Greenwashing-related risks: analysis and future perspectives to tackle environmentalism as a form of virtue-signalling.</w:t>
      </w:r>
      <w:r>
        <w:rPr>
          <w:rFonts w:ascii="Garamond" w:hAnsi="Garamond" w:hint="default"/>
          <w:sz w:val="20"/>
          <w:szCs w:val="20"/>
          <w:rtl w:val="0"/>
          <w:lang w:val="en-US"/>
        </w:rPr>
        <w:t> </w:t>
      </w:r>
      <w:r>
        <w:rPr>
          <w:rFonts w:ascii="Garamond" w:hAnsi="Garamond"/>
          <w:i w:val="1"/>
          <w:iCs w:val="1"/>
          <w:sz w:val="20"/>
          <w:szCs w:val="20"/>
          <w:rtl w:val="0"/>
          <w:lang w:val="it-IT"/>
        </w:rPr>
        <w:t>Law and Economics Yearly Review</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11</w:t>
      </w:r>
      <w:r>
        <w:rPr>
          <w:rFonts w:ascii="Garamond" w:hAnsi="Garamond"/>
          <w:sz w:val="20"/>
          <w:szCs w:val="20"/>
          <w:rtl w:val="0"/>
          <w:lang w:val="it-IT"/>
        </w:rPr>
        <w:t>(2).</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Bratspies, R. (2015). Do we need a human right to a healthy environment.</w:t>
      </w:r>
      <w:r>
        <w:rPr>
          <w:rFonts w:ascii="Garamond" w:hAnsi="Garamond" w:hint="default"/>
          <w:sz w:val="20"/>
          <w:szCs w:val="20"/>
          <w:rtl w:val="0"/>
          <w:lang w:val="en-US"/>
        </w:rPr>
        <w:t> </w:t>
      </w:r>
      <w:r>
        <w:rPr>
          <w:rFonts w:ascii="Garamond" w:hAnsi="Garamond"/>
          <w:i w:val="1"/>
          <w:iCs w:val="1"/>
          <w:sz w:val="20"/>
          <w:szCs w:val="20"/>
          <w:rtl w:val="0"/>
          <w:lang w:val="it-IT"/>
        </w:rPr>
        <w:t>Santa Clara Journal of International Law</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sz w:val="20"/>
          <w:szCs w:val="20"/>
          <w:rtl w:val="0"/>
          <w:lang w:val="it-IT"/>
        </w:rPr>
        <w:t>13(1), 31-69.</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Canale, D., &amp; Tuzet, G. (2010). Inferring the Intention. Or, What Law the Legislature Could Have Intended to Make. </w:t>
      </w:r>
      <w:r>
        <w:rPr>
          <w:rFonts w:ascii="Garamond" w:hAnsi="Garamond"/>
          <w:i w:val="1"/>
          <w:iCs w:val="1"/>
          <w:sz w:val="20"/>
          <w:szCs w:val="20"/>
          <w:rtl w:val="0"/>
          <w:lang w:val="it-IT"/>
        </w:rPr>
        <w:t>Dignitas</w:t>
      </w:r>
      <w:r>
        <w:rPr>
          <w:rFonts w:ascii="Garamond" w:hAnsi="Garamond"/>
          <w:sz w:val="20"/>
          <w:szCs w:val="20"/>
          <w:rtl w:val="0"/>
          <w:lang w:val="it-IT"/>
        </w:rPr>
        <w:t>, (47/48), 254-272.</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Chen, N., Ribeiro, B., &amp; Chen, A. (2016). Financial credit risk assessment: a recent review.</w:t>
      </w:r>
      <w:r>
        <w:rPr>
          <w:rFonts w:ascii="Garamond" w:hAnsi="Garamond" w:hint="default"/>
          <w:sz w:val="20"/>
          <w:szCs w:val="20"/>
          <w:rtl w:val="0"/>
          <w:lang w:val="en-US"/>
        </w:rPr>
        <w:t> </w:t>
      </w:r>
      <w:r>
        <w:rPr>
          <w:rFonts w:ascii="Garamond" w:hAnsi="Garamond"/>
          <w:i w:val="1"/>
          <w:iCs w:val="1"/>
          <w:sz w:val="20"/>
          <w:szCs w:val="20"/>
          <w:rtl w:val="0"/>
          <w:lang w:val="it-IT"/>
        </w:rPr>
        <w:t>Artificial Intelligence Review</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45</w:t>
      </w:r>
      <w:r>
        <w:rPr>
          <w:rFonts w:ascii="Garamond" w:hAnsi="Garamond"/>
          <w:sz w:val="20"/>
          <w:szCs w:val="20"/>
          <w:rtl w:val="0"/>
          <w:lang w:val="it-IT"/>
        </w:rPr>
        <w:t>, 1-23.</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Cheong, B. C. (2025). A Theoretical Framework for Transformative Corporate Intergenerational Equity.</w:t>
      </w:r>
      <w:r>
        <w:rPr>
          <w:rFonts w:ascii="Garamond" w:hAnsi="Garamond" w:hint="default"/>
          <w:sz w:val="20"/>
          <w:szCs w:val="20"/>
          <w:rtl w:val="0"/>
          <w:lang w:val="en-US"/>
        </w:rPr>
        <w:t> </w:t>
      </w:r>
      <w:r>
        <w:rPr>
          <w:rFonts w:ascii="Garamond" w:hAnsi="Garamond"/>
          <w:i w:val="1"/>
          <w:iCs w:val="1"/>
          <w:sz w:val="20"/>
          <w:szCs w:val="20"/>
          <w:rtl w:val="0"/>
          <w:lang w:val="it-IT"/>
        </w:rPr>
        <w:t>Journal of Environmental Law</w:t>
      </w:r>
      <w:r>
        <w:rPr>
          <w:rFonts w:ascii="Garamond" w:hAnsi="Garamond"/>
          <w:sz w:val="20"/>
          <w:szCs w:val="20"/>
          <w:rtl w:val="0"/>
          <w:lang w:val="it-IT"/>
        </w:rPr>
        <w:t>, eqae033, 1-28.</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Chuang, M., Chuang, G., Chuang, C., &amp; Chuang, J. (2025). Judging It, Washing It: Scoring and Greenwashing Corporate Climate Disclosures using Large Language Models.</w:t>
      </w:r>
      <w:r>
        <w:rPr>
          <w:rFonts w:ascii="Garamond" w:hAnsi="Garamond" w:hint="default"/>
          <w:sz w:val="20"/>
          <w:szCs w:val="20"/>
          <w:rtl w:val="0"/>
          <w:lang w:val="en-US"/>
        </w:rPr>
        <w:t> </w:t>
      </w:r>
      <w:r>
        <w:rPr>
          <w:rFonts w:ascii="Garamond" w:hAnsi="Garamond"/>
          <w:i w:val="1"/>
          <w:iCs w:val="1"/>
          <w:sz w:val="20"/>
          <w:szCs w:val="20"/>
          <w:rtl w:val="0"/>
          <w:lang w:val="en-US"/>
        </w:rPr>
        <w:t>arXiv preprint arXiv:2502.15094</w:t>
      </w:r>
      <w:r>
        <w:rPr>
          <w:rFonts w:ascii="Garamond" w:hAnsi="Garamond"/>
          <w:sz w:val="20"/>
          <w:szCs w:val="20"/>
          <w:rtl w:val="0"/>
          <w:lang w:val="en-US"/>
        </w:rPr>
        <w:t>.</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Cl</w:t>
      </w:r>
      <w:r>
        <w:rPr>
          <w:rFonts w:ascii="Garamond" w:hAnsi="Garamond" w:hint="default"/>
          <w:sz w:val="20"/>
          <w:szCs w:val="20"/>
          <w:rtl w:val="0"/>
          <w:lang w:val="en-US"/>
        </w:rPr>
        <w:t>é</w:t>
      </w:r>
      <w:r>
        <w:rPr>
          <w:rFonts w:ascii="Garamond" w:hAnsi="Garamond"/>
          <w:sz w:val="20"/>
          <w:szCs w:val="20"/>
          <w:rtl w:val="0"/>
          <w:lang w:val="en-US"/>
        </w:rPr>
        <w:t xml:space="preserve">ment, A., Robinot, </w:t>
      </w:r>
      <w:r>
        <w:rPr>
          <w:rFonts w:ascii="Garamond" w:hAnsi="Garamond" w:hint="default"/>
          <w:sz w:val="20"/>
          <w:szCs w:val="20"/>
          <w:rtl w:val="0"/>
          <w:lang w:val="en-US"/>
        </w:rPr>
        <w:t>É</w:t>
      </w:r>
      <w:r>
        <w:rPr>
          <w:rFonts w:ascii="Garamond" w:hAnsi="Garamond"/>
          <w:sz w:val="20"/>
          <w:szCs w:val="20"/>
          <w:rtl w:val="0"/>
          <w:lang w:val="en-US"/>
        </w:rPr>
        <w:t>., &amp; Trespeuch, L. (2022). Improving ESG scores with sustainability concepts.</w:t>
      </w:r>
      <w:r>
        <w:rPr>
          <w:rFonts w:ascii="Garamond" w:hAnsi="Garamond" w:hint="default"/>
          <w:sz w:val="20"/>
          <w:szCs w:val="20"/>
          <w:rtl w:val="0"/>
          <w:lang w:val="en-US"/>
        </w:rPr>
        <w:t> </w:t>
      </w:r>
      <w:r>
        <w:rPr>
          <w:rFonts w:ascii="Garamond" w:hAnsi="Garamond"/>
          <w:i w:val="1"/>
          <w:iCs w:val="1"/>
          <w:sz w:val="20"/>
          <w:szCs w:val="20"/>
          <w:rtl w:val="0"/>
          <w:lang w:val="it-IT"/>
        </w:rPr>
        <w:t>Sustainability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14</w:t>
      </w:r>
      <w:r>
        <w:rPr>
          <w:rFonts w:ascii="Garamond" w:hAnsi="Garamond"/>
          <w:sz w:val="20"/>
          <w:szCs w:val="20"/>
          <w:rtl w:val="0"/>
          <w:lang w:val="it-IT"/>
        </w:rPr>
        <w:t>(20), 13154.</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 xml:space="preserve">Conti, L. G., &amp; Seele, P. (2025). </w:t>
      </w:r>
      <w:r>
        <w:rPr>
          <w:rFonts w:ascii="Garamond" w:hAnsi="Garamond"/>
          <w:sz w:val="20"/>
          <w:szCs w:val="20"/>
          <w:rtl w:val="0"/>
          <w:lang w:val="en-US"/>
        </w:rPr>
        <w:t>The new greenlash: from greenwashing and sustainability inflation to the sustainability backlash</w:t>
      </w:r>
      <w:r>
        <w:rPr>
          <w:rFonts w:ascii="Garamond" w:hAnsi="Garamond" w:hint="default"/>
          <w:sz w:val="20"/>
          <w:szCs w:val="20"/>
          <w:rtl w:val="0"/>
          <w:lang w:val="en-US"/>
        </w:rPr>
        <w:t>—</w:t>
      </w:r>
      <w:r>
        <w:rPr>
          <w:rFonts w:ascii="Garamond" w:hAnsi="Garamond"/>
          <w:sz w:val="20"/>
          <w:szCs w:val="20"/>
          <w:rtl w:val="0"/>
          <w:lang w:val="en-US"/>
        </w:rPr>
        <w:t xml:space="preserve">and how to tackle it. </w:t>
      </w:r>
      <w:r>
        <w:rPr>
          <w:rFonts w:ascii="Garamond" w:hAnsi="Garamond"/>
          <w:i w:val="1"/>
          <w:iCs w:val="1"/>
          <w:sz w:val="20"/>
          <w:szCs w:val="20"/>
          <w:rtl w:val="0"/>
          <w:lang w:val="it-IT"/>
        </w:rPr>
        <w:t>Discover Sustainability</w:t>
      </w:r>
      <w:r>
        <w:rPr>
          <w:rFonts w:ascii="Garamond" w:hAnsi="Garamond"/>
          <w:sz w:val="20"/>
          <w:szCs w:val="20"/>
          <w:rtl w:val="0"/>
          <w:lang w:val="it-IT"/>
        </w:rPr>
        <w:t>, 6(1), 296.</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Dathe, T., Helmold, M., Dathe, R., &amp; Dathe, I. (2024). ESG Reporting Rules. In Implementing Environmental, Social and Governance (ESG) Principles for Sustainable Businesses: A Practical Guide in Sustainability Management (pp. 147-158). </w:t>
      </w:r>
      <w:r>
        <w:rPr>
          <w:rFonts w:ascii="Garamond" w:hAnsi="Garamond"/>
          <w:sz w:val="20"/>
          <w:szCs w:val="20"/>
          <w:rtl w:val="0"/>
          <w:lang w:val="it-IT"/>
        </w:rPr>
        <w:t>Cham: Springer International Publishing.</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Davenport, M. J. (2025). Enhancing Legal Document Analysis with Large Language Models: A Structured Approach to Accuracy, Context Preservation, and Risk Mitigation.</w:t>
      </w:r>
      <w:r>
        <w:rPr>
          <w:rFonts w:ascii="Garamond" w:hAnsi="Garamond" w:hint="default"/>
          <w:sz w:val="20"/>
          <w:szCs w:val="20"/>
          <w:rtl w:val="0"/>
          <w:lang w:val="en-US"/>
        </w:rPr>
        <w:t> </w:t>
      </w:r>
      <w:r>
        <w:rPr>
          <w:rFonts w:ascii="Garamond" w:hAnsi="Garamond"/>
          <w:i w:val="1"/>
          <w:iCs w:val="1"/>
          <w:sz w:val="20"/>
          <w:szCs w:val="20"/>
          <w:rtl w:val="0"/>
          <w:lang w:val="it-IT"/>
        </w:rPr>
        <w:t>Open Journal of Modern Linguistics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15</w:t>
      </w:r>
      <w:r>
        <w:rPr>
          <w:rFonts w:ascii="Garamond" w:hAnsi="Garamond"/>
          <w:sz w:val="20"/>
          <w:szCs w:val="20"/>
          <w:rtl w:val="0"/>
          <w:lang w:val="it-IT"/>
        </w:rPr>
        <w:t>(2), 232-280.</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De Conca, S. (2022). </w:t>
      </w:r>
      <w:r>
        <w:rPr>
          <w:rFonts w:ascii="Garamond" w:hAnsi="Garamond"/>
          <w:i w:val="1"/>
          <w:iCs w:val="1"/>
          <w:sz w:val="20"/>
          <w:szCs w:val="20"/>
          <w:rtl w:val="0"/>
          <w:lang w:val="en-US"/>
        </w:rPr>
        <w:t>Bridging the liability gaps: Why AI challenges the existing rules on liability and how to design human-empowering solutions</w:t>
      </w:r>
      <w:r>
        <w:rPr>
          <w:rFonts w:ascii="Garamond" w:hAnsi="Garamond"/>
          <w:sz w:val="20"/>
          <w:szCs w:val="20"/>
          <w:rtl w:val="0"/>
          <w:lang w:val="en-US"/>
        </w:rPr>
        <w:t xml:space="preserve">. In Fosch-Villaronga, E., &amp; Custers, B. (Eds.). </w:t>
      </w:r>
      <w:r>
        <w:rPr>
          <w:rFonts w:ascii="Garamond" w:hAnsi="Garamond"/>
          <w:i w:val="1"/>
          <w:iCs w:val="1"/>
          <w:sz w:val="20"/>
          <w:szCs w:val="20"/>
          <w:rtl w:val="0"/>
          <w:lang w:val="en-US"/>
        </w:rPr>
        <w:t>Law and Artificial Intelligence: Regulating AI and Applying AI in Legal Practice</w:t>
      </w:r>
      <w:r>
        <w:rPr>
          <w:rFonts w:ascii="Garamond" w:hAnsi="Garamond"/>
          <w:sz w:val="20"/>
          <w:szCs w:val="20"/>
          <w:rtl w:val="0"/>
          <w:lang w:val="en-US"/>
        </w:rPr>
        <w:t xml:space="preserve"> (pp. 239-258). </w:t>
      </w:r>
      <w:r>
        <w:rPr>
          <w:rFonts w:ascii="Garamond" w:hAnsi="Garamond"/>
          <w:sz w:val="20"/>
          <w:szCs w:val="20"/>
          <w:rtl w:val="0"/>
          <w:lang w:val="it-IT"/>
        </w:rPr>
        <w:t>The Hague: TMC Asser Press.</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de Freitas Netto, S. V., Sobral, M. F. F., Ribeiro, A. R. B., &amp; Soares, G. R. D. L. (2020). Concepts and forms of greenwashing: A systematic review.</w:t>
      </w:r>
      <w:r>
        <w:rPr>
          <w:rFonts w:ascii="Garamond" w:hAnsi="Garamond" w:hint="default"/>
          <w:sz w:val="20"/>
          <w:szCs w:val="20"/>
          <w:rtl w:val="0"/>
          <w:lang w:val="en-US"/>
        </w:rPr>
        <w:t> </w:t>
      </w:r>
      <w:r>
        <w:rPr>
          <w:rFonts w:ascii="Garamond" w:hAnsi="Garamond"/>
          <w:i w:val="1"/>
          <w:iCs w:val="1"/>
          <w:sz w:val="20"/>
          <w:szCs w:val="20"/>
          <w:rtl w:val="0"/>
          <w:lang w:val="it-IT"/>
        </w:rPr>
        <w:t>Environmental Sciences Europe</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32</w:t>
      </w:r>
      <w:r>
        <w:rPr>
          <w:rFonts w:ascii="Garamond" w:hAnsi="Garamond"/>
          <w:sz w:val="20"/>
          <w:szCs w:val="20"/>
          <w:rtl w:val="0"/>
          <w:lang w:val="it-IT"/>
        </w:rPr>
        <w:t>, 1-12.</w:t>
      </w:r>
    </w:p>
    <w:p>
      <w:pPr>
        <w:pStyle w:val="List Paragraph"/>
        <w:widowControl w:val="1"/>
        <w:numPr>
          <w:ilvl w:val="0"/>
          <w:numId w:val="2"/>
        </w:numPr>
        <w:bidi w:val="0"/>
        <w:spacing w:line="276" w:lineRule="auto"/>
        <w:ind w:right="0"/>
        <w:jc w:val="both"/>
        <w:rPr>
          <w:rFonts w:ascii="Garamond" w:hAnsi="Garamond"/>
          <w:sz w:val="20"/>
          <w:szCs w:val="20"/>
          <w:rtl w:val="0"/>
          <w:lang w:val="fr-FR"/>
        </w:rPr>
      </w:pPr>
      <w:r>
        <w:rPr>
          <w:rFonts w:ascii="Garamond" w:hAnsi="Garamond"/>
          <w:sz w:val="20"/>
          <w:szCs w:val="20"/>
          <w:rtl w:val="0"/>
          <w:lang w:val="fr-FR"/>
        </w:rPr>
        <w:t>de Larrag</w:t>
      </w:r>
      <w:r>
        <w:rPr>
          <w:rFonts w:ascii="Garamond" w:hAnsi="Garamond" w:hint="default"/>
          <w:sz w:val="20"/>
          <w:szCs w:val="20"/>
          <w:rtl w:val="0"/>
          <w:lang w:val="fr-FR"/>
        </w:rPr>
        <w:t>á</w:t>
      </w:r>
      <w:r>
        <w:rPr>
          <w:rFonts w:ascii="Garamond" w:hAnsi="Garamond"/>
          <w:sz w:val="20"/>
          <w:szCs w:val="20"/>
          <w:rtl w:val="0"/>
          <w:lang w:val="fr-FR"/>
        </w:rPr>
        <w:t xml:space="preserve">n, J. D. C. (2011). </w:t>
      </w:r>
      <w:r>
        <w:rPr>
          <w:rFonts w:ascii="Garamond" w:hAnsi="Garamond"/>
          <w:i w:val="1"/>
          <w:iCs w:val="1"/>
          <w:sz w:val="20"/>
          <w:szCs w:val="20"/>
          <w:rtl w:val="0"/>
          <w:lang w:val="en-US"/>
        </w:rPr>
        <w:t>Liability of member states and the EU in view of the international climate change framework: Between solidarity and responsibility</w:t>
      </w:r>
      <w:r>
        <w:rPr>
          <w:rFonts w:ascii="Garamond" w:hAnsi="Garamond"/>
          <w:sz w:val="20"/>
          <w:szCs w:val="20"/>
          <w:rtl w:val="0"/>
          <w:lang w:val="en-US"/>
        </w:rPr>
        <w:t xml:space="preserve">. In Faure, M., &amp; Peeters, M. (Eds.). </w:t>
      </w:r>
      <w:r>
        <w:rPr>
          <w:rFonts w:ascii="Garamond" w:hAnsi="Garamond"/>
          <w:i w:val="1"/>
          <w:iCs w:val="1"/>
          <w:sz w:val="20"/>
          <w:szCs w:val="20"/>
          <w:rtl w:val="0"/>
          <w:lang w:val="en-US"/>
        </w:rPr>
        <w:t xml:space="preserve">Climate Change Liability </w:t>
      </w:r>
      <w:r>
        <w:rPr>
          <w:rFonts w:ascii="Garamond" w:hAnsi="Garamond"/>
          <w:sz w:val="20"/>
          <w:szCs w:val="20"/>
          <w:rtl w:val="0"/>
          <w:lang w:val="en-US"/>
        </w:rPr>
        <w:t xml:space="preserve">(pp. 55-. </w:t>
      </w:r>
      <w:r>
        <w:rPr>
          <w:rFonts w:ascii="Garamond" w:hAnsi="Garamond"/>
          <w:sz w:val="20"/>
          <w:szCs w:val="20"/>
          <w:rtl w:val="0"/>
          <w:lang w:val="it-IT"/>
        </w:rPr>
        <w:t>Edward Elgar Publishing.</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de Oliveira Neves, R. (2022). The EU taxonomy regulation and its implications for companies. In</w:t>
      </w:r>
      <w:r>
        <w:rPr>
          <w:rFonts w:ascii="Garamond" w:hAnsi="Garamond" w:hint="default"/>
          <w:sz w:val="20"/>
          <w:szCs w:val="20"/>
          <w:rtl w:val="0"/>
          <w:lang w:val="en-US"/>
        </w:rPr>
        <w:t> </w:t>
      </w:r>
      <w:r>
        <w:rPr>
          <w:rFonts w:ascii="Garamond" w:hAnsi="Garamond"/>
          <w:sz w:val="20"/>
          <w:szCs w:val="20"/>
          <w:rtl w:val="0"/>
          <w:lang w:val="en-US"/>
        </w:rPr>
        <w:t>Morais, F., &amp; C</w:t>
      </w:r>
      <w:r>
        <w:rPr>
          <w:rFonts w:ascii="Garamond" w:hAnsi="Garamond" w:hint="default"/>
          <w:sz w:val="20"/>
          <w:szCs w:val="20"/>
          <w:rtl w:val="0"/>
          <w:lang w:val="en-US"/>
        </w:rPr>
        <w:t>â</w:t>
      </w:r>
      <w:r>
        <w:rPr>
          <w:rFonts w:ascii="Garamond" w:hAnsi="Garamond"/>
          <w:sz w:val="20"/>
          <w:szCs w:val="20"/>
          <w:rtl w:val="0"/>
          <w:lang w:val="en-US"/>
        </w:rPr>
        <w:t xml:space="preserve">mara, P. (Eds.). </w:t>
      </w:r>
      <w:r>
        <w:rPr>
          <w:rFonts w:ascii="Garamond" w:hAnsi="Garamond"/>
          <w:i w:val="1"/>
          <w:iCs w:val="1"/>
          <w:sz w:val="20"/>
          <w:szCs w:val="20"/>
          <w:rtl w:val="0"/>
          <w:lang w:val="en-US"/>
        </w:rPr>
        <w:t>The Palgrave handbook of ESG and corporate governance</w:t>
      </w:r>
      <w:r>
        <w:rPr>
          <w:rFonts w:ascii="Garamond" w:hAnsi="Garamond" w:hint="default"/>
          <w:sz w:val="20"/>
          <w:szCs w:val="20"/>
          <w:rtl w:val="0"/>
          <w:lang w:val="en-US"/>
        </w:rPr>
        <w:t> </w:t>
      </w:r>
      <w:r>
        <w:rPr>
          <w:rFonts w:ascii="Garamond" w:hAnsi="Garamond"/>
          <w:sz w:val="20"/>
          <w:szCs w:val="20"/>
          <w:rtl w:val="0"/>
          <w:lang w:val="en-US"/>
        </w:rPr>
        <w:t xml:space="preserve">(pp. 249-265). </w:t>
      </w:r>
      <w:r>
        <w:rPr>
          <w:rFonts w:ascii="Garamond" w:hAnsi="Garamond"/>
          <w:sz w:val="20"/>
          <w:szCs w:val="20"/>
          <w:rtl w:val="0"/>
          <w:lang w:val="it-IT"/>
        </w:rPr>
        <w:t>Cham: Springer International Publishing.</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Del Sarto, N. (2025). The Evolution of Sustainability: From CSR to Sustainable Finance. In</w:t>
      </w:r>
      <w:r>
        <w:rPr>
          <w:rFonts w:ascii="Garamond" w:hAnsi="Garamond" w:hint="default"/>
          <w:sz w:val="20"/>
          <w:szCs w:val="20"/>
          <w:rtl w:val="0"/>
          <w:lang w:val="en-US"/>
        </w:rPr>
        <w:t> </w:t>
      </w:r>
      <w:r>
        <w:rPr>
          <w:rFonts w:ascii="Garamond" w:hAnsi="Garamond"/>
          <w:sz w:val="20"/>
          <w:szCs w:val="20"/>
          <w:rtl w:val="0"/>
          <w:lang w:val="en-US"/>
        </w:rPr>
        <w:t xml:space="preserve">Del Sarto, N. (Ed.). </w:t>
      </w:r>
      <w:r>
        <w:rPr>
          <w:rFonts w:ascii="Garamond" w:hAnsi="Garamond"/>
          <w:i w:val="1"/>
          <w:iCs w:val="1"/>
          <w:sz w:val="20"/>
          <w:szCs w:val="20"/>
          <w:rtl w:val="0"/>
          <w:lang w:val="en-US"/>
        </w:rPr>
        <w:t>ESG Factors and Financial Outcomes in Banks: Quantitative Insights into the ESG-Cost of Debt Relationship</w:t>
      </w:r>
      <w:r>
        <w:rPr>
          <w:rFonts w:ascii="Garamond" w:hAnsi="Garamond" w:hint="default"/>
          <w:sz w:val="20"/>
          <w:szCs w:val="20"/>
          <w:rtl w:val="0"/>
          <w:lang w:val="en-US"/>
        </w:rPr>
        <w:t> </w:t>
      </w:r>
      <w:r>
        <w:rPr>
          <w:rFonts w:ascii="Garamond" w:hAnsi="Garamond"/>
          <w:sz w:val="20"/>
          <w:szCs w:val="20"/>
          <w:rtl w:val="0"/>
          <w:lang w:val="en-US"/>
        </w:rPr>
        <w:t xml:space="preserve">(pp. 1-59). </w:t>
      </w:r>
      <w:r>
        <w:rPr>
          <w:rFonts w:ascii="Garamond" w:hAnsi="Garamond"/>
          <w:sz w:val="20"/>
          <w:szCs w:val="20"/>
          <w:rtl w:val="0"/>
          <w:lang w:val="it-IT"/>
        </w:rPr>
        <w:t>Cham: Springer Nature Switzerland.</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Delgado-Chaves, F. M., Jennings, M. J., Atalaia, A., Wolff, J., Horvath, R., Mamdouh, Z. M., ... &amp; Baumbach, L. (2025). Transforming literature screening: The emerging role of large language models in systematic reviews.</w:t>
      </w:r>
      <w:r>
        <w:rPr>
          <w:rFonts w:ascii="Garamond" w:hAnsi="Garamond" w:hint="default"/>
          <w:sz w:val="20"/>
          <w:szCs w:val="20"/>
          <w:rtl w:val="0"/>
          <w:lang w:val="en-US"/>
        </w:rPr>
        <w:t> </w:t>
      </w:r>
      <w:r>
        <w:rPr>
          <w:rFonts w:ascii="Garamond" w:hAnsi="Garamond"/>
          <w:i w:val="1"/>
          <w:iCs w:val="1"/>
          <w:sz w:val="20"/>
          <w:szCs w:val="20"/>
          <w:rtl w:val="0"/>
          <w:lang w:val="it-IT"/>
        </w:rPr>
        <w:t>Proceedings of the National Academy of Sciences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122</w:t>
      </w:r>
      <w:r>
        <w:rPr>
          <w:rFonts w:ascii="Garamond" w:hAnsi="Garamond"/>
          <w:sz w:val="20"/>
          <w:szCs w:val="20"/>
          <w:rtl w:val="0"/>
          <w:lang w:val="it-IT"/>
        </w:rPr>
        <w:t>(2), e2411962122.</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 xml:space="preserve">Dempere, J., Alamash, E., &amp; Mattos, P. (2024). </w:t>
      </w:r>
      <w:r>
        <w:rPr>
          <w:rFonts w:ascii="Garamond" w:hAnsi="Garamond"/>
          <w:sz w:val="20"/>
          <w:szCs w:val="20"/>
          <w:rtl w:val="0"/>
          <w:lang w:val="en-US"/>
        </w:rPr>
        <w:t>Unveiling the truth: greenwashing in sustainable finance.</w:t>
      </w:r>
      <w:r>
        <w:rPr>
          <w:rFonts w:ascii="Garamond" w:hAnsi="Garamond" w:hint="default"/>
          <w:sz w:val="20"/>
          <w:szCs w:val="20"/>
          <w:rtl w:val="0"/>
          <w:lang w:val="en-US"/>
        </w:rPr>
        <w:t> </w:t>
      </w:r>
      <w:r>
        <w:rPr>
          <w:rFonts w:ascii="Garamond" w:hAnsi="Garamond"/>
          <w:i w:val="1"/>
          <w:iCs w:val="1"/>
          <w:sz w:val="20"/>
          <w:szCs w:val="20"/>
          <w:rtl w:val="0"/>
          <w:lang w:val="it-IT"/>
        </w:rPr>
        <w:t>Frontiers in Sustainability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5</w:t>
      </w:r>
      <w:r>
        <w:rPr>
          <w:rFonts w:ascii="Garamond" w:hAnsi="Garamond"/>
          <w:sz w:val="20"/>
          <w:szCs w:val="20"/>
          <w:rtl w:val="0"/>
          <w:lang w:val="it-IT"/>
        </w:rPr>
        <w:t>, 1362051, 1-14.</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 xml:space="preserve">Diaye, M. A., Ho, S. H., &amp; Oueghlissi, R. (2022). </w:t>
      </w:r>
      <w:r>
        <w:rPr>
          <w:rFonts w:ascii="Garamond" w:hAnsi="Garamond"/>
          <w:sz w:val="20"/>
          <w:szCs w:val="20"/>
          <w:rtl w:val="0"/>
          <w:lang w:val="en-US"/>
        </w:rPr>
        <w:t>ESG performance and economic growth: a panel co-integration analysis.</w:t>
      </w:r>
      <w:r>
        <w:rPr>
          <w:rFonts w:ascii="Garamond" w:hAnsi="Garamond" w:hint="default"/>
          <w:sz w:val="20"/>
          <w:szCs w:val="20"/>
          <w:rtl w:val="0"/>
          <w:lang w:val="en-US"/>
        </w:rPr>
        <w:t> </w:t>
      </w:r>
      <w:r>
        <w:rPr>
          <w:rFonts w:ascii="Garamond" w:hAnsi="Garamond"/>
          <w:i w:val="1"/>
          <w:iCs w:val="1"/>
          <w:sz w:val="20"/>
          <w:szCs w:val="20"/>
          <w:rtl w:val="0"/>
          <w:lang w:val="it-IT"/>
        </w:rPr>
        <w:t>Empirica</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49</w:t>
      </w:r>
      <w:r>
        <w:rPr>
          <w:rFonts w:ascii="Garamond" w:hAnsi="Garamond"/>
          <w:sz w:val="20"/>
          <w:szCs w:val="20"/>
          <w:rtl w:val="0"/>
          <w:lang w:val="it-IT"/>
        </w:rPr>
        <w:t>(1), 99-122.</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Eidelwein, F., Collatto, D. C., Rodrigues, L. H., Lacerda, D. P., &amp; Piran, F. S. (2018). Internalization of environmental externalities: Development of a method for elaborating the statement of economic and environmental results.</w:t>
      </w:r>
      <w:r>
        <w:rPr>
          <w:rFonts w:ascii="Garamond" w:hAnsi="Garamond" w:hint="default"/>
          <w:sz w:val="20"/>
          <w:szCs w:val="20"/>
          <w:rtl w:val="0"/>
          <w:lang w:val="en-US"/>
        </w:rPr>
        <w:t> </w:t>
      </w:r>
      <w:r>
        <w:rPr>
          <w:rFonts w:ascii="Garamond" w:hAnsi="Garamond"/>
          <w:i w:val="1"/>
          <w:iCs w:val="1"/>
          <w:sz w:val="20"/>
          <w:szCs w:val="20"/>
          <w:rtl w:val="0"/>
          <w:lang w:val="it-IT"/>
        </w:rPr>
        <w:t>Journal of Cleaner Production</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170</w:t>
      </w:r>
      <w:r>
        <w:rPr>
          <w:rFonts w:ascii="Garamond" w:hAnsi="Garamond"/>
          <w:sz w:val="20"/>
          <w:szCs w:val="20"/>
          <w:rtl w:val="0"/>
          <w:lang w:val="it-IT"/>
        </w:rPr>
        <w:t>, 1316-1327.</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Fragiadakis, G., Diou, C., Kousiouris, G., &amp; Nikolaidou, M. (2024). Evaluating human-ai collaboration: A review and methodological framework.</w:t>
      </w:r>
      <w:r>
        <w:rPr>
          <w:rFonts w:ascii="Garamond" w:hAnsi="Garamond" w:hint="default"/>
          <w:sz w:val="20"/>
          <w:szCs w:val="20"/>
          <w:rtl w:val="0"/>
          <w:lang w:val="en-US"/>
        </w:rPr>
        <w:t> </w:t>
      </w:r>
      <w:r>
        <w:rPr>
          <w:rFonts w:ascii="Garamond" w:hAnsi="Garamond"/>
          <w:i w:val="1"/>
          <w:iCs w:val="1"/>
          <w:sz w:val="20"/>
          <w:szCs w:val="20"/>
          <w:rtl w:val="0"/>
          <w:lang w:val="en-US"/>
        </w:rPr>
        <w:t>arXiv preprint arXiv:2407.19098</w:t>
      </w:r>
      <w:r>
        <w:rPr>
          <w:rFonts w:ascii="Garamond" w:hAnsi="Garamond"/>
          <w:sz w:val="20"/>
          <w:szCs w:val="20"/>
          <w:rtl w:val="0"/>
          <w:lang w:val="en-US"/>
        </w:rPr>
        <w:t>.</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Fusco Girard, L. (2024). </w:t>
      </w:r>
      <w:r>
        <w:rPr>
          <w:rFonts w:ascii="Garamond" w:hAnsi="Garamond"/>
          <w:i w:val="1"/>
          <w:iCs w:val="1"/>
          <w:sz w:val="20"/>
          <w:szCs w:val="20"/>
          <w:rtl w:val="0"/>
          <w:lang w:val="en-US"/>
        </w:rPr>
        <w:t xml:space="preserve">The circular </w:t>
      </w:r>
      <w:r>
        <w:rPr>
          <w:rFonts w:ascii="Garamond" w:hAnsi="Garamond" w:hint="default"/>
          <w:i w:val="1"/>
          <w:iCs w:val="1"/>
          <w:sz w:val="20"/>
          <w:szCs w:val="20"/>
          <w:rtl w:val="0"/>
          <w:lang w:val="en-US"/>
        </w:rPr>
        <w:t>“</w:t>
      </w:r>
      <w:r>
        <w:rPr>
          <w:rFonts w:ascii="Garamond" w:hAnsi="Garamond"/>
          <w:i w:val="1"/>
          <w:iCs w:val="1"/>
          <w:sz w:val="20"/>
          <w:szCs w:val="20"/>
          <w:rtl w:val="0"/>
          <w:lang w:val="en-US"/>
        </w:rPr>
        <w:t>human-centred</w:t>
      </w:r>
      <w:r>
        <w:rPr>
          <w:rFonts w:ascii="Garamond" w:hAnsi="Garamond" w:hint="default"/>
          <w:i w:val="1"/>
          <w:iCs w:val="1"/>
          <w:sz w:val="20"/>
          <w:szCs w:val="20"/>
          <w:rtl w:val="0"/>
          <w:lang w:val="en-US"/>
        </w:rPr>
        <w:t xml:space="preserve">” </w:t>
      </w:r>
      <w:r>
        <w:rPr>
          <w:rFonts w:ascii="Garamond" w:hAnsi="Garamond"/>
          <w:i w:val="1"/>
          <w:iCs w:val="1"/>
          <w:sz w:val="20"/>
          <w:szCs w:val="20"/>
          <w:rtl w:val="0"/>
          <w:lang w:val="en-US"/>
        </w:rPr>
        <w:t>adaptive reuse of cultural heritage: theoretical foundations</w:t>
      </w:r>
      <w:r>
        <w:rPr>
          <w:rFonts w:ascii="Garamond" w:hAnsi="Garamond"/>
          <w:sz w:val="20"/>
          <w:szCs w:val="20"/>
          <w:rtl w:val="0"/>
          <w:lang w:val="en-US"/>
        </w:rPr>
        <w:t>. In</w:t>
      </w:r>
      <w:r>
        <w:rPr>
          <w:rFonts w:ascii="Garamond" w:hAnsi="Garamond" w:hint="default"/>
          <w:sz w:val="20"/>
          <w:szCs w:val="20"/>
          <w:rtl w:val="0"/>
          <w:lang w:val="en-US"/>
        </w:rPr>
        <w:t> </w:t>
      </w:r>
      <w:r>
        <w:rPr>
          <w:rFonts w:ascii="Garamond" w:hAnsi="Garamond"/>
          <w:sz w:val="20"/>
          <w:szCs w:val="20"/>
          <w:rtl w:val="0"/>
          <w:lang w:val="en-US"/>
        </w:rPr>
        <w:t xml:space="preserve">Gravagnuolo, A., &amp; Fusco Girard, L. (Eds.). </w:t>
      </w:r>
      <w:r>
        <w:rPr>
          <w:rFonts w:ascii="Garamond" w:hAnsi="Garamond"/>
          <w:i w:val="1"/>
          <w:iCs w:val="1"/>
          <w:sz w:val="20"/>
          <w:szCs w:val="20"/>
          <w:rtl w:val="0"/>
          <w:lang w:val="en-US"/>
        </w:rPr>
        <w:t>Adaptive Reuse of Cultural Heritage: Circular Business, Financial and Governance Models</w:t>
      </w:r>
      <w:r>
        <w:rPr>
          <w:rFonts w:ascii="Garamond" w:hAnsi="Garamond" w:hint="default"/>
          <w:sz w:val="20"/>
          <w:szCs w:val="20"/>
          <w:rtl w:val="0"/>
          <w:lang w:val="en-US"/>
        </w:rPr>
        <w:t> </w:t>
      </w:r>
      <w:r>
        <w:rPr>
          <w:rFonts w:ascii="Garamond" w:hAnsi="Garamond"/>
          <w:sz w:val="20"/>
          <w:szCs w:val="20"/>
          <w:rtl w:val="0"/>
          <w:lang w:val="en-US"/>
        </w:rPr>
        <w:t xml:space="preserve">(pp. 15-69). </w:t>
      </w:r>
      <w:r>
        <w:rPr>
          <w:rFonts w:ascii="Garamond" w:hAnsi="Garamond"/>
          <w:sz w:val="20"/>
          <w:szCs w:val="20"/>
          <w:rtl w:val="0"/>
          <w:lang w:val="it-IT"/>
        </w:rPr>
        <w:t>Cham: Springer International Publishing.</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Gajewski, J. F., Heimann, M., Meunier, L., &amp; Ohadi, S. (2024). Nudges for responsible finance? A survey of interventions targeted at financial decision making. </w:t>
      </w:r>
      <w:r>
        <w:rPr>
          <w:rFonts w:ascii="Garamond" w:hAnsi="Garamond"/>
          <w:i w:val="1"/>
          <w:iCs w:val="1"/>
          <w:sz w:val="20"/>
          <w:szCs w:val="20"/>
          <w:rtl w:val="0"/>
          <w:lang w:val="en-US"/>
        </w:rPr>
        <w:t>Corporate Social Responsibility and Environmental Management</w:t>
      </w:r>
      <w:r>
        <w:rPr>
          <w:rFonts w:ascii="Garamond" w:hAnsi="Garamond"/>
          <w:sz w:val="20"/>
          <w:szCs w:val="20"/>
          <w:rtl w:val="0"/>
          <w:lang w:val="en-US"/>
        </w:rPr>
        <w:t>, 31(2), 1203-1219.</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Ghaemi Asl, M., Smutka, L., Nasr Isfahani, M., Raza, S. A., &amp; Vasa, L. (2024). </w:t>
      </w:r>
      <w:r>
        <w:rPr>
          <w:rFonts w:ascii="Garamond" w:hAnsi="Garamond"/>
          <w:sz w:val="20"/>
          <w:szCs w:val="20"/>
          <w:rtl w:val="0"/>
          <w:lang w:val="en-US"/>
        </w:rPr>
        <w:t>Can multifarious types of green bonds be accused of greenwashing with a durative analysis? Insights from a permanent causality vs. temporary causality phenomenon.</w:t>
      </w:r>
      <w:r>
        <w:rPr>
          <w:rFonts w:ascii="Garamond" w:hAnsi="Garamond" w:hint="default"/>
          <w:sz w:val="20"/>
          <w:szCs w:val="20"/>
          <w:rtl w:val="0"/>
          <w:lang w:val="en-US"/>
        </w:rPr>
        <w:t> </w:t>
      </w:r>
      <w:r>
        <w:rPr>
          <w:rFonts w:ascii="Garamond" w:hAnsi="Garamond"/>
          <w:i w:val="1"/>
          <w:iCs w:val="1"/>
          <w:sz w:val="20"/>
          <w:szCs w:val="20"/>
          <w:rtl w:val="0"/>
          <w:lang w:val="en-US"/>
        </w:rPr>
        <w:t>Environment, Development and Sustainability</w:t>
      </w:r>
      <w:r>
        <w:rPr>
          <w:rFonts w:ascii="Garamond" w:hAnsi="Garamond"/>
          <w:sz w:val="20"/>
          <w:szCs w:val="20"/>
          <w:rtl w:val="0"/>
          <w:lang w:val="en-US"/>
        </w:rPr>
        <w:t>, 1-25.</w:t>
      </w:r>
    </w:p>
    <w:p>
      <w:pPr>
        <w:pStyle w:val="List Paragraph"/>
        <w:widowControl w:val="1"/>
        <w:numPr>
          <w:ilvl w:val="0"/>
          <w:numId w:val="2"/>
        </w:numPr>
        <w:bidi w:val="0"/>
        <w:spacing w:line="276" w:lineRule="auto"/>
        <w:ind w:right="0"/>
        <w:jc w:val="both"/>
        <w:rPr>
          <w:rFonts w:ascii="Garamond" w:hAnsi="Garamond"/>
          <w:sz w:val="20"/>
          <w:szCs w:val="20"/>
          <w:rtl w:val="0"/>
          <w:lang w:val="fr-FR"/>
        </w:rPr>
      </w:pPr>
      <w:r>
        <w:rPr>
          <w:rFonts w:ascii="Garamond" w:hAnsi="Garamond"/>
          <w:sz w:val="20"/>
          <w:szCs w:val="20"/>
          <w:rtl w:val="0"/>
          <w:lang w:val="fr-FR"/>
        </w:rPr>
        <w:t xml:space="preserve">Gao, X., Latif, B., Ong, T. S., Zhang, Q., &amp; Yusri, Y. (2025). </w:t>
      </w:r>
      <w:r>
        <w:rPr>
          <w:rFonts w:ascii="Garamond" w:hAnsi="Garamond"/>
          <w:sz w:val="20"/>
          <w:szCs w:val="20"/>
          <w:rtl w:val="0"/>
          <w:lang w:val="en-US"/>
        </w:rPr>
        <w:t xml:space="preserve">ESG performance and corporate competitiveness: the roles of green innovation, industry competition and media attention. </w:t>
      </w:r>
      <w:r>
        <w:rPr>
          <w:rFonts w:ascii="Garamond" w:hAnsi="Garamond"/>
          <w:i w:val="1"/>
          <w:iCs w:val="1"/>
          <w:sz w:val="20"/>
          <w:szCs w:val="20"/>
          <w:rtl w:val="0"/>
          <w:lang w:val="it-IT"/>
        </w:rPr>
        <w:t>Studies in Economics and Finance</w:t>
      </w:r>
      <w:r>
        <w:rPr>
          <w:rFonts w:ascii="Garamond" w:hAnsi="Garamond"/>
          <w:sz w:val="20"/>
          <w:szCs w:val="20"/>
          <w:rtl w:val="0"/>
          <w:lang w:val="it-IT"/>
        </w:rPr>
        <w:t>, 42, 1-22.</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Green, A. (2018). Making Capital Markets Work for Workers, Investors, and the Public: ESG Disclosure and Corporate Long-Termism.</w:t>
      </w:r>
      <w:r>
        <w:rPr>
          <w:rFonts w:ascii="Garamond" w:hAnsi="Garamond" w:hint="default"/>
          <w:sz w:val="20"/>
          <w:szCs w:val="20"/>
          <w:rtl w:val="0"/>
          <w:lang w:val="en-US"/>
        </w:rPr>
        <w:t> </w:t>
      </w:r>
      <w:r>
        <w:rPr>
          <w:rFonts w:ascii="Garamond" w:hAnsi="Garamond"/>
          <w:i w:val="1"/>
          <w:iCs w:val="1"/>
          <w:sz w:val="20"/>
          <w:szCs w:val="20"/>
          <w:rtl w:val="0"/>
          <w:lang w:val="it-IT"/>
        </w:rPr>
        <w:t>Case Western Reserve Law Review, 69</w:t>
      </w:r>
      <w:r>
        <w:rPr>
          <w:rFonts w:ascii="Garamond" w:hAnsi="Garamond"/>
          <w:sz w:val="20"/>
          <w:szCs w:val="20"/>
          <w:rtl w:val="0"/>
          <w:lang w:val="it-IT"/>
        </w:rPr>
        <w:t>, 909-926.</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Gu, B., Shao, V., Liao, Z., Carducci, V., Brufau, S. R., Yang, J., &amp; Desai, R. J. (2025). </w:t>
      </w:r>
      <w:r>
        <w:rPr>
          <w:rFonts w:ascii="Garamond" w:hAnsi="Garamond"/>
          <w:sz w:val="20"/>
          <w:szCs w:val="20"/>
          <w:rtl w:val="0"/>
          <w:lang w:val="en-US"/>
        </w:rPr>
        <w:t>Scalable information extraction from free text electronic health records using large language models.</w:t>
      </w:r>
      <w:r>
        <w:rPr>
          <w:rFonts w:ascii="Garamond" w:hAnsi="Garamond" w:hint="default"/>
          <w:sz w:val="20"/>
          <w:szCs w:val="20"/>
          <w:rtl w:val="0"/>
          <w:lang w:val="en-US"/>
        </w:rPr>
        <w:t> </w:t>
      </w:r>
      <w:r>
        <w:rPr>
          <w:rFonts w:ascii="Garamond" w:hAnsi="Garamond"/>
          <w:i w:val="1"/>
          <w:iCs w:val="1"/>
          <w:sz w:val="20"/>
          <w:szCs w:val="20"/>
          <w:rtl w:val="0"/>
          <w:lang w:val="it-IT"/>
        </w:rPr>
        <w:t>BMC Medical Research Methodology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25</w:t>
      </w:r>
      <w:r>
        <w:rPr>
          <w:rFonts w:ascii="Garamond" w:hAnsi="Garamond"/>
          <w:sz w:val="20"/>
          <w:szCs w:val="20"/>
          <w:rtl w:val="0"/>
          <w:lang w:val="it-IT"/>
        </w:rPr>
        <w:t>(1), 23.</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Haidar, M. I. (2025). Does Societal Trust Reduce Greenwashing? International Evidence. </w:t>
      </w:r>
      <w:r>
        <w:rPr>
          <w:rFonts w:ascii="Garamond" w:hAnsi="Garamond"/>
          <w:i w:val="1"/>
          <w:iCs w:val="1"/>
          <w:sz w:val="20"/>
          <w:szCs w:val="20"/>
          <w:rtl w:val="0"/>
          <w:lang w:val="en-US"/>
        </w:rPr>
        <w:t>Business Strategy and the Environment</w:t>
      </w:r>
      <w:r>
        <w:rPr>
          <w:rFonts w:ascii="Garamond" w:hAnsi="Garamond"/>
          <w:sz w:val="20"/>
          <w:szCs w:val="20"/>
          <w:rtl w:val="0"/>
          <w:lang w:val="en-US"/>
        </w:rPr>
        <w:t>, 34, 3400-3424.</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Ho, V. H., &amp; Park, S. K. (2019). </w:t>
      </w:r>
      <w:r>
        <w:rPr>
          <w:rFonts w:ascii="Garamond" w:hAnsi="Garamond"/>
          <w:sz w:val="20"/>
          <w:szCs w:val="20"/>
          <w:rtl w:val="0"/>
          <w:lang w:val="en-US"/>
        </w:rPr>
        <w:t>ESG disclosure in comparative perspective: optimizing private ordering in public reporting.</w:t>
      </w:r>
      <w:r>
        <w:rPr>
          <w:rFonts w:ascii="Garamond" w:hAnsi="Garamond" w:hint="default"/>
          <w:sz w:val="20"/>
          <w:szCs w:val="20"/>
          <w:rtl w:val="0"/>
          <w:lang w:val="en-US"/>
        </w:rPr>
        <w:t> </w:t>
      </w:r>
      <w:r>
        <w:rPr>
          <w:rFonts w:ascii="Garamond" w:hAnsi="Garamond"/>
          <w:i w:val="1"/>
          <w:iCs w:val="1"/>
          <w:sz w:val="20"/>
          <w:szCs w:val="20"/>
          <w:rtl w:val="0"/>
          <w:lang w:val="it-IT"/>
        </w:rPr>
        <w:t>University of Pennsylvania Journal of International Law</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41</w:t>
      </w:r>
      <w:r>
        <w:rPr>
          <w:rFonts w:ascii="Garamond" w:hAnsi="Garamond"/>
          <w:sz w:val="20"/>
          <w:szCs w:val="20"/>
          <w:rtl w:val="0"/>
          <w:lang w:val="it-IT"/>
        </w:rPr>
        <w:t>, 249-328.</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Hossain, M. Z., Hossain, S., &amp; Urme, U. N. (2025). The Impact of Greenwashing on Consumer Trust and Brand Loyalty: The Moderating Role of Industry Type.</w:t>
      </w:r>
      <w:r>
        <w:rPr>
          <w:rFonts w:ascii="Garamond" w:hAnsi="Garamond" w:hint="default"/>
          <w:sz w:val="20"/>
          <w:szCs w:val="20"/>
          <w:rtl w:val="0"/>
          <w:lang w:val="en-US"/>
        </w:rPr>
        <w:t> </w:t>
      </w:r>
      <w:r>
        <w:rPr>
          <w:rFonts w:ascii="Garamond" w:hAnsi="Garamond"/>
          <w:i w:val="1"/>
          <w:iCs w:val="1"/>
          <w:sz w:val="20"/>
          <w:szCs w:val="20"/>
          <w:rtl w:val="0"/>
          <w:lang w:val="it-IT"/>
        </w:rPr>
        <w:t>European Journal of Innovative Studies and Sustainability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w:t>
      </w:r>
      <w:r>
        <w:rPr>
          <w:rFonts w:ascii="Garamond" w:hAnsi="Garamond"/>
          <w:sz w:val="20"/>
          <w:szCs w:val="20"/>
          <w:rtl w:val="0"/>
          <w:lang w:val="it-IT"/>
        </w:rPr>
        <w:t>(3), 121-133.</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Ioannou, I., Kassinis, G., &amp; Papagiannakis, G. (2023). The impact of perceived greenwashing on customer satisfaction and the contingent role of capability reputation.</w:t>
      </w:r>
      <w:r>
        <w:rPr>
          <w:rFonts w:ascii="Garamond" w:hAnsi="Garamond" w:hint="default"/>
          <w:sz w:val="20"/>
          <w:szCs w:val="20"/>
          <w:rtl w:val="0"/>
          <w:lang w:val="en-US"/>
        </w:rPr>
        <w:t> </w:t>
      </w:r>
      <w:r>
        <w:rPr>
          <w:rFonts w:ascii="Garamond" w:hAnsi="Garamond"/>
          <w:i w:val="1"/>
          <w:iCs w:val="1"/>
          <w:sz w:val="20"/>
          <w:szCs w:val="20"/>
          <w:rtl w:val="0"/>
          <w:lang w:val="it-IT"/>
        </w:rPr>
        <w:t>Journal of Business Ethics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185</w:t>
      </w:r>
      <w:r>
        <w:rPr>
          <w:rFonts w:ascii="Garamond" w:hAnsi="Garamond"/>
          <w:sz w:val="20"/>
          <w:szCs w:val="20"/>
          <w:rtl w:val="0"/>
          <w:lang w:val="it-IT"/>
        </w:rPr>
        <w:t>(2), 333-347.</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 xml:space="preserve">Jain, P., Kanoujiya, J., Gautam, R. S., &amp; Rastogi, S. (2024). </w:t>
      </w:r>
      <w:r>
        <w:rPr>
          <w:rFonts w:ascii="Garamond" w:hAnsi="Garamond"/>
          <w:sz w:val="20"/>
          <w:szCs w:val="20"/>
          <w:rtl w:val="0"/>
          <w:lang w:val="en-US"/>
        </w:rPr>
        <w:t>Impact of Financial Inclusion and ESG on the Sustainable Growth of the Nation: Moderating Role of Poverty.</w:t>
      </w:r>
      <w:r>
        <w:rPr>
          <w:rFonts w:ascii="Garamond" w:hAnsi="Garamond" w:hint="default"/>
          <w:sz w:val="20"/>
          <w:szCs w:val="20"/>
          <w:rtl w:val="0"/>
          <w:lang w:val="en-US"/>
        </w:rPr>
        <w:t> </w:t>
      </w:r>
      <w:r>
        <w:rPr>
          <w:rFonts w:ascii="Garamond" w:hAnsi="Garamond"/>
          <w:i w:val="1"/>
          <w:iCs w:val="1"/>
          <w:sz w:val="20"/>
          <w:szCs w:val="20"/>
          <w:rtl w:val="0"/>
          <w:lang w:val="it-IT"/>
        </w:rPr>
        <w:t>Vision</w:t>
      </w:r>
      <w:r>
        <w:rPr>
          <w:rFonts w:ascii="Garamond" w:hAnsi="Garamond"/>
          <w:sz w:val="20"/>
          <w:szCs w:val="20"/>
          <w:rtl w:val="0"/>
          <w:lang w:val="it-IT"/>
        </w:rPr>
        <w:t>, 09722629241271509.</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Kamruzzaman, M., Khatoon, R., Al Mahmud, M. A., Tiwari, A., Samiun, M., Hosain, M. S., ... &amp; Johora, F. T. (2025). </w:t>
      </w:r>
      <w:r>
        <w:rPr>
          <w:rFonts w:ascii="Garamond" w:hAnsi="Garamond"/>
          <w:sz w:val="20"/>
          <w:szCs w:val="20"/>
          <w:rtl w:val="0"/>
          <w:lang w:val="en-US"/>
        </w:rPr>
        <w:t>Enhancing Regulatory Compliance in the Modern Banking Sector: Leveraging Advanced IT Solutions, Robotization, and AI.</w:t>
      </w:r>
      <w:r>
        <w:rPr>
          <w:rFonts w:ascii="Garamond" w:hAnsi="Garamond" w:hint="default"/>
          <w:sz w:val="20"/>
          <w:szCs w:val="20"/>
          <w:rtl w:val="0"/>
          <w:lang w:val="en-US"/>
        </w:rPr>
        <w:t> </w:t>
      </w:r>
      <w:r>
        <w:rPr>
          <w:rFonts w:ascii="Garamond" w:hAnsi="Garamond"/>
          <w:i w:val="1"/>
          <w:iCs w:val="1"/>
          <w:sz w:val="20"/>
          <w:szCs w:val="20"/>
          <w:rtl w:val="0"/>
          <w:lang w:val="it-IT"/>
        </w:rPr>
        <w:t>Journal of Ecohumanism</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4</w:t>
      </w:r>
      <w:r>
        <w:rPr>
          <w:rFonts w:ascii="Garamond" w:hAnsi="Garamond"/>
          <w:sz w:val="20"/>
          <w:szCs w:val="20"/>
          <w:rtl w:val="0"/>
          <w:lang w:val="it-IT"/>
        </w:rPr>
        <w:t>(2), 2596-2609.</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Khalid, F., Sun, J., Guo, J., &amp; Srivastava, M. (2024). </w:t>
      </w:r>
      <w:r>
        <w:rPr>
          <w:rFonts w:ascii="Garamond" w:hAnsi="Garamond"/>
          <w:sz w:val="20"/>
          <w:szCs w:val="20"/>
          <w:rtl w:val="0"/>
          <w:lang w:val="en-US"/>
        </w:rPr>
        <w:t>Green corporate image: Assessing the effects of climate change management practices on corporate reputation.</w:t>
      </w:r>
      <w:r>
        <w:rPr>
          <w:rFonts w:ascii="Garamond" w:hAnsi="Garamond" w:hint="default"/>
          <w:sz w:val="20"/>
          <w:szCs w:val="20"/>
          <w:rtl w:val="0"/>
          <w:lang w:val="en-US"/>
        </w:rPr>
        <w:t> </w:t>
      </w:r>
      <w:r>
        <w:rPr>
          <w:rFonts w:ascii="Garamond" w:hAnsi="Garamond"/>
          <w:i w:val="1"/>
          <w:iCs w:val="1"/>
          <w:sz w:val="20"/>
          <w:szCs w:val="20"/>
          <w:rtl w:val="0"/>
          <w:lang w:val="it-IT"/>
        </w:rPr>
        <w:t>Corporate Social Responsibility and Environmental Management</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31</w:t>
      </w:r>
      <w:r>
        <w:rPr>
          <w:rFonts w:ascii="Garamond" w:hAnsi="Garamond"/>
          <w:sz w:val="20"/>
          <w:szCs w:val="20"/>
          <w:rtl w:val="0"/>
          <w:lang w:val="it-IT"/>
        </w:rPr>
        <w:t>(3), 1786-1801.</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Khan, M. K., Huo, C., Zahid, R. A., &amp; Maqsood, U. S. (2024). The automated sustainability auditor: Does artificial intelligence curtail greenwashing behavior in Chinese firms?.</w:t>
      </w:r>
      <w:r>
        <w:rPr>
          <w:rFonts w:ascii="Garamond" w:hAnsi="Garamond" w:hint="default"/>
          <w:sz w:val="20"/>
          <w:szCs w:val="20"/>
          <w:rtl w:val="0"/>
          <w:lang w:val="en-US"/>
        </w:rPr>
        <w:t> </w:t>
      </w:r>
      <w:r>
        <w:rPr>
          <w:rFonts w:ascii="Garamond" w:hAnsi="Garamond"/>
          <w:i w:val="1"/>
          <w:iCs w:val="1"/>
          <w:sz w:val="20"/>
          <w:szCs w:val="20"/>
          <w:rtl w:val="0"/>
          <w:lang w:val="it-IT"/>
        </w:rPr>
        <w:t>Business Strategy and the Environment</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33</w:t>
      </w:r>
      <w:r>
        <w:rPr>
          <w:rFonts w:ascii="Garamond" w:hAnsi="Garamond"/>
          <w:sz w:val="20"/>
          <w:szCs w:val="20"/>
          <w:rtl w:val="0"/>
          <w:lang w:val="it-IT"/>
        </w:rPr>
        <w:t>(8), 9015-9039.</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Khan, M. I., &amp; Iqbal, A. (2024). </w:t>
      </w:r>
      <w:r>
        <w:rPr>
          <w:rFonts w:ascii="Garamond" w:hAnsi="Garamond"/>
          <w:i w:val="1"/>
          <w:iCs w:val="1"/>
          <w:sz w:val="20"/>
          <w:szCs w:val="20"/>
          <w:rtl w:val="0"/>
          <w:lang w:val="en-US"/>
        </w:rPr>
        <w:t>Integrating ESG with corporate investment decision-making</w:t>
      </w:r>
      <w:r>
        <w:rPr>
          <w:rFonts w:ascii="Garamond" w:hAnsi="Garamond"/>
          <w:sz w:val="20"/>
          <w:szCs w:val="20"/>
          <w:rtl w:val="0"/>
          <w:lang w:val="en-US"/>
        </w:rPr>
        <w:t xml:space="preserve">. In Imran Hunjra, A., &amp; Hussainey, K. (Eds.). </w:t>
      </w:r>
      <w:r>
        <w:rPr>
          <w:rFonts w:ascii="Garamond" w:hAnsi="Garamond"/>
          <w:i w:val="1"/>
          <w:iCs w:val="1"/>
          <w:sz w:val="20"/>
          <w:szCs w:val="20"/>
          <w:rtl w:val="0"/>
          <w:lang w:val="en-US"/>
        </w:rPr>
        <w:t>The Emerald Handbook of Ethical Finance and Corporate Social Responsibility: A Framework for Sustainable Development</w:t>
      </w:r>
      <w:r>
        <w:rPr>
          <w:rFonts w:ascii="Garamond" w:hAnsi="Garamond"/>
          <w:sz w:val="20"/>
          <w:szCs w:val="20"/>
          <w:rtl w:val="0"/>
          <w:lang w:val="en-US"/>
        </w:rPr>
        <w:t xml:space="preserve"> (pp. 329-350). </w:t>
      </w:r>
      <w:r>
        <w:rPr>
          <w:rFonts w:ascii="Garamond" w:hAnsi="Garamond"/>
          <w:sz w:val="20"/>
          <w:szCs w:val="20"/>
          <w:rtl w:val="0"/>
          <w:lang w:val="it-IT"/>
        </w:rPr>
        <w:t>Emerald Publishing Limited.</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Kluza, K., Zio</w:t>
      </w:r>
      <w:r>
        <w:rPr>
          <w:rFonts w:ascii="Garamond" w:hAnsi="Garamond" w:hint="default"/>
          <w:sz w:val="20"/>
          <w:szCs w:val="20"/>
          <w:rtl w:val="0"/>
          <w:lang w:val="it-IT"/>
        </w:rPr>
        <w:t>ł</w:t>
      </w:r>
      <w:r>
        <w:rPr>
          <w:rFonts w:ascii="Garamond" w:hAnsi="Garamond"/>
          <w:sz w:val="20"/>
          <w:szCs w:val="20"/>
          <w:rtl w:val="0"/>
          <w:lang w:val="it-IT"/>
        </w:rPr>
        <w:t>o, M., B</w:t>
      </w:r>
      <w:r>
        <w:rPr>
          <w:rFonts w:ascii="Garamond" w:hAnsi="Garamond" w:hint="default"/>
          <w:sz w:val="20"/>
          <w:szCs w:val="20"/>
          <w:rtl w:val="0"/>
          <w:lang w:val="it-IT"/>
        </w:rPr>
        <w:t>ą</w:t>
      </w:r>
      <w:r>
        <w:rPr>
          <w:rFonts w:ascii="Garamond" w:hAnsi="Garamond"/>
          <w:sz w:val="20"/>
          <w:szCs w:val="20"/>
          <w:rtl w:val="0"/>
          <w:lang w:val="it-IT"/>
        </w:rPr>
        <w:t xml:space="preserve">k, I., &amp; Spoz, A. (2021). </w:t>
      </w:r>
      <w:r>
        <w:rPr>
          <w:rFonts w:ascii="Garamond" w:hAnsi="Garamond"/>
          <w:sz w:val="20"/>
          <w:szCs w:val="20"/>
          <w:rtl w:val="0"/>
          <w:lang w:val="en-US"/>
        </w:rPr>
        <w:t xml:space="preserve">Achieving environmental policy objectives through the implementation of sustainable development goals. </w:t>
      </w:r>
      <w:r>
        <w:rPr>
          <w:rFonts w:ascii="Garamond" w:hAnsi="Garamond"/>
          <w:sz w:val="20"/>
          <w:szCs w:val="20"/>
          <w:rtl w:val="0"/>
          <w:lang w:val="it-IT"/>
        </w:rPr>
        <w:t>The case for European Union countries.</w:t>
      </w:r>
      <w:r>
        <w:rPr>
          <w:rFonts w:ascii="Garamond" w:hAnsi="Garamond" w:hint="default"/>
          <w:sz w:val="20"/>
          <w:szCs w:val="20"/>
          <w:rtl w:val="0"/>
          <w:lang w:val="it-IT"/>
        </w:rPr>
        <w:t> </w:t>
      </w:r>
      <w:r>
        <w:rPr>
          <w:rFonts w:ascii="Garamond" w:hAnsi="Garamond"/>
          <w:i w:val="1"/>
          <w:iCs w:val="1"/>
          <w:sz w:val="20"/>
          <w:szCs w:val="20"/>
          <w:rtl w:val="0"/>
          <w:lang w:val="it-IT"/>
        </w:rPr>
        <w:t>Energies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14</w:t>
      </w:r>
      <w:r>
        <w:rPr>
          <w:rFonts w:ascii="Garamond" w:hAnsi="Garamond"/>
          <w:sz w:val="20"/>
          <w:szCs w:val="20"/>
          <w:rtl w:val="0"/>
          <w:lang w:val="it-IT"/>
        </w:rPr>
        <w:t>(8), 2129.</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Koszowski, M. (2016). Restrictions on the Use of Analogy in Law. </w:t>
      </w:r>
      <w:r>
        <w:rPr>
          <w:rFonts w:ascii="Garamond" w:hAnsi="Garamond"/>
          <w:i w:val="1"/>
          <w:iCs w:val="1"/>
          <w:sz w:val="20"/>
          <w:szCs w:val="20"/>
          <w:rtl w:val="0"/>
          <w:lang w:val="it-IT"/>
        </w:rPr>
        <w:t>Liverpool Law Review</w:t>
      </w:r>
      <w:r>
        <w:rPr>
          <w:rFonts w:ascii="Garamond" w:hAnsi="Garamond"/>
          <w:sz w:val="20"/>
          <w:szCs w:val="20"/>
          <w:rtl w:val="0"/>
          <w:lang w:val="it-IT"/>
        </w:rPr>
        <w:t>, 37, 137-151.</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Kothandapani, H. P. (2025). AI-Driven Regulatory Compliance: Transforming Financial Oversight through Large Language Models and Automation.</w:t>
      </w:r>
      <w:r>
        <w:rPr>
          <w:rFonts w:ascii="Garamond" w:hAnsi="Garamond" w:hint="default"/>
          <w:sz w:val="20"/>
          <w:szCs w:val="20"/>
          <w:rtl w:val="0"/>
          <w:lang w:val="en-US"/>
        </w:rPr>
        <w:t> </w:t>
      </w:r>
      <w:r>
        <w:rPr>
          <w:rFonts w:ascii="Garamond" w:hAnsi="Garamond"/>
          <w:i w:val="1"/>
          <w:iCs w:val="1"/>
          <w:sz w:val="20"/>
          <w:szCs w:val="20"/>
          <w:rtl w:val="0"/>
          <w:lang w:val="it-IT"/>
        </w:rPr>
        <w:t>Emerging Science Research</w:t>
      </w:r>
      <w:r>
        <w:rPr>
          <w:rFonts w:ascii="Garamond" w:hAnsi="Garamond"/>
          <w:sz w:val="20"/>
          <w:szCs w:val="20"/>
          <w:rtl w:val="0"/>
          <w:lang w:val="it-IT"/>
        </w:rPr>
        <w:t>, 12-24.</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Lagasio, V. (2024). ESG-washing detection in corporate sustainability reports. </w:t>
      </w:r>
      <w:r>
        <w:rPr>
          <w:rFonts w:ascii="Garamond" w:hAnsi="Garamond"/>
          <w:i w:val="1"/>
          <w:iCs w:val="1"/>
          <w:sz w:val="20"/>
          <w:szCs w:val="20"/>
          <w:rtl w:val="0"/>
          <w:lang w:val="it-IT"/>
        </w:rPr>
        <w:t>International Review of Financial Analysis</w:t>
      </w:r>
      <w:r>
        <w:rPr>
          <w:rFonts w:ascii="Garamond" w:hAnsi="Garamond"/>
          <w:sz w:val="20"/>
          <w:szCs w:val="20"/>
          <w:rtl w:val="0"/>
          <w:lang w:val="it-IT"/>
        </w:rPr>
        <w:t>, 96, 103742, 1-10.</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Lapinskait</w:t>
      </w:r>
      <w:r>
        <w:rPr>
          <w:rFonts w:ascii="Garamond" w:hAnsi="Garamond" w:hint="default"/>
          <w:sz w:val="20"/>
          <w:szCs w:val="20"/>
          <w:rtl w:val="0"/>
          <w:lang w:val="it-IT"/>
        </w:rPr>
        <w:t>ė</w:t>
      </w:r>
      <w:r>
        <w:rPr>
          <w:rFonts w:ascii="Garamond" w:hAnsi="Garamond"/>
          <w:sz w:val="20"/>
          <w:szCs w:val="20"/>
          <w:rtl w:val="0"/>
          <w:lang w:val="it-IT"/>
        </w:rPr>
        <w:t>, I., Stasytyt</w:t>
      </w:r>
      <w:r>
        <w:rPr>
          <w:rFonts w:ascii="Garamond" w:hAnsi="Garamond" w:hint="default"/>
          <w:sz w:val="20"/>
          <w:szCs w:val="20"/>
          <w:rtl w:val="0"/>
          <w:lang w:val="it-IT"/>
        </w:rPr>
        <w:t>ė</w:t>
      </w:r>
      <w:r>
        <w:rPr>
          <w:rFonts w:ascii="Garamond" w:hAnsi="Garamond"/>
          <w:sz w:val="20"/>
          <w:szCs w:val="20"/>
          <w:rtl w:val="0"/>
          <w:lang w:val="it-IT"/>
        </w:rPr>
        <w:t xml:space="preserve">, V., &amp; Skvarciany, V. (2025). </w:t>
      </w:r>
      <w:r>
        <w:rPr>
          <w:rFonts w:ascii="Garamond" w:hAnsi="Garamond"/>
          <w:sz w:val="20"/>
          <w:szCs w:val="20"/>
          <w:rtl w:val="0"/>
          <w:lang w:val="en-US"/>
        </w:rPr>
        <w:t>Unveiling how efficiently sustainability transforms into intangible assets of financial institutions.</w:t>
      </w:r>
      <w:r>
        <w:rPr>
          <w:rFonts w:ascii="Garamond" w:hAnsi="Garamond" w:hint="default"/>
          <w:sz w:val="20"/>
          <w:szCs w:val="20"/>
          <w:rtl w:val="0"/>
          <w:lang w:val="en-US"/>
        </w:rPr>
        <w:t> </w:t>
      </w:r>
      <w:r>
        <w:rPr>
          <w:rFonts w:ascii="Garamond" w:hAnsi="Garamond"/>
          <w:i w:val="1"/>
          <w:iCs w:val="1"/>
          <w:sz w:val="20"/>
          <w:szCs w:val="20"/>
          <w:rtl w:val="0"/>
          <w:lang w:val="it-IT"/>
        </w:rPr>
        <w:t>Research in International Business and Finance</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76</w:t>
      </w:r>
      <w:r>
        <w:rPr>
          <w:rFonts w:ascii="Garamond" w:hAnsi="Garamond"/>
          <w:sz w:val="20"/>
          <w:szCs w:val="20"/>
          <w:rtl w:val="0"/>
          <w:lang w:val="it-IT"/>
        </w:rPr>
        <w:t>, 102835.</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Lashitew, A. A. (2021). Corporate uptake of the Sustainable Development Goals: Mere greenwashing or an advent of institutional change?.</w:t>
      </w:r>
      <w:r>
        <w:rPr>
          <w:rFonts w:ascii="Garamond" w:hAnsi="Garamond" w:hint="default"/>
          <w:sz w:val="20"/>
          <w:szCs w:val="20"/>
          <w:rtl w:val="0"/>
          <w:lang w:val="en-US"/>
        </w:rPr>
        <w:t> </w:t>
      </w:r>
      <w:r>
        <w:rPr>
          <w:rFonts w:ascii="Garamond" w:hAnsi="Garamond"/>
          <w:i w:val="1"/>
          <w:iCs w:val="1"/>
          <w:sz w:val="20"/>
          <w:szCs w:val="20"/>
          <w:rtl w:val="0"/>
          <w:lang w:val="it-IT"/>
        </w:rPr>
        <w:t>Journal of International Business Policy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4</w:t>
      </w:r>
      <w:r>
        <w:rPr>
          <w:rFonts w:ascii="Garamond" w:hAnsi="Garamond"/>
          <w:sz w:val="20"/>
          <w:szCs w:val="20"/>
          <w:rtl w:val="0"/>
          <w:lang w:val="it-IT"/>
        </w:rPr>
        <w:t>(1), 184-200.</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Leeuw, F. L. (2025). </w:t>
      </w:r>
      <w:r>
        <w:rPr>
          <w:rFonts w:ascii="Garamond" w:hAnsi="Garamond"/>
          <w:i w:val="1"/>
          <w:iCs w:val="1"/>
          <w:sz w:val="20"/>
          <w:szCs w:val="20"/>
          <w:rtl w:val="0"/>
          <w:lang w:val="en-US"/>
        </w:rPr>
        <w:t>The Algorithmization of Policy and Society</w:t>
      </w:r>
      <w:r>
        <w:rPr>
          <w:rFonts w:ascii="Garamond" w:hAnsi="Garamond"/>
          <w:sz w:val="20"/>
          <w:szCs w:val="20"/>
          <w:rtl w:val="0"/>
          <w:lang w:val="en-US"/>
        </w:rPr>
        <w:t>.</w:t>
      </w:r>
      <w:r>
        <w:rPr>
          <w:rFonts w:ascii="Garamond" w:hAnsi="Garamond" w:hint="default"/>
          <w:sz w:val="20"/>
          <w:szCs w:val="20"/>
          <w:rtl w:val="0"/>
          <w:lang w:val="en-US"/>
        </w:rPr>
        <w:t> </w:t>
      </w:r>
      <w:r>
        <w:rPr>
          <w:rFonts w:ascii="Garamond" w:hAnsi="Garamond"/>
          <w:sz w:val="20"/>
          <w:szCs w:val="20"/>
          <w:rtl w:val="0"/>
          <w:lang w:val="it-IT"/>
        </w:rPr>
        <w:t xml:space="preserve">In Nielsen, S. B., Mazzeo Rinaldi, F., &amp; Petersson, G. J. (Eds.). </w:t>
      </w:r>
      <w:r>
        <w:rPr>
          <w:rFonts w:ascii="Garamond" w:hAnsi="Garamond"/>
          <w:i w:val="1"/>
          <w:iCs w:val="1"/>
          <w:sz w:val="20"/>
          <w:szCs w:val="20"/>
          <w:rtl w:val="0"/>
          <w:lang w:val="it-IT"/>
        </w:rPr>
        <w:t>Artificial Intelligence and Evaluation</w:t>
      </w:r>
      <w:r>
        <w:rPr>
          <w:rFonts w:ascii="Garamond" w:hAnsi="Garamond"/>
          <w:sz w:val="20"/>
          <w:szCs w:val="20"/>
          <w:rtl w:val="0"/>
          <w:lang w:val="it-IT"/>
        </w:rPr>
        <w:t xml:space="preserve"> (pp. 242-265). Routledge.</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Leblebici Kocer, L., Senturk Ulucak, Z., &amp; Delice Akca, T. (2023). </w:t>
      </w:r>
      <w:r>
        <w:rPr>
          <w:rFonts w:ascii="Garamond" w:hAnsi="Garamond"/>
          <w:sz w:val="20"/>
          <w:szCs w:val="20"/>
          <w:rtl w:val="0"/>
          <w:lang w:val="en-US"/>
        </w:rPr>
        <w:t>The role of environmental concern in purchasing decision on organic food and the link to greenwashing.</w:t>
      </w:r>
      <w:r>
        <w:rPr>
          <w:rFonts w:ascii="Garamond" w:hAnsi="Garamond" w:hint="default"/>
          <w:sz w:val="20"/>
          <w:szCs w:val="20"/>
          <w:rtl w:val="0"/>
          <w:lang w:val="en-US"/>
        </w:rPr>
        <w:t> </w:t>
      </w:r>
      <w:r>
        <w:rPr>
          <w:rFonts w:ascii="Garamond" w:hAnsi="Garamond"/>
          <w:i w:val="1"/>
          <w:iCs w:val="1"/>
          <w:sz w:val="20"/>
          <w:szCs w:val="20"/>
          <w:rtl w:val="0"/>
          <w:lang w:val="it-IT"/>
        </w:rPr>
        <w:t>Environment, Development and Sustainability</w:t>
      </w:r>
      <w:r>
        <w:rPr>
          <w:rFonts w:ascii="Garamond" w:hAnsi="Garamond"/>
          <w:sz w:val="20"/>
          <w:szCs w:val="20"/>
          <w:rtl w:val="0"/>
          <w:lang w:val="it-IT"/>
        </w:rPr>
        <w:t>, 1-24.</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Li, J., &amp; Li, S. (2022). Environmental protection tax, corporate ESG performance, and green technological innovation. </w:t>
      </w:r>
      <w:r>
        <w:rPr>
          <w:rFonts w:ascii="Garamond" w:hAnsi="Garamond"/>
          <w:sz w:val="20"/>
          <w:szCs w:val="20"/>
          <w:rtl w:val="0"/>
          <w:lang w:val="it-IT"/>
        </w:rPr>
        <w:t>Frontiers in Environmental Science, 10, 982132.</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Liang, Y., &amp; Gao, X. (2025). Greenwashing and financial performance in public health firms: the mechanism of organizational legitimacy erosion.</w:t>
      </w:r>
      <w:r>
        <w:rPr>
          <w:rFonts w:ascii="Garamond" w:hAnsi="Garamond" w:hint="default"/>
          <w:sz w:val="20"/>
          <w:szCs w:val="20"/>
          <w:rtl w:val="0"/>
          <w:lang w:val="en-US"/>
        </w:rPr>
        <w:t> </w:t>
      </w:r>
      <w:r>
        <w:rPr>
          <w:rFonts w:ascii="Garamond" w:hAnsi="Garamond"/>
          <w:i w:val="1"/>
          <w:iCs w:val="1"/>
          <w:sz w:val="20"/>
          <w:szCs w:val="20"/>
          <w:rtl w:val="0"/>
          <w:lang w:val="it-IT"/>
        </w:rPr>
        <w:t>Frontiers in Public Health</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13</w:t>
      </w:r>
      <w:r>
        <w:rPr>
          <w:rFonts w:ascii="Garamond" w:hAnsi="Garamond"/>
          <w:sz w:val="20"/>
          <w:szCs w:val="20"/>
          <w:rtl w:val="0"/>
          <w:lang w:val="it-IT"/>
        </w:rPr>
        <w:t>, 1565703.</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Liu, F., Jin, T., &amp; Lee, J. S. (2025). Automatic readability assessment for sentences: neural, hybrid and large language models.</w:t>
      </w:r>
      <w:r>
        <w:rPr>
          <w:rFonts w:ascii="Garamond" w:hAnsi="Garamond" w:hint="default"/>
          <w:sz w:val="20"/>
          <w:szCs w:val="20"/>
          <w:rtl w:val="0"/>
          <w:lang w:val="en-US"/>
        </w:rPr>
        <w:t> </w:t>
      </w:r>
      <w:r>
        <w:rPr>
          <w:rFonts w:ascii="Garamond" w:hAnsi="Garamond"/>
          <w:i w:val="1"/>
          <w:iCs w:val="1"/>
          <w:sz w:val="20"/>
          <w:szCs w:val="20"/>
          <w:rtl w:val="0"/>
          <w:lang w:val="it-IT"/>
        </w:rPr>
        <w:t>Language Resources and Evaluation</w:t>
      </w:r>
      <w:r>
        <w:rPr>
          <w:rFonts w:ascii="Garamond" w:hAnsi="Garamond"/>
          <w:sz w:val="20"/>
          <w:szCs w:val="20"/>
          <w:rtl w:val="0"/>
          <w:lang w:val="it-IT"/>
        </w:rPr>
        <w:t>, 1-32.</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L</w:t>
      </w:r>
      <w:r>
        <w:rPr>
          <w:rFonts w:ascii="Garamond" w:hAnsi="Garamond" w:hint="default"/>
          <w:sz w:val="20"/>
          <w:szCs w:val="20"/>
          <w:rtl w:val="0"/>
          <w:lang w:val="it-IT"/>
        </w:rPr>
        <w:t>ó</w:t>
      </w:r>
      <w:r>
        <w:rPr>
          <w:rFonts w:ascii="Garamond" w:hAnsi="Garamond"/>
          <w:sz w:val="20"/>
          <w:szCs w:val="20"/>
          <w:rtl w:val="0"/>
          <w:lang w:val="it-IT"/>
        </w:rPr>
        <w:t xml:space="preserve">pez-Cabarcos, M. </w:t>
      </w:r>
      <w:r>
        <w:rPr>
          <w:rFonts w:ascii="Garamond" w:hAnsi="Garamond" w:hint="default"/>
          <w:sz w:val="20"/>
          <w:szCs w:val="20"/>
          <w:rtl w:val="0"/>
          <w:lang w:val="it-IT"/>
        </w:rPr>
        <w:t>Á</w:t>
      </w:r>
      <w:r>
        <w:rPr>
          <w:rFonts w:ascii="Garamond" w:hAnsi="Garamond"/>
          <w:sz w:val="20"/>
          <w:szCs w:val="20"/>
          <w:rtl w:val="0"/>
          <w:lang w:val="it-IT"/>
        </w:rPr>
        <w:t>., Ziane, Y., L</w:t>
      </w:r>
      <w:r>
        <w:rPr>
          <w:rFonts w:ascii="Garamond" w:hAnsi="Garamond" w:hint="default"/>
          <w:sz w:val="20"/>
          <w:szCs w:val="20"/>
          <w:rtl w:val="0"/>
          <w:lang w:val="it-IT"/>
        </w:rPr>
        <w:t>ó</w:t>
      </w:r>
      <w:r>
        <w:rPr>
          <w:rFonts w:ascii="Garamond" w:hAnsi="Garamond"/>
          <w:sz w:val="20"/>
          <w:szCs w:val="20"/>
          <w:rtl w:val="0"/>
          <w:lang w:val="it-IT"/>
        </w:rPr>
        <w:t>pez-P</w:t>
      </w:r>
      <w:r>
        <w:rPr>
          <w:rFonts w:ascii="Garamond" w:hAnsi="Garamond" w:hint="default"/>
          <w:sz w:val="20"/>
          <w:szCs w:val="20"/>
          <w:rtl w:val="0"/>
          <w:lang w:val="it-IT"/>
        </w:rPr>
        <w:t>é</w:t>
      </w:r>
      <w:r>
        <w:rPr>
          <w:rFonts w:ascii="Garamond" w:hAnsi="Garamond"/>
          <w:sz w:val="20"/>
          <w:szCs w:val="20"/>
          <w:rtl w:val="0"/>
          <w:lang w:val="it-IT"/>
        </w:rPr>
        <w:t>rez, M. L., &amp; Pi</w:t>
      </w:r>
      <w:r>
        <w:rPr>
          <w:rFonts w:ascii="Garamond" w:hAnsi="Garamond" w:hint="default"/>
          <w:sz w:val="20"/>
          <w:szCs w:val="20"/>
          <w:rtl w:val="0"/>
          <w:lang w:val="it-IT"/>
        </w:rPr>
        <w:t>ñ</w:t>
      </w:r>
      <w:r>
        <w:rPr>
          <w:rFonts w:ascii="Garamond" w:hAnsi="Garamond"/>
          <w:sz w:val="20"/>
          <w:szCs w:val="20"/>
          <w:rtl w:val="0"/>
          <w:lang w:val="it-IT"/>
        </w:rPr>
        <w:t xml:space="preserve">eiro-Chousa, J. (2025). </w:t>
      </w:r>
      <w:r>
        <w:rPr>
          <w:rFonts w:ascii="Garamond" w:hAnsi="Garamond"/>
          <w:sz w:val="20"/>
          <w:szCs w:val="20"/>
          <w:rtl w:val="0"/>
          <w:lang w:val="en-US"/>
        </w:rPr>
        <w:t>The Ethical Commitment of Business Strategy: ESG-Related Factors as Drivers of the SDGs.</w:t>
      </w:r>
      <w:r>
        <w:rPr>
          <w:rFonts w:ascii="Garamond" w:hAnsi="Garamond" w:hint="default"/>
          <w:sz w:val="20"/>
          <w:szCs w:val="20"/>
          <w:rtl w:val="0"/>
          <w:lang w:val="en-US"/>
        </w:rPr>
        <w:t> </w:t>
      </w:r>
      <w:r>
        <w:rPr>
          <w:rFonts w:ascii="Garamond" w:hAnsi="Garamond"/>
          <w:i w:val="1"/>
          <w:iCs w:val="1"/>
          <w:sz w:val="20"/>
          <w:szCs w:val="20"/>
          <w:rtl w:val="0"/>
          <w:lang w:val="it-IT"/>
        </w:rPr>
        <w:t>Journal of Business Ethics</w:t>
      </w:r>
      <w:r>
        <w:rPr>
          <w:rFonts w:ascii="Garamond" w:hAnsi="Garamond"/>
          <w:sz w:val="20"/>
          <w:szCs w:val="20"/>
          <w:rtl w:val="0"/>
          <w:lang w:val="it-IT"/>
        </w:rPr>
        <w:t>, 1-17.</w:t>
      </w:r>
    </w:p>
    <w:p>
      <w:pPr>
        <w:pStyle w:val="List Paragraph"/>
        <w:widowControl w:val="1"/>
        <w:numPr>
          <w:ilvl w:val="0"/>
          <w:numId w:val="2"/>
        </w:numPr>
        <w:bidi w:val="0"/>
        <w:ind w:right="0"/>
        <w:jc w:val="both"/>
        <w:rPr>
          <w:rFonts w:ascii="Garamond" w:hAnsi="Garamond"/>
          <w:sz w:val="20"/>
          <w:szCs w:val="20"/>
          <w:rtl w:val="0"/>
          <w:lang w:val="fr-FR"/>
        </w:rPr>
      </w:pPr>
      <w:r>
        <w:rPr>
          <w:rFonts w:ascii="Garamond" w:hAnsi="Garamond"/>
          <w:sz w:val="20"/>
          <w:szCs w:val="20"/>
          <w:rtl w:val="0"/>
          <w:lang w:val="fr-FR"/>
        </w:rPr>
        <w:t xml:space="preserve">MacLennan, J., &amp; De Catelle, W. (2025). </w:t>
      </w:r>
      <w:r>
        <w:rPr>
          <w:rFonts w:ascii="Garamond" w:hAnsi="Garamond"/>
          <w:sz w:val="20"/>
          <w:szCs w:val="20"/>
          <w:rtl w:val="0"/>
          <w:lang w:val="en-US"/>
        </w:rPr>
        <w:t>The Revision of EU Greenwashing Laws: A New Framework of Analysis.</w:t>
      </w:r>
      <w:r>
        <w:rPr>
          <w:rFonts w:ascii="Garamond" w:hAnsi="Garamond" w:hint="default"/>
          <w:sz w:val="20"/>
          <w:szCs w:val="20"/>
          <w:rtl w:val="0"/>
          <w:lang w:val="en-US"/>
        </w:rPr>
        <w:t> </w:t>
      </w:r>
      <w:r>
        <w:rPr>
          <w:rFonts w:ascii="Garamond" w:hAnsi="Garamond"/>
          <w:i w:val="1"/>
          <w:iCs w:val="1"/>
          <w:sz w:val="20"/>
          <w:szCs w:val="20"/>
          <w:rtl w:val="0"/>
          <w:lang w:val="it-IT"/>
        </w:rPr>
        <w:t>Business and Human Rights Journal</w:t>
      </w:r>
      <w:r>
        <w:rPr>
          <w:rFonts w:ascii="Garamond" w:hAnsi="Garamond"/>
          <w:sz w:val="20"/>
          <w:szCs w:val="20"/>
          <w:rtl w:val="0"/>
          <w:lang w:val="it-IT"/>
        </w:rPr>
        <w:t>, 1-7.</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Marcatajo, G. (2023). Green claims, green washing and consumer protection in the European Union.</w:t>
      </w:r>
      <w:r>
        <w:rPr>
          <w:rFonts w:ascii="Garamond" w:hAnsi="Garamond" w:hint="default"/>
          <w:sz w:val="20"/>
          <w:szCs w:val="20"/>
          <w:rtl w:val="0"/>
          <w:lang w:val="en-US"/>
        </w:rPr>
        <w:t> </w:t>
      </w:r>
      <w:r>
        <w:rPr>
          <w:rFonts w:ascii="Garamond" w:hAnsi="Garamond"/>
          <w:i w:val="1"/>
          <w:iCs w:val="1"/>
          <w:sz w:val="20"/>
          <w:szCs w:val="20"/>
          <w:rtl w:val="0"/>
          <w:lang w:val="it-IT"/>
        </w:rPr>
        <w:t>Journal of Financial Crime</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30</w:t>
      </w:r>
      <w:r>
        <w:rPr>
          <w:rFonts w:ascii="Garamond" w:hAnsi="Garamond"/>
          <w:sz w:val="20"/>
          <w:szCs w:val="20"/>
          <w:rtl w:val="0"/>
          <w:lang w:val="it-IT"/>
        </w:rPr>
        <w:t>(1), 143-153.</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Menicucci, E. (2025). The ESG Framework in the Banking Sector. In</w:t>
      </w:r>
      <w:r>
        <w:rPr>
          <w:rFonts w:ascii="Garamond" w:hAnsi="Garamond" w:hint="default"/>
          <w:sz w:val="20"/>
          <w:szCs w:val="20"/>
          <w:rtl w:val="0"/>
          <w:lang w:val="en-US"/>
        </w:rPr>
        <w:t> </w:t>
      </w:r>
      <w:r>
        <w:rPr>
          <w:rFonts w:ascii="Garamond" w:hAnsi="Garamond"/>
          <w:sz w:val="20"/>
          <w:szCs w:val="20"/>
          <w:rtl w:val="0"/>
          <w:lang w:val="en-US"/>
        </w:rPr>
        <w:t xml:space="preserve">Menicucci, E. (Ed.). </w:t>
      </w:r>
      <w:r>
        <w:rPr>
          <w:rFonts w:ascii="Garamond" w:hAnsi="Garamond"/>
          <w:i w:val="1"/>
          <w:iCs w:val="1"/>
          <w:sz w:val="20"/>
          <w:szCs w:val="20"/>
          <w:rtl w:val="0"/>
          <w:lang w:val="en-US"/>
        </w:rPr>
        <w:t>ESG Integration in the Banking Sector: Navigating Regulatory Frameworks and Strategic Challenges for Financial Institutions</w:t>
      </w:r>
      <w:r>
        <w:rPr>
          <w:rFonts w:ascii="Garamond" w:hAnsi="Garamond" w:hint="default"/>
          <w:sz w:val="20"/>
          <w:szCs w:val="20"/>
          <w:rtl w:val="0"/>
          <w:lang w:val="en-US"/>
        </w:rPr>
        <w:t> </w:t>
      </w:r>
      <w:r>
        <w:rPr>
          <w:rFonts w:ascii="Garamond" w:hAnsi="Garamond"/>
          <w:sz w:val="20"/>
          <w:szCs w:val="20"/>
          <w:rtl w:val="0"/>
          <w:lang w:val="en-US"/>
        </w:rPr>
        <w:t xml:space="preserve">(pp. 27-51). </w:t>
      </w:r>
      <w:r>
        <w:rPr>
          <w:rFonts w:ascii="Garamond" w:hAnsi="Garamond"/>
          <w:sz w:val="20"/>
          <w:szCs w:val="20"/>
          <w:rtl w:val="0"/>
          <w:lang w:val="it-IT"/>
        </w:rPr>
        <w:t>Cham: Springer Nature Switzerland.</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Mer, A., Singhal, K., &amp; Virdi, A. S. (2024). </w:t>
      </w:r>
      <w:r>
        <w:rPr>
          <w:rFonts w:ascii="Garamond" w:hAnsi="Garamond"/>
          <w:i w:val="1"/>
          <w:iCs w:val="1"/>
          <w:sz w:val="20"/>
          <w:szCs w:val="20"/>
          <w:rtl w:val="0"/>
          <w:lang w:val="en-US"/>
        </w:rPr>
        <w:t>A Review of the Role of Artificial Intelligence in Banking and Stock Market Trading</w:t>
      </w:r>
      <w:r>
        <w:rPr>
          <w:rFonts w:ascii="Garamond" w:hAnsi="Garamond"/>
          <w:sz w:val="20"/>
          <w:szCs w:val="20"/>
          <w:rtl w:val="0"/>
          <w:lang w:val="en-US"/>
        </w:rPr>
        <w:t>.</w:t>
      </w:r>
      <w:r>
        <w:rPr>
          <w:rFonts w:ascii="Garamond" w:hAnsi="Garamond" w:hint="default"/>
          <w:sz w:val="20"/>
          <w:szCs w:val="20"/>
          <w:rtl w:val="0"/>
          <w:lang w:val="en-US"/>
        </w:rPr>
        <w:t> </w:t>
      </w:r>
      <w:r>
        <w:rPr>
          <w:rFonts w:ascii="Garamond" w:hAnsi="Garamond"/>
          <w:sz w:val="20"/>
          <w:szCs w:val="20"/>
          <w:rtl w:val="0"/>
          <w:lang w:val="en-US"/>
        </w:rPr>
        <w:t xml:space="preserve">In Grima, S., Ozen, E., Kumar, P., Taneja, S., &amp; Sood, K. (Eds.). </w:t>
      </w:r>
      <w:r>
        <w:rPr>
          <w:rFonts w:ascii="Garamond" w:hAnsi="Garamond"/>
          <w:i w:val="1"/>
          <w:iCs w:val="1"/>
          <w:sz w:val="20"/>
          <w:szCs w:val="20"/>
          <w:rtl w:val="0"/>
          <w:lang w:val="en-US"/>
        </w:rPr>
        <w:t>Finance Analytics in Business: Perspectives on Enhancing Efficiency and Accuracy</w:t>
      </w:r>
      <w:r>
        <w:rPr>
          <w:rFonts w:ascii="Garamond" w:hAnsi="Garamond"/>
          <w:sz w:val="20"/>
          <w:szCs w:val="20"/>
          <w:rtl w:val="0"/>
          <w:lang w:val="en-US"/>
        </w:rPr>
        <w:t>, 175-198.</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Mollers, T. M. (2022). European Green Deal: Greenwashing and the Forgotten Good Corporate Citizen as an Investor. </w:t>
      </w:r>
      <w:r>
        <w:rPr>
          <w:rFonts w:ascii="Garamond" w:hAnsi="Garamond"/>
          <w:i w:val="1"/>
          <w:iCs w:val="1"/>
          <w:sz w:val="20"/>
          <w:szCs w:val="20"/>
          <w:rtl w:val="0"/>
          <w:lang w:val="it-IT"/>
        </w:rPr>
        <w:t>Columbia Journal of European Law</w:t>
      </w:r>
      <w:r>
        <w:rPr>
          <w:rFonts w:ascii="Garamond" w:hAnsi="Garamond"/>
          <w:sz w:val="20"/>
          <w:szCs w:val="20"/>
          <w:rtl w:val="0"/>
          <w:lang w:val="it-IT"/>
        </w:rPr>
        <w:t>, 28, 203-238.</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Montevechi, A. A., de Carvalho Miranda, R., Medeiros, A. L., &amp; Montevechi, J. A. B. (2024). </w:t>
      </w:r>
      <w:r>
        <w:rPr>
          <w:rFonts w:ascii="Garamond" w:hAnsi="Garamond"/>
          <w:sz w:val="20"/>
          <w:szCs w:val="20"/>
          <w:rtl w:val="0"/>
          <w:lang w:val="en-US"/>
        </w:rPr>
        <w:t>Advancing credit risk modelling with Machine Learning: A comprehensive review of the state-of-the-art.</w:t>
      </w:r>
      <w:r>
        <w:rPr>
          <w:rFonts w:ascii="Garamond" w:hAnsi="Garamond" w:hint="default"/>
          <w:sz w:val="20"/>
          <w:szCs w:val="20"/>
          <w:rtl w:val="0"/>
          <w:lang w:val="en-US"/>
        </w:rPr>
        <w:t> </w:t>
      </w:r>
      <w:r>
        <w:rPr>
          <w:rFonts w:ascii="Garamond" w:hAnsi="Garamond"/>
          <w:i w:val="1"/>
          <w:iCs w:val="1"/>
          <w:sz w:val="20"/>
          <w:szCs w:val="20"/>
          <w:rtl w:val="0"/>
          <w:lang w:val="it-IT"/>
        </w:rPr>
        <w:t>Engineering Applications of Artificial Intelligence</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137</w:t>
      </w:r>
      <w:r>
        <w:rPr>
          <w:rFonts w:ascii="Garamond" w:hAnsi="Garamond"/>
          <w:sz w:val="20"/>
          <w:szCs w:val="20"/>
          <w:rtl w:val="0"/>
          <w:lang w:val="it-IT"/>
        </w:rPr>
        <w:t>, 109082.</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Nemetz, P. N. (2022).</w:t>
      </w:r>
      <w:r>
        <w:rPr>
          <w:rFonts w:ascii="Garamond" w:hAnsi="Garamond" w:hint="default"/>
          <w:sz w:val="20"/>
          <w:szCs w:val="20"/>
          <w:rtl w:val="0"/>
          <w:lang w:val="en-US"/>
        </w:rPr>
        <w:t> </w:t>
      </w:r>
      <w:r>
        <w:rPr>
          <w:rFonts w:ascii="Garamond" w:hAnsi="Garamond"/>
          <w:i w:val="1"/>
          <w:iCs w:val="1"/>
          <w:sz w:val="20"/>
          <w:szCs w:val="20"/>
          <w:rtl w:val="0"/>
          <w:lang w:val="en-US"/>
        </w:rPr>
        <w:t>Unsustainable world: are we losing the battle to save our planet?</w:t>
      </w:r>
      <w:r>
        <w:rPr>
          <w:rFonts w:ascii="Garamond" w:hAnsi="Garamond"/>
          <w:sz w:val="20"/>
          <w:szCs w:val="20"/>
          <w:rtl w:val="0"/>
          <w:lang w:val="en-US"/>
        </w:rPr>
        <w:t xml:space="preserve">. </w:t>
      </w:r>
      <w:r>
        <w:rPr>
          <w:rFonts w:ascii="Garamond" w:hAnsi="Garamond"/>
          <w:sz w:val="20"/>
          <w:szCs w:val="20"/>
          <w:rtl w:val="0"/>
          <w:lang w:val="it-IT"/>
        </w:rPr>
        <w:t>Routledge.</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Neves Proen</w:t>
      </w:r>
      <w:r>
        <w:rPr>
          <w:rFonts w:ascii="Garamond" w:hAnsi="Garamond" w:hint="default"/>
          <w:sz w:val="20"/>
          <w:szCs w:val="20"/>
          <w:rtl w:val="0"/>
          <w:lang w:val="en-US"/>
        </w:rPr>
        <w:t>ç</w:t>
      </w:r>
      <w:r>
        <w:rPr>
          <w:rFonts w:ascii="Garamond" w:hAnsi="Garamond"/>
          <w:sz w:val="20"/>
          <w:szCs w:val="20"/>
          <w:rtl w:val="0"/>
          <w:lang w:val="en-US"/>
        </w:rPr>
        <w:t>a, C. A., Coelho, A. F. D. M., Fernandes, C., &amp; Ferreira, J. J. (2025). Differentiating between a genuine environmental strategy and greenwashing: evidence from the cooperative banking sector.</w:t>
      </w:r>
      <w:r>
        <w:rPr>
          <w:rFonts w:ascii="Garamond" w:hAnsi="Garamond" w:hint="default"/>
          <w:sz w:val="20"/>
          <w:szCs w:val="20"/>
          <w:rtl w:val="0"/>
          <w:lang w:val="en-US"/>
        </w:rPr>
        <w:t> </w:t>
      </w:r>
      <w:r>
        <w:rPr>
          <w:rFonts w:ascii="Garamond" w:hAnsi="Garamond"/>
          <w:i w:val="1"/>
          <w:iCs w:val="1"/>
          <w:sz w:val="20"/>
          <w:szCs w:val="20"/>
          <w:rtl w:val="0"/>
          <w:lang w:val="it-IT"/>
        </w:rPr>
        <w:t>International Journal of Bank Marketing</w:t>
      </w:r>
      <w:r>
        <w:rPr>
          <w:rFonts w:ascii="Garamond" w:hAnsi="Garamond"/>
          <w:sz w:val="20"/>
          <w:szCs w:val="20"/>
          <w:rtl w:val="0"/>
          <w:lang w:val="it-IT"/>
        </w:rPr>
        <w:t>.</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Nygaard, A. (2023). Is sustainable certification's ability to combat greenwashing trustworthy?.</w:t>
      </w:r>
      <w:r>
        <w:rPr>
          <w:rFonts w:ascii="Garamond" w:hAnsi="Garamond" w:hint="default"/>
          <w:sz w:val="20"/>
          <w:szCs w:val="20"/>
          <w:rtl w:val="0"/>
          <w:lang w:val="en-US"/>
        </w:rPr>
        <w:t> </w:t>
      </w:r>
      <w:r>
        <w:rPr>
          <w:rFonts w:ascii="Garamond" w:hAnsi="Garamond"/>
          <w:i w:val="1"/>
          <w:iCs w:val="1"/>
          <w:sz w:val="20"/>
          <w:szCs w:val="20"/>
          <w:rtl w:val="0"/>
          <w:lang w:val="it-IT"/>
        </w:rPr>
        <w:t>Frontiers in Sustainability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4</w:t>
      </w:r>
      <w:r>
        <w:rPr>
          <w:rFonts w:ascii="Garamond" w:hAnsi="Garamond"/>
          <w:sz w:val="20"/>
          <w:szCs w:val="20"/>
          <w:rtl w:val="0"/>
          <w:lang w:val="it-IT"/>
        </w:rPr>
        <w:t>, 1188069.</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O'Hara, P. A. (2009). Political economy of climate change, ecological destruction and uneven development.</w:t>
      </w:r>
      <w:r>
        <w:rPr>
          <w:rFonts w:ascii="Garamond" w:hAnsi="Garamond" w:hint="default"/>
          <w:sz w:val="20"/>
          <w:szCs w:val="20"/>
          <w:rtl w:val="0"/>
          <w:lang w:val="en-US"/>
        </w:rPr>
        <w:t> </w:t>
      </w:r>
      <w:r>
        <w:rPr>
          <w:rFonts w:ascii="Garamond" w:hAnsi="Garamond"/>
          <w:i w:val="1"/>
          <w:iCs w:val="1"/>
          <w:sz w:val="20"/>
          <w:szCs w:val="20"/>
          <w:rtl w:val="0"/>
          <w:lang w:val="it-IT"/>
        </w:rPr>
        <w:t>Ecological Economics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69</w:t>
      </w:r>
      <w:r>
        <w:rPr>
          <w:rFonts w:ascii="Garamond" w:hAnsi="Garamond"/>
          <w:sz w:val="20"/>
          <w:szCs w:val="20"/>
          <w:rtl w:val="0"/>
          <w:lang w:val="it-IT"/>
        </w:rPr>
        <w:t>(2), 223-234.</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Papathanassiou, C., &amp; Nieto, M. J. (2025). </w:t>
      </w:r>
      <w:r>
        <w:rPr>
          <w:rFonts w:ascii="Garamond" w:hAnsi="Garamond"/>
          <w:i w:val="1"/>
          <w:iCs w:val="1"/>
          <w:sz w:val="20"/>
          <w:szCs w:val="20"/>
          <w:rtl w:val="0"/>
          <w:lang w:val="en-US"/>
        </w:rPr>
        <w:t xml:space="preserve">Different shades of green: EU corporate disclosure rules and their effectiveness in limiting </w:t>
      </w:r>
      <w:r>
        <w:rPr>
          <w:rFonts w:ascii="Garamond" w:hAnsi="Garamond" w:hint="default"/>
          <w:i w:val="1"/>
          <w:iCs w:val="1"/>
          <w:sz w:val="20"/>
          <w:szCs w:val="20"/>
          <w:rtl w:val="0"/>
          <w:lang w:val="en-US"/>
        </w:rPr>
        <w:t>“</w:t>
      </w:r>
      <w:r>
        <w:rPr>
          <w:rFonts w:ascii="Garamond" w:hAnsi="Garamond"/>
          <w:i w:val="1"/>
          <w:iCs w:val="1"/>
          <w:sz w:val="20"/>
          <w:szCs w:val="20"/>
          <w:rtl w:val="0"/>
          <w:lang w:val="en-US"/>
        </w:rPr>
        <w:t>greenwashing</w:t>
      </w:r>
      <w:r>
        <w:rPr>
          <w:rFonts w:ascii="Garamond" w:hAnsi="Garamond" w:hint="default"/>
          <w:i w:val="1"/>
          <w:iCs w:val="1"/>
          <w:sz w:val="20"/>
          <w:szCs w:val="20"/>
          <w:rtl w:val="0"/>
          <w:lang w:val="en-US"/>
        </w:rPr>
        <w:t>”</w:t>
      </w:r>
      <w:r>
        <w:rPr>
          <w:rFonts w:ascii="Garamond" w:hAnsi="Garamond"/>
          <w:sz w:val="20"/>
          <w:szCs w:val="20"/>
          <w:rtl w:val="0"/>
          <w:lang w:val="en-US"/>
        </w:rPr>
        <w:t xml:space="preserve">. </w:t>
      </w:r>
      <w:r>
        <w:rPr>
          <w:rFonts w:ascii="Garamond" w:hAnsi="Garamond"/>
          <w:sz w:val="20"/>
          <w:szCs w:val="20"/>
          <w:rtl w:val="0"/>
          <w:lang w:val="it-IT"/>
        </w:rPr>
        <w:t>ECB Occasional Paper, (2025/370).</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Pappachan, P., Moslehpour, M., Bansal, R., &amp; Rahaman, M. (2024). Transparency and Accountability. In</w:t>
      </w:r>
      <w:r>
        <w:rPr>
          <w:rFonts w:ascii="Garamond" w:hAnsi="Garamond" w:hint="default"/>
          <w:sz w:val="20"/>
          <w:szCs w:val="20"/>
          <w:rtl w:val="0"/>
          <w:lang w:val="en-US"/>
        </w:rPr>
        <w:t> </w:t>
      </w:r>
      <w:r>
        <w:rPr>
          <w:rFonts w:ascii="Garamond" w:hAnsi="Garamond"/>
          <w:sz w:val="20"/>
          <w:szCs w:val="20"/>
          <w:rtl w:val="0"/>
          <w:lang w:val="en-US"/>
        </w:rPr>
        <w:t xml:space="preserve">Gupta, B. B. (Ed.). </w:t>
      </w:r>
      <w:r>
        <w:rPr>
          <w:rFonts w:ascii="Garamond" w:hAnsi="Garamond"/>
          <w:i w:val="1"/>
          <w:iCs w:val="1"/>
          <w:sz w:val="20"/>
          <w:szCs w:val="20"/>
          <w:rtl w:val="0"/>
          <w:lang w:val="en-US"/>
        </w:rPr>
        <w:t>Challenges in Large Language Model Development and AI Ethics</w:t>
      </w:r>
      <w:r>
        <w:rPr>
          <w:rFonts w:ascii="Garamond" w:hAnsi="Garamond" w:hint="default"/>
          <w:sz w:val="20"/>
          <w:szCs w:val="20"/>
          <w:rtl w:val="0"/>
          <w:lang w:val="en-US"/>
        </w:rPr>
        <w:t> </w:t>
      </w:r>
      <w:r>
        <w:rPr>
          <w:rFonts w:ascii="Garamond" w:hAnsi="Garamond"/>
          <w:sz w:val="20"/>
          <w:szCs w:val="20"/>
          <w:rtl w:val="0"/>
          <w:lang w:val="en-US"/>
        </w:rPr>
        <w:t xml:space="preserve">(pp. 178-211). </w:t>
      </w:r>
      <w:r>
        <w:rPr>
          <w:rFonts w:ascii="Garamond" w:hAnsi="Garamond"/>
          <w:sz w:val="20"/>
          <w:szCs w:val="20"/>
          <w:rtl w:val="0"/>
          <w:lang w:val="it-IT"/>
        </w:rPr>
        <w:t>IGI Global.</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Poggi, F. (2025). UN 2030 Agenda, ESG Criteria and Human Rights: The Way of the Civil Economy. In</w:t>
      </w:r>
      <w:r>
        <w:rPr>
          <w:rFonts w:ascii="Garamond" w:hAnsi="Garamond" w:hint="default"/>
          <w:sz w:val="20"/>
          <w:szCs w:val="20"/>
          <w:rtl w:val="0"/>
          <w:lang w:val="en-US"/>
        </w:rPr>
        <w:t> </w:t>
      </w:r>
      <w:r>
        <w:rPr>
          <w:rFonts w:ascii="Garamond" w:hAnsi="Garamond"/>
          <w:sz w:val="20"/>
          <w:szCs w:val="20"/>
          <w:rtl w:val="0"/>
          <w:lang w:val="en-US"/>
        </w:rPr>
        <w:t xml:space="preserve">Vigliarolo, F. (Ed.). </w:t>
      </w:r>
      <w:r>
        <w:rPr>
          <w:rFonts w:ascii="Garamond" w:hAnsi="Garamond"/>
          <w:i w:val="1"/>
          <w:iCs w:val="1"/>
          <w:sz w:val="20"/>
          <w:szCs w:val="20"/>
          <w:rtl w:val="0"/>
          <w:lang w:val="en-US"/>
        </w:rPr>
        <w:t>Economic Systems and Human Rights: Using Socioeconomic Models and Practices to Promote Global Economic Socialization</w:t>
      </w:r>
      <w:r>
        <w:rPr>
          <w:rFonts w:ascii="Garamond" w:hAnsi="Garamond" w:hint="default"/>
          <w:sz w:val="20"/>
          <w:szCs w:val="20"/>
          <w:rtl w:val="0"/>
          <w:lang w:val="en-US"/>
        </w:rPr>
        <w:t> </w:t>
      </w:r>
      <w:r>
        <w:rPr>
          <w:rFonts w:ascii="Garamond" w:hAnsi="Garamond"/>
          <w:sz w:val="20"/>
          <w:szCs w:val="20"/>
          <w:rtl w:val="0"/>
          <w:lang w:val="en-US"/>
        </w:rPr>
        <w:t xml:space="preserve">(pp. 267-283). </w:t>
      </w:r>
      <w:r>
        <w:rPr>
          <w:rFonts w:ascii="Garamond" w:hAnsi="Garamond"/>
          <w:sz w:val="20"/>
          <w:szCs w:val="20"/>
          <w:rtl w:val="0"/>
          <w:lang w:val="it-IT"/>
        </w:rPr>
        <w:t>Cham: Springer Nature Switzerland.</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Quttainah, M., Mishra, V., Madakam, S., Lurie, Y., &amp; Mark, S. (2024). Cost, usability, credibility, fairness, accountability, transparency, and explainability framework for safe and effective large language models in medical education: Narrative review and qualitative study.</w:t>
      </w:r>
      <w:r>
        <w:rPr>
          <w:rFonts w:ascii="Garamond" w:hAnsi="Garamond" w:hint="default"/>
          <w:sz w:val="20"/>
          <w:szCs w:val="20"/>
          <w:rtl w:val="0"/>
          <w:lang w:val="en-US"/>
        </w:rPr>
        <w:t> </w:t>
      </w:r>
      <w:r>
        <w:rPr>
          <w:rFonts w:ascii="Garamond" w:hAnsi="Garamond"/>
          <w:i w:val="1"/>
          <w:iCs w:val="1"/>
          <w:sz w:val="20"/>
          <w:szCs w:val="20"/>
          <w:rtl w:val="0"/>
          <w:lang w:val="it-IT"/>
        </w:rPr>
        <w:t>Jmir Ai</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w:t>
      </w:r>
      <w:r>
        <w:rPr>
          <w:rFonts w:ascii="Garamond" w:hAnsi="Garamond"/>
          <w:sz w:val="20"/>
          <w:szCs w:val="20"/>
          <w:rtl w:val="0"/>
          <w:lang w:val="it-IT"/>
        </w:rPr>
        <w:t>(1), e51834.</w:t>
      </w:r>
    </w:p>
    <w:p>
      <w:pPr>
        <w:pStyle w:val="List Paragraph"/>
        <w:widowControl w:val="1"/>
        <w:numPr>
          <w:ilvl w:val="0"/>
          <w:numId w:val="2"/>
        </w:numPr>
        <w:bidi w:val="0"/>
        <w:ind w:right="0"/>
        <w:jc w:val="both"/>
        <w:rPr>
          <w:rFonts w:ascii="Garamond" w:hAnsi="Garamond"/>
          <w:sz w:val="20"/>
          <w:szCs w:val="20"/>
          <w:rtl w:val="0"/>
          <w:lang w:val="fr-FR"/>
        </w:rPr>
      </w:pPr>
      <w:r>
        <w:rPr>
          <w:rFonts w:ascii="Garamond" w:hAnsi="Garamond"/>
          <w:sz w:val="20"/>
          <w:szCs w:val="20"/>
          <w:rtl w:val="0"/>
          <w:lang w:val="fr-FR"/>
        </w:rPr>
        <w:t xml:space="preserve">Santos, C., Coelho, A., &amp; Marques, A. (2024a). </w:t>
      </w:r>
      <w:r>
        <w:rPr>
          <w:rFonts w:ascii="Garamond" w:hAnsi="Garamond"/>
          <w:sz w:val="20"/>
          <w:szCs w:val="20"/>
          <w:rtl w:val="0"/>
          <w:lang w:val="en-US"/>
        </w:rPr>
        <w:t>The greenwashing effects on corporate reputation and brand hate, through environmental performance and green perceived risk.</w:t>
      </w:r>
      <w:r>
        <w:rPr>
          <w:rFonts w:ascii="Garamond" w:hAnsi="Garamond" w:hint="default"/>
          <w:sz w:val="20"/>
          <w:szCs w:val="20"/>
          <w:rtl w:val="0"/>
          <w:lang w:val="en-US"/>
        </w:rPr>
        <w:t> </w:t>
      </w:r>
      <w:r>
        <w:rPr>
          <w:rFonts w:ascii="Garamond" w:hAnsi="Garamond"/>
          <w:i w:val="1"/>
          <w:iCs w:val="1"/>
          <w:sz w:val="20"/>
          <w:szCs w:val="20"/>
          <w:rtl w:val="0"/>
          <w:lang w:val="it-IT"/>
        </w:rPr>
        <w:t>Asia-Pacific Journal of Business Administration</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16</w:t>
      </w:r>
      <w:r>
        <w:rPr>
          <w:rFonts w:ascii="Garamond" w:hAnsi="Garamond"/>
          <w:sz w:val="20"/>
          <w:szCs w:val="20"/>
          <w:rtl w:val="0"/>
          <w:lang w:val="it-IT"/>
        </w:rPr>
        <w:t>(3), 655-676.</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Santos, C., Coelho, A., &amp; Cancela, B. L. (2024b). The impact of greenwashing on sustainability through green supply chain integration: the moderating role of information sharing.</w:t>
      </w:r>
      <w:r>
        <w:rPr>
          <w:rFonts w:ascii="Garamond" w:hAnsi="Garamond" w:hint="default"/>
          <w:sz w:val="20"/>
          <w:szCs w:val="20"/>
          <w:rtl w:val="0"/>
          <w:lang w:val="en-US"/>
        </w:rPr>
        <w:t> </w:t>
      </w:r>
      <w:r>
        <w:rPr>
          <w:rFonts w:ascii="Garamond" w:hAnsi="Garamond"/>
          <w:i w:val="1"/>
          <w:iCs w:val="1"/>
          <w:sz w:val="20"/>
          <w:szCs w:val="20"/>
          <w:rtl w:val="0"/>
          <w:lang w:val="it-IT"/>
        </w:rPr>
        <w:t>Environment, Development and Sustainability</w:t>
      </w:r>
      <w:r>
        <w:rPr>
          <w:rFonts w:ascii="Garamond" w:hAnsi="Garamond"/>
          <w:sz w:val="20"/>
          <w:szCs w:val="20"/>
          <w:rtl w:val="0"/>
          <w:lang w:val="it-IT"/>
        </w:rPr>
        <w:t>, 1-28.</w:t>
      </w:r>
    </w:p>
    <w:p>
      <w:pPr>
        <w:pStyle w:val="List Paragraph"/>
        <w:widowControl w:val="1"/>
        <w:numPr>
          <w:ilvl w:val="0"/>
          <w:numId w:val="2"/>
        </w:numPr>
        <w:bidi w:val="0"/>
        <w:ind w:right="0"/>
        <w:jc w:val="both"/>
        <w:rPr>
          <w:rFonts w:ascii="Garamond" w:hAnsi="Garamond"/>
          <w:sz w:val="20"/>
          <w:szCs w:val="20"/>
          <w:rtl w:val="0"/>
          <w:lang w:val="it-IT"/>
        </w:rPr>
      </w:pPr>
      <w:r>
        <w:rPr>
          <w:rFonts w:ascii="Garamond" w:hAnsi="Garamond"/>
          <w:sz w:val="20"/>
          <w:szCs w:val="20"/>
          <w:rtl w:val="0"/>
          <w:lang w:val="it-IT"/>
        </w:rPr>
        <w:t xml:space="preserve">Sciortino, C., Sgroi, F., &amp; Napoli, S. (2025). </w:t>
      </w:r>
      <w:r>
        <w:rPr>
          <w:rFonts w:ascii="Garamond" w:hAnsi="Garamond"/>
          <w:sz w:val="20"/>
          <w:szCs w:val="20"/>
          <w:rtl w:val="0"/>
          <w:lang w:val="en-US"/>
        </w:rPr>
        <w:t xml:space="preserve">Greenwashing in the Agri-Food Industry: A Discussion Around EU Policies and the Italian. </w:t>
      </w:r>
      <w:r>
        <w:rPr>
          <w:rFonts w:ascii="Garamond" w:hAnsi="Garamond"/>
          <w:i w:val="1"/>
          <w:iCs w:val="1"/>
          <w:sz w:val="20"/>
          <w:szCs w:val="20"/>
          <w:rtl w:val="0"/>
          <w:lang w:val="it-IT"/>
        </w:rPr>
        <w:t>Food and Humanity</w:t>
      </w:r>
      <w:r>
        <w:rPr>
          <w:rFonts w:ascii="Garamond" w:hAnsi="Garamond"/>
          <w:sz w:val="20"/>
          <w:szCs w:val="20"/>
          <w:rtl w:val="0"/>
          <w:lang w:val="it-IT"/>
        </w:rPr>
        <w:t>, 100528, 1-5.</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Seele, P., &amp; Schultz, M. D. (2022). From greenwashing to machinewashing: A model and future directions derived from reasoning by analogy.</w:t>
      </w:r>
      <w:r>
        <w:rPr>
          <w:rFonts w:ascii="Garamond" w:hAnsi="Garamond" w:hint="default"/>
          <w:sz w:val="20"/>
          <w:szCs w:val="20"/>
          <w:rtl w:val="0"/>
          <w:lang w:val="en-US"/>
        </w:rPr>
        <w:t> </w:t>
      </w:r>
      <w:r>
        <w:rPr>
          <w:rFonts w:ascii="Garamond" w:hAnsi="Garamond"/>
          <w:i w:val="1"/>
          <w:iCs w:val="1"/>
          <w:sz w:val="20"/>
          <w:szCs w:val="20"/>
          <w:rtl w:val="0"/>
          <w:lang w:val="it-IT"/>
        </w:rPr>
        <w:t>Journal of Business Ethics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178</w:t>
      </w:r>
      <w:r>
        <w:rPr>
          <w:rFonts w:ascii="Garamond" w:hAnsi="Garamond"/>
          <w:sz w:val="20"/>
          <w:szCs w:val="20"/>
          <w:rtl w:val="0"/>
          <w:lang w:val="it-IT"/>
        </w:rPr>
        <w:t>(4), 1063-1089.</w:t>
      </w:r>
    </w:p>
    <w:p>
      <w:pPr>
        <w:pStyle w:val="List Paragraph"/>
        <w:widowControl w:val="1"/>
        <w:numPr>
          <w:ilvl w:val="0"/>
          <w:numId w:val="2"/>
        </w:numPr>
        <w:bidi w:val="0"/>
        <w:ind w:right="0"/>
        <w:jc w:val="both"/>
        <w:rPr>
          <w:rFonts w:ascii="Garamond" w:hAnsi="Garamond"/>
          <w:sz w:val="20"/>
          <w:szCs w:val="20"/>
          <w:rtl w:val="0"/>
          <w:lang w:val="en-US"/>
        </w:rPr>
      </w:pPr>
      <w:r>
        <w:rPr>
          <w:rFonts w:ascii="Garamond" w:hAnsi="Garamond"/>
          <w:sz w:val="20"/>
          <w:szCs w:val="20"/>
          <w:rtl w:val="0"/>
          <w:lang w:val="en-US"/>
        </w:rPr>
        <w:t xml:space="preserve">Senadheera, S. S., Gregory, R., Rinklebe, J., Farrukh, M., Rhee, J. H., &amp; Ok, Y. S. (2022). The development of research on environmental, social, and governance (ESG): A bibliometric analysis. </w:t>
      </w:r>
      <w:r>
        <w:rPr>
          <w:rFonts w:ascii="Garamond" w:hAnsi="Garamond"/>
          <w:sz w:val="20"/>
          <w:szCs w:val="20"/>
          <w:rtl w:val="0"/>
          <w:lang w:val="it-IT"/>
        </w:rPr>
        <w:t>Sustainable Environment, 8(1), 2125869, 1-14.</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Senftleben, M. (2024). Protection against unfair competition in the European Union: from divergent national approaches to harmonized rules on search result rankings, influencers and greenwashing.</w:t>
      </w:r>
      <w:r>
        <w:rPr>
          <w:rFonts w:ascii="Garamond" w:hAnsi="Garamond" w:hint="default"/>
          <w:sz w:val="20"/>
          <w:szCs w:val="20"/>
          <w:rtl w:val="0"/>
          <w:lang w:val="en-US"/>
        </w:rPr>
        <w:t> </w:t>
      </w:r>
      <w:r>
        <w:rPr>
          <w:rFonts w:ascii="Garamond" w:hAnsi="Garamond"/>
          <w:i w:val="1"/>
          <w:iCs w:val="1"/>
          <w:sz w:val="20"/>
          <w:szCs w:val="20"/>
          <w:rtl w:val="0"/>
          <w:lang w:val="it-IT"/>
        </w:rPr>
        <w:t>Journal of Intellectual Property Law and Practice</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19</w:t>
      </w:r>
      <w:r>
        <w:rPr>
          <w:rFonts w:ascii="Garamond" w:hAnsi="Garamond"/>
          <w:sz w:val="20"/>
          <w:szCs w:val="20"/>
          <w:rtl w:val="0"/>
          <w:lang w:val="it-IT"/>
        </w:rPr>
        <w:t>(2), 149-161.</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Shi, S., Tse, R., Luo, W., D</w:t>
      </w:r>
      <w:r>
        <w:rPr>
          <w:rFonts w:ascii="Garamond" w:hAnsi="Garamond" w:hint="default"/>
          <w:sz w:val="20"/>
          <w:szCs w:val="20"/>
          <w:rtl w:val="0"/>
          <w:lang w:val="it-IT"/>
        </w:rPr>
        <w:t>’</w:t>
      </w:r>
      <w:r>
        <w:rPr>
          <w:rFonts w:ascii="Garamond" w:hAnsi="Garamond"/>
          <w:sz w:val="20"/>
          <w:szCs w:val="20"/>
          <w:rtl w:val="0"/>
          <w:lang w:val="it-IT"/>
        </w:rPr>
        <w:t xml:space="preserve">Addona, S., &amp; Pau, G. (2022). </w:t>
      </w:r>
      <w:r>
        <w:rPr>
          <w:rFonts w:ascii="Garamond" w:hAnsi="Garamond"/>
          <w:sz w:val="20"/>
          <w:szCs w:val="20"/>
          <w:rtl w:val="0"/>
          <w:lang w:val="en-US"/>
        </w:rPr>
        <w:t>Machine learning-driven credit risk: a systemic review.</w:t>
      </w:r>
      <w:r>
        <w:rPr>
          <w:rFonts w:ascii="Garamond" w:hAnsi="Garamond" w:hint="default"/>
          <w:sz w:val="20"/>
          <w:szCs w:val="20"/>
          <w:rtl w:val="0"/>
          <w:lang w:val="en-US"/>
        </w:rPr>
        <w:t> </w:t>
      </w:r>
      <w:r>
        <w:rPr>
          <w:rFonts w:ascii="Garamond" w:hAnsi="Garamond"/>
          <w:i w:val="1"/>
          <w:iCs w:val="1"/>
          <w:sz w:val="20"/>
          <w:szCs w:val="20"/>
          <w:rtl w:val="0"/>
          <w:lang w:val="it-IT"/>
        </w:rPr>
        <w:t>Neural Computing and Applications</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34</w:t>
      </w:r>
      <w:r>
        <w:rPr>
          <w:rFonts w:ascii="Garamond" w:hAnsi="Garamond"/>
          <w:sz w:val="20"/>
          <w:szCs w:val="20"/>
          <w:rtl w:val="0"/>
          <w:lang w:val="it-IT"/>
        </w:rPr>
        <w:t>(17), 14327-14339.</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Shuang, Q., Lu, J., Wang, S., Callari, D., &amp; Cucari, N. (2024). Exploring the power of informal institutions: How does social trust affect corporate's greenwashing strategy.</w:t>
      </w:r>
      <w:r>
        <w:rPr>
          <w:rFonts w:ascii="Garamond" w:hAnsi="Garamond" w:hint="default"/>
          <w:sz w:val="20"/>
          <w:szCs w:val="20"/>
          <w:rtl w:val="0"/>
          <w:lang w:val="en-US"/>
        </w:rPr>
        <w:t> </w:t>
      </w:r>
      <w:r>
        <w:rPr>
          <w:rFonts w:ascii="Garamond" w:hAnsi="Garamond"/>
          <w:i w:val="1"/>
          <w:iCs w:val="1"/>
          <w:sz w:val="20"/>
          <w:szCs w:val="20"/>
          <w:rtl w:val="0"/>
          <w:lang w:val="it-IT"/>
        </w:rPr>
        <w:t>Business Strategy and the Environment</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33</w:t>
      </w:r>
      <w:r>
        <w:rPr>
          <w:rFonts w:ascii="Garamond" w:hAnsi="Garamond"/>
          <w:sz w:val="20"/>
          <w:szCs w:val="20"/>
          <w:rtl w:val="0"/>
          <w:lang w:val="it-IT"/>
        </w:rPr>
        <w:t>(8), 9098-9115.</w:t>
      </w:r>
    </w:p>
    <w:p>
      <w:pPr>
        <w:pStyle w:val="List Paragraph"/>
        <w:numPr>
          <w:ilvl w:val="0"/>
          <w:numId w:val="2"/>
        </w:numPr>
        <w:bidi w:val="0"/>
        <w:spacing w:line="276" w:lineRule="auto"/>
        <w:ind w:right="177"/>
        <w:jc w:val="both"/>
        <w:rPr>
          <w:rFonts w:ascii="Garamond" w:hAnsi="Garamond"/>
          <w:sz w:val="20"/>
          <w:szCs w:val="20"/>
          <w:rtl w:val="0"/>
          <w:lang w:val="it-IT"/>
        </w:rPr>
      </w:pPr>
      <w:r>
        <w:rPr>
          <w:rFonts w:ascii="Garamond" w:hAnsi="Garamond"/>
          <w:sz w:val="20"/>
          <w:szCs w:val="20"/>
          <w:rtl w:val="0"/>
          <w:lang w:val="it-IT"/>
        </w:rPr>
        <w:t xml:space="preserve">Shvyreva, O. I., &amp; Petukh, A. V. (2018). </w:t>
      </w:r>
      <w:r>
        <w:rPr>
          <w:rFonts w:ascii="Garamond" w:hAnsi="Garamond"/>
          <w:sz w:val="20"/>
          <w:szCs w:val="20"/>
          <w:rtl w:val="0"/>
          <w:lang w:val="en-US"/>
        </w:rPr>
        <w:t>Methodology for determining materiality in audit and applying it when assessing detected misstatements.</w:t>
      </w:r>
      <w:r>
        <w:rPr>
          <w:rFonts w:ascii="Garamond" w:hAnsi="Garamond" w:hint="default"/>
          <w:sz w:val="20"/>
          <w:szCs w:val="20"/>
          <w:rtl w:val="0"/>
          <w:lang w:val="en-US"/>
        </w:rPr>
        <w:t> </w:t>
      </w:r>
      <w:r>
        <w:rPr>
          <w:rFonts w:ascii="Garamond" w:hAnsi="Garamond"/>
          <w:i w:val="1"/>
          <w:iCs w:val="1"/>
          <w:sz w:val="20"/>
          <w:szCs w:val="20"/>
          <w:rtl w:val="0"/>
          <w:lang w:val="en-US"/>
        </w:rPr>
        <w:t>Journal of Applied Economic Sciences</w:t>
      </w:r>
      <w:r>
        <w:rPr>
          <w:rFonts w:ascii="Garamond" w:hAnsi="Garamond"/>
          <w:sz w:val="20"/>
          <w:szCs w:val="20"/>
          <w:rtl w:val="0"/>
          <w:lang w:val="en-US"/>
        </w:rPr>
        <w:t>,</w:t>
      </w:r>
      <w:r>
        <w:rPr>
          <w:rFonts w:ascii="Garamond" w:hAnsi="Garamond" w:hint="default"/>
          <w:sz w:val="20"/>
          <w:szCs w:val="20"/>
          <w:rtl w:val="0"/>
          <w:lang w:val="en-US"/>
        </w:rPr>
        <w:t> </w:t>
      </w:r>
      <w:r>
        <w:rPr>
          <w:rFonts w:ascii="Garamond" w:hAnsi="Garamond"/>
          <w:i w:val="1"/>
          <w:iCs w:val="1"/>
          <w:sz w:val="20"/>
          <w:szCs w:val="20"/>
          <w:rtl w:val="0"/>
          <w:lang w:val="en-US"/>
        </w:rPr>
        <w:t>13</w:t>
      </w:r>
      <w:r>
        <w:rPr>
          <w:rFonts w:ascii="Garamond" w:hAnsi="Garamond"/>
          <w:sz w:val="20"/>
          <w:szCs w:val="20"/>
          <w:rtl w:val="0"/>
          <w:lang w:val="en-US"/>
        </w:rPr>
        <w:t>(5), 1260-1267.</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Sielker, F., Rauhut, D., &amp; Humer, A. (2021). EU Cohesion Policy and European spatial governance: An introduction to territorial, economic and social challenges. In</w:t>
      </w:r>
      <w:r>
        <w:rPr>
          <w:rFonts w:ascii="Garamond" w:hAnsi="Garamond" w:hint="default"/>
          <w:sz w:val="20"/>
          <w:szCs w:val="20"/>
          <w:rtl w:val="0"/>
          <w:lang w:val="en-US"/>
        </w:rPr>
        <w:t> </w:t>
      </w:r>
      <w:r>
        <w:rPr>
          <w:rFonts w:ascii="Garamond" w:hAnsi="Garamond"/>
          <w:sz w:val="20"/>
          <w:szCs w:val="20"/>
          <w:rtl w:val="0"/>
          <w:lang w:val="en-US"/>
        </w:rPr>
        <w:t xml:space="preserve">Rauhut, D., Sielker, F., &amp; Humer, A. (Eds.) </w:t>
      </w:r>
      <w:r>
        <w:rPr>
          <w:rFonts w:ascii="Garamond" w:hAnsi="Garamond"/>
          <w:i w:val="1"/>
          <w:iCs w:val="1"/>
          <w:sz w:val="20"/>
          <w:szCs w:val="20"/>
          <w:rtl w:val="0"/>
          <w:lang w:val="en-US"/>
        </w:rPr>
        <w:t>EU Cohesion Policy and Spatial Governance</w:t>
      </w:r>
      <w:r>
        <w:rPr>
          <w:rFonts w:ascii="Garamond" w:hAnsi="Garamond" w:hint="default"/>
          <w:sz w:val="20"/>
          <w:szCs w:val="20"/>
          <w:rtl w:val="0"/>
          <w:lang w:val="en-US"/>
        </w:rPr>
        <w:t> </w:t>
      </w:r>
      <w:r>
        <w:rPr>
          <w:rFonts w:ascii="Garamond" w:hAnsi="Garamond"/>
          <w:sz w:val="20"/>
          <w:szCs w:val="20"/>
          <w:rtl w:val="0"/>
          <w:lang w:val="en-US"/>
        </w:rPr>
        <w:t>(pp. 1-16). Edward Elgar Publishing.</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Singh, S. U., &amp; Namin, A. S. (2025). A survey on chatbots and large language models: Testing and evaluation techniques.</w:t>
      </w:r>
      <w:r>
        <w:rPr>
          <w:rFonts w:ascii="Garamond" w:hAnsi="Garamond" w:hint="default"/>
          <w:sz w:val="20"/>
          <w:szCs w:val="20"/>
          <w:rtl w:val="0"/>
          <w:lang w:val="en-US"/>
        </w:rPr>
        <w:t> </w:t>
      </w:r>
      <w:r>
        <w:rPr>
          <w:rFonts w:ascii="Garamond" w:hAnsi="Garamond"/>
          <w:i w:val="1"/>
          <w:iCs w:val="1"/>
          <w:sz w:val="20"/>
          <w:szCs w:val="20"/>
          <w:rtl w:val="0"/>
          <w:lang w:val="it-IT"/>
        </w:rPr>
        <w:t>Natural Language Processing Journal</w:t>
      </w:r>
      <w:r>
        <w:rPr>
          <w:rFonts w:ascii="Garamond" w:hAnsi="Garamond"/>
          <w:sz w:val="20"/>
          <w:szCs w:val="20"/>
          <w:rtl w:val="0"/>
          <w:lang w:val="it-IT"/>
        </w:rPr>
        <w:t>, 100128.</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Siri, M., &amp; Zhu, S. (2024</w:t>
      </w:r>
      <w:r>
        <w:rPr>
          <w:rFonts w:ascii="Garamond" w:hAnsi="Garamond"/>
          <w:i w:val="1"/>
          <w:iCs w:val="1"/>
          <w:sz w:val="20"/>
          <w:szCs w:val="20"/>
          <w:rtl w:val="0"/>
          <w:lang w:val="it-IT"/>
        </w:rPr>
        <w:t>). Integrating sustainability in EU corporate governance codes</w:t>
      </w:r>
      <w:r>
        <w:rPr>
          <w:rFonts w:ascii="Garamond" w:hAnsi="Garamond"/>
          <w:sz w:val="20"/>
          <w:szCs w:val="20"/>
          <w:rtl w:val="0"/>
          <w:lang w:val="it-IT"/>
        </w:rPr>
        <w:t>. In</w:t>
      </w:r>
      <w:r>
        <w:rPr>
          <w:rFonts w:ascii="Garamond" w:hAnsi="Garamond" w:hint="default"/>
          <w:sz w:val="20"/>
          <w:szCs w:val="20"/>
          <w:rtl w:val="0"/>
          <w:lang w:val="it-IT"/>
        </w:rPr>
        <w:t> </w:t>
      </w:r>
      <w:r>
        <w:rPr>
          <w:rFonts w:ascii="Garamond" w:hAnsi="Garamond"/>
          <w:sz w:val="20"/>
          <w:szCs w:val="20"/>
          <w:rtl w:val="0"/>
          <w:lang w:val="it-IT"/>
        </w:rPr>
        <w:t>Busch, D., Ferrarini, G., &amp; Gr</w:t>
      </w:r>
      <w:r>
        <w:rPr>
          <w:rFonts w:ascii="Garamond" w:hAnsi="Garamond" w:hint="default"/>
          <w:sz w:val="20"/>
          <w:szCs w:val="20"/>
          <w:rtl w:val="0"/>
          <w:lang w:val="it-IT"/>
        </w:rPr>
        <w:t>ü</w:t>
      </w:r>
      <w:r>
        <w:rPr>
          <w:rFonts w:ascii="Garamond" w:hAnsi="Garamond"/>
          <w:sz w:val="20"/>
          <w:szCs w:val="20"/>
          <w:rtl w:val="0"/>
          <w:lang w:val="it-IT"/>
        </w:rPr>
        <w:t xml:space="preserve">newald, S. N. (Eds.). </w:t>
      </w:r>
      <w:r>
        <w:rPr>
          <w:rFonts w:ascii="Garamond" w:hAnsi="Garamond"/>
          <w:i w:val="1"/>
          <w:iCs w:val="1"/>
          <w:sz w:val="20"/>
          <w:szCs w:val="20"/>
          <w:rtl w:val="0"/>
          <w:lang w:val="en-US"/>
        </w:rPr>
        <w:t>Sustainable Finance in Europe: Corporate Governance, Financial Stability and Financial Markets</w:t>
      </w:r>
      <w:r>
        <w:rPr>
          <w:rFonts w:ascii="Garamond" w:hAnsi="Garamond" w:hint="default"/>
          <w:sz w:val="20"/>
          <w:szCs w:val="20"/>
          <w:rtl w:val="0"/>
          <w:lang w:val="en-US"/>
        </w:rPr>
        <w:t> </w:t>
      </w:r>
      <w:r>
        <w:rPr>
          <w:rFonts w:ascii="Garamond" w:hAnsi="Garamond"/>
          <w:sz w:val="20"/>
          <w:szCs w:val="20"/>
          <w:rtl w:val="0"/>
          <w:lang w:val="en-US"/>
        </w:rPr>
        <w:t xml:space="preserve">(pp. 211-262). </w:t>
      </w:r>
      <w:r>
        <w:rPr>
          <w:rFonts w:ascii="Garamond" w:hAnsi="Garamond"/>
          <w:sz w:val="20"/>
          <w:szCs w:val="20"/>
          <w:rtl w:val="0"/>
          <w:lang w:val="it-IT"/>
        </w:rPr>
        <w:t>Cham: Springer International Publishing.</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 xml:space="preserve">Srivastava, A., Pandiya, B., &amp; Nautiyal, N. S. (2024). </w:t>
      </w:r>
      <w:r>
        <w:rPr>
          <w:rFonts w:ascii="Garamond" w:hAnsi="Garamond"/>
          <w:i w:val="1"/>
          <w:iCs w:val="1"/>
          <w:sz w:val="20"/>
          <w:szCs w:val="20"/>
          <w:rtl w:val="0"/>
          <w:lang w:val="en-US"/>
        </w:rPr>
        <w:t>Application of Artificial Intelligence in Risk Assessment and Mitigation in Banks</w:t>
      </w:r>
      <w:r>
        <w:rPr>
          <w:rFonts w:ascii="Garamond" w:hAnsi="Garamond"/>
          <w:sz w:val="20"/>
          <w:szCs w:val="20"/>
          <w:rtl w:val="0"/>
          <w:lang w:val="en-US"/>
        </w:rPr>
        <w:t>.</w:t>
      </w:r>
      <w:r>
        <w:rPr>
          <w:rFonts w:ascii="Garamond" w:hAnsi="Garamond" w:hint="default"/>
          <w:sz w:val="20"/>
          <w:szCs w:val="20"/>
          <w:rtl w:val="0"/>
          <w:lang w:val="en-US"/>
        </w:rPr>
        <w:t> </w:t>
      </w:r>
      <w:r>
        <w:rPr>
          <w:rFonts w:ascii="Garamond" w:hAnsi="Garamond"/>
          <w:sz w:val="20"/>
          <w:szCs w:val="20"/>
          <w:rtl w:val="0"/>
          <w:lang w:val="en-US"/>
        </w:rPr>
        <w:t xml:space="preserve">In Mishra, A. K., Anand, S., Debnath, N. C., Pokhariyal, P., &amp; Patel, A.  (Eds.). </w:t>
      </w:r>
      <w:r>
        <w:rPr>
          <w:rFonts w:ascii="Garamond" w:hAnsi="Garamond"/>
          <w:i w:val="1"/>
          <w:iCs w:val="1"/>
          <w:sz w:val="20"/>
          <w:szCs w:val="20"/>
          <w:rtl w:val="0"/>
          <w:lang w:val="en-US"/>
        </w:rPr>
        <w:t>Artificial Intelligence for Risk Mitigation in the Financial Industry</w:t>
      </w:r>
      <w:r>
        <w:rPr>
          <w:rFonts w:ascii="Garamond" w:hAnsi="Garamond"/>
          <w:sz w:val="20"/>
          <w:szCs w:val="20"/>
          <w:rtl w:val="0"/>
          <w:lang w:val="en-US"/>
        </w:rPr>
        <w:t xml:space="preserve"> (pp. 27-52). </w:t>
      </w:r>
      <w:r>
        <w:rPr>
          <w:rFonts w:ascii="Garamond" w:hAnsi="Garamond"/>
          <w:sz w:val="20"/>
          <w:szCs w:val="20"/>
          <w:rtl w:val="0"/>
          <w:lang w:val="it-IT"/>
        </w:rPr>
        <w:t>Scrivener Publishing LLC.</w:t>
      </w:r>
    </w:p>
    <w:p>
      <w:pPr>
        <w:pStyle w:val="List Paragraph"/>
        <w:widowControl w:val="1"/>
        <w:numPr>
          <w:ilvl w:val="0"/>
          <w:numId w:val="2"/>
        </w:numPr>
        <w:bidi w:val="0"/>
        <w:spacing w:line="276" w:lineRule="auto"/>
        <w:ind w:right="0"/>
        <w:jc w:val="both"/>
        <w:rPr>
          <w:rFonts w:ascii="Garamond" w:hAnsi="Garamond"/>
          <w:sz w:val="20"/>
          <w:szCs w:val="20"/>
          <w:rtl w:val="0"/>
          <w:lang w:val="fr-FR"/>
        </w:rPr>
      </w:pPr>
      <w:r>
        <w:rPr>
          <w:rFonts w:ascii="Garamond" w:hAnsi="Garamond"/>
          <w:sz w:val="20"/>
          <w:szCs w:val="20"/>
          <w:rtl w:val="0"/>
          <w:lang w:val="fr-FR"/>
        </w:rPr>
        <w:t>Steuer, S., &amp; Tr</w:t>
      </w:r>
      <w:r>
        <w:rPr>
          <w:rFonts w:ascii="Garamond" w:hAnsi="Garamond" w:hint="default"/>
          <w:sz w:val="20"/>
          <w:szCs w:val="20"/>
          <w:rtl w:val="0"/>
          <w:lang w:val="fr-FR"/>
        </w:rPr>
        <w:t>ö</w:t>
      </w:r>
      <w:r>
        <w:rPr>
          <w:rFonts w:ascii="Garamond" w:hAnsi="Garamond"/>
          <w:sz w:val="20"/>
          <w:szCs w:val="20"/>
          <w:rtl w:val="0"/>
          <w:lang w:val="fr-FR"/>
        </w:rPr>
        <w:t xml:space="preserve">ger, T. H. (2022). </w:t>
      </w:r>
      <w:r>
        <w:rPr>
          <w:rFonts w:ascii="Garamond" w:hAnsi="Garamond"/>
          <w:sz w:val="20"/>
          <w:szCs w:val="20"/>
          <w:rtl w:val="0"/>
          <w:lang w:val="en-US"/>
        </w:rPr>
        <w:t>The role of disclosure in green finance.</w:t>
      </w:r>
      <w:r>
        <w:rPr>
          <w:rFonts w:ascii="Garamond" w:hAnsi="Garamond" w:hint="default"/>
          <w:sz w:val="20"/>
          <w:szCs w:val="20"/>
          <w:rtl w:val="0"/>
          <w:lang w:val="en-US"/>
        </w:rPr>
        <w:t> </w:t>
      </w:r>
      <w:r>
        <w:rPr>
          <w:rFonts w:ascii="Garamond" w:hAnsi="Garamond"/>
          <w:i w:val="1"/>
          <w:iCs w:val="1"/>
          <w:sz w:val="20"/>
          <w:szCs w:val="20"/>
          <w:rtl w:val="0"/>
          <w:lang w:val="it-IT"/>
        </w:rPr>
        <w:t>Journal of Financial Regulation</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8</w:t>
      </w:r>
      <w:r>
        <w:rPr>
          <w:rFonts w:ascii="Garamond" w:hAnsi="Garamond"/>
          <w:sz w:val="20"/>
          <w:szCs w:val="20"/>
          <w:rtl w:val="0"/>
          <w:lang w:val="it-IT"/>
        </w:rPr>
        <w:t>(1), 1-50.</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Surampudi, Y. (2024).</w:t>
      </w:r>
      <w:r>
        <w:rPr>
          <w:rFonts w:ascii="Garamond" w:hAnsi="Garamond" w:hint="default"/>
          <w:sz w:val="20"/>
          <w:szCs w:val="20"/>
          <w:rtl w:val="0"/>
          <w:lang w:val="en-US"/>
        </w:rPr>
        <w:t> </w:t>
      </w:r>
      <w:r>
        <w:rPr>
          <w:rFonts w:ascii="Garamond" w:hAnsi="Garamond"/>
          <w:i w:val="1"/>
          <w:iCs w:val="1"/>
          <w:sz w:val="20"/>
          <w:szCs w:val="20"/>
          <w:rtl w:val="0"/>
          <w:lang w:val="en-US"/>
        </w:rPr>
        <w:t>Big Data Meets LLMs: A New Era of Incident Monitoring</w:t>
      </w:r>
      <w:r>
        <w:rPr>
          <w:rFonts w:ascii="Garamond" w:hAnsi="Garamond"/>
          <w:sz w:val="20"/>
          <w:szCs w:val="20"/>
          <w:rtl w:val="0"/>
          <w:lang w:val="en-US"/>
        </w:rPr>
        <w:t xml:space="preserve">. </w:t>
      </w:r>
      <w:r>
        <w:rPr>
          <w:rFonts w:ascii="Garamond" w:hAnsi="Garamond"/>
          <w:sz w:val="20"/>
          <w:szCs w:val="20"/>
          <w:rtl w:val="0"/>
          <w:lang w:val="it-IT"/>
        </w:rPr>
        <w:t>Libertatem Media Private Limited.</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Teichmann, F. M. J., Wittmann, C., &amp; Sergi, B. S. S. (2023). What are the consequences of corporate greenwashing? A look into the consequences of greenwashing in consumer and financial markets.</w:t>
      </w:r>
      <w:r>
        <w:rPr>
          <w:rFonts w:ascii="Garamond" w:hAnsi="Garamond" w:hint="default"/>
          <w:sz w:val="20"/>
          <w:szCs w:val="20"/>
          <w:rtl w:val="0"/>
          <w:lang w:val="en-US"/>
        </w:rPr>
        <w:t> </w:t>
      </w:r>
      <w:r>
        <w:rPr>
          <w:rFonts w:ascii="Garamond" w:hAnsi="Garamond"/>
          <w:i w:val="1"/>
          <w:iCs w:val="1"/>
          <w:sz w:val="20"/>
          <w:szCs w:val="20"/>
          <w:rtl w:val="0"/>
          <w:lang w:val="it-IT"/>
        </w:rPr>
        <w:t>Journal of Information, Communication and Ethics in Society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21</w:t>
      </w:r>
      <w:r>
        <w:rPr>
          <w:rFonts w:ascii="Garamond" w:hAnsi="Garamond"/>
          <w:sz w:val="20"/>
          <w:szCs w:val="20"/>
          <w:rtl w:val="0"/>
          <w:lang w:val="it-IT"/>
        </w:rPr>
        <w:t>(3), 290-301.</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Terzidou, K. (2025). Generative AI systems in legal practice offering quality legal services while upholding legal ethics</w:t>
      </w:r>
      <w:r>
        <w:rPr>
          <w:rFonts w:ascii="Garamond" w:hAnsi="Garamond"/>
          <w:i w:val="1"/>
          <w:iCs w:val="1"/>
          <w:sz w:val="20"/>
          <w:szCs w:val="20"/>
          <w:rtl w:val="0"/>
          <w:lang w:val="en-US"/>
        </w:rPr>
        <w:t xml:space="preserve">. </w:t>
      </w:r>
      <w:r>
        <w:rPr>
          <w:rFonts w:ascii="Garamond" w:hAnsi="Garamond"/>
          <w:i w:val="1"/>
          <w:iCs w:val="1"/>
          <w:sz w:val="20"/>
          <w:szCs w:val="20"/>
          <w:rtl w:val="0"/>
          <w:lang w:val="it-IT"/>
        </w:rPr>
        <w:t>International Journal of Law in Context</w:t>
      </w:r>
      <w:r>
        <w:rPr>
          <w:rFonts w:ascii="Garamond" w:hAnsi="Garamond"/>
          <w:sz w:val="20"/>
          <w:szCs w:val="20"/>
          <w:rtl w:val="0"/>
          <w:lang w:val="it-IT"/>
        </w:rPr>
        <w:t>, 1-22.</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 xml:space="preserve">Torelli, R., Balluchi, F., &amp; Lazzini, A. (2020). </w:t>
      </w:r>
      <w:r>
        <w:rPr>
          <w:rFonts w:ascii="Garamond" w:hAnsi="Garamond"/>
          <w:sz w:val="20"/>
          <w:szCs w:val="20"/>
          <w:rtl w:val="0"/>
          <w:lang w:val="en-US"/>
        </w:rPr>
        <w:t>Greenwashing and environmental communication: Effects on stakeholders' perceptions.</w:t>
      </w:r>
      <w:r>
        <w:rPr>
          <w:rFonts w:ascii="Garamond" w:hAnsi="Garamond" w:hint="default"/>
          <w:sz w:val="20"/>
          <w:szCs w:val="20"/>
          <w:rtl w:val="0"/>
          <w:lang w:val="en-US"/>
        </w:rPr>
        <w:t> </w:t>
      </w:r>
      <w:r>
        <w:rPr>
          <w:rFonts w:ascii="Garamond" w:hAnsi="Garamond"/>
          <w:i w:val="1"/>
          <w:iCs w:val="1"/>
          <w:sz w:val="20"/>
          <w:szCs w:val="20"/>
          <w:rtl w:val="0"/>
          <w:lang w:val="it-IT"/>
        </w:rPr>
        <w:t>Business strategy and the Environment</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29</w:t>
      </w:r>
      <w:r>
        <w:rPr>
          <w:rFonts w:ascii="Garamond" w:hAnsi="Garamond"/>
          <w:sz w:val="20"/>
          <w:szCs w:val="20"/>
          <w:rtl w:val="0"/>
          <w:lang w:val="it-IT"/>
        </w:rPr>
        <w:t>(2), 407-421.</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Utz, S. (2019). Corporate scandals and the reliability of ESG assessments: Evidence from an international sample. </w:t>
      </w:r>
      <w:r>
        <w:rPr>
          <w:rFonts w:ascii="Garamond" w:hAnsi="Garamond"/>
          <w:i w:val="1"/>
          <w:iCs w:val="1"/>
          <w:sz w:val="20"/>
          <w:szCs w:val="20"/>
          <w:rtl w:val="0"/>
          <w:lang w:val="it-IT"/>
        </w:rPr>
        <w:t>Review of Managerial Science</w:t>
      </w:r>
      <w:r>
        <w:rPr>
          <w:rFonts w:ascii="Garamond" w:hAnsi="Garamond"/>
          <w:sz w:val="20"/>
          <w:szCs w:val="20"/>
          <w:rtl w:val="0"/>
          <w:lang w:val="it-IT"/>
        </w:rPr>
        <w:t>, 13, 483-511.</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Van der Ven, H. (2019).</w:t>
      </w:r>
      <w:r>
        <w:rPr>
          <w:rFonts w:ascii="Garamond" w:hAnsi="Garamond" w:hint="default"/>
          <w:sz w:val="20"/>
          <w:szCs w:val="20"/>
          <w:rtl w:val="0"/>
          <w:lang w:val="en-US"/>
        </w:rPr>
        <w:t> </w:t>
      </w:r>
      <w:r>
        <w:rPr>
          <w:rFonts w:ascii="Garamond" w:hAnsi="Garamond"/>
          <w:i w:val="1"/>
          <w:iCs w:val="1"/>
          <w:sz w:val="20"/>
          <w:szCs w:val="20"/>
          <w:rtl w:val="0"/>
          <w:lang w:val="en-US"/>
        </w:rPr>
        <w:t>Beyond greenwash: Explaining credibility in transnational eco-labeling</w:t>
      </w:r>
      <w:r>
        <w:rPr>
          <w:rFonts w:ascii="Garamond" w:hAnsi="Garamond"/>
          <w:sz w:val="20"/>
          <w:szCs w:val="20"/>
          <w:rtl w:val="0"/>
          <w:lang w:val="en-US"/>
        </w:rPr>
        <w:t xml:space="preserve">. </w:t>
      </w:r>
      <w:r>
        <w:rPr>
          <w:rFonts w:ascii="Garamond" w:hAnsi="Garamond"/>
          <w:sz w:val="20"/>
          <w:szCs w:val="20"/>
          <w:rtl w:val="0"/>
          <w:lang w:val="it-IT"/>
        </w:rPr>
        <w:t>Oxford University Press.</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van Oostrum, C. (2021). Sustainability through transparency and definitions: A few thoughts on Regulation (EU) 2019/2088 and Regulation (EU) 2020/852.</w:t>
      </w:r>
      <w:r>
        <w:rPr>
          <w:rFonts w:ascii="Garamond" w:hAnsi="Garamond" w:hint="default"/>
          <w:sz w:val="20"/>
          <w:szCs w:val="20"/>
          <w:rtl w:val="0"/>
          <w:lang w:val="en-US"/>
        </w:rPr>
        <w:t> </w:t>
      </w:r>
      <w:r>
        <w:rPr>
          <w:rFonts w:ascii="Garamond" w:hAnsi="Garamond"/>
          <w:i w:val="1"/>
          <w:iCs w:val="1"/>
          <w:sz w:val="20"/>
          <w:szCs w:val="20"/>
          <w:rtl w:val="0"/>
          <w:lang w:val="it-IT"/>
        </w:rPr>
        <w:t>European company law</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18</w:t>
      </w:r>
      <w:r>
        <w:rPr>
          <w:rFonts w:ascii="Garamond" w:hAnsi="Garamond"/>
          <w:sz w:val="20"/>
          <w:szCs w:val="20"/>
          <w:rtl w:val="0"/>
          <w:lang w:val="it-IT"/>
        </w:rPr>
        <w:t>(1), 15-21.</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Veeramachaneni, V. (2025). Large Language Models: A Comprehensive Survey on Architectures, Applications, and Challenges.</w:t>
      </w:r>
      <w:r>
        <w:rPr>
          <w:rFonts w:ascii="Garamond" w:hAnsi="Garamond" w:hint="default"/>
          <w:sz w:val="20"/>
          <w:szCs w:val="20"/>
          <w:rtl w:val="0"/>
          <w:lang w:val="en-US"/>
        </w:rPr>
        <w:t> </w:t>
      </w:r>
      <w:r>
        <w:rPr>
          <w:rFonts w:ascii="Garamond" w:hAnsi="Garamond"/>
          <w:i w:val="1"/>
          <w:iCs w:val="1"/>
          <w:sz w:val="20"/>
          <w:szCs w:val="20"/>
          <w:rtl w:val="0"/>
          <w:lang w:val="en-US"/>
        </w:rPr>
        <w:t>Advanced Innovations in Computer Programming Languages</w:t>
      </w:r>
      <w:r>
        <w:rPr>
          <w:rFonts w:ascii="Garamond" w:hAnsi="Garamond"/>
          <w:sz w:val="20"/>
          <w:szCs w:val="20"/>
          <w:rtl w:val="0"/>
          <w:lang w:val="en-US"/>
        </w:rPr>
        <w:t>,</w:t>
      </w:r>
      <w:r>
        <w:rPr>
          <w:rFonts w:ascii="Garamond" w:hAnsi="Garamond" w:hint="default"/>
          <w:sz w:val="20"/>
          <w:szCs w:val="20"/>
          <w:rtl w:val="0"/>
          <w:lang w:val="en-US"/>
        </w:rPr>
        <w:t> </w:t>
      </w:r>
      <w:r>
        <w:rPr>
          <w:rFonts w:ascii="Garamond" w:hAnsi="Garamond"/>
          <w:i w:val="1"/>
          <w:iCs w:val="1"/>
          <w:sz w:val="20"/>
          <w:szCs w:val="20"/>
          <w:rtl w:val="0"/>
          <w:lang w:val="en-US"/>
        </w:rPr>
        <w:t>7</w:t>
      </w:r>
      <w:r>
        <w:rPr>
          <w:rFonts w:ascii="Garamond" w:hAnsi="Garamond"/>
          <w:sz w:val="20"/>
          <w:szCs w:val="20"/>
          <w:rtl w:val="0"/>
          <w:lang w:val="en-US"/>
        </w:rPr>
        <w:t>(1), 20-39.</w:t>
      </w:r>
    </w:p>
    <w:p>
      <w:pPr>
        <w:pStyle w:val="List Paragraph"/>
        <w:widowControl w:val="1"/>
        <w:numPr>
          <w:ilvl w:val="0"/>
          <w:numId w:val="2"/>
        </w:numPr>
        <w:bidi w:val="0"/>
        <w:spacing w:line="276" w:lineRule="auto"/>
        <w:ind w:right="0"/>
        <w:jc w:val="both"/>
        <w:rPr>
          <w:rFonts w:ascii="Garamond" w:hAnsi="Garamond"/>
          <w:sz w:val="20"/>
          <w:szCs w:val="20"/>
          <w:rtl w:val="0"/>
          <w:lang w:val="fr-FR"/>
        </w:rPr>
      </w:pPr>
      <w:r>
        <w:rPr>
          <w:rFonts w:ascii="Garamond" w:hAnsi="Garamond"/>
          <w:sz w:val="20"/>
          <w:szCs w:val="20"/>
          <w:rtl w:val="0"/>
          <w:lang w:val="fr-FR"/>
        </w:rPr>
        <w:t xml:space="preserve">Vigneau, L., &amp; Adams, C. A. (2023). </w:t>
      </w:r>
      <w:r>
        <w:rPr>
          <w:rFonts w:ascii="Garamond" w:hAnsi="Garamond"/>
          <w:sz w:val="20"/>
          <w:szCs w:val="20"/>
          <w:rtl w:val="0"/>
          <w:lang w:val="en-US"/>
        </w:rPr>
        <w:t>The failure of transparency as self-regulation.</w:t>
      </w:r>
      <w:r>
        <w:rPr>
          <w:rFonts w:ascii="Garamond" w:hAnsi="Garamond" w:hint="default"/>
          <w:sz w:val="20"/>
          <w:szCs w:val="20"/>
          <w:rtl w:val="0"/>
          <w:lang w:val="en-US"/>
        </w:rPr>
        <w:t> </w:t>
      </w:r>
      <w:r>
        <w:rPr>
          <w:rFonts w:ascii="Garamond" w:hAnsi="Garamond"/>
          <w:i w:val="1"/>
          <w:iCs w:val="1"/>
          <w:sz w:val="20"/>
          <w:szCs w:val="20"/>
          <w:rtl w:val="0"/>
          <w:lang w:val="it-IT"/>
        </w:rPr>
        <w:t>Sustainability Accounting, Management and Policy Journal</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14</w:t>
      </w:r>
      <w:r>
        <w:rPr>
          <w:rFonts w:ascii="Garamond" w:hAnsi="Garamond"/>
          <w:sz w:val="20"/>
          <w:szCs w:val="20"/>
          <w:rtl w:val="0"/>
          <w:lang w:val="it-IT"/>
        </w:rPr>
        <w:t>(4), 852-876.</w:t>
      </w:r>
    </w:p>
    <w:p>
      <w:pPr>
        <w:pStyle w:val="List Paragraph"/>
        <w:widowControl w:val="1"/>
        <w:numPr>
          <w:ilvl w:val="0"/>
          <w:numId w:val="2"/>
        </w:numPr>
        <w:bidi w:val="0"/>
        <w:spacing w:line="276" w:lineRule="auto"/>
        <w:ind w:right="0"/>
        <w:jc w:val="both"/>
        <w:rPr>
          <w:rFonts w:ascii="Garamond" w:hAnsi="Garamond"/>
          <w:sz w:val="20"/>
          <w:szCs w:val="20"/>
          <w:rtl w:val="0"/>
          <w:lang w:val="it-IT"/>
        </w:rPr>
      </w:pPr>
      <w:r>
        <w:rPr>
          <w:rFonts w:ascii="Garamond" w:hAnsi="Garamond"/>
          <w:sz w:val="20"/>
          <w:szCs w:val="20"/>
          <w:rtl w:val="0"/>
          <w:lang w:val="it-IT"/>
        </w:rPr>
        <w:t>Villacampa-Porta, J., Coronado-Vaca, M., &amp; Garrido-Merch</w:t>
      </w:r>
      <w:r>
        <w:rPr>
          <w:rFonts w:ascii="Garamond" w:hAnsi="Garamond" w:hint="default"/>
          <w:sz w:val="20"/>
          <w:szCs w:val="20"/>
          <w:rtl w:val="0"/>
          <w:lang w:val="it-IT"/>
        </w:rPr>
        <w:t>á</w:t>
      </w:r>
      <w:r>
        <w:rPr>
          <w:rFonts w:ascii="Garamond" w:hAnsi="Garamond"/>
          <w:sz w:val="20"/>
          <w:szCs w:val="20"/>
          <w:rtl w:val="0"/>
          <w:lang w:val="it-IT"/>
        </w:rPr>
        <w:t xml:space="preserve">n, E. C. (2025). </w:t>
      </w:r>
      <w:r>
        <w:rPr>
          <w:rFonts w:ascii="Garamond" w:hAnsi="Garamond"/>
          <w:sz w:val="20"/>
          <w:szCs w:val="20"/>
          <w:rtl w:val="0"/>
          <w:lang w:val="en-US"/>
        </w:rPr>
        <w:t>Impact of EU non-financial reporting regulation on Spanish companies</w:t>
      </w:r>
      <w:r>
        <w:rPr>
          <w:rFonts w:ascii="Garamond" w:hAnsi="Garamond" w:hint="default"/>
          <w:sz w:val="20"/>
          <w:szCs w:val="20"/>
          <w:rtl w:val="0"/>
          <w:lang w:val="en-US"/>
        </w:rPr>
        <w:t xml:space="preserve">’ </w:t>
      </w:r>
      <w:r>
        <w:rPr>
          <w:rFonts w:ascii="Garamond" w:hAnsi="Garamond"/>
          <w:sz w:val="20"/>
          <w:szCs w:val="20"/>
          <w:rtl w:val="0"/>
          <w:lang w:val="en-US"/>
        </w:rPr>
        <w:t>environmental disclosure: a cutting-edge natural language processing approach.</w:t>
      </w:r>
      <w:r>
        <w:rPr>
          <w:rFonts w:ascii="Garamond" w:hAnsi="Garamond" w:hint="default"/>
          <w:sz w:val="20"/>
          <w:szCs w:val="20"/>
          <w:rtl w:val="0"/>
          <w:lang w:val="en-US"/>
        </w:rPr>
        <w:t> </w:t>
      </w:r>
      <w:r>
        <w:rPr>
          <w:rFonts w:ascii="Garamond" w:hAnsi="Garamond"/>
          <w:i w:val="1"/>
          <w:iCs w:val="1"/>
          <w:sz w:val="20"/>
          <w:szCs w:val="20"/>
          <w:rtl w:val="0"/>
          <w:lang w:val="it-IT"/>
        </w:rPr>
        <w:t>Environmental Sciences Europe</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37</w:t>
      </w:r>
      <w:r>
        <w:rPr>
          <w:rFonts w:ascii="Garamond" w:hAnsi="Garamond"/>
          <w:sz w:val="20"/>
          <w:szCs w:val="20"/>
          <w:rtl w:val="0"/>
          <w:lang w:val="it-IT"/>
        </w:rPr>
        <w:t>(1), 1-33.</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Villiers, C. (2022). New directions in the European Union</w:t>
      </w:r>
      <w:r>
        <w:rPr>
          <w:rFonts w:ascii="Garamond" w:hAnsi="Garamond" w:hint="default"/>
          <w:sz w:val="20"/>
          <w:szCs w:val="20"/>
          <w:rtl w:val="0"/>
          <w:lang w:val="en-US"/>
        </w:rPr>
        <w:t>’</w:t>
      </w:r>
      <w:r>
        <w:rPr>
          <w:rFonts w:ascii="Garamond" w:hAnsi="Garamond"/>
          <w:sz w:val="20"/>
          <w:szCs w:val="20"/>
          <w:rtl w:val="0"/>
          <w:lang w:val="en-US"/>
        </w:rPr>
        <w:t>s regulatory framework for corporate reporting, due diligence and accountability: the challenge of complexity.</w:t>
      </w:r>
      <w:r>
        <w:rPr>
          <w:rFonts w:ascii="Garamond" w:hAnsi="Garamond" w:hint="default"/>
          <w:sz w:val="20"/>
          <w:szCs w:val="20"/>
          <w:rtl w:val="0"/>
          <w:lang w:val="en-US"/>
        </w:rPr>
        <w:t> </w:t>
      </w:r>
      <w:r>
        <w:rPr>
          <w:rFonts w:ascii="Garamond" w:hAnsi="Garamond"/>
          <w:i w:val="1"/>
          <w:iCs w:val="1"/>
          <w:sz w:val="20"/>
          <w:szCs w:val="20"/>
          <w:rtl w:val="0"/>
          <w:lang w:val="it-IT"/>
        </w:rPr>
        <w:t>European Journal of Risk Regulation</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13</w:t>
      </w:r>
      <w:r>
        <w:rPr>
          <w:rFonts w:ascii="Garamond" w:hAnsi="Garamond"/>
          <w:sz w:val="20"/>
          <w:szCs w:val="20"/>
          <w:rtl w:val="0"/>
          <w:lang w:val="it-IT"/>
        </w:rPr>
        <w:t>(4), 548-566.</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Wang, W., Dong, Y., Huang, X., Sun, X., &amp; Ma, D. (2025). Governance of greenwashing in product circulation: from the perspective of commercial bribery.</w:t>
      </w:r>
      <w:r>
        <w:rPr>
          <w:rFonts w:ascii="Garamond" w:hAnsi="Garamond" w:hint="default"/>
          <w:sz w:val="20"/>
          <w:szCs w:val="20"/>
          <w:rtl w:val="0"/>
          <w:lang w:val="en-US"/>
        </w:rPr>
        <w:t> </w:t>
      </w:r>
      <w:r>
        <w:rPr>
          <w:rFonts w:ascii="Garamond" w:hAnsi="Garamond"/>
          <w:i w:val="1"/>
          <w:iCs w:val="1"/>
          <w:sz w:val="20"/>
          <w:szCs w:val="20"/>
          <w:rtl w:val="0"/>
          <w:lang w:val="it-IT"/>
        </w:rPr>
        <w:t>Annals of Operations Research</w:t>
      </w:r>
      <w:r>
        <w:rPr>
          <w:rFonts w:ascii="Garamond" w:hAnsi="Garamond"/>
          <w:sz w:val="20"/>
          <w:szCs w:val="20"/>
          <w:rtl w:val="0"/>
          <w:lang w:val="it-IT"/>
        </w:rPr>
        <w:t>, 1-30.</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Wang, X., Zhao, M., &amp; Cheng, L. (2025). Lies behind the green: can business strategy lead to greenwashing?. </w:t>
      </w:r>
      <w:r>
        <w:rPr>
          <w:rFonts w:ascii="Garamond" w:hAnsi="Garamond"/>
          <w:i w:val="1"/>
          <w:iCs w:val="1"/>
          <w:sz w:val="20"/>
          <w:szCs w:val="20"/>
          <w:rtl w:val="0"/>
          <w:lang w:val="it-IT"/>
        </w:rPr>
        <w:t>Business Process Management Journal.</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Weber, F. (2016). </w:t>
      </w:r>
      <w:r>
        <w:rPr>
          <w:rFonts w:ascii="Garamond" w:hAnsi="Garamond"/>
          <w:i w:val="1"/>
          <w:iCs w:val="1"/>
          <w:sz w:val="20"/>
          <w:szCs w:val="20"/>
          <w:rtl w:val="0"/>
          <w:lang w:val="en-US"/>
        </w:rPr>
        <w:t>The law and economics of enforcing European consumer law: A comparative analysis of package travel and misleading advertising</w:t>
      </w:r>
      <w:r>
        <w:rPr>
          <w:rFonts w:ascii="Garamond" w:hAnsi="Garamond"/>
          <w:sz w:val="20"/>
          <w:szCs w:val="20"/>
          <w:rtl w:val="0"/>
          <w:lang w:val="en-US"/>
        </w:rPr>
        <w:t xml:space="preserve">. </w:t>
      </w:r>
      <w:r>
        <w:rPr>
          <w:rFonts w:ascii="Garamond" w:hAnsi="Garamond"/>
          <w:sz w:val="20"/>
          <w:szCs w:val="20"/>
          <w:rtl w:val="0"/>
          <w:lang w:val="it-IT"/>
        </w:rPr>
        <w:t>Routledge.</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Wu, J., Yang, S., Zhan, R., Yuan, Y., Chao, L. S., &amp; Wong, D. F. (2025). A survey on LLM-generated text detection: Necessity, methods, and future directions.</w:t>
      </w:r>
      <w:r>
        <w:rPr>
          <w:rFonts w:ascii="Garamond" w:hAnsi="Garamond" w:hint="default"/>
          <w:sz w:val="20"/>
          <w:szCs w:val="20"/>
          <w:rtl w:val="0"/>
          <w:lang w:val="en-US"/>
        </w:rPr>
        <w:t> </w:t>
      </w:r>
      <w:r>
        <w:rPr>
          <w:rFonts w:ascii="Garamond" w:hAnsi="Garamond"/>
          <w:i w:val="1"/>
          <w:iCs w:val="1"/>
          <w:sz w:val="20"/>
          <w:szCs w:val="20"/>
          <w:rtl w:val="0"/>
          <w:lang w:val="it-IT"/>
        </w:rPr>
        <w:t>Computational Linguistics</w:t>
      </w:r>
      <w:r>
        <w:rPr>
          <w:rFonts w:ascii="Garamond" w:hAnsi="Garamond"/>
          <w:sz w:val="20"/>
          <w:szCs w:val="20"/>
          <w:rtl w:val="0"/>
          <w:lang w:val="it-IT"/>
        </w:rPr>
        <w:t>, 1-66.</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 xml:space="preserve">Xu, M., Tse, Y. K., Geng, R., Liu, Z., &amp; Potter, A. (2025). Greenwashing and market value of firms: An empirical study. </w:t>
      </w:r>
      <w:r>
        <w:rPr>
          <w:rFonts w:ascii="Garamond" w:hAnsi="Garamond"/>
          <w:i w:val="1"/>
          <w:iCs w:val="1"/>
          <w:sz w:val="20"/>
          <w:szCs w:val="20"/>
          <w:rtl w:val="0"/>
          <w:lang w:val="it-IT"/>
        </w:rPr>
        <w:t>International Journal of Production Economics</w:t>
      </w:r>
      <w:r>
        <w:rPr>
          <w:rFonts w:ascii="Garamond" w:hAnsi="Garamond"/>
          <w:sz w:val="20"/>
          <w:szCs w:val="20"/>
          <w:rtl w:val="0"/>
          <w:lang w:val="it-IT"/>
        </w:rPr>
        <w:t>, 284, 109606.</w:t>
      </w:r>
    </w:p>
    <w:p>
      <w:pPr>
        <w:pStyle w:val="List Paragraph"/>
        <w:widowControl w:val="1"/>
        <w:numPr>
          <w:ilvl w:val="0"/>
          <w:numId w:val="2"/>
        </w:numPr>
        <w:bidi w:val="0"/>
        <w:spacing w:line="276" w:lineRule="auto"/>
        <w:ind w:right="0"/>
        <w:jc w:val="both"/>
        <w:rPr>
          <w:rFonts w:ascii="Garamond" w:hAnsi="Garamond"/>
          <w:sz w:val="20"/>
          <w:szCs w:val="20"/>
          <w:rtl w:val="0"/>
          <w:lang w:val="en-US"/>
        </w:rPr>
      </w:pPr>
      <w:r>
        <w:rPr>
          <w:rFonts w:ascii="Garamond" w:hAnsi="Garamond"/>
          <w:sz w:val="20"/>
          <w:szCs w:val="20"/>
          <w:rtl w:val="0"/>
          <w:lang w:val="en-US"/>
        </w:rPr>
        <w:t>Zervoudi, E. K., Moschos, N., &amp; Christopoulos, A. G. (2025). From the corporate social responsibility (CSR) and the environmental, social and governance (ESG) criteria to the greenwashing phenomenon: A comprehensive literature review about the causes, consequences and solutions of the phenomenon with specific case studies.</w:t>
      </w:r>
      <w:r>
        <w:rPr>
          <w:rFonts w:ascii="Garamond" w:hAnsi="Garamond" w:hint="default"/>
          <w:sz w:val="20"/>
          <w:szCs w:val="20"/>
          <w:rtl w:val="0"/>
          <w:lang w:val="en-US"/>
        </w:rPr>
        <w:t> </w:t>
      </w:r>
      <w:r>
        <w:rPr>
          <w:rFonts w:ascii="Garamond" w:hAnsi="Garamond"/>
          <w:i w:val="1"/>
          <w:iCs w:val="1"/>
          <w:sz w:val="20"/>
          <w:szCs w:val="20"/>
          <w:rtl w:val="0"/>
          <w:lang w:val="it-IT"/>
        </w:rPr>
        <w:t>Sustainability</w:t>
      </w:r>
      <w:r>
        <w:rPr>
          <w:rFonts w:ascii="Garamond" w:hAnsi="Garamond"/>
          <w:sz w:val="20"/>
          <w:szCs w:val="20"/>
          <w:rtl w:val="0"/>
          <w:lang w:val="it-IT"/>
        </w:rPr>
        <w:t>,</w:t>
      </w:r>
      <w:r>
        <w:rPr>
          <w:rFonts w:ascii="Garamond" w:hAnsi="Garamond" w:hint="default"/>
          <w:sz w:val="20"/>
          <w:szCs w:val="20"/>
          <w:rtl w:val="0"/>
          <w:lang w:val="it-IT"/>
        </w:rPr>
        <w:t> </w:t>
      </w:r>
      <w:r>
        <w:rPr>
          <w:rFonts w:ascii="Garamond" w:hAnsi="Garamond"/>
          <w:i w:val="1"/>
          <w:iCs w:val="1"/>
          <w:sz w:val="20"/>
          <w:szCs w:val="20"/>
          <w:rtl w:val="0"/>
          <w:lang w:val="it-IT"/>
        </w:rPr>
        <w:t>17</w:t>
      </w:r>
      <w:r>
        <w:rPr>
          <w:rFonts w:ascii="Garamond" w:hAnsi="Garamond"/>
          <w:sz w:val="20"/>
          <w:szCs w:val="20"/>
          <w:rtl w:val="0"/>
          <w:lang w:val="it-IT"/>
        </w:rPr>
        <w:t>(5), 2222.</w:t>
      </w:r>
      <w:r>
        <w:rPr>
          <w:rFonts w:ascii="Garamond" w:cs="Garamond" w:hAnsi="Garamond" w:eastAsia="Garamond"/>
          <w:sz w:val="20"/>
          <w:szCs w:val="20"/>
        </w:rPr>
      </w:r>
    </w:p>
    <w:sectPr>
      <w:headerReference w:type="default" r:id="rId6"/>
      <w:footerReference w:type="default" r:id="rId7"/>
      <w:pgSz w:w="9940" w:h="14180" w:orient="portrait"/>
      <w:pgMar w:top="1040" w:right="1115" w:bottom="981" w:left="1160" w:header="0" w:footer="18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Cambria Math">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rFonts w:ascii="Garamond" w:cs="Garamond" w:hAnsi="Garamond" w:eastAsia="Garamond"/>
          <w:outline w:val="0"/>
          <w:color w:val="231f20"/>
          <w:sz w:val="22"/>
          <w:szCs w:val="22"/>
          <w:u w:color="231f20"/>
          <w:vertAlign w:val="superscript"/>
          <w14:textFill>
            <w14:solidFill>
              <w14:srgbClr w14:val="231F20"/>
            </w14:solidFill>
          </w14:textFill>
        </w:rPr>
        <w:footnoteRef/>
      </w:r>
      <w:r>
        <w:rPr>
          <w:rFonts w:ascii="Garamond" w:hAnsi="Garamond"/>
          <w:sz w:val="18"/>
          <w:szCs w:val="18"/>
          <w:rtl w:val="0"/>
          <w:lang w:val="en-US"/>
        </w:rPr>
        <w:t xml:space="preserve"> See, in particular, art. 1, (2), (b), (d) of the </w:t>
      </w:r>
      <w:r>
        <w:rPr>
          <w:rStyle w:val="Hyperlink.0"/>
        </w:rPr>
        <w:fldChar w:fldCharType="begin" w:fldLock="0"/>
      </w:r>
      <w:r>
        <w:rPr>
          <w:rStyle w:val="Hyperlink.0"/>
        </w:rPr>
        <w:instrText xml:space="preserve"> HYPERLINK "https://eur-lex.europa.eu/eli/dir/2024/825/oj/eng"</w:instrText>
      </w:r>
      <w:r>
        <w:rPr>
          <w:rStyle w:val="Hyperlink.0"/>
        </w:rPr>
        <w:fldChar w:fldCharType="separate" w:fldLock="0"/>
      </w:r>
      <w:r>
        <w:rPr>
          <w:rStyle w:val="Hyperlink.0"/>
          <w:rtl w:val="0"/>
          <w:lang w:val="en-US"/>
        </w:rPr>
        <w:t>Directive (EU) 2024/825 of the European Parliament and of the Council of 28</w:t>
      </w:r>
      <w:r>
        <w:rPr>
          <w:rStyle w:val="Hyperlink.0"/>
          <w:rtl w:val="0"/>
          <w:lang w:val="en-US"/>
        </w:rPr>
        <w:t> </w:t>
      </w:r>
      <w:r>
        <w:rPr>
          <w:rStyle w:val="Hyperlink.0"/>
          <w:rtl w:val="0"/>
          <w:lang w:val="en-US"/>
        </w:rPr>
        <w:t>February 2024 amending Directives</w:t>
      </w:r>
      <w:r>
        <w:rPr>
          <w:rStyle w:val="Hyperlink.0"/>
          <w:rtl w:val="0"/>
          <w:lang w:val="en-US"/>
        </w:rPr>
        <w:t> </w:t>
      </w:r>
      <w:r>
        <w:rPr>
          <w:rStyle w:val="Hyperlink.0"/>
          <w:rtl w:val="0"/>
          <w:lang w:val="en-US"/>
        </w:rPr>
        <w:t>2005/29/EC and</w:t>
      </w:r>
      <w:r>
        <w:rPr>
          <w:rStyle w:val="Hyperlink.0"/>
          <w:rtl w:val="0"/>
          <w:lang w:val="en-US"/>
        </w:rPr>
        <w:t> </w:t>
      </w:r>
      <w:r>
        <w:rPr>
          <w:rStyle w:val="Hyperlink.0"/>
          <w:rtl w:val="0"/>
          <w:lang w:val="en-US"/>
        </w:rPr>
        <w:t>2011/83/EU as regards empowering consumers for the green transition through better protection against unfair practices and through</w:t>
      </w:r>
      <w:r>
        <w:rPr/>
        <w:fldChar w:fldCharType="end" w:fldLock="0"/>
      </w:r>
      <w:r>
        <w:rPr>
          <w:rFonts w:ascii="Garamond" w:hAnsi="Garamond"/>
          <w:sz w:val="18"/>
          <w:szCs w:val="18"/>
          <w:rtl w:val="0"/>
          <w:lang w:val="en-US"/>
        </w:rPr>
        <w:t xml:space="preserve"> (i.e., </w:t>
      </w:r>
      <w:r>
        <w:rPr>
          <w:rFonts w:ascii="Garamond" w:hAnsi="Garamond"/>
          <w:i w:val="1"/>
          <w:iCs w:val="1"/>
          <w:sz w:val="18"/>
          <w:szCs w:val="18"/>
          <w:rtl w:val="0"/>
          <w:lang w:val="en-US"/>
        </w:rPr>
        <w:t>Greenwashing Directive</w:t>
      </w:r>
      <w:r>
        <w:rPr>
          <w:rFonts w:ascii="Garamond" w:hAnsi="Garamond"/>
          <w:sz w:val="18"/>
          <w:szCs w:val="18"/>
          <w:rtl w:val="0"/>
          <w:lang w:val="en-US"/>
        </w:rPr>
        <w:t>).</w:t>
      </w:r>
    </w:p>
  </w:footnote>
  <w:footnote w:id="2">
    <w:p>
      <w:pPr>
        <w:pStyle w:val="footnote text"/>
      </w:pPr>
      <w:r>
        <w:rPr>
          <w:rFonts w:ascii="Garamond" w:cs="Garamond" w:hAnsi="Garamond" w:eastAsia="Garamond"/>
          <w:outline w:val="0"/>
          <w:color w:val="231f20"/>
          <w:sz w:val="22"/>
          <w:szCs w:val="22"/>
          <w:u w:color="231f20"/>
          <w:vertAlign w:val="superscript"/>
          <w14:textFill>
            <w14:solidFill>
              <w14:srgbClr w14:val="231F20"/>
            </w14:solidFill>
          </w14:textFill>
        </w:rPr>
        <w:footnoteRef/>
      </w:r>
      <w:r>
        <w:rPr>
          <w:rFonts w:ascii="Garamond" w:hAnsi="Garamond"/>
          <w:sz w:val="18"/>
          <w:szCs w:val="18"/>
          <w:rtl w:val="0"/>
          <w:lang w:val="en-US"/>
        </w:rPr>
        <w:t xml:space="preserve"> See recital (9) of the </w:t>
      </w:r>
      <w:r>
        <w:rPr>
          <w:rFonts w:ascii="Garamond" w:hAnsi="Garamond"/>
          <w:i w:val="1"/>
          <w:iCs w:val="1"/>
          <w:sz w:val="18"/>
          <w:szCs w:val="18"/>
          <w:rtl w:val="0"/>
          <w:lang w:val="en-US"/>
        </w:rPr>
        <w:t>Greenwashing Directive</w:t>
      </w:r>
      <w:r>
        <w:rPr>
          <w:rFonts w:ascii="Garamond" w:hAnsi="Garamond"/>
          <w:sz w:val="18"/>
          <w:szCs w:val="18"/>
          <w:rtl w:val="0"/>
          <w:lang w:val="en-US"/>
        </w:rPr>
        <w:t>.</w:t>
      </w:r>
    </w:p>
  </w:footnote>
  <w:footnote w:id="3">
    <w:p>
      <w:pPr>
        <w:pStyle w:val="footnote text"/>
      </w:pPr>
      <w:r>
        <w:rPr>
          <w:rFonts w:ascii="Garamond" w:cs="Garamond" w:hAnsi="Garamond" w:eastAsia="Garamond"/>
          <w:outline w:val="0"/>
          <w:color w:val="231f20"/>
          <w:sz w:val="22"/>
          <w:szCs w:val="22"/>
          <w:u w:color="231f20"/>
          <w:vertAlign w:val="superscript"/>
          <w14:textFill>
            <w14:solidFill>
              <w14:srgbClr w14:val="231F20"/>
            </w14:solidFill>
          </w14:textFill>
        </w:rPr>
        <w:footnoteRef/>
      </w:r>
      <w:r>
        <w:rPr>
          <w:rFonts w:ascii="Garamond" w:hAnsi="Garamond"/>
          <w:sz w:val="18"/>
          <w:szCs w:val="18"/>
          <w:rtl w:val="0"/>
          <w:lang w:val="en-US"/>
        </w:rPr>
        <w:t xml:space="preserve"> This principle follows the ancient latino maxim </w:t>
      </w:r>
      <w:r>
        <w:rPr>
          <w:rFonts w:ascii="Garamond" w:hAnsi="Garamond"/>
          <w:i w:val="1"/>
          <w:iCs w:val="1"/>
          <w:sz w:val="18"/>
          <w:szCs w:val="18"/>
          <w:rtl w:val="0"/>
          <w:lang w:val="en-US"/>
        </w:rPr>
        <w:t>ubi lex voluit dixit, ubi noluit tacuit</w:t>
      </w:r>
      <w:r>
        <w:rPr>
          <w:rFonts w:ascii="Garamond" w:hAnsi="Garamond"/>
          <w:sz w:val="18"/>
          <w:szCs w:val="18"/>
          <w:rtl w:val="0"/>
          <w:lang w:val="en-US"/>
        </w:rPr>
        <w:t xml:space="preserve">. See, for further references, Canale, D., &amp; Tuzet, G. (2010). Inferring the Intention. Or, What Law the Legislature Could Have Intended to Make. </w:t>
      </w:r>
      <w:r>
        <w:rPr>
          <w:rFonts w:ascii="Garamond" w:hAnsi="Garamond"/>
          <w:i w:val="1"/>
          <w:iCs w:val="1"/>
          <w:sz w:val="18"/>
          <w:szCs w:val="18"/>
          <w:rtl w:val="0"/>
          <w:lang w:val="en-US"/>
        </w:rPr>
        <w:t>Dignitas</w:t>
      </w:r>
      <w:r>
        <w:rPr>
          <w:rFonts w:ascii="Garamond" w:hAnsi="Garamond"/>
          <w:sz w:val="18"/>
          <w:szCs w:val="18"/>
          <w:rtl w:val="0"/>
          <w:lang w:val="en-US"/>
        </w:rPr>
        <w:t>, (47/48), 254-272.</w:t>
      </w:r>
    </w:p>
  </w:footnote>
  <w:footnote w:id="4">
    <w:p>
      <w:pPr>
        <w:pStyle w:val="footnote text"/>
      </w:pP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
      </w:r>
      <w:r>
        <w:rPr>
          <w:rFonts w:ascii="Garamond" w:hAnsi="Garamond"/>
          <w:sz w:val="18"/>
          <w:szCs w:val="18"/>
          <w:rtl w:val="0"/>
          <w:lang w:val="en-US"/>
        </w:rPr>
        <w:t xml:space="preserve"> The bank analyzed were the following: BNP Paribas, Cr</w:t>
      </w:r>
      <w:r>
        <w:rPr>
          <w:rFonts w:ascii="Garamond" w:hAnsi="Garamond" w:hint="default"/>
          <w:sz w:val="18"/>
          <w:szCs w:val="18"/>
          <w:rtl w:val="0"/>
          <w:lang w:val="en-US"/>
        </w:rPr>
        <w:t>é</w:t>
      </w:r>
      <w:r>
        <w:rPr>
          <w:rFonts w:ascii="Garamond" w:hAnsi="Garamond"/>
          <w:sz w:val="18"/>
          <w:szCs w:val="18"/>
          <w:rtl w:val="0"/>
          <w:lang w:val="en-US"/>
        </w:rPr>
        <w:t>dit Agricole, Banco Santander, Soci</w:t>
      </w:r>
      <w:r>
        <w:rPr>
          <w:rFonts w:ascii="Garamond" w:hAnsi="Garamond" w:hint="default"/>
          <w:sz w:val="18"/>
          <w:szCs w:val="18"/>
          <w:rtl w:val="0"/>
          <w:lang w:val="en-US"/>
        </w:rPr>
        <w:t>é</w:t>
      </w:r>
      <w:r>
        <w:rPr>
          <w:rFonts w:ascii="Garamond" w:hAnsi="Garamond"/>
          <w:sz w:val="18"/>
          <w:szCs w:val="18"/>
          <w:rtl w:val="0"/>
          <w:lang w:val="en-US"/>
        </w:rPr>
        <w:t>t</w:t>
      </w:r>
      <w:r>
        <w:rPr>
          <w:rFonts w:ascii="Garamond" w:hAnsi="Garamond" w:hint="default"/>
          <w:sz w:val="18"/>
          <w:szCs w:val="18"/>
          <w:rtl w:val="0"/>
          <w:lang w:val="en-US"/>
        </w:rPr>
        <w:t xml:space="preserve">é </w:t>
      </w:r>
      <w:r>
        <w:rPr>
          <w:rFonts w:ascii="Garamond" w:hAnsi="Garamond"/>
          <w:sz w:val="18"/>
          <w:szCs w:val="18"/>
          <w:rtl w:val="0"/>
          <w:lang w:val="en-US"/>
        </w:rPr>
        <w:t>G</w:t>
      </w:r>
      <w:r>
        <w:rPr>
          <w:rFonts w:ascii="Garamond" w:hAnsi="Garamond" w:hint="default"/>
          <w:sz w:val="18"/>
          <w:szCs w:val="18"/>
          <w:rtl w:val="0"/>
          <w:lang w:val="en-US"/>
        </w:rPr>
        <w:t>é</w:t>
      </w:r>
      <w:r>
        <w:rPr>
          <w:rFonts w:ascii="Garamond" w:hAnsi="Garamond"/>
          <w:sz w:val="18"/>
          <w:szCs w:val="18"/>
          <w:rtl w:val="0"/>
          <w:lang w:val="en-US"/>
        </w:rPr>
        <w:t>n</w:t>
      </w:r>
      <w:r>
        <w:rPr>
          <w:rFonts w:ascii="Garamond" w:hAnsi="Garamond" w:hint="default"/>
          <w:sz w:val="18"/>
          <w:szCs w:val="18"/>
          <w:rtl w:val="0"/>
          <w:lang w:val="en-US"/>
        </w:rPr>
        <w:t>é</w:t>
      </w:r>
      <w:r>
        <w:rPr>
          <w:rFonts w:ascii="Garamond" w:hAnsi="Garamond"/>
          <w:sz w:val="18"/>
          <w:szCs w:val="18"/>
          <w:rtl w:val="0"/>
          <w:lang w:val="en-US"/>
        </w:rPr>
        <w:t>rale, Deutsche Bank, Groupe BPCE, ING Group, Cr</w:t>
      </w:r>
      <w:r>
        <w:rPr>
          <w:rFonts w:ascii="Garamond" w:hAnsi="Garamond" w:hint="default"/>
          <w:sz w:val="18"/>
          <w:szCs w:val="18"/>
          <w:rtl w:val="0"/>
          <w:lang w:val="en-US"/>
        </w:rPr>
        <w:t>é</w:t>
      </w:r>
      <w:r>
        <w:rPr>
          <w:rFonts w:ascii="Garamond" w:hAnsi="Garamond"/>
          <w:sz w:val="18"/>
          <w:szCs w:val="18"/>
          <w:rtl w:val="0"/>
          <w:lang w:val="en-US"/>
        </w:rPr>
        <w:t>dit Mutuel Group, Intesa Sanpaolo, Unicredit.</w:t>
      </w:r>
    </w:p>
  </w:footnote>
  <w:footnote w:id="5">
    <w:p>
      <w:pPr>
        <w:pStyle w:val="footnote text"/>
        <w:jc w:val="both"/>
      </w:pP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
      </w:r>
      <w:r>
        <w:rPr>
          <w:rFonts w:ascii="Garamond" w:hAnsi="Garamond"/>
          <w:sz w:val="18"/>
          <w:szCs w:val="18"/>
          <w:rtl w:val="0"/>
          <w:lang w:val="en-US"/>
        </w:rPr>
        <w:t xml:space="preserve"> From a methodological point of view, each document is subjected to automatic language detection through the </w:t>
      </w:r>
      <w:r>
        <w:rPr>
          <w:rFonts w:ascii="Garamond" w:hAnsi="Garamond"/>
          <w:i w:val="1"/>
          <w:iCs w:val="1"/>
          <w:sz w:val="18"/>
          <w:szCs w:val="18"/>
          <w:rtl w:val="0"/>
          <w:lang w:val="en-US"/>
        </w:rPr>
        <w:t>langdetect</w:t>
      </w:r>
      <w:r>
        <w:rPr>
          <w:rFonts w:ascii="Garamond" w:hAnsi="Garamond"/>
          <w:sz w:val="18"/>
          <w:szCs w:val="18"/>
          <w:rtl w:val="0"/>
          <w:lang w:val="en-US"/>
        </w:rPr>
        <w:t xml:space="preserve"> library, ensuring that the subsequent keyword-matching phase is conducted using the correct linguistic set of environmental terms. Five languages are covered by the current implementation: English, Italian, French, German and Spanish, and for each language, a set of frequently used general environmental expressions has been compiled, given the list of keywords </w:t>
      </w:r>
      <w:r>
        <w:rPr>
          <w:rFonts w:ascii="Garamond" w:hAnsi="Garamond" w:hint="default"/>
          <w:sz w:val="18"/>
          <w:szCs w:val="18"/>
          <w:rtl w:val="0"/>
          <w:lang w:val="en-US"/>
        </w:rPr>
        <w:t xml:space="preserve">– </w:t>
      </w:r>
      <w:r>
        <w:rPr>
          <w:rFonts w:ascii="Garamond" w:hAnsi="Garamond"/>
          <w:sz w:val="18"/>
          <w:szCs w:val="18"/>
          <w:rtl w:val="0"/>
          <w:lang w:val="en-US"/>
        </w:rPr>
        <w:t xml:space="preserve">according to the official translations from the Official Journal of the European Union </w:t>
      </w:r>
      <w:r>
        <w:rPr>
          <w:rFonts w:ascii="Garamond" w:hAnsi="Garamond" w:hint="default"/>
          <w:sz w:val="18"/>
          <w:szCs w:val="18"/>
          <w:rtl w:val="0"/>
          <w:lang w:val="en-US"/>
        </w:rPr>
        <w:t xml:space="preserve">– </w:t>
      </w:r>
      <w:r>
        <w:rPr>
          <w:rFonts w:ascii="Garamond" w:hAnsi="Garamond"/>
          <w:sz w:val="18"/>
          <w:szCs w:val="18"/>
          <w:rtl w:val="0"/>
          <w:lang w:val="en-US"/>
        </w:rPr>
        <w:t xml:space="preserve">as presented in recital (9) of the </w:t>
      </w:r>
      <w:r>
        <w:rPr>
          <w:rFonts w:ascii="Garamond" w:hAnsi="Garamond"/>
          <w:i w:val="1"/>
          <w:iCs w:val="1"/>
          <w:sz w:val="18"/>
          <w:szCs w:val="18"/>
          <w:rtl w:val="0"/>
          <w:lang w:val="en-US"/>
        </w:rPr>
        <w:t>Greenwashing Directive</w:t>
      </w:r>
      <w:r>
        <w:rPr>
          <w:rFonts w:ascii="Garamond" w:hAnsi="Garamond"/>
          <w:sz w:val="18"/>
          <w:szCs w:val="18"/>
          <w:rtl w:val="0"/>
          <w:lang w:val="en-US"/>
        </w:rPr>
        <w:t>. Once the appropriate set of keywords has been assigned to each document based on its detected language, the text is scanned to count the total number of occurrences of such claims. The algorithm applies regular expression matching to identify all instances of the predefined phrases, using case-insensitive comparisons to ensure robustness across stylistic and typographic variations. For each document, the total number of general environmental claims is computed and stored. to enable meaningful comparisons between documents of differing lengths, the algorithm computes a density metric, defined as the number of keyword occurrences divided by the number of pages in the document.</w:t>
      </w:r>
    </w:p>
  </w:footnote>
  <w:footnote w:id="6">
    <w:p>
      <w:pPr>
        <w:pStyle w:val="footnote text"/>
        <w:jc w:val="both"/>
      </w:pP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
      </w:r>
      <w:r>
        <w:rPr>
          <w:rFonts w:ascii="Garamond" w:hAnsi="Garamond"/>
          <w:sz w:val="18"/>
          <w:szCs w:val="18"/>
          <w:rtl w:val="0"/>
          <w:lang w:val="en-US"/>
        </w:rPr>
        <w:t xml:space="preserve"> Similar to the previous empirical exercise </w:t>
      </w:r>
      <w:r>
        <w:rPr>
          <w:rFonts w:ascii="Garamond" w:hAnsi="Garamond" w:hint="default"/>
          <w:sz w:val="18"/>
          <w:szCs w:val="18"/>
          <w:rtl w:val="0"/>
          <w:lang w:val="en-US"/>
        </w:rPr>
        <w:t xml:space="preserve">– </w:t>
      </w:r>
      <w:r>
        <w:rPr>
          <w:rFonts w:ascii="Garamond" w:hAnsi="Garamond"/>
          <w:sz w:val="18"/>
          <w:szCs w:val="18"/>
          <w:rtl w:val="0"/>
          <w:lang w:val="en-US"/>
        </w:rPr>
        <w:t xml:space="preserve">from a methodological point of view </w:t>
      </w:r>
      <w:r>
        <w:rPr>
          <w:rFonts w:ascii="Garamond" w:hAnsi="Garamond" w:hint="default"/>
          <w:sz w:val="18"/>
          <w:szCs w:val="18"/>
          <w:rtl w:val="0"/>
          <w:lang w:val="en-US"/>
        </w:rPr>
        <w:t xml:space="preserve">– </w:t>
      </w:r>
      <w:r>
        <w:rPr>
          <w:rFonts w:ascii="Garamond" w:hAnsi="Garamond"/>
          <w:sz w:val="18"/>
          <w:szCs w:val="18"/>
          <w:rtl w:val="0"/>
          <w:lang w:val="en-US"/>
        </w:rPr>
        <w:t xml:space="preserve">we conduct a preliminary language detection step is conducted using the </w:t>
      </w:r>
      <w:r>
        <w:rPr>
          <w:rFonts w:ascii="Garamond" w:hAnsi="Garamond"/>
          <w:i w:val="1"/>
          <w:iCs w:val="1"/>
          <w:sz w:val="18"/>
          <w:szCs w:val="18"/>
          <w:rtl w:val="0"/>
          <w:lang w:val="en-US"/>
        </w:rPr>
        <w:t>langdetect</w:t>
      </w:r>
      <w:r>
        <w:rPr>
          <w:rFonts w:ascii="Garamond" w:hAnsi="Garamond"/>
          <w:sz w:val="18"/>
          <w:szCs w:val="18"/>
          <w:rtl w:val="0"/>
          <w:lang w:val="en-US"/>
        </w:rPr>
        <w:t xml:space="preserve"> library. This enables the algorithm to dynamically select the appropriate set of forward-looking keywords for each document, thereby ensuring linguistic precision and cross-jurisdictional comparability. The keywords used for this empirical exercise were the following: 'we are working on', 'we are committed to', 'in the future', 'long term', 'in the coming years', 'under development', 'evolving', 'prospectively', 'in preparation', 'we intend to', 'we might', 'we aim to', 'in discussion', 'creating sustainable value', 'sustainable strategies', 'we are monitoring', 'day by day', 'ongoing commitment', 'in case', 'it is expected', 'under evaluation', 'we consider', 'ongoing initiatives', 'gradually', 'ongoing', 'we plan to', 'in progress', 'long-term plans', 'zero impact', 'under review', 'zero emissions'. Once the language is identified and the corresponding keyword set selected, the algorithm scans each document using case-insensitive regular expressions to identify and count exact matches. Again, a critical consideration in comparing forward-looking language across documents is their heterogeneity in length. Longer documents may naturally contain more such statements, not necessarily indicating a higher degree of strategic commitment or potential greenwashing. To control for this, the analysis introduces a normalization factor: the number of forward-looking statements per page. The resulting metric, expressed as a ratio, provides a standardized measure of the density of forward-looking language per page. This approach enables a more equitable comparison among institutions, as it accounts for verbosity and formatting differences. It also provides insight into whether certain entities exhibit a disproportionately high reliance on aspirational language relative to the length of their disclosures, which may be indicative of inflated ESG narratives. As a note, we might acknowledge the limitation that the reliance on static keyword lists, though linguistically curated, may omit context-sensitive expressions or idiomatic variants, particularly in multilingual disclosures. An expansion toward supervised learning models could further refine accuracy and semantic sensitivity.</w:t>
      </w:r>
    </w:p>
  </w:footnote>
  <w:footnote w:id="7">
    <w:p>
      <w:pPr>
        <w:pStyle w:val="footnote text"/>
        <w:jc w:val="both"/>
      </w:pP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
      </w:r>
      <w:r>
        <w:rPr>
          <w:rFonts w:ascii="Garamond" w:hAnsi="Garamond"/>
          <w:sz w:val="18"/>
          <w:szCs w:val="18"/>
          <w:rtl w:val="0"/>
          <w:lang w:val="en-US"/>
        </w:rPr>
        <w:t xml:space="preserve"> Note that across all operators the most recurrent patterns center around conditionality, intentionality, and long-termism. As an example, </w:t>
      </w:r>
      <w:r>
        <w:rPr>
          <w:rFonts w:ascii="Garamond" w:hAnsi="Garamond" w:hint="default"/>
          <w:sz w:val="18"/>
          <w:szCs w:val="18"/>
          <w:rtl w:val="0"/>
          <w:lang w:val="en-US"/>
        </w:rPr>
        <w:t>“</w:t>
      </w:r>
      <w:r>
        <w:rPr>
          <w:rFonts w:ascii="Garamond" w:hAnsi="Garamond"/>
          <w:sz w:val="18"/>
          <w:szCs w:val="18"/>
          <w:rtl w:val="0"/>
          <w:lang w:val="en-US"/>
        </w:rPr>
        <w:t>long term</w:t>
      </w:r>
      <w:r>
        <w:rPr>
          <w:rFonts w:ascii="Garamond" w:hAnsi="Garamond" w:hint="default"/>
          <w:sz w:val="18"/>
          <w:szCs w:val="18"/>
          <w:rtl w:val="0"/>
          <w:lang w:val="en-US"/>
        </w:rPr>
        <w:t xml:space="preserve">” </w:t>
      </w:r>
      <w:r>
        <w:rPr>
          <w:rFonts w:ascii="Garamond" w:hAnsi="Garamond"/>
          <w:sz w:val="18"/>
          <w:szCs w:val="18"/>
          <w:rtl w:val="0"/>
          <w:lang w:val="en-US"/>
        </w:rPr>
        <w:t xml:space="preserve">and its multilingual equivalents, as a concept, appears over 81 times (37 in German as </w:t>
      </w:r>
      <w:r>
        <w:rPr>
          <w:rFonts w:ascii="Garamond" w:hAnsi="Garamond" w:hint="default"/>
          <w:sz w:val="18"/>
          <w:szCs w:val="18"/>
          <w:rtl w:val="0"/>
          <w:lang w:val="en-US"/>
        </w:rPr>
        <w:t>“</w:t>
      </w:r>
      <w:r>
        <w:rPr>
          <w:rFonts w:ascii="Garamond" w:hAnsi="Garamond"/>
          <w:sz w:val="18"/>
          <w:szCs w:val="18"/>
          <w:rtl w:val="0"/>
          <w:lang w:val="en-US"/>
        </w:rPr>
        <w:t>langfristig,</w:t>
      </w:r>
      <w:r>
        <w:rPr>
          <w:rFonts w:ascii="Garamond" w:hAnsi="Garamond" w:hint="default"/>
          <w:sz w:val="18"/>
          <w:szCs w:val="18"/>
          <w:rtl w:val="0"/>
          <w:lang w:val="en-US"/>
        </w:rPr>
        <w:t xml:space="preserve">” </w:t>
      </w:r>
      <w:r>
        <w:rPr>
          <w:rFonts w:ascii="Garamond" w:hAnsi="Garamond"/>
          <w:sz w:val="18"/>
          <w:szCs w:val="18"/>
          <w:rtl w:val="0"/>
          <w:lang w:val="en-US"/>
        </w:rPr>
        <w:t xml:space="preserve">27 in Spanish as </w:t>
      </w:r>
      <w:r>
        <w:rPr>
          <w:rFonts w:ascii="Garamond" w:hAnsi="Garamond" w:hint="default"/>
          <w:sz w:val="18"/>
          <w:szCs w:val="18"/>
          <w:rtl w:val="0"/>
          <w:lang w:val="en-US"/>
        </w:rPr>
        <w:t>“</w:t>
      </w:r>
      <w:r>
        <w:rPr>
          <w:rFonts w:ascii="Garamond" w:hAnsi="Garamond"/>
          <w:sz w:val="18"/>
          <w:szCs w:val="18"/>
          <w:rtl w:val="0"/>
          <w:lang w:val="en-US"/>
        </w:rPr>
        <w:t>a largo plazo,</w:t>
      </w:r>
      <w:r>
        <w:rPr>
          <w:rFonts w:ascii="Garamond" w:hAnsi="Garamond" w:hint="default"/>
          <w:sz w:val="18"/>
          <w:szCs w:val="18"/>
          <w:rtl w:val="0"/>
          <w:lang w:val="en-US"/>
        </w:rPr>
        <w:t xml:space="preserve">” </w:t>
      </w:r>
      <w:r>
        <w:rPr>
          <w:rFonts w:ascii="Garamond" w:hAnsi="Garamond"/>
          <w:sz w:val="18"/>
          <w:szCs w:val="18"/>
          <w:rtl w:val="0"/>
          <w:lang w:val="en-US"/>
        </w:rPr>
        <w:t xml:space="preserve">17 in French as </w:t>
      </w:r>
      <w:r>
        <w:rPr>
          <w:rFonts w:ascii="Garamond" w:hAnsi="Garamond" w:hint="default"/>
          <w:sz w:val="18"/>
          <w:szCs w:val="18"/>
          <w:rtl w:val="0"/>
          <w:lang w:val="en-US"/>
        </w:rPr>
        <w:t xml:space="preserve">“à </w:t>
      </w:r>
      <w:r>
        <w:rPr>
          <w:rFonts w:ascii="Garamond" w:hAnsi="Garamond"/>
          <w:sz w:val="18"/>
          <w:szCs w:val="18"/>
          <w:rtl w:val="0"/>
          <w:lang w:val="en-US"/>
        </w:rPr>
        <w:t>long terme,</w:t>
      </w:r>
      <w:r>
        <w:rPr>
          <w:rFonts w:ascii="Garamond" w:hAnsi="Garamond" w:hint="default"/>
          <w:sz w:val="18"/>
          <w:szCs w:val="18"/>
          <w:rtl w:val="0"/>
          <w:lang w:val="en-US"/>
        </w:rPr>
        <w:t xml:space="preserve">” </w:t>
      </w:r>
      <w:r>
        <w:rPr>
          <w:rFonts w:ascii="Garamond" w:hAnsi="Garamond"/>
          <w:sz w:val="18"/>
          <w:szCs w:val="18"/>
          <w:rtl w:val="0"/>
          <w:lang w:val="en-US"/>
        </w:rPr>
        <w:t xml:space="preserve">and 4 in English, as </w:t>
      </w:r>
      <w:r>
        <w:rPr>
          <w:rFonts w:ascii="Garamond" w:hAnsi="Garamond" w:hint="default"/>
          <w:sz w:val="18"/>
          <w:szCs w:val="18"/>
          <w:rtl w:val="0"/>
          <w:lang w:val="en-US"/>
        </w:rPr>
        <w:t>“</w:t>
      </w:r>
      <w:r>
        <w:rPr>
          <w:rFonts w:ascii="Garamond" w:hAnsi="Garamond"/>
          <w:sz w:val="18"/>
          <w:szCs w:val="18"/>
          <w:rtl w:val="0"/>
          <w:lang w:val="en-US"/>
        </w:rPr>
        <w:t>long term,</w:t>
      </w:r>
      <w:r>
        <w:rPr>
          <w:rFonts w:ascii="Garamond" w:hAnsi="Garamond" w:hint="default"/>
          <w:sz w:val="18"/>
          <w:szCs w:val="18"/>
          <w:rtl w:val="0"/>
          <w:lang w:val="en-US"/>
        </w:rPr>
        <w:t xml:space="preserve">” </w:t>
      </w:r>
      <w:r>
        <w:rPr>
          <w:rFonts w:ascii="Garamond" w:hAnsi="Garamond"/>
          <w:sz w:val="18"/>
          <w:szCs w:val="18"/>
          <w:rtl w:val="0"/>
          <w:lang w:val="en-US"/>
        </w:rPr>
        <w:t xml:space="preserve">and in Italian, as </w:t>
      </w:r>
      <w:r>
        <w:rPr>
          <w:rFonts w:ascii="Garamond" w:hAnsi="Garamond" w:hint="default"/>
          <w:sz w:val="18"/>
          <w:szCs w:val="18"/>
          <w:rtl w:val="0"/>
          <w:lang w:val="en-US"/>
        </w:rPr>
        <w:t>“</w:t>
      </w:r>
      <w:r>
        <w:rPr>
          <w:rFonts w:ascii="Garamond" w:hAnsi="Garamond"/>
          <w:sz w:val="18"/>
          <w:szCs w:val="18"/>
          <w:rtl w:val="0"/>
          <w:lang w:val="en-US"/>
        </w:rPr>
        <w:t>nel lungo termine</w:t>
      </w:r>
      <w:r>
        <w:rPr>
          <w:rFonts w:ascii="Garamond" w:hAnsi="Garamond" w:hint="default"/>
          <w:sz w:val="18"/>
          <w:szCs w:val="18"/>
          <w:rtl w:val="0"/>
          <w:lang w:val="en-US"/>
        </w:rPr>
        <w:t>”</w:t>
      </w:r>
      <w:r>
        <w:rPr>
          <w:rFonts w:ascii="Garamond" w:hAnsi="Garamond"/>
          <w:sz w:val="18"/>
          <w:szCs w:val="18"/>
          <w:rtl w:val="0"/>
          <w:lang w:val="en-US"/>
        </w:rPr>
        <w:t>), confirming the widespread rhetorical emphasis on extended temporal horizons.</w:t>
      </w:r>
    </w:p>
  </w:footnote>
  <w:footnote w:id="8">
    <w:p>
      <w:pPr>
        <w:pStyle w:val="footnote text"/>
        <w:jc w:val="both"/>
      </w:pPr>
      <w:r>
        <w:rPr>
          <w:rFonts w:ascii="Garamond" w:cs="Garamond" w:hAnsi="Garamond" w:eastAsia="Garamond"/>
          <w:outline w:val="0"/>
          <w:color w:val="231f20"/>
          <w:sz w:val="22"/>
          <w:szCs w:val="22"/>
          <w:u w:color="231f20"/>
          <w:vertAlign w:val="superscript"/>
          <w:lang w:val="en-US"/>
          <w14:textFill>
            <w14:solidFill>
              <w14:srgbClr w14:val="231F20"/>
            </w14:solidFill>
          </w14:textFill>
        </w:rPr>
        <w:footnoteRef/>
      </w:r>
      <w:r>
        <w:rPr>
          <w:rFonts w:ascii="Garamond" w:hAnsi="Garamond"/>
          <w:sz w:val="18"/>
          <w:szCs w:val="18"/>
          <w:rtl w:val="0"/>
          <w:lang w:val="en-US"/>
        </w:rPr>
        <w:t xml:space="preserve"> See, in this regard, the data presented in the European Commission Proposal 2023/0085 on the substantiation and communication of explicit environmental claims (Green Claims Directive), with particular attention to the high number of unsubstantiated environmental claims.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it-IT"/>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aramond" w:cs="Garamond" w:hAnsi="Garamond" w:eastAsia="Garamond"/>
      <w:sz w:val="18"/>
      <w:szCs w:val="18"/>
    </w:rPr>
  </w:style>
  <w:style w:type="character" w:styleId="Hyperlink.1">
    <w:name w:val="Hyperlink.1"/>
    <w:basedOn w:val="Link"/>
    <w:next w:val="Hyperlink.1"/>
    <w:rPr>
      <w:rFonts w:ascii="Garamond" w:cs="Garamond" w:hAnsi="Garamond" w:eastAsia="Garamond"/>
      <w:outline w:val="0"/>
      <w:color w:val="595959"/>
      <w:sz w:val="22"/>
      <w:szCs w:val="22"/>
      <w:u w:color="595959"/>
      <w:lang w:val="en-US"/>
      <w14:textFill>
        <w14:solidFill>
          <w14:srgbClr w14:val="595959"/>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085" w:right="177" w:firstLine="383"/>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