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9913C" w14:textId="77777777" w:rsidR="00CD39F6" w:rsidRDefault="00D32013">
      <w:r>
        <w:t>REMOTE CONTROL. ON PRECOMMITMENT AND CONSTITUTIONS</w:t>
      </w:r>
    </w:p>
    <w:p w14:paraId="0E059499" w14:textId="77777777" w:rsidR="00D32013" w:rsidRDefault="00D32013">
      <w:pPr>
        <w:rPr>
          <w:lang w:val="en-US"/>
        </w:rPr>
      </w:pPr>
      <w:r>
        <w:rPr>
          <w:lang w:val="en-US"/>
        </w:rPr>
        <w:t>Giovanni Tuzet, Bocconi University</w:t>
      </w:r>
    </w:p>
    <w:p w14:paraId="07227758" w14:textId="77777777" w:rsidR="00D32013" w:rsidRDefault="00D32013">
      <w:pPr>
        <w:rPr>
          <w:lang w:val="en-US"/>
        </w:rPr>
      </w:pPr>
    </w:p>
    <w:p w14:paraId="1FEBCF85" w14:textId="77777777" w:rsidR="00A21C20" w:rsidRDefault="00A21C20">
      <w:pPr>
        <w:rPr>
          <w:lang w:val="en-US"/>
        </w:rPr>
      </w:pPr>
    </w:p>
    <w:p w14:paraId="50492291" w14:textId="168CBA35" w:rsidR="00A82B26" w:rsidRDefault="00A82B26">
      <w:pPr>
        <w:rPr>
          <w:lang w:val="en-US"/>
        </w:rPr>
      </w:pPr>
      <w:r w:rsidRPr="00A82B26">
        <w:rPr>
          <w:lang w:val="en-US"/>
        </w:rPr>
        <w:t>Once an uncle of mine told me the story of shepherd Armido, a very good man who did</w:t>
      </w:r>
      <w:r>
        <w:rPr>
          <w:lang w:val="en-US"/>
        </w:rPr>
        <w:t xml:space="preserve"> </w:t>
      </w:r>
      <w:r w:rsidRPr="00A82B26">
        <w:rPr>
          <w:lang w:val="en-US"/>
        </w:rPr>
        <w:t>n</w:t>
      </w:r>
      <w:r>
        <w:rPr>
          <w:lang w:val="en-US"/>
        </w:rPr>
        <w:t>o</w:t>
      </w:r>
      <w:r w:rsidRPr="00A82B26">
        <w:rPr>
          <w:lang w:val="en-US"/>
        </w:rPr>
        <w:t>t drink so as not to become bad.</w:t>
      </w:r>
      <w:r>
        <w:rPr>
          <w:lang w:val="en-US"/>
        </w:rPr>
        <w:t xml:space="preserve"> </w:t>
      </w:r>
      <w:r w:rsidRPr="00A82B26">
        <w:rPr>
          <w:lang w:val="en-US"/>
        </w:rPr>
        <w:t xml:space="preserve">He knew that by drinking he would become bad and although </w:t>
      </w:r>
      <w:r w:rsidR="00575C14" w:rsidRPr="00A82B26">
        <w:rPr>
          <w:lang w:val="en-US"/>
        </w:rPr>
        <w:t xml:space="preserve">on some occasions </w:t>
      </w:r>
      <w:r w:rsidRPr="00A82B26">
        <w:rPr>
          <w:lang w:val="en-US"/>
        </w:rPr>
        <w:t>he wanted to drink</w:t>
      </w:r>
      <w:r w:rsidR="006F217A">
        <w:rPr>
          <w:lang w:val="en-US"/>
        </w:rPr>
        <w:t xml:space="preserve"> (or had a desire to)</w:t>
      </w:r>
      <w:r w:rsidRPr="00A82B26">
        <w:rPr>
          <w:lang w:val="en-US"/>
        </w:rPr>
        <w:t xml:space="preserve">, he knew how to resist drinking in order to avoid </w:t>
      </w:r>
      <w:r w:rsidR="006F217A">
        <w:rPr>
          <w:lang w:val="en-US"/>
        </w:rPr>
        <w:t>becoming bad, or, more analytically, to avoid not being able to resist becoming</w:t>
      </w:r>
      <w:r w:rsidRPr="00A82B26">
        <w:rPr>
          <w:lang w:val="en-US"/>
        </w:rPr>
        <w:t xml:space="preserve"> bad.</w:t>
      </w:r>
    </w:p>
    <w:p w14:paraId="1F9BEE4D" w14:textId="4D705226" w:rsidR="006F217A" w:rsidRDefault="006F217A">
      <w:pPr>
        <w:rPr>
          <w:lang w:val="en-US"/>
        </w:rPr>
      </w:pPr>
      <w:r w:rsidRPr="006F217A">
        <w:rPr>
          <w:lang w:val="en-US"/>
        </w:rPr>
        <w:t>Apparently, one of his strategies was to avoid going to the ta</w:t>
      </w:r>
      <w:r>
        <w:rPr>
          <w:lang w:val="en-US"/>
        </w:rPr>
        <w:t>vern, or to decline his friends’</w:t>
      </w:r>
      <w:r w:rsidRPr="006F217A">
        <w:rPr>
          <w:lang w:val="en-US"/>
        </w:rPr>
        <w:t xml:space="preserve"> invitations to go. This allowed him to avoid being exposed to a situation in which his ability to resist would have been predictably defeated.</w:t>
      </w:r>
      <w:r>
        <w:rPr>
          <w:lang w:val="en-US"/>
        </w:rPr>
        <w:t xml:space="preserve"> Even more interestingly, </w:t>
      </w:r>
      <w:r w:rsidRPr="006F217A">
        <w:rPr>
          <w:lang w:val="en-US"/>
        </w:rPr>
        <w:t xml:space="preserve">he was able to find alternative occupations or commitments in such moments, to </w:t>
      </w:r>
      <w:r>
        <w:rPr>
          <w:lang w:val="en-US"/>
        </w:rPr>
        <w:t>divert his attitudes</w:t>
      </w:r>
      <w:r w:rsidRPr="006F217A">
        <w:rPr>
          <w:lang w:val="en-US"/>
        </w:rPr>
        <w:t xml:space="preserve"> and use his time differently</w:t>
      </w:r>
      <w:r>
        <w:rPr>
          <w:lang w:val="en-US"/>
        </w:rPr>
        <w:t xml:space="preserve">. </w:t>
      </w:r>
      <w:r w:rsidRPr="006F217A">
        <w:rPr>
          <w:lang w:val="en-US"/>
        </w:rPr>
        <w:t>If planned in advance, such o</w:t>
      </w:r>
      <w:r>
        <w:rPr>
          <w:lang w:val="en-US"/>
        </w:rPr>
        <w:t>ccupations counted as a pre</w:t>
      </w:r>
      <w:r w:rsidRPr="006F217A">
        <w:rPr>
          <w:lang w:val="en-US"/>
        </w:rPr>
        <w:t>commitment of Armido</w:t>
      </w:r>
      <w:r>
        <w:rPr>
          <w:lang w:val="en-US"/>
        </w:rPr>
        <w:t xml:space="preserve">: </w:t>
      </w:r>
      <w:r w:rsidRPr="006F217A">
        <w:rPr>
          <w:lang w:val="en-US"/>
        </w:rPr>
        <w:t xml:space="preserve">he planned ahead how </w:t>
      </w:r>
      <w:r w:rsidR="005C33EF">
        <w:rPr>
          <w:lang w:val="en-US"/>
        </w:rPr>
        <w:t>to</w:t>
      </w:r>
      <w:r w:rsidRPr="006F217A">
        <w:rPr>
          <w:lang w:val="en-US"/>
        </w:rPr>
        <w:t xml:space="preserve"> </w:t>
      </w:r>
      <w:r w:rsidR="00950365">
        <w:rPr>
          <w:lang w:val="en-US"/>
        </w:rPr>
        <w:t>behave</w:t>
      </w:r>
      <w:r>
        <w:rPr>
          <w:lang w:val="en-US"/>
        </w:rPr>
        <w:t xml:space="preserve"> </w:t>
      </w:r>
      <w:r w:rsidR="00F40799">
        <w:rPr>
          <w:lang w:val="en-US"/>
        </w:rPr>
        <w:t xml:space="preserve">in order </w:t>
      </w:r>
      <w:r>
        <w:rPr>
          <w:lang w:val="en-US"/>
        </w:rPr>
        <w:t>to</w:t>
      </w:r>
      <w:r w:rsidRPr="006F217A">
        <w:rPr>
          <w:lang w:val="en-US"/>
        </w:rPr>
        <w:t xml:space="preserve"> </w:t>
      </w:r>
      <w:r w:rsidR="00944666">
        <w:rPr>
          <w:lang w:val="en-US"/>
        </w:rPr>
        <w:t>avoid</w:t>
      </w:r>
      <w:r w:rsidRPr="006F217A">
        <w:rPr>
          <w:lang w:val="en-US"/>
        </w:rPr>
        <w:t xml:space="preserve"> certain conditions that would </w:t>
      </w:r>
      <w:r>
        <w:rPr>
          <w:lang w:val="en-US"/>
        </w:rPr>
        <w:t>have made</w:t>
      </w:r>
      <w:r w:rsidRPr="006F217A">
        <w:rPr>
          <w:lang w:val="en-US"/>
        </w:rPr>
        <w:t xml:space="preserve"> him bad</w:t>
      </w:r>
      <w:r>
        <w:rPr>
          <w:lang w:val="en-US"/>
        </w:rPr>
        <w:t>.</w:t>
      </w:r>
    </w:p>
    <w:p w14:paraId="65262F32" w14:textId="03509F8F" w:rsidR="006F217A" w:rsidRDefault="006F217A">
      <w:pPr>
        <w:rPr>
          <w:lang w:val="en-US"/>
        </w:rPr>
      </w:pPr>
      <w:r w:rsidRPr="006F217A">
        <w:rPr>
          <w:lang w:val="en-US"/>
        </w:rPr>
        <w:t xml:space="preserve">This story can be compared to other stories or situations that are often considered in the discussion about </w:t>
      </w:r>
      <w:r>
        <w:rPr>
          <w:lang w:val="en-US"/>
        </w:rPr>
        <w:t xml:space="preserve">precommitment and </w:t>
      </w:r>
      <w:r w:rsidRPr="006F217A">
        <w:rPr>
          <w:lang w:val="en-US"/>
        </w:rPr>
        <w:t>nudging</w:t>
      </w:r>
      <w:r w:rsidR="003A15C5">
        <w:rPr>
          <w:lang w:val="en-US"/>
        </w:rPr>
        <w:t xml:space="preserve"> (</w:t>
      </w:r>
      <w:r w:rsidR="00CF779B">
        <w:rPr>
          <w:lang w:val="en-US"/>
        </w:rPr>
        <w:t xml:space="preserve">Schelling 1984; </w:t>
      </w:r>
      <w:r w:rsidR="003A15C5" w:rsidRPr="004802E6">
        <w:t>Thale</w:t>
      </w:r>
      <w:r w:rsidR="003A15C5">
        <w:t>r and Sunstein 2008; Viale 2022</w:t>
      </w:r>
      <w:r w:rsidR="004804DC">
        <w:rPr>
          <w:lang w:val="en-US"/>
        </w:rPr>
        <w:t>)</w:t>
      </w:r>
      <w:r w:rsidRPr="006F217A">
        <w:rPr>
          <w:lang w:val="en-US"/>
        </w:rPr>
        <w:t>.</w:t>
      </w:r>
      <w:r w:rsidR="00087F2F">
        <w:rPr>
          <w:lang w:val="en-US"/>
        </w:rPr>
        <w:t xml:space="preserve"> </w:t>
      </w:r>
    </w:p>
    <w:p w14:paraId="3874CF31" w14:textId="4FBA712C" w:rsidR="004804DC" w:rsidRDefault="00944666">
      <w:pPr>
        <w:rPr>
          <w:lang w:val="en-US"/>
        </w:rPr>
      </w:pPr>
      <w:r>
        <w:rPr>
          <w:lang w:val="en-US"/>
        </w:rPr>
        <w:t>Armido’</w:t>
      </w:r>
      <w:r w:rsidRPr="00944666">
        <w:rPr>
          <w:lang w:val="en-US"/>
        </w:rPr>
        <w:t xml:space="preserve">s story is different from that of those who, in order to lose weight or not gain weight, avoid going to restaurants or even </w:t>
      </w:r>
      <w:r w:rsidR="004804DC">
        <w:rPr>
          <w:lang w:val="en-US"/>
        </w:rPr>
        <w:t>do not go</w:t>
      </w:r>
      <w:r w:rsidR="00950365">
        <w:rPr>
          <w:lang w:val="en-US"/>
        </w:rPr>
        <w:t xml:space="preserve"> to </w:t>
      </w:r>
      <w:r w:rsidRPr="00944666">
        <w:rPr>
          <w:lang w:val="en-US"/>
        </w:rPr>
        <w:t>supermarket</w:t>
      </w:r>
      <w:r w:rsidR="00950365">
        <w:rPr>
          <w:lang w:val="en-US"/>
        </w:rPr>
        <w:t>s</w:t>
      </w:r>
      <w:r w:rsidRPr="00944666">
        <w:rPr>
          <w:lang w:val="en-US"/>
        </w:rPr>
        <w:t xml:space="preserve"> because they could not resist the</w:t>
      </w:r>
      <w:r>
        <w:rPr>
          <w:lang w:val="en-US"/>
        </w:rPr>
        <w:t xml:space="preserve"> temptation to buy certain</w:t>
      </w:r>
      <w:r w:rsidR="000B1935">
        <w:rPr>
          <w:lang w:val="en-US"/>
        </w:rPr>
        <w:t xml:space="preserve"> kinds of</w:t>
      </w:r>
      <w:r>
        <w:rPr>
          <w:lang w:val="en-US"/>
        </w:rPr>
        <w:t xml:space="preserve"> food</w:t>
      </w:r>
      <w:r w:rsidRPr="00944666">
        <w:rPr>
          <w:lang w:val="en-US"/>
        </w:rPr>
        <w:t>.</w:t>
      </w:r>
      <w:r>
        <w:rPr>
          <w:lang w:val="en-US"/>
        </w:rPr>
        <w:t xml:space="preserve"> </w:t>
      </w:r>
      <w:r w:rsidRPr="00944666">
        <w:rPr>
          <w:lang w:val="en-US"/>
        </w:rPr>
        <w:t>It is differ</w:t>
      </w:r>
      <w:r>
        <w:rPr>
          <w:lang w:val="en-US"/>
        </w:rPr>
        <w:t>ent because, apparently, Armido’</w:t>
      </w:r>
      <w:r w:rsidR="000B1935">
        <w:rPr>
          <w:lang w:val="en-US"/>
        </w:rPr>
        <w:t>s main concern was to impede</w:t>
      </w:r>
      <w:r w:rsidRPr="00944666">
        <w:rPr>
          <w:lang w:val="en-US"/>
        </w:rPr>
        <w:t xml:space="preserve"> the moral externalities of his condition after drinking.</w:t>
      </w:r>
      <w:r>
        <w:rPr>
          <w:lang w:val="en-US"/>
        </w:rPr>
        <w:t xml:space="preserve"> H</w:t>
      </w:r>
      <w:r w:rsidRPr="00944666">
        <w:rPr>
          <w:lang w:val="en-US"/>
        </w:rPr>
        <w:t>e cared more about ot</w:t>
      </w:r>
      <w:r>
        <w:rPr>
          <w:lang w:val="en-US"/>
        </w:rPr>
        <w:t>hers than himself, in a sense. O</w:t>
      </w:r>
      <w:r w:rsidRPr="00944666">
        <w:rPr>
          <w:lang w:val="en-US"/>
        </w:rPr>
        <w:t>r maybe he could</w:t>
      </w:r>
      <w:r>
        <w:rPr>
          <w:lang w:val="en-US"/>
        </w:rPr>
        <w:t xml:space="preserve"> no</w:t>
      </w:r>
      <w:r w:rsidRPr="00944666">
        <w:rPr>
          <w:lang w:val="en-US"/>
        </w:rPr>
        <w:t>t morally tolerate his badness.</w:t>
      </w:r>
      <w:r>
        <w:rPr>
          <w:lang w:val="en-US"/>
        </w:rPr>
        <w:t xml:space="preserve"> Or maybe both. </w:t>
      </w:r>
      <w:r w:rsidRPr="00944666">
        <w:rPr>
          <w:lang w:val="en-US"/>
        </w:rPr>
        <w:t>Plausibly, therefore, the story of Armido is a story of</w:t>
      </w:r>
      <w:r>
        <w:rPr>
          <w:lang w:val="en-US"/>
        </w:rPr>
        <w:t xml:space="preserve"> oth</w:t>
      </w:r>
      <w:r w:rsidR="004804DC">
        <w:rPr>
          <w:lang w:val="en-US"/>
        </w:rPr>
        <w:t xml:space="preserve">er-regarding preferences, or </w:t>
      </w:r>
      <w:r>
        <w:rPr>
          <w:lang w:val="en-US"/>
        </w:rPr>
        <w:t>other-regarding preference</w:t>
      </w:r>
      <w:r w:rsidR="00AA3714">
        <w:rPr>
          <w:lang w:val="en-US"/>
        </w:rPr>
        <w:t>s on top of self-regarding ones. W</w:t>
      </w:r>
      <w:r>
        <w:rPr>
          <w:lang w:val="en-US"/>
        </w:rPr>
        <w:t xml:space="preserve">hereas the </w:t>
      </w:r>
      <w:r w:rsidR="00506F84">
        <w:rPr>
          <w:lang w:val="en-US"/>
        </w:rPr>
        <w:t>situation</w:t>
      </w:r>
      <w:r w:rsidR="005C33EF">
        <w:rPr>
          <w:lang w:val="en-US"/>
        </w:rPr>
        <w:t xml:space="preserve"> of</w:t>
      </w:r>
      <w:r w:rsidR="004804DC">
        <w:rPr>
          <w:lang w:val="en-US"/>
        </w:rPr>
        <w:t xml:space="preserve"> people who for the above reasons do not go to the restaurant or to the supermarket is mainly </w:t>
      </w:r>
      <w:r w:rsidR="00506F84">
        <w:rPr>
          <w:lang w:val="en-US"/>
        </w:rPr>
        <w:t>one</w:t>
      </w:r>
      <w:r w:rsidR="004804DC">
        <w:rPr>
          <w:lang w:val="en-US"/>
        </w:rPr>
        <w:t xml:space="preserve"> of self-regarding preferences</w:t>
      </w:r>
      <w:r>
        <w:rPr>
          <w:lang w:val="en-US"/>
        </w:rPr>
        <w:t>.</w:t>
      </w:r>
      <w:r w:rsidR="004804DC">
        <w:rPr>
          <w:lang w:val="en-US"/>
        </w:rPr>
        <w:t xml:space="preserve"> </w:t>
      </w:r>
      <w:r w:rsidR="004804DC" w:rsidRPr="004804DC">
        <w:rPr>
          <w:lang w:val="en-US"/>
        </w:rPr>
        <w:t xml:space="preserve">Certain nudging strategies can help these people, for example by placing </w:t>
      </w:r>
      <w:r w:rsidR="004804DC">
        <w:rPr>
          <w:lang w:val="en-US"/>
        </w:rPr>
        <w:t>unhealthy food</w:t>
      </w:r>
      <w:r w:rsidR="004804DC" w:rsidRPr="004804DC">
        <w:rPr>
          <w:lang w:val="en-US"/>
        </w:rPr>
        <w:t xml:space="preserve"> at the back of the supermarket shelves</w:t>
      </w:r>
      <w:r w:rsidR="003A15C5">
        <w:rPr>
          <w:lang w:val="en-US"/>
        </w:rPr>
        <w:t xml:space="preserve"> (Sunstein 2014</w:t>
      </w:r>
      <w:r w:rsidR="004804DC">
        <w:rPr>
          <w:lang w:val="en-US"/>
        </w:rPr>
        <w:t xml:space="preserve">). </w:t>
      </w:r>
      <w:r w:rsidR="000B1935">
        <w:rPr>
          <w:lang w:val="en-US"/>
        </w:rPr>
        <w:t xml:space="preserve">This is a way of making that food less salient. </w:t>
      </w:r>
      <w:r w:rsidR="004804DC">
        <w:rPr>
          <w:lang w:val="en-US"/>
        </w:rPr>
        <w:t>B</w:t>
      </w:r>
      <w:r w:rsidR="004804DC" w:rsidRPr="004804DC">
        <w:rPr>
          <w:lang w:val="en-US"/>
        </w:rPr>
        <w:t xml:space="preserve">ut </w:t>
      </w:r>
      <w:r w:rsidR="004804DC">
        <w:rPr>
          <w:lang w:val="en-US"/>
        </w:rPr>
        <w:t>one may wonder how</w:t>
      </w:r>
      <w:r w:rsidR="004804DC" w:rsidRPr="004804DC">
        <w:rPr>
          <w:lang w:val="en-US"/>
        </w:rPr>
        <w:t xml:space="preserve"> to make wine </w:t>
      </w:r>
      <w:r w:rsidR="004804DC">
        <w:rPr>
          <w:lang w:val="en-US"/>
        </w:rPr>
        <w:t>less salient in a tavern. I</w:t>
      </w:r>
      <w:r w:rsidR="004804DC" w:rsidRPr="004804DC">
        <w:rPr>
          <w:lang w:val="en-US"/>
        </w:rPr>
        <w:t>f drinking (among friends) is the exact purpose of going to the tavern, it is difficult to make it less salient</w:t>
      </w:r>
      <w:r w:rsidR="004804DC">
        <w:rPr>
          <w:lang w:val="en-US"/>
        </w:rPr>
        <w:t>.</w:t>
      </w:r>
      <w:r w:rsidR="00506F84">
        <w:rPr>
          <w:lang w:val="en-US"/>
        </w:rPr>
        <w:t xml:space="preserve"> In this sort of case, a precommitment strategy is </w:t>
      </w:r>
      <w:r w:rsidR="000B1935">
        <w:rPr>
          <w:lang w:val="en-US"/>
        </w:rPr>
        <w:t xml:space="preserve">more </w:t>
      </w:r>
      <w:r w:rsidR="00506F84">
        <w:rPr>
          <w:lang w:val="en-US"/>
        </w:rPr>
        <w:t>effective and a nudging one is hardly so.</w:t>
      </w:r>
    </w:p>
    <w:p w14:paraId="470CD18F" w14:textId="23D48340" w:rsidR="007E3568" w:rsidRDefault="007E3568">
      <w:pPr>
        <w:rPr>
          <w:lang w:val="en-US"/>
        </w:rPr>
      </w:pPr>
      <w:r>
        <w:rPr>
          <w:lang w:val="en-US"/>
        </w:rPr>
        <w:t>Armido’</w:t>
      </w:r>
      <w:r w:rsidRPr="007E3568">
        <w:rPr>
          <w:lang w:val="en-US"/>
        </w:rPr>
        <w:t>s story is also different from that of Ulysses</w:t>
      </w:r>
      <w:r w:rsidR="00281DFD">
        <w:rPr>
          <w:lang w:val="en-US"/>
        </w:rPr>
        <w:t xml:space="preserve"> (</w:t>
      </w:r>
      <w:r w:rsidR="00281DFD" w:rsidRPr="00281DFD">
        <w:rPr>
          <w:lang w:val="en-US"/>
        </w:rPr>
        <w:t>Elster</w:t>
      </w:r>
      <w:r w:rsidR="00281DFD">
        <w:rPr>
          <w:lang w:val="en-US"/>
        </w:rPr>
        <w:t xml:space="preserve"> </w:t>
      </w:r>
      <w:r w:rsidR="00281DFD" w:rsidRPr="00281DFD">
        <w:rPr>
          <w:lang w:val="en-US"/>
        </w:rPr>
        <w:t>1979</w:t>
      </w:r>
      <w:r w:rsidR="008443B2">
        <w:rPr>
          <w:lang w:val="en-US"/>
        </w:rPr>
        <w:t>, ch. 2</w:t>
      </w:r>
      <w:r>
        <w:rPr>
          <w:lang w:val="en-US"/>
        </w:rPr>
        <w:t xml:space="preserve">). </w:t>
      </w:r>
      <w:r w:rsidRPr="007E3568">
        <w:rPr>
          <w:lang w:val="en-US"/>
        </w:rPr>
        <w:t xml:space="preserve">Ulysses had </w:t>
      </w:r>
      <w:r>
        <w:rPr>
          <w:lang w:val="en-US"/>
        </w:rPr>
        <w:t>his crew tie him</w:t>
      </w:r>
      <w:r w:rsidRPr="007E3568">
        <w:rPr>
          <w:lang w:val="en-US"/>
        </w:rPr>
        <w:t xml:space="preserve"> to the </w:t>
      </w:r>
      <w:r>
        <w:rPr>
          <w:lang w:val="en-US"/>
        </w:rPr>
        <w:t>mast</w:t>
      </w:r>
      <w:r w:rsidR="00AA3714">
        <w:rPr>
          <w:lang w:val="en-US"/>
        </w:rPr>
        <w:t>,</w:t>
      </w:r>
      <w:r>
        <w:rPr>
          <w:lang w:val="en-US"/>
        </w:rPr>
        <w:t xml:space="preserve"> for the purpose of</w:t>
      </w:r>
      <w:r w:rsidRPr="007E3568">
        <w:rPr>
          <w:lang w:val="en-US"/>
        </w:rPr>
        <w:t xml:space="preserve"> enjoy</w:t>
      </w:r>
      <w:r>
        <w:rPr>
          <w:lang w:val="en-US"/>
        </w:rPr>
        <w:t>ing the voices</w:t>
      </w:r>
      <w:r w:rsidR="00AA3714">
        <w:rPr>
          <w:lang w:val="en-US"/>
        </w:rPr>
        <w:t xml:space="preserve"> of the sirens and</w:t>
      </w:r>
      <w:r>
        <w:rPr>
          <w:lang w:val="en-US"/>
        </w:rPr>
        <w:t xml:space="preserve"> </w:t>
      </w:r>
      <w:r w:rsidRPr="007E3568">
        <w:rPr>
          <w:lang w:val="en-US"/>
        </w:rPr>
        <w:t>resist</w:t>
      </w:r>
      <w:r>
        <w:rPr>
          <w:lang w:val="en-US"/>
        </w:rPr>
        <w:t>ing</w:t>
      </w:r>
      <w:r w:rsidRPr="007E3568">
        <w:rPr>
          <w:lang w:val="en-US"/>
        </w:rPr>
        <w:t xml:space="preserve"> the temptation to throw himself towards them</w:t>
      </w:r>
      <w:r>
        <w:rPr>
          <w:lang w:val="en-US"/>
        </w:rPr>
        <w:t xml:space="preserve"> (dying on the rocky cliffs as a result)</w:t>
      </w:r>
      <w:r w:rsidRPr="007E3568">
        <w:rPr>
          <w:lang w:val="en-US"/>
        </w:rPr>
        <w:t>.</w:t>
      </w:r>
      <w:r w:rsidR="000F7035">
        <w:rPr>
          <w:lang w:val="en-US"/>
        </w:rPr>
        <w:t xml:space="preserve"> Why </w:t>
      </w:r>
      <w:r w:rsidR="00AA3714">
        <w:rPr>
          <w:lang w:val="en-US"/>
        </w:rPr>
        <w:t xml:space="preserve">are </w:t>
      </w:r>
      <w:r w:rsidR="000F7035">
        <w:rPr>
          <w:lang w:val="en-US"/>
        </w:rPr>
        <w:t>the cases different? First, Ulysses’</w:t>
      </w:r>
      <w:r w:rsidR="000F7035" w:rsidRPr="000F7035">
        <w:rPr>
          <w:lang w:val="en-US"/>
        </w:rPr>
        <w:t xml:space="preserve"> preferences </w:t>
      </w:r>
      <w:r w:rsidR="000F7035">
        <w:rPr>
          <w:lang w:val="en-US"/>
        </w:rPr>
        <w:t>were</w:t>
      </w:r>
      <w:r w:rsidR="000F7035" w:rsidRPr="000F7035">
        <w:rPr>
          <w:lang w:val="en-US"/>
        </w:rPr>
        <w:t xml:space="preserve"> substantially</w:t>
      </w:r>
      <w:r w:rsidR="000F7035">
        <w:rPr>
          <w:lang w:val="en-US"/>
        </w:rPr>
        <w:t xml:space="preserve"> self-regarding, as in the case of the person concerned about foo</w:t>
      </w:r>
      <w:r w:rsidR="00AA3714">
        <w:rPr>
          <w:lang w:val="en-US"/>
        </w:rPr>
        <w:t xml:space="preserve">d, whereas Armido’s were </w:t>
      </w:r>
      <w:r w:rsidR="000F7035">
        <w:rPr>
          <w:lang w:val="en-US"/>
        </w:rPr>
        <w:t>other-regarding</w:t>
      </w:r>
      <w:r w:rsidR="00AA3714">
        <w:rPr>
          <w:lang w:val="en-US"/>
        </w:rPr>
        <w:t xml:space="preserve"> (or also so)</w:t>
      </w:r>
      <w:r w:rsidR="000F7035">
        <w:rPr>
          <w:lang w:val="en-US"/>
        </w:rPr>
        <w:t>. Ulysses wanted to enjoy the singing of the sirens, he wanted this for his own pleasure</w:t>
      </w:r>
      <w:r w:rsidR="00AA3714">
        <w:rPr>
          <w:lang w:val="en-US"/>
        </w:rPr>
        <w:t xml:space="preserve"> and pride</w:t>
      </w:r>
      <w:r w:rsidR="000F7035">
        <w:rPr>
          <w:lang w:val="en-US"/>
        </w:rPr>
        <w:t xml:space="preserve">. Armido was concerned about becoming bad and harming others. Second, </w:t>
      </w:r>
      <w:r w:rsidR="000F7035" w:rsidRPr="000F7035">
        <w:rPr>
          <w:lang w:val="en-US"/>
        </w:rPr>
        <w:t xml:space="preserve">the </w:t>
      </w:r>
      <w:r w:rsidR="000F7035">
        <w:rPr>
          <w:lang w:val="en-US"/>
        </w:rPr>
        <w:t xml:space="preserve">remarkably </w:t>
      </w:r>
      <w:r w:rsidR="000F7035" w:rsidRPr="000F7035">
        <w:rPr>
          <w:lang w:val="en-US"/>
        </w:rPr>
        <w:t xml:space="preserve">ingenious </w:t>
      </w:r>
      <w:r w:rsidR="000F7035">
        <w:rPr>
          <w:lang w:val="en-US"/>
        </w:rPr>
        <w:t>feature in Ulysses’ story is that he managed</w:t>
      </w:r>
      <w:r w:rsidR="000F7035" w:rsidRPr="000F7035">
        <w:rPr>
          <w:lang w:val="en-US"/>
        </w:rPr>
        <w:t xml:space="preserve"> to achieve the </w:t>
      </w:r>
      <w:r w:rsidR="00AA3714">
        <w:rPr>
          <w:lang w:val="en-US"/>
        </w:rPr>
        <w:t xml:space="preserve">relevant </w:t>
      </w:r>
      <w:r w:rsidR="004F71E8">
        <w:rPr>
          <w:lang w:val="en-US"/>
        </w:rPr>
        <w:t>goal without its</w:t>
      </w:r>
      <w:r w:rsidR="000F7035" w:rsidRPr="000F7035">
        <w:rPr>
          <w:lang w:val="en-US"/>
        </w:rPr>
        <w:t xml:space="preserve"> negative consequences </w:t>
      </w:r>
      <w:r w:rsidR="00AA3714">
        <w:rPr>
          <w:lang w:val="en-US"/>
        </w:rPr>
        <w:t>(</w:t>
      </w:r>
      <w:r w:rsidR="000F7035" w:rsidRPr="000F7035">
        <w:rPr>
          <w:lang w:val="en-US"/>
        </w:rPr>
        <w:t>for him</w:t>
      </w:r>
      <w:r w:rsidR="00AA3714">
        <w:rPr>
          <w:lang w:val="en-US"/>
        </w:rPr>
        <w:t>)</w:t>
      </w:r>
      <w:r w:rsidR="000F7035" w:rsidRPr="000F7035">
        <w:rPr>
          <w:lang w:val="en-US"/>
        </w:rPr>
        <w:t>.</w:t>
      </w:r>
      <w:r w:rsidR="000F7035" w:rsidRPr="000F7035">
        <w:t xml:space="preserve"> </w:t>
      </w:r>
      <w:r w:rsidR="000F7035">
        <w:rPr>
          <w:lang w:val="en-US"/>
        </w:rPr>
        <w:t xml:space="preserve">Whereas Armido </w:t>
      </w:r>
      <w:r w:rsidR="004F6B14">
        <w:rPr>
          <w:lang w:val="en-US"/>
        </w:rPr>
        <w:t>avoided</w:t>
      </w:r>
      <w:r w:rsidR="004F71E8">
        <w:rPr>
          <w:lang w:val="en-US"/>
        </w:rPr>
        <w:t xml:space="preserve"> drinking to avoid its</w:t>
      </w:r>
      <w:r w:rsidR="000F7035" w:rsidRPr="000F7035">
        <w:rPr>
          <w:lang w:val="en-US"/>
        </w:rPr>
        <w:t xml:space="preserve"> bad consequences </w:t>
      </w:r>
      <w:r w:rsidR="00AA3714">
        <w:rPr>
          <w:lang w:val="en-US"/>
        </w:rPr>
        <w:t>(</w:t>
      </w:r>
      <w:r w:rsidR="000F7035" w:rsidRPr="000F7035">
        <w:rPr>
          <w:lang w:val="en-US"/>
        </w:rPr>
        <w:t>for others</w:t>
      </w:r>
      <w:r w:rsidR="00AA3714">
        <w:rPr>
          <w:lang w:val="en-US"/>
        </w:rPr>
        <w:t>)</w:t>
      </w:r>
      <w:r w:rsidR="004F6B14">
        <w:rPr>
          <w:lang w:val="en-US"/>
        </w:rPr>
        <w:t>.</w:t>
      </w:r>
      <w:r w:rsidR="00AA3714">
        <w:rPr>
          <w:lang w:val="en-US"/>
        </w:rPr>
        <w:t xml:space="preserve"> To put it differently, Ulysses got the benefits without the costs, while Armido opted for the lesser costs.</w:t>
      </w:r>
      <w:r w:rsidR="00542E91">
        <w:rPr>
          <w:lang w:val="en-US"/>
        </w:rPr>
        <w:t xml:space="preserve"> Third, Ulysses succeeded in his intent thanks to a precommitment that required</w:t>
      </w:r>
      <w:r w:rsidR="00542E91" w:rsidRPr="00542E91">
        <w:rPr>
          <w:lang w:val="en-US"/>
        </w:rPr>
        <w:t xml:space="preserve"> </w:t>
      </w:r>
      <w:r w:rsidR="00542E91">
        <w:rPr>
          <w:lang w:val="en-US"/>
        </w:rPr>
        <w:t xml:space="preserve">a </w:t>
      </w:r>
      <w:r w:rsidR="00542E91" w:rsidRPr="00542E91">
        <w:rPr>
          <w:lang w:val="en-US"/>
        </w:rPr>
        <w:t>specific social coordination (w</w:t>
      </w:r>
      <w:r w:rsidR="00542E91">
        <w:rPr>
          <w:lang w:val="en-US"/>
        </w:rPr>
        <w:t>ith his crew), while Armido acted on his own.</w:t>
      </w:r>
    </w:p>
    <w:p w14:paraId="4B6836C9" w14:textId="7B1D2C9C" w:rsidR="00506F84" w:rsidRDefault="00506F84">
      <w:pPr>
        <w:rPr>
          <w:lang w:val="en-US"/>
        </w:rPr>
      </w:pPr>
      <w:r w:rsidRPr="00506F84">
        <w:rPr>
          <w:lang w:val="en-US"/>
        </w:rPr>
        <w:t>If we now consider the law, we can find several situations in which legal strategies to avoid certain negative consequenc</w:t>
      </w:r>
      <w:r>
        <w:rPr>
          <w:lang w:val="en-US"/>
        </w:rPr>
        <w:t>es look more like a form of precommitment than of nu</w:t>
      </w:r>
      <w:r w:rsidRPr="00506F84">
        <w:rPr>
          <w:lang w:val="en-US"/>
        </w:rPr>
        <w:t>dging.</w:t>
      </w:r>
      <w:r w:rsidR="00087F2F">
        <w:rPr>
          <w:lang w:val="en-US"/>
        </w:rPr>
        <w:t xml:space="preserve"> In some respects, they resemble Armido’s story since they are motivated by other-r</w:t>
      </w:r>
      <w:r w:rsidR="00A136A1">
        <w:rPr>
          <w:lang w:val="en-US"/>
        </w:rPr>
        <w:t xml:space="preserve">egarding preferences (or also by them), and </w:t>
      </w:r>
      <w:r w:rsidR="00087F2F" w:rsidRPr="00087F2F">
        <w:rPr>
          <w:lang w:val="en-US"/>
        </w:rPr>
        <w:t>cons</w:t>
      </w:r>
      <w:r w:rsidR="004F71E8">
        <w:rPr>
          <w:lang w:val="en-US"/>
        </w:rPr>
        <w:t>ist in choosing the lesser evil</w:t>
      </w:r>
      <w:r w:rsidR="00087F2F" w:rsidRPr="00087F2F">
        <w:rPr>
          <w:lang w:val="en-US"/>
        </w:rPr>
        <w:t xml:space="preserve"> </w:t>
      </w:r>
      <w:r w:rsidR="00087F2F">
        <w:rPr>
          <w:lang w:val="en-US"/>
        </w:rPr>
        <w:t>or</w:t>
      </w:r>
      <w:r w:rsidR="00B709C8">
        <w:rPr>
          <w:lang w:val="en-US"/>
        </w:rPr>
        <w:t xml:space="preserve"> </w:t>
      </w:r>
      <w:r w:rsidR="00087F2F">
        <w:rPr>
          <w:lang w:val="en-US"/>
        </w:rPr>
        <w:t>lesser</w:t>
      </w:r>
      <w:r w:rsidR="00087F2F" w:rsidRPr="00087F2F">
        <w:rPr>
          <w:lang w:val="en-US"/>
        </w:rPr>
        <w:t xml:space="preserve"> cost</w:t>
      </w:r>
      <w:r w:rsidR="00087F2F">
        <w:rPr>
          <w:lang w:val="en-US"/>
        </w:rPr>
        <w:t>. In other respects, they resemble Ulysses’ story because they require a form of social (and legal) coordination among agents.</w:t>
      </w:r>
    </w:p>
    <w:p w14:paraId="6C4996B8" w14:textId="77777777" w:rsidR="00BA336D" w:rsidRDefault="00087F2F">
      <w:pPr>
        <w:rPr>
          <w:lang w:val="en-US"/>
        </w:rPr>
      </w:pPr>
      <w:r>
        <w:rPr>
          <w:lang w:val="en-US"/>
        </w:rPr>
        <w:t>Specifically, I wish to focus on constitutions as fundamental legal documents and tools that, among other things, play a precommitment role.</w:t>
      </w:r>
    </w:p>
    <w:p w14:paraId="56D7772C" w14:textId="6916822C" w:rsidR="00956C81" w:rsidRDefault="00BA336D">
      <w:pPr>
        <w:rPr>
          <w:lang w:val="en-US"/>
        </w:rPr>
      </w:pPr>
      <w:r w:rsidRPr="00BA336D">
        <w:rPr>
          <w:lang w:val="en-US"/>
        </w:rPr>
        <w:t>Very broadly</w:t>
      </w:r>
      <w:r>
        <w:rPr>
          <w:lang w:val="en-US"/>
        </w:rPr>
        <w:t xml:space="preserve"> speaking, constitutions design</w:t>
      </w:r>
      <w:r w:rsidRPr="00BA336D">
        <w:rPr>
          <w:lang w:val="en-US"/>
        </w:rPr>
        <w:t xml:space="preserve"> the fundamental institutional structures of a society and its legal system.</w:t>
      </w:r>
      <w:r w:rsidR="00087F2F">
        <w:rPr>
          <w:lang w:val="en-US"/>
        </w:rPr>
        <w:t xml:space="preserve"> </w:t>
      </w:r>
      <w:r>
        <w:rPr>
          <w:lang w:val="en-US"/>
        </w:rPr>
        <w:t xml:space="preserve">Most notably they provide for the branches of government (legislative, executive and judiciary, in the classical </w:t>
      </w:r>
      <w:r w:rsidRPr="00BA336D">
        <w:rPr>
          <w:lang w:val="en-US"/>
        </w:rPr>
        <w:t>doctrine of separation of powers</w:t>
      </w:r>
      <w:r>
        <w:rPr>
          <w:lang w:val="en-US"/>
        </w:rPr>
        <w:t xml:space="preserve">) and point out what the fundamental </w:t>
      </w:r>
      <w:r>
        <w:rPr>
          <w:lang w:val="en-US"/>
        </w:rPr>
        <w:lastRenderedPageBreak/>
        <w:t>values and principles of the system are</w:t>
      </w:r>
      <w:r w:rsidR="005D7504">
        <w:rPr>
          <w:lang w:val="en-US"/>
        </w:rPr>
        <w:t xml:space="preserve"> (establishing fundamental rights</w:t>
      </w:r>
      <w:r w:rsidR="00A158C9" w:rsidRPr="00A158C9">
        <w:rPr>
          <w:lang w:val="en-US"/>
        </w:rPr>
        <w:t xml:space="preserve"> </w:t>
      </w:r>
      <w:r w:rsidR="00A158C9">
        <w:rPr>
          <w:lang w:val="en-US"/>
        </w:rPr>
        <w:t>especially</w:t>
      </w:r>
      <w:r w:rsidR="005D7504">
        <w:rPr>
          <w:lang w:val="en-US"/>
        </w:rPr>
        <w:t>)</w:t>
      </w:r>
      <w:r>
        <w:rPr>
          <w:lang w:val="en-US"/>
        </w:rPr>
        <w:t xml:space="preserve">. As an interesting </w:t>
      </w:r>
      <w:r w:rsidR="009B7A6D">
        <w:rPr>
          <w:lang w:val="en-US"/>
        </w:rPr>
        <w:t>relationship</w:t>
      </w:r>
      <w:r w:rsidR="00446BC1">
        <w:rPr>
          <w:lang w:val="en-US"/>
        </w:rPr>
        <w:t xml:space="preserve"> between these two things, it</w:t>
      </w:r>
      <w:r w:rsidR="00446BC1" w:rsidRPr="00446BC1">
        <w:rPr>
          <w:lang w:val="en-US"/>
        </w:rPr>
        <w:t xml:space="preserve"> happens that a constitution places limits of content (not only of form) on the normative production of one or more of the fundamental </w:t>
      </w:r>
      <w:r w:rsidR="00B85BBD">
        <w:rPr>
          <w:lang w:val="en-US"/>
        </w:rPr>
        <w:t>bodies</w:t>
      </w:r>
      <w:r w:rsidR="00446BC1" w:rsidRPr="00446BC1">
        <w:rPr>
          <w:lang w:val="en-US"/>
        </w:rPr>
        <w:t xml:space="preserve"> or structures of the system</w:t>
      </w:r>
      <w:r w:rsidR="00446BC1">
        <w:rPr>
          <w:lang w:val="en-US"/>
        </w:rPr>
        <w:t xml:space="preserve">. </w:t>
      </w:r>
      <w:r w:rsidR="00446BC1" w:rsidRPr="00446BC1">
        <w:rPr>
          <w:lang w:val="en-US"/>
        </w:rPr>
        <w:t xml:space="preserve">Legislation is typically </w:t>
      </w:r>
      <w:r w:rsidR="00446BC1">
        <w:rPr>
          <w:lang w:val="en-US"/>
        </w:rPr>
        <w:t>affected by this</w:t>
      </w:r>
      <w:r w:rsidR="00446BC1" w:rsidRPr="00446BC1">
        <w:rPr>
          <w:lang w:val="en-US"/>
        </w:rPr>
        <w:t>, when supreme constitutional values ​​prevent legislative deliberat</w:t>
      </w:r>
      <w:r w:rsidR="004F71E8">
        <w:rPr>
          <w:lang w:val="en-US"/>
        </w:rPr>
        <w:t>ion from having certain contents</w:t>
      </w:r>
      <w:r w:rsidR="00446BC1" w:rsidRPr="00446BC1">
        <w:rPr>
          <w:lang w:val="en-US"/>
        </w:rPr>
        <w:t xml:space="preserve"> (even following a democratic process)</w:t>
      </w:r>
      <w:r w:rsidR="00446BC1">
        <w:rPr>
          <w:lang w:val="en-US"/>
        </w:rPr>
        <w:t xml:space="preserve">. </w:t>
      </w:r>
      <w:r w:rsidR="00446BC1" w:rsidRPr="00446BC1">
        <w:rPr>
          <w:lang w:val="en-US"/>
        </w:rPr>
        <w:t>To ill</w:t>
      </w:r>
      <w:r w:rsidR="00446BC1">
        <w:rPr>
          <w:lang w:val="en-US"/>
        </w:rPr>
        <w:t>ustrate the point, imagine a statute</w:t>
      </w:r>
      <w:r w:rsidR="00446BC1" w:rsidRPr="00446BC1">
        <w:rPr>
          <w:lang w:val="en-US"/>
        </w:rPr>
        <w:t xml:space="preserve"> that is racially </w:t>
      </w:r>
      <w:r w:rsidR="00B915C9">
        <w:rPr>
          <w:lang w:val="en-US"/>
        </w:rPr>
        <w:t>or religiously discriminatory within</w:t>
      </w:r>
      <w:r w:rsidR="00446BC1" w:rsidRPr="00446BC1">
        <w:rPr>
          <w:lang w:val="en-US"/>
        </w:rPr>
        <w:t xml:space="preserve"> a system where equality in those respects is constitutionally protected.</w:t>
      </w:r>
      <w:r w:rsidR="00446BC1">
        <w:rPr>
          <w:lang w:val="en-US"/>
        </w:rPr>
        <w:t xml:space="preserve"> Or imagine a statute</w:t>
      </w:r>
      <w:r w:rsidR="00446BC1" w:rsidRPr="00446BC1">
        <w:rPr>
          <w:lang w:val="en-US"/>
        </w:rPr>
        <w:t xml:space="preserve"> that violat</w:t>
      </w:r>
      <w:r w:rsidR="00446BC1">
        <w:rPr>
          <w:lang w:val="en-US"/>
        </w:rPr>
        <w:t>es the dignity of certain individuals</w:t>
      </w:r>
      <w:r w:rsidR="00446BC1" w:rsidRPr="00446BC1">
        <w:rPr>
          <w:lang w:val="en-US"/>
        </w:rPr>
        <w:t xml:space="preserve"> in a constitutional system that elects personal dignity as a fundamental value.</w:t>
      </w:r>
      <w:r w:rsidR="00235BF4">
        <w:rPr>
          <w:lang w:val="en-US"/>
        </w:rPr>
        <w:t xml:space="preserve"> That</w:t>
      </w:r>
      <w:r w:rsidR="002A2AC9">
        <w:rPr>
          <w:lang w:val="en-US"/>
        </w:rPr>
        <w:t xml:space="preserve"> is forbidden content.</w:t>
      </w:r>
      <w:r w:rsidR="008850E0">
        <w:rPr>
          <w:lang w:val="en-US"/>
        </w:rPr>
        <w:t xml:space="preserve"> </w:t>
      </w:r>
      <w:r w:rsidR="00E816C0">
        <w:rPr>
          <w:lang w:val="en-US"/>
        </w:rPr>
        <w:t>Judicial review and</w:t>
      </w:r>
      <w:r w:rsidR="00A772BC">
        <w:rPr>
          <w:lang w:val="en-US"/>
        </w:rPr>
        <w:t xml:space="preserve"> </w:t>
      </w:r>
      <w:r w:rsidR="00401407">
        <w:rPr>
          <w:lang w:val="en-US"/>
        </w:rPr>
        <w:t>t</w:t>
      </w:r>
      <w:r w:rsidR="008850E0">
        <w:rPr>
          <w:lang w:val="en-US"/>
        </w:rPr>
        <w:t>he role of a constitutional court is what</w:t>
      </w:r>
      <w:r w:rsidR="008850E0" w:rsidRPr="008850E0">
        <w:rPr>
          <w:lang w:val="en-US"/>
        </w:rPr>
        <w:t xml:space="preserve"> guarantee</w:t>
      </w:r>
      <w:r w:rsidR="008850E0">
        <w:rPr>
          <w:lang w:val="en-US"/>
        </w:rPr>
        <w:t>s</w:t>
      </w:r>
      <w:r w:rsidR="008850E0" w:rsidRPr="008850E0">
        <w:rPr>
          <w:lang w:val="en-US"/>
        </w:rPr>
        <w:t xml:space="preserve">, </w:t>
      </w:r>
      <w:r w:rsidR="004F71E8">
        <w:rPr>
          <w:lang w:val="en-US"/>
        </w:rPr>
        <w:t>in the system’s design</w:t>
      </w:r>
      <w:r w:rsidR="008850E0" w:rsidRPr="008850E0">
        <w:rPr>
          <w:lang w:val="en-US"/>
        </w:rPr>
        <w:t>, the effectiveness of control</w:t>
      </w:r>
      <w:r w:rsidR="008850E0">
        <w:rPr>
          <w:lang w:val="en-US"/>
        </w:rPr>
        <w:t>. And, more generally speaking, a minimum of coordination between t</w:t>
      </w:r>
      <w:r w:rsidR="004941F2">
        <w:rPr>
          <w:lang w:val="en-US"/>
        </w:rPr>
        <w:t>he relevant bodies or agents</w:t>
      </w:r>
      <w:r w:rsidR="008850E0">
        <w:rPr>
          <w:lang w:val="en-US"/>
        </w:rPr>
        <w:t xml:space="preserve"> is needed for the system of operate.</w:t>
      </w:r>
      <w:r w:rsidR="004D6FD3">
        <w:rPr>
          <w:lang w:val="en-US"/>
        </w:rPr>
        <w:t xml:space="preserve"> This brings about its own costs that must not be neglected</w:t>
      </w:r>
      <w:r w:rsidR="00A158C9">
        <w:rPr>
          <w:lang w:val="en-US"/>
        </w:rPr>
        <w:t>, by the way</w:t>
      </w:r>
      <w:bookmarkStart w:id="0" w:name="_GoBack"/>
      <w:bookmarkEnd w:id="0"/>
      <w:r w:rsidR="004D6FD3">
        <w:rPr>
          <w:lang w:val="en-US"/>
        </w:rPr>
        <w:t>.</w:t>
      </w:r>
    </w:p>
    <w:p w14:paraId="12DB35C3" w14:textId="76EEB2C5" w:rsidR="00B85BBD" w:rsidRDefault="009B7A6D">
      <w:pPr>
        <w:rPr>
          <w:lang w:val="en-US"/>
        </w:rPr>
      </w:pPr>
      <w:r>
        <w:rPr>
          <w:lang w:val="en-US"/>
        </w:rPr>
        <w:t>T</w:t>
      </w:r>
      <w:r w:rsidRPr="009B7A6D">
        <w:rPr>
          <w:lang w:val="en-US"/>
        </w:rPr>
        <w:t xml:space="preserve">he usual </w:t>
      </w:r>
      <w:r w:rsidR="00B85BBD">
        <w:rPr>
          <w:lang w:val="en-US"/>
        </w:rPr>
        <w:t>objection to</w:t>
      </w:r>
      <w:r w:rsidRPr="009B7A6D">
        <w:rPr>
          <w:lang w:val="en-US"/>
        </w:rPr>
        <w:t xml:space="preserve"> such limits is that they are a constraint on the majoritarian principle underlying democracy</w:t>
      </w:r>
      <w:r w:rsidR="00EE1DF6">
        <w:rPr>
          <w:lang w:val="en-US"/>
        </w:rPr>
        <w:t xml:space="preserve"> (</w:t>
      </w:r>
      <w:r w:rsidR="00AD7A66">
        <w:rPr>
          <w:lang w:val="en-US"/>
        </w:rPr>
        <w:t xml:space="preserve">Holmes 1988; </w:t>
      </w:r>
      <w:r w:rsidR="008443B2">
        <w:rPr>
          <w:lang w:val="en-US"/>
        </w:rPr>
        <w:t>Marmor 2005, ch. 9</w:t>
      </w:r>
      <w:r w:rsidR="00EE1DF6">
        <w:rPr>
          <w:lang w:val="en-US"/>
        </w:rPr>
        <w:t>; Waldron 2006</w:t>
      </w:r>
      <w:r w:rsidR="00B85BBD">
        <w:rPr>
          <w:lang w:val="en-US"/>
        </w:rPr>
        <w:t>). Moreover, they are an attempt to constrain</w:t>
      </w:r>
      <w:r w:rsidR="00B85BBD" w:rsidRPr="00B85BBD">
        <w:rPr>
          <w:lang w:val="en-US"/>
        </w:rPr>
        <w:t xml:space="preserve"> the deliberations not only of current bodies but also of future ones. In this sense, it is very clear that </w:t>
      </w:r>
      <w:r w:rsidR="00A87FF1">
        <w:rPr>
          <w:lang w:val="en-US"/>
        </w:rPr>
        <w:t>it</w:t>
      </w:r>
      <w:r w:rsidR="00B85BBD">
        <w:rPr>
          <w:lang w:val="en-US"/>
        </w:rPr>
        <w:t xml:space="preserve"> is a pre</w:t>
      </w:r>
      <w:r w:rsidR="00B85BBD" w:rsidRPr="00B85BBD">
        <w:rPr>
          <w:lang w:val="en-US"/>
        </w:rPr>
        <w:t>commitment strategy.</w:t>
      </w:r>
      <w:r w:rsidR="00B85BBD">
        <w:rPr>
          <w:lang w:val="en-US"/>
        </w:rPr>
        <w:t xml:space="preserve"> </w:t>
      </w:r>
      <w:r w:rsidR="00235BF4">
        <w:rPr>
          <w:lang w:val="en-US"/>
        </w:rPr>
        <w:t>Now t</w:t>
      </w:r>
      <w:r w:rsidR="00B85BBD">
        <w:rPr>
          <w:lang w:val="en-US"/>
        </w:rPr>
        <w:t xml:space="preserve">he counterargument </w:t>
      </w:r>
      <w:r w:rsidR="00B709C8">
        <w:rPr>
          <w:lang w:val="en-US"/>
        </w:rPr>
        <w:t>to this</w:t>
      </w:r>
      <w:r w:rsidR="00607380">
        <w:rPr>
          <w:lang w:val="en-US"/>
        </w:rPr>
        <w:t xml:space="preserve"> objection </w:t>
      </w:r>
      <w:r w:rsidR="00B85BBD">
        <w:rPr>
          <w:lang w:val="en-US"/>
        </w:rPr>
        <w:t xml:space="preserve">is that </w:t>
      </w:r>
      <w:r w:rsidR="00607380">
        <w:rPr>
          <w:lang w:val="en-US"/>
        </w:rPr>
        <w:t>there is truth in it</w:t>
      </w:r>
      <w:r w:rsidR="008050D7">
        <w:rPr>
          <w:lang w:val="en-US"/>
        </w:rPr>
        <w:t>, and yet</w:t>
      </w:r>
      <w:r w:rsidR="00607380">
        <w:rPr>
          <w:lang w:val="en-US"/>
        </w:rPr>
        <w:t xml:space="preserve"> that constraint</w:t>
      </w:r>
      <w:r w:rsidR="00B85BBD" w:rsidRPr="00B85BBD">
        <w:rPr>
          <w:lang w:val="en-US"/>
        </w:rPr>
        <w:t xml:space="preserve"> is a </w:t>
      </w:r>
      <w:r w:rsidR="00B85BBD">
        <w:rPr>
          <w:lang w:val="en-US"/>
        </w:rPr>
        <w:t>lesser cost compared to the worse</w:t>
      </w:r>
      <w:r w:rsidR="00B85BBD" w:rsidRPr="00B85BBD">
        <w:rPr>
          <w:lang w:val="en-US"/>
        </w:rPr>
        <w:t xml:space="preserve"> consequences that could be produced in a system without</w:t>
      </w:r>
      <w:r w:rsidR="00B85BBD">
        <w:rPr>
          <w:lang w:val="en-US"/>
        </w:rPr>
        <w:t xml:space="preserve"> such</w:t>
      </w:r>
      <w:r w:rsidR="00B85BBD" w:rsidRPr="00B85BBD">
        <w:rPr>
          <w:lang w:val="en-US"/>
        </w:rPr>
        <w:t xml:space="preserve"> limits</w:t>
      </w:r>
      <w:r w:rsidR="00B85BBD">
        <w:rPr>
          <w:lang w:val="en-US"/>
        </w:rPr>
        <w:t xml:space="preserve">. </w:t>
      </w:r>
      <w:r w:rsidR="00B85BBD" w:rsidRPr="00B85BBD">
        <w:rPr>
          <w:lang w:val="en-US"/>
        </w:rPr>
        <w:t xml:space="preserve">In an </w:t>
      </w:r>
      <w:r w:rsidR="00B85BBD">
        <w:rPr>
          <w:lang w:val="en-US"/>
        </w:rPr>
        <w:t>age</w:t>
      </w:r>
      <w:r w:rsidR="00B85BBD" w:rsidRPr="00B85BBD">
        <w:rPr>
          <w:lang w:val="en-US"/>
        </w:rPr>
        <w:t xml:space="preserve"> of populism, fake news, </w:t>
      </w:r>
      <w:r w:rsidR="008050D7">
        <w:rPr>
          <w:lang w:val="en-US"/>
        </w:rPr>
        <w:t>te</w:t>
      </w:r>
      <w:r w:rsidR="00235BF4">
        <w:rPr>
          <w:lang w:val="en-US"/>
        </w:rPr>
        <w:t>mptation of illiberal democracy,</w:t>
      </w:r>
      <w:r w:rsidR="008050D7">
        <w:rPr>
          <w:lang w:val="en-US"/>
        </w:rPr>
        <w:t xml:space="preserve"> </w:t>
      </w:r>
      <w:r w:rsidR="00B85BBD" w:rsidRPr="00B85BBD">
        <w:rPr>
          <w:lang w:val="en-US"/>
        </w:rPr>
        <w:t>etc.</w:t>
      </w:r>
      <w:r w:rsidR="008050D7">
        <w:rPr>
          <w:lang w:val="en-US"/>
        </w:rPr>
        <w:t>,</w:t>
      </w:r>
      <w:r w:rsidR="00B85BBD" w:rsidRPr="00B85BBD">
        <w:rPr>
          <w:lang w:val="en-US"/>
        </w:rPr>
        <w:t xml:space="preserve"> this counterargument has particular value.</w:t>
      </w:r>
      <w:r w:rsidR="00607380">
        <w:rPr>
          <w:lang w:val="en-US"/>
        </w:rPr>
        <w:t xml:space="preserve"> Anti-majoritarian constraints </w:t>
      </w:r>
      <w:r w:rsidR="00607380" w:rsidRPr="00607380">
        <w:rPr>
          <w:lang w:val="en-US"/>
        </w:rPr>
        <w:t>preserve the values ​​of a society much better</w:t>
      </w:r>
      <w:r w:rsidR="00607380">
        <w:rPr>
          <w:lang w:val="en-US"/>
        </w:rPr>
        <w:t xml:space="preserve"> than a majoritarian system</w:t>
      </w:r>
      <w:r w:rsidR="00607380" w:rsidRPr="00607380">
        <w:rPr>
          <w:lang w:val="en-US"/>
        </w:rPr>
        <w:t xml:space="preserve">, </w:t>
      </w:r>
      <w:r w:rsidR="00607380">
        <w:rPr>
          <w:lang w:val="en-US"/>
        </w:rPr>
        <w:t>even if they reduce the deliberative space</w:t>
      </w:r>
      <w:r w:rsidR="00607380" w:rsidRPr="00607380">
        <w:rPr>
          <w:lang w:val="en-US"/>
        </w:rPr>
        <w:t xml:space="preserve"> of present and future authorities</w:t>
      </w:r>
      <w:r w:rsidR="00607380">
        <w:rPr>
          <w:lang w:val="en-US"/>
        </w:rPr>
        <w:t>.</w:t>
      </w:r>
    </w:p>
    <w:p w14:paraId="76AEEBAB" w14:textId="0AD045D4" w:rsidR="008050D7" w:rsidRDefault="008050D7">
      <w:pPr>
        <w:rPr>
          <w:lang w:val="en-US"/>
        </w:rPr>
      </w:pPr>
      <w:r>
        <w:rPr>
          <w:lang w:val="en-US"/>
        </w:rPr>
        <w:t xml:space="preserve">However, here comes a difference with the food, wine, and singing examples above: it must be observed that a constitutional precommitment </w:t>
      </w:r>
      <w:r w:rsidR="00950365">
        <w:rPr>
          <w:lang w:val="en-US"/>
        </w:rPr>
        <w:t>binds not only the present generation and lawmakers, but also the future ones. It is allegedly for the purpose of their own good, but it marks a difference with the previous examples</w:t>
      </w:r>
      <w:r w:rsidR="000A6403">
        <w:rPr>
          <w:lang w:val="en-US"/>
        </w:rPr>
        <w:t xml:space="preserve"> (Elster 2000)</w:t>
      </w:r>
      <w:r w:rsidR="00950365">
        <w:rPr>
          <w:lang w:val="en-US"/>
        </w:rPr>
        <w:t xml:space="preserve">. </w:t>
      </w:r>
      <w:r w:rsidR="00043570">
        <w:rPr>
          <w:lang w:val="en-US"/>
        </w:rPr>
        <w:t>It is a paternalist</w:t>
      </w:r>
      <w:r w:rsidR="00ED0218">
        <w:rPr>
          <w:lang w:val="en-US"/>
        </w:rPr>
        <w:t xml:space="preserve"> strategy. </w:t>
      </w:r>
      <w:r w:rsidR="00950365">
        <w:rPr>
          <w:lang w:val="en-US"/>
        </w:rPr>
        <w:t>The only argument to rebut this</w:t>
      </w:r>
      <w:r w:rsidR="00043570">
        <w:rPr>
          <w:lang w:val="en-US"/>
        </w:rPr>
        <w:t xml:space="preserve"> would consist in saying that the affected subject</w:t>
      </w:r>
      <w:r w:rsidR="00950365">
        <w:rPr>
          <w:lang w:val="en-US"/>
        </w:rPr>
        <w:t xml:space="preserve"> continues to be the same society, through different generations, legislatures, etc. But it is rather artificial to claim that 1948 Italy is the same as 2025 Italy, or America in 1789 is the same as it is now. </w:t>
      </w:r>
    </w:p>
    <w:p w14:paraId="30442230" w14:textId="40560C69" w:rsidR="00495838" w:rsidRDefault="00495838">
      <w:pPr>
        <w:rPr>
          <w:lang w:val="en-US"/>
        </w:rPr>
      </w:pPr>
      <w:r>
        <w:rPr>
          <w:lang w:val="en-US"/>
        </w:rPr>
        <w:t>As an</w:t>
      </w:r>
      <w:r w:rsidR="00462585">
        <w:rPr>
          <w:lang w:val="en-US"/>
        </w:rPr>
        <w:t xml:space="preserve"> additional observation, </w:t>
      </w:r>
      <w:r w:rsidR="00A136A1">
        <w:rPr>
          <w:lang w:val="en-US"/>
        </w:rPr>
        <w:t>one can</w:t>
      </w:r>
      <w:r w:rsidR="00043570">
        <w:rPr>
          <w:lang w:val="en-US"/>
        </w:rPr>
        <w:t xml:space="preserve"> consider </w:t>
      </w:r>
      <w:r w:rsidR="00235BF4">
        <w:rPr>
          <w:lang w:val="en-US"/>
        </w:rPr>
        <w:t>that such a controlling</w:t>
      </w:r>
      <w:r w:rsidR="00462585" w:rsidRPr="00462585">
        <w:rPr>
          <w:lang w:val="en-US"/>
        </w:rPr>
        <w:t xml:space="preserve"> role for a constitution makes it more </w:t>
      </w:r>
      <w:r w:rsidR="00462585">
        <w:rPr>
          <w:lang w:val="en-US"/>
        </w:rPr>
        <w:t>in line with</w:t>
      </w:r>
      <w:r w:rsidR="00462585" w:rsidRPr="00462585">
        <w:rPr>
          <w:lang w:val="en-US"/>
        </w:rPr>
        <w:t xml:space="preserve"> the classical </w:t>
      </w:r>
      <w:r w:rsidR="00B65D4C">
        <w:rPr>
          <w:lang w:val="en-US"/>
        </w:rPr>
        <w:t xml:space="preserve">and </w:t>
      </w:r>
      <w:r w:rsidR="00462585" w:rsidRPr="00462585">
        <w:rPr>
          <w:lang w:val="en-US"/>
        </w:rPr>
        <w:t xml:space="preserve">liberal concept of a constitution than </w:t>
      </w:r>
      <w:r w:rsidR="00462585">
        <w:rPr>
          <w:lang w:val="en-US"/>
        </w:rPr>
        <w:t>with the progressive one</w:t>
      </w:r>
      <w:r w:rsidR="00462585" w:rsidRPr="00462585">
        <w:rPr>
          <w:lang w:val="en-US"/>
        </w:rPr>
        <w:t xml:space="preserve"> that gained ground in the twentieth century. </w:t>
      </w:r>
      <w:r w:rsidR="00462585">
        <w:rPr>
          <w:lang w:val="en-US"/>
        </w:rPr>
        <w:t>A</w:t>
      </w:r>
      <w:r w:rsidR="00235BF4">
        <w:rPr>
          <w:lang w:val="en-US"/>
        </w:rPr>
        <w:t>ccording to the latter, a</w:t>
      </w:r>
      <w:r w:rsidR="00462585" w:rsidRPr="00462585">
        <w:rPr>
          <w:lang w:val="en-US"/>
        </w:rPr>
        <w:t xml:space="preserve"> constitution promotes a number of social values ​​(e.g. education) instead of simply protecting individual ones (e.g. liberty) as the former postulated.</w:t>
      </w:r>
      <w:r w:rsidR="00462585">
        <w:rPr>
          <w:lang w:val="en-US"/>
        </w:rPr>
        <w:t xml:space="preserve"> Pre</w:t>
      </w:r>
      <w:r w:rsidR="00462585" w:rsidRPr="00462585">
        <w:rPr>
          <w:lang w:val="en-US"/>
        </w:rPr>
        <w:t>commitment is essential</w:t>
      </w:r>
      <w:r w:rsidR="00462585">
        <w:rPr>
          <w:lang w:val="en-US"/>
        </w:rPr>
        <w:t>ly a way to avoid certain outcomes, not to promote social policies</w:t>
      </w:r>
      <w:r w:rsidR="00462585" w:rsidRPr="00462585">
        <w:rPr>
          <w:lang w:val="en-US"/>
        </w:rPr>
        <w:t>.</w:t>
      </w:r>
      <w:r w:rsidR="00DB0705">
        <w:rPr>
          <w:lang w:val="en-US"/>
        </w:rPr>
        <w:t xml:space="preserve"> And i</w:t>
      </w:r>
      <w:r w:rsidR="00700B5F" w:rsidRPr="00700B5F">
        <w:rPr>
          <w:lang w:val="en-US"/>
        </w:rPr>
        <w:t>n an era in which the role of legislation is diminishing and that of the administrative</w:t>
      </w:r>
      <w:r w:rsidR="00DB0705">
        <w:rPr>
          <w:lang w:val="en-US"/>
        </w:rPr>
        <w:t xml:space="preserve"> state is increasing, it is </w:t>
      </w:r>
      <w:r w:rsidR="00700B5F">
        <w:rPr>
          <w:lang w:val="en-US"/>
        </w:rPr>
        <w:t>worth considering how the strategy of</w:t>
      </w:r>
      <w:r w:rsidR="00700B5F" w:rsidRPr="00700B5F">
        <w:rPr>
          <w:lang w:val="en-US"/>
        </w:rPr>
        <w:t xml:space="preserve"> constitutional </w:t>
      </w:r>
      <w:r w:rsidR="00700B5F">
        <w:rPr>
          <w:lang w:val="en-US"/>
        </w:rPr>
        <w:t>pre</w:t>
      </w:r>
      <w:r w:rsidR="00700B5F" w:rsidRPr="00700B5F">
        <w:rPr>
          <w:lang w:val="en-US"/>
        </w:rPr>
        <w:t xml:space="preserve">commitment can </w:t>
      </w:r>
      <w:r w:rsidR="00DB5637">
        <w:rPr>
          <w:lang w:val="en-US"/>
        </w:rPr>
        <w:t xml:space="preserve">also </w:t>
      </w:r>
      <w:r w:rsidR="00700B5F" w:rsidRPr="00700B5F">
        <w:rPr>
          <w:lang w:val="en-US"/>
        </w:rPr>
        <w:t>operate towar</w:t>
      </w:r>
      <w:r w:rsidR="00700B5F">
        <w:rPr>
          <w:lang w:val="en-US"/>
        </w:rPr>
        <w:t>ds administrative authorities and other forms of lawmaking, including AI-generated law</w:t>
      </w:r>
      <w:r w:rsidR="00700B5F" w:rsidRPr="00700B5F">
        <w:rPr>
          <w:lang w:val="en-US"/>
        </w:rPr>
        <w:t>.</w:t>
      </w:r>
    </w:p>
    <w:p w14:paraId="34448E8D" w14:textId="6AEA8B20" w:rsidR="00087F2F" w:rsidRDefault="00956C81">
      <w:pPr>
        <w:rPr>
          <w:lang w:val="en-US"/>
        </w:rPr>
      </w:pPr>
      <w:r>
        <w:rPr>
          <w:lang w:val="en-US"/>
        </w:rPr>
        <w:t>So</w:t>
      </w:r>
      <w:r w:rsidR="00FF5C8E">
        <w:rPr>
          <w:lang w:val="en-US"/>
        </w:rPr>
        <w:t>, in brief,</w:t>
      </w:r>
      <w:r>
        <w:rPr>
          <w:lang w:val="en-US"/>
        </w:rPr>
        <w:t xml:space="preserve"> a</w:t>
      </w:r>
      <w:r w:rsidR="00087F2F">
        <w:rPr>
          <w:lang w:val="en-US"/>
        </w:rPr>
        <w:t xml:space="preserve"> precommitment tool or strateg</w:t>
      </w:r>
      <w:r w:rsidR="00E116F4">
        <w:rPr>
          <w:lang w:val="en-US"/>
        </w:rPr>
        <w:t>y is a sort of remote control. It allows one</w:t>
      </w:r>
      <w:r w:rsidR="00700B5F">
        <w:rPr>
          <w:lang w:val="en-US"/>
        </w:rPr>
        <w:t xml:space="preserve"> individual or society</w:t>
      </w:r>
      <w:r w:rsidR="00E116F4">
        <w:rPr>
          <w:lang w:val="en-US"/>
        </w:rPr>
        <w:t xml:space="preserve"> </w:t>
      </w:r>
      <w:r>
        <w:rPr>
          <w:lang w:val="en-US"/>
        </w:rPr>
        <w:t>to control something more effectively and more efficiently. More effectively because, as</w:t>
      </w:r>
      <w:r w:rsidR="00B85BBD">
        <w:rPr>
          <w:lang w:val="en-US"/>
        </w:rPr>
        <w:t xml:space="preserve"> Armido’s story shows, </w:t>
      </w:r>
      <w:r w:rsidR="00043570">
        <w:rPr>
          <w:lang w:val="en-US"/>
        </w:rPr>
        <w:t xml:space="preserve">control </w:t>
      </w:r>
      <w:r w:rsidR="00700B5F">
        <w:rPr>
          <w:lang w:val="en-US"/>
        </w:rPr>
        <w:t>without a</w:t>
      </w:r>
      <w:r>
        <w:rPr>
          <w:lang w:val="en-US"/>
        </w:rPr>
        <w:t xml:space="preserve"> remoteness condition would be hardly possible. And more efficiently because</w:t>
      </w:r>
      <w:r w:rsidR="0040502B">
        <w:rPr>
          <w:lang w:val="en-US"/>
        </w:rPr>
        <w:t xml:space="preserve">, all things considered, </w:t>
      </w:r>
      <w:r>
        <w:rPr>
          <w:lang w:val="en-US"/>
        </w:rPr>
        <w:t>control fares better in a cost-benefit analysis.</w:t>
      </w:r>
    </w:p>
    <w:p w14:paraId="34C6977A" w14:textId="3812130E" w:rsidR="00542E91" w:rsidRDefault="00006C74">
      <w:pPr>
        <w:rPr>
          <w:lang w:val="en-US"/>
        </w:rPr>
      </w:pPr>
      <w:r>
        <w:rPr>
          <w:lang w:val="en-US"/>
        </w:rPr>
        <w:t>Then as tentative conclusions I would</w:t>
      </w:r>
      <w:r w:rsidR="00ED0218">
        <w:rPr>
          <w:lang w:val="en-US"/>
        </w:rPr>
        <w:t xml:space="preserve"> </w:t>
      </w:r>
      <w:r w:rsidR="00542E91">
        <w:rPr>
          <w:lang w:val="en-US"/>
        </w:rPr>
        <w:t>claim the following: (i) in terms of behavioral strategies, precommitment is generally stronger than nudging, as it helps people achieve their goals in situations where nudging would be much less effectiv</w:t>
      </w:r>
      <w:r w:rsidR="00ED0218">
        <w:rPr>
          <w:lang w:val="en-US"/>
        </w:rPr>
        <w:t xml:space="preserve">e; </w:t>
      </w:r>
      <w:r w:rsidR="003041F4">
        <w:rPr>
          <w:lang w:val="en-US"/>
        </w:rPr>
        <w:t>(ii) constitutional precommitment operates on other-regarding preferences</w:t>
      </w:r>
      <w:r w:rsidR="005D330B">
        <w:rPr>
          <w:lang w:val="en-US"/>
        </w:rPr>
        <w:t xml:space="preserve"> (or also on them)</w:t>
      </w:r>
      <w:r w:rsidR="003041F4">
        <w:rPr>
          <w:lang w:val="en-US"/>
        </w:rPr>
        <w:t xml:space="preserve">; </w:t>
      </w:r>
      <w:r w:rsidR="00ED0218">
        <w:rPr>
          <w:lang w:val="en-US"/>
        </w:rPr>
        <w:t>(</w:t>
      </w:r>
      <w:r w:rsidR="003041F4">
        <w:rPr>
          <w:lang w:val="en-US"/>
        </w:rPr>
        <w:t>i</w:t>
      </w:r>
      <w:r w:rsidR="00ED0218">
        <w:rPr>
          <w:lang w:val="en-US"/>
        </w:rPr>
        <w:t>ii)</w:t>
      </w:r>
      <w:r w:rsidR="003041F4">
        <w:rPr>
          <w:lang w:val="en-US"/>
        </w:rPr>
        <w:t xml:space="preserve"> it is a lesser-evil choice; (iv) i</w:t>
      </w:r>
      <w:r w:rsidR="00ED0218">
        <w:rPr>
          <w:lang w:val="en-US"/>
        </w:rPr>
        <w:t xml:space="preserve">t is </w:t>
      </w:r>
      <w:r w:rsidR="00043570">
        <w:rPr>
          <w:lang w:val="en-US"/>
        </w:rPr>
        <w:t xml:space="preserve">a paternalist strategy </w:t>
      </w:r>
      <w:r w:rsidR="00ED0218">
        <w:rPr>
          <w:lang w:val="en-US"/>
        </w:rPr>
        <w:t>because</w:t>
      </w:r>
      <w:r w:rsidR="003A15C5">
        <w:rPr>
          <w:lang w:val="en-US"/>
        </w:rPr>
        <w:t xml:space="preserve"> it binds not only present but also future agents</w:t>
      </w:r>
      <w:r w:rsidR="003041F4">
        <w:rPr>
          <w:lang w:val="en-US"/>
        </w:rPr>
        <w:t>; (v</w:t>
      </w:r>
      <w:r w:rsidR="00ED0218">
        <w:rPr>
          <w:lang w:val="en-US"/>
        </w:rPr>
        <w:t xml:space="preserve">) </w:t>
      </w:r>
      <w:r w:rsidR="003041F4">
        <w:rPr>
          <w:lang w:val="en-US"/>
        </w:rPr>
        <w:t>i</w:t>
      </w:r>
      <w:r w:rsidR="00700B5F" w:rsidRPr="00700B5F">
        <w:rPr>
          <w:lang w:val="en-US"/>
        </w:rPr>
        <w:t xml:space="preserve">t is </w:t>
      </w:r>
      <w:r w:rsidR="00700B5F">
        <w:rPr>
          <w:lang w:val="en-US"/>
        </w:rPr>
        <w:t>more a form of control, of braking normative production</w:t>
      </w:r>
      <w:r w:rsidR="00700B5F" w:rsidRPr="00700B5F">
        <w:rPr>
          <w:lang w:val="en-US"/>
        </w:rPr>
        <w:t>, than an impulse to</w:t>
      </w:r>
      <w:r w:rsidR="00700B5F">
        <w:rPr>
          <w:lang w:val="en-US"/>
        </w:rPr>
        <w:t xml:space="preserve"> the achievement of social goals</w:t>
      </w:r>
      <w:r w:rsidR="003041F4">
        <w:rPr>
          <w:lang w:val="en-US"/>
        </w:rPr>
        <w:t>, despite the fact that it</w:t>
      </w:r>
      <w:r w:rsidR="00FF5C8E">
        <w:rPr>
          <w:lang w:val="en-US"/>
        </w:rPr>
        <w:t xml:space="preserve"> operates through social coordination</w:t>
      </w:r>
      <w:r w:rsidR="00542E91">
        <w:rPr>
          <w:lang w:val="en-US"/>
        </w:rPr>
        <w:t>.</w:t>
      </w:r>
    </w:p>
    <w:p w14:paraId="54B70D01" w14:textId="77777777" w:rsidR="003A15C5" w:rsidRDefault="003A15C5">
      <w:pPr>
        <w:rPr>
          <w:lang w:val="en-US"/>
        </w:rPr>
      </w:pPr>
    </w:p>
    <w:p w14:paraId="7D42F6EA" w14:textId="77777777" w:rsidR="003A15C5" w:rsidRDefault="003A15C5">
      <w:pPr>
        <w:rPr>
          <w:lang w:val="en-US"/>
        </w:rPr>
      </w:pPr>
    </w:p>
    <w:p w14:paraId="0D7AC232" w14:textId="68B8FD94" w:rsidR="003A15C5" w:rsidRDefault="003A15C5">
      <w:pPr>
        <w:rPr>
          <w:lang w:val="en-US"/>
        </w:rPr>
      </w:pPr>
      <w:r>
        <w:rPr>
          <w:lang w:val="en-US"/>
        </w:rPr>
        <w:t>References</w:t>
      </w:r>
    </w:p>
    <w:p w14:paraId="3978C20B" w14:textId="77777777" w:rsidR="003A15C5" w:rsidRDefault="003A15C5">
      <w:pPr>
        <w:rPr>
          <w:lang w:val="en-US"/>
        </w:rPr>
      </w:pPr>
    </w:p>
    <w:p w14:paraId="3BA1317F" w14:textId="09C594FA" w:rsidR="00281DFD" w:rsidRDefault="00281DFD" w:rsidP="003A15C5">
      <w:pPr>
        <w:ind w:left="284" w:hanging="284"/>
        <w:rPr>
          <w:lang w:val="en-US"/>
        </w:rPr>
      </w:pPr>
      <w:r w:rsidRPr="00281DFD">
        <w:rPr>
          <w:lang w:val="en-US"/>
        </w:rPr>
        <w:t xml:space="preserve">Elster, J. (1979). </w:t>
      </w:r>
      <w:r w:rsidRPr="00281DFD">
        <w:rPr>
          <w:i/>
          <w:lang w:val="en-US"/>
        </w:rPr>
        <w:t>Ulysses and the Sirens</w:t>
      </w:r>
      <w:r>
        <w:rPr>
          <w:i/>
          <w:lang w:val="en-US"/>
        </w:rPr>
        <w:t>. Studies in Rationality and Irrationality</w:t>
      </w:r>
      <w:r>
        <w:rPr>
          <w:lang w:val="en-US"/>
        </w:rPr>
        <w:t>.</w:t>
      </w:r>
      <w:r w:rsidRPr="00281DFD">
        <w:rPr>
          <w:lang w:val="en-US"/>
        </w:rPr>
        <w:t xml:space="preserve"> Cambridge: Cambridge University Press.</w:t>
      </w:r>
    </w:p>
    <w:p w14:paraId="73139434" w14:textId="7A02C86F" w:rsidR="000A6403" w:rsidRPr="000A6403" w:rsidRDefault="000A6403" w:rsidP="003A15C5">
      <w:pPr>
        <w:ind w:left="284" w:hanging="284"/>
        <w:rPr>
          <w:i/>
          <w:lang w:val="en-US"/>
        </w:rPr>
      </w:pPr>
      <w:r w:rsidRPr="000A6403">
        <w:rPr>
          <w:rStyle w:val="CitazioneHTML"/>
          <w:rFonts w:eastAsia="Times New Roman"/>
          <w:i w:val="0"/>
          <w:lang w:val="en-US"/>
        </w:rPr>
        <w:t xml:space="preserve">Elster, J. (2000). </w:t>
      </w:r>
      <w:r w:rsidRPr="000A6403">
        <w:rPr>
          <w:rStyle w:val="CitazioneHTML"/>
          <w:rFonts w:eastAsia="Times New Roman"/>
          <w:lang w:val="en-US"/>
        </w:rPr>
        <w:t>Ulysses Unbound. Studies in Rationality, Precommitment, and Constraints</w:t>
      </w:r>
      <w:r w:rsidRPr="000A6403">
        <w:rPr>
          <w:rStyle w:val="CitazioneHTML"/>
          <w:rFonts w:eastAsia="Times New Roman"/>
          <w:i w:val="0"/>
          <w:lang w:val="en-US"/>
        </w:rPr>
        <w:t>.</w:t>
      </w:r>
      <w:r>
        <w:rPr>
          <w:rStyle w:val="CitazioneHTML"/>
          <w:rFonts w:eastAsia="Times New Roman"/>
          <w:i w:val="0"/>
          <w:lang w:val="en-US"/>
        </w:rPr>
        <w:t xml:space="preserve"> Cambr</w:t>
      </w:r>
      <w:r w:rsidRPr="000A6403">
        <w:rPr>
          <w:rStyle w:val="CitazioneHTML"/>
          <w:rFonts w:eastAsia="Times New Roman"/>
          <w:i w:val="0"/>
          <w:lang w:val="en-US"/>
        </w:rPr>
        <w:t>i</w:t>
      </w:r>
      <w:r>
        <w:rPr>
          <w:rStyle w:val="CitazioneHTML"/>
          <w:rFonts w:eastAsia="Times New Roman"/>
          <w:i w:val="0"/>
          <w:lang w:val="en-US"/>
        </w:rPr>
        <w:t>d</w:t>
      </w:r>
      <w:r w:rsidRPr="000A6403">
        <w:rPr>
          <w:rStyle w:val="CitazioneHTML"/>
          <w:rFonts w:eastAsia="Times New Roman"/>
          <w:i w:val="0"/>
          <w:lang w:val="en-US"/>
        </w:rPr>
        <w:t>ge</w:t>
      </w:r>
      <w:r w:rsidRPr="000A6403">
        <w:rPr>
          <w:rStyle w:val="id-lock-registration"/>
          <w:rFonts w:eastAsia="Times New Roman"/>
          <w:i/>
          <w:iCs/>
          <w:lang w:val="en-US"/>
        </w:rPr>
        <w:t xml:space="preserve">: </w:t>
      </w:r>
      <w:r w:rsidRPr="000A6403">
        <w:rPr>
          <w:rStyle w:val="CitazioneHTML"/>
          <w:rFonts w:eastAsia="Times New Roman"/>
          <w:i w:val="0"/>
          <w:lang w:val="en-US"/>
        </w:rPr>
        <w:t>Cambridge University Press</w:t>
      </w:r>
      <w:r>
        <w:rPr>
          <w:rStyle w:val="CitazioneHTML"/>
          <w:rFonts w:eastAsia="Times New Roman"/>
          <w:i w:val="0"/>
          <w:lang w:val="en-US"/>
        </w:rPr>
        <w:t>.</w:t>
      </w:r>
    </w:p>
    <w:p w14:paraId="2E35A929" w14:textId="37472FAB" w:rsidR="00AD7A66" w:rsidRDefault="00AD7A66" w:rsidP="00AD7A66">
      <w:pPr>
        <w:widowControl w:val="0"/>
        <w:autoSpaceDE w:val="0"/>
        <w:autoSpaceDN w:val="0"/>
        <w:adjustRightInd w:val="0"/>
        <w:ind w:left="284" w:hanging="284"/>
        <w:rPr>
          <w:lang w:val="en-US"/>
        </w:rPr>
      </w:pPr>
      <w:r w:rsidRPr="00AD7A66">
        <w:rPr>
          <w:rStyle w:val="reference-text"/>
          <w:rFonts w:eastAsia="Times New Roman"/>
          <w:lang w:val="en-US"/>
        </w:rPr>
        <w:t>Holmes, S. (1988). Precommitment and the Paradox of Democracy. In</w:t>
      </w:r>
      <w:r>
        <w:rPr>
          <w:rStyle w:val="reference-text"/>
          <w:rFonts w:eastAsia="Times New Roman"/>
          <w:lang w:val="en-US"/>
        </w:rPr>
        <w:t>:</w:t>
      </w:r>
      <w:r w:rsidRPr="00AD7A66">
        <w:rPr>
          <w:rStyle w:val="reference-text"/>
          <w:rFonts w:eastAsia="Times New Roman"/>
          <w:lang w:val="en-US"/>
        </w:rPr>
        <w:t xml:space="preserve"> </w:t>
      </w:r>
      <w:r w:rsidRPr="00AD7A66">
        <w:rPr>
          <w:rStyle w:val="reference-text"/>
          <w:rFonts w:eastAsia="Times New Roman"/>
          <w:i/>
          <w:iCs/>
          <w:lang w:val="en-US"/>
        </w:rPr>
        <w:t>Constitutionalism and Democracy</w:t>
      </w:r>
      <w:r w:rsidRPr="00AD7A66">
        <w:rPr>
          <w:rStyle w:val="reference-text"/>
          <w:rFonts w:eastAsia="Times New Roman"/>
          <w:lang w:val="en-US"/>
        </w:rPr>
        <w:t>, eds. J. Elster and R. Slagstad, 195-240. Cambridge: Cambridge University Press</w:t>
      </w:r>
      <w:r>
        <w:rPr>
          <w:rStyle w:val="reference-text"/>
          <w:rFonts w:eastAsia="Times New Roman"/>
        </w:rPr>
        <w:t>.</w:t>
      </w:r>
    </w:p>
    <w:p w14:paraId="335E1F17" w14:textId="1275117A" w:rsidR="00401407" w:rsidRPr="00401407" w:rsidRDefault="00401407" w:rsidP="00401407">
      <w:pPr>
        <w:widowControl w:val="0"/>
        <w:autoSpaceDE w:val="0"/>
        <w:autoSpaceDN w:val="0"/>
        <w:adjustRightInd w:val="0"/>
        <w:jc w:val="left"/>
        <w:rPr>
          <w:rFonts w:cs="Times New Roman"/>
          <w:lang w:val="en-US"/>
        </w:rPr>
      </w:pPr>
      <w:r w:rsidRPr="00401407">
        <w:rPr>
          <w:lang w:val="en-US"/>
        </w:rPr>
        <w:t>Marmor, A. (2005).</w:t>
      </w:r>
      <w:r w:rsidRPr="00401407">
        <w:rPr>
          <w:rFonts w:cs="Times New Roman"/>
          <w:lang w:val="en-US"/>
        </w:rPr>
        <w:t xml:space="preserve"> </w:t>
      </w:r>
      <w:r w:rsidRPr="00401407">
        <w:rPr>
          <w:rFonts w:cs="Times New Roman"/>
          <w:i/>
          <w:lang w:val="en-US"/>
        </w:rPr>
        <w:t>Interpretation and Legal Theory</w:t>
      </w:r>
      <w:r>
        <w:rPr>
          <w:rFonts w:cs="Times New Roman"/>
          <w:lang w:val="en-US"/>
        </w:rPr>
        <w:t xml:space="preserve"> (2</w:t>
      </w:r>
      <w:r w:rsidRPr="00401407">
        <w:rPr>
          <w:rFonts w:cs="Times New Roman"/>
          <w:vertAlign w:val="superscript"/>
          <w:lang w:val="en-US"/>
        </w:rPr>
        <w:t>nd</w:t>
      </w:r>
      <w:r w:rsidRPr="00401407">
        <w:rPr>
          <w:rFonts w:cs="Times New Roman"/>
          <w:lang w:val="en-US"/>
        </w:rPr>
        <w:t xml:space="preserve"> ed.). Oxford: Hart Publishing.</w:t>
      </w:r>
    </w:p>
    <w:p w14:paraId="5653C3A1" w14:textId="4705DFB4" w:rsidR="00CF779B" w:rsidRDefault="00CF779B" w:rsidP="00CF779B">
      <w:pPr>
        <w:widowControl w:val="0"/>
        <w:autoSpaceDE w:val="0"/>
        <w:autoSpaceDN w:val="0"/>
        <w:adjustRightInd w:val="0"/>
        <w:ind w:left="284" w:hanging="284"/>
        <w:rPr>
          <w:lang w:val="en-US"/>
        </w:rPr>
      </w:pPr>
      <w:r w:rsidRPr="00946E0C">
        <w:rPr>
          <w:lang w:val="en-US"/>
        </w:rPr>
        <w:t xml:space="preserve">Schelling, </w:t>
      </w:r>
      <w:r>
        <w:rPr>
          <w:lang w:val="en-US"/>
        </w:rPr>
        <w:t xml:space="preserve">T.C. (1984). </w:t>
      </w:r>
      <w:r>
        <w:rPr>
          <w:i/>
          <w:lang w:val="en-US"/>
        </w:rPr>
        <w:t>Choice and C</w:t>
      </w:r>
      <w:r w:rsidRPr="00CF779B">
        <w:rPr>
          <w:i/>
          <w:lang w:val="en-US"/>
        </w:rPr>
        <w:t>onsequence. Perspectives of an Errant Economist</w:t>
      </w:r>
      <w:r>
        <w:rPr>
          <w:lang w:val="en-US"/>
        </w:rPr>
        <w:t>. Cambridge (Mass.):</w:t>
      </w:r>
      <w:r w:rsidRPr="00946E0C">
        <w:rPr>
          <w:lang w:val="en-US"/>
        </w:rPr>
        <w:t xml:space="preserve"> Harvard</w:t>
      </w:r>
      <w:r>
        <w:rPr>
          <w:lang w:val="en-US"/>
        </w:rPr>
        <w:t xml:space="preserve"> University Press.</w:t>
      </w:r>
    </w:p>
    <w:p w14:paraId="1BE511F3" w14:textId="3DEE626E" w:rsidR="003A15C5" w:rsidRDefault="003A15C5" w:rsidP="003A15C5">
      <w:pPr>
        <w:ind w:left="284" w:hanging="284"/>
        <w:rPr>
          <w:lang w:val="en-US"/>
        </w:rPr>
      </w:pPr>
      <w:r w:rsidRPr="008F6C00">
        <w:rPr>
          <w:lang w:val="en-US"/>
        </w:rPr>
        <w:t>Sunstein, C.R. (2014).</w:t>
      </w:r>
      <w:r w:rsidRPr="008F6C00">
        <w:rPr>
          <w:i/>
          <w:lang w:val="en-US"/>
        </w:rPr>
        <w:t xml:space="preserve"> Why Nudge? The Politics of Libertarian Paternalism</w:t>
      </w:r>
      <w:r w:rsidRPr="008F6C00">
        <w:rPr>
          <w:lang w:val="en-US"/>
        </w:rPr>
        <w:t>. New Haven: Yale University Press.</w:t>
      </w:r>
    </w:p>
    <w:p w14:paraId="71A83E02" w14:textId="5E5FD686" w:rsidR="003A15C5" w:rsidRDefault="003A15C5" w:rsidP="003A15C5">
      <w:pPr>
        <w:ind w:left="284" w:hanging="284"/>
        <w:rPr>
          <w:lang w:val="en-US"/>
        </w:rPr>
      </w:pPr>
      <w:r w:rsidRPr="004802E6">
        <w:t>Thale</w:t>
      </w:r>
      <w:r>
        <w:t>r, R.H. and Sunstein, C.R. (2008</w:t>
      </w:r>
      <w:r w:rsidRPr="004802E6">
        <w:t xml:space="preserve">). </w:t>
      </w:r>
      <w:r w:rsidRPr="009E0547">
        <w:rPr>
          <w:i/>
          <w:lang w:val="en-US"/>
        </w:rPr>
        <w:t>Nudge.</w:t>
      </w:r>
      <w:r w:rsidRPr="009E0547">
        <w:rPr>
          <w:lang w:val="en-US"/>
        </w:rPr>
        <w:t xml:space="preserve"> </w:t>
      </w:r>
      <w:r w:rsidRPr="009E0547">
        <w:rPr>
          <w:i/>
          <w:lang w:val="en-US"/>
        </w:rPr>
        <w:t>Improving Decisions</w:t>
      </w:r>
      <w:r>
        <w:rPr>
          <w:i/>
          <w:lang w:val="en-US"/>
        </w:rPr>
        <w:t xml:space="preserve"> about Health, Wealth, and Happiness</w:t>
      </w:r>
      <w:r>
        <w:rPr>
          <w:lang w:val="en-US"/>
        </w:rPr>
        <w:t>. New Haven: Yale University Press</w:t>
      </w:r>
      <w:r w:rsidRPr="009E0547">
        <w:rPr>
          <w:lang w:val="en-US"/>
        </w:rPr>
        <w:t>.</w:t>
      </w:r>
    </w:p>
    <w:p w14:paraId="11FFC127" w14:textId="60E0BAC9" w:rsidR="003A15C5" w:rsidRDefault="003A15C5" w:rsidP="003A15C5">
      <w:pPr>
        <w:ind w:left="284" w:hanging="284"/>
        <w:rPr>
          <w:lang w:val="en-US"/>
        </w:rPr>
      </w:pPr>
      <w:r>
        <w:t>Viale, R. (2022</w:t>
      </w:r>
      <w:r w:rsidRPr="004802E6">
        <w:t>).</w:t>
      </w:r>
      <w:r>
        <w:t xml:space="preserve"> </w:t>
      </w:r>
      <w:r w:rsidRPr="008F6C00">
        <w:rPr>
          <w:i/>
          <w:lang w:val="en-US"/>
        </w:rPr>
        <w:t>Nudging</w:t>
      </w:r>
      <w:r w:rsidRPr="008F6C00">
        <w:rPr>
          <w:lang w:val="en-US"/>
        </w:rPr>
        <w:t>. Cambridge</w:t>
      </w:r>
      <w:r>
        <w:rPr>
          <w:lang w:val="en-US"/>
        </w:rPr>
        <w:t xml:space="preserve"> </w:t>
      </w:r>
      <w:r w:rsidR="00CF779B">
        <w:rPr>
          <w:lang w:val="en-US"/>
        </w:rPr>
        <w:t xml:space="preserve">(Mass.) </w:t>
      </w:r>
      <w:r>
        <w:rPr>
          <w:lang w:val="en-US"/>
        </w:rPr>
        <w:t>and London</w:t>
      </w:r>
      <w:r w:rsidRPr="008F6C00">
        <w:rPr>
          <w:lang w:val="en-US"/>
        </w:rPr>
        <w:t>: The MIT Press.</w:t>
      </w:r>
    </w:p>
    <w:p w14:paraId="625C6686" w14:textId="4FBAEF55" w:rsidR="00EE1DF6" w:rsidRPr="00EE1DF6" w:rsidRDefault="00EE1DF6" w:rsidP="003A15C5">
      <w:pPr>
        <w:ind w:left="284" w:hanging="284"/>
        <w:rPr>
          <w:lang w:val="en-US"/>
        </w:rPr>
      </w:pPr>
      <w:r>
        <w:rPr>
          <w:lang w:val="en-US"/>
        </w:rPr>
        <w:t xml:space="preserve">Waldron, J. (2006). </w:t>
      </w:r>
      <w:r w:rsidRPr="00EE1DF6">
        <w:rPr>
          <w:rFonts w:eastAsia="Times New Roman"/>
          <w:lang w:val="en-US"/>
        </w:rPr>
        <w:t xml:space="preserve">The Core of the Case Against Judicial Review. </w:t>
      </w:r>
      <w:r w:rsidRPr="00EE1DF6">
        <w:rPr>
          <w:rFonts w:eastAsia="Times New Roman"/>
          <w:i/>
          <w:lang w:val="en-US"/>
        </w:rPr>
        <w:t>The Yale Law Journal</w:t>
      </w:r>
      <w:r w:rsidRPr="00EE1DF6">
        <w:rPr>
          <w:rFonts w:eastAsia="Times New Roman"/>
          <w:lang w:val="en-US"/>
        </w:rPr>
        <w:t>,</w:t>
      </w:r>
      <w:r>
        <w:rPr>
          <w:rFonts w:eastAsia="Times New Roman"/>
        </w:rPr>
        <w:t xml:space="preserve"> 115: 1346-1406.</w:t>
      </w:r>
    </w:p>
    <w:sectPr w:rsidR="00EE1DF6" w:rsidRPr="00EE1DF6" w:rsidSect="00BA336D">
      <w:footerReference w:type="even" r:id="rId8"/>
      <w:footerReference w:type="default" r:id="rId9"/>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FE65B" w14:textId="77777777" w:rsidR="00A87FF1" w:rsidRDefault="00A87FF1" w:rsidP="00BA336D">
      <w:r>
        <w:separator/>
      </w:r>
    </w:p>
  </w:endnote>
  <w:endnote w:type="continuationSeparator" w:id="0">
    <w:p w14:paraId="6539D087" w14:textId="77777777" w:rsidR="00A87FF1" w:rsidRDefault="00A87FF1" w:rsidP="00BA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E432" w14:textId="77777777" w:rsidR="00A87FF1" w:rsidRDefault="00A87FF1" w:rsidP="00762DE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E7A0AFA" w14:textId="77777777" w:rsidR="00A87FF1" w:rsidRDefault="00A87FF1" w:rsidP="00BA336D">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A69A3" w14:textId="77777777" w:rsidR="00A87FF1" w:rsidRDefault="00A87FF1" w:rsidP="00762DE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158C9">
      <w:rPr>
        <w:rStyle w:val="Numeropagina"/>
        <w:noProof/>
      </w:rPr>
      <w:t>2</w:t>
    </w:r>
    <w:r>
      <w:rPr>
        <w:rStyle w:val="Numeropagina"/>
      </w:rPr>
      <w:fldChar w:fldCharType="end"/>
    </w:r>
  </w:p>
  <w:p w14:paraId="0C1603BF" w14:textId="77777777" w:rsidR="00A87FF1" w:rsidRDefault="00A87FF1" w:rsidP="00BA336D">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A85E4" w14:textId="77777777" w:rsidR="00A87FF1" w:rsidRDefault="00A87FF1" w:rsidP="00BA336D">
      <w:r>
        <w:separator/>
      </w:r>
    </w:p>
  </w:footnote>
  <w:footnote w:type="continuationSeparator" w:id="0">
    <w:p w14:paraId="5F65653B" w14:textId="77777777" w:rsidR="00A87FF1" w:rsidRDefault="00A87FF1" w:rsidP="00BA3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26"/>
    <w:rsid w:val="00006C74"/>
    <w:rsid w:val="00043570"/>
    <w:rsid w:val="00087F2F"/>
    <w:rsid w:val="000A6403"/>
    <w:rsid w:val="000B1935"/>
    <w:rsid w:val="000E0EB6"/>
    <w:rsid w:val="000F7035"/>
    <w:rsid w:val="00123AF5"/>
    <w:rsid w:val="001740BF"/>
    <w:rsid w:val="00187580"/>
    <w:rsid w:val="00235BF4"/>
    <w:rsid w:val="00281DFD"/>
    <w:rsid w:val="002A2AC9"/>
    <w:rsid w:val="003041F4"/>
    <w:rsid w:val="00327D2E"/>
    <w:rsid w:val="003A15C5"/>
    <w:rsid w:val="00401407"/>
    <w:rsid w:val="0040502B"/>
    <w:rsid w:val="00446BC1"/>
    <w:rsid w:val="00462585"/>
    <w:rsid w:val="004804DC"/>
    <w:rsid w:val="004941F2"/>
    <w:rsid w:val="00495838"/>
    <w:rsid w:val="004D6FD3"/>
    <w:rsid w:val="004F6B14"/>
    <w:rsid w:val="004F71E8"/>
    <w:rsid w:val="00506F84"/>
    <w:rsid w:val="00542E91"/>
    <w:rsid w:val="00575C14"/>
    <w:rsid w:val="005C33EF"/>
    <w:rsid w:val="005D330B"/>
    <w:rsid w:val="005D7504"/>
    <w:rsid w:val="00607380"/>
    <w:rsid w:val="00607B0B"/>
    <w:rsid w:val="00616C59"/>
    <w:rsid w:val="006A44A7"/>
    <w:rsid w:val="006F217A"/>
    <w:rsid w:val="00700B5F"/>
    <w:rsid w:val="00724CF3"/>
    <w:rsid w:val="00762DED"/>
    <w:rsid w:val="007951EB"/>
    <w:rsid w:val="007E3568"/>
    <w:rsid w:val="008050D7"/>
    <w:rsid w:val="008443B2"/>
    <w:rsid w:val="008850E0"/>
    <w:rsid w:val="00944666"/>
    <w:rsid w:val="00950365"/>
    <w:rsid w:val="00956C81"/>
    <w:rsid w:val="009B7A6D"/>
    <w:rsid w:val="00A136A1"/>
    <w:rsid w:val="00A158C9"/>
    <w:rsid w:val="00A17EAD"/>
    <w:rsid w:val="00A21C20"/>
    <w:rsid w:val="00A4408D"/>
    <w:rsid w:val="00A772BC"/>
    <w:rsid w:val="00A82B26"/>
    <w:rsid w:val="00A87FF1"/>
    <w:rsid w:val="00AA3714"/>
    <w:rsid w:val="00AD7A66"/>
    <w:rsid w:val="00B65D4C"/>
    <w:rsid w:val="00B709C8"/>
    <w:rsid w:val="00B85BBD"/>
    <w:rsid w:val="00B915C9"/>
    <w:rsid w:val="00BA336D"/>
    <w:rsid w:val="00CD39F6"/>
    <w:rsid w:val="00CF779B"/>
    <w:rsid w:val="00D32013"/>
    <w:rsid w:val="00D911E0"/>
    <w:rsid w:val="00DB0705"/>
    <w:rsid w:val="00DB5637"/>
    <w:rsid w:val="00E116F4"/>
    <w:rsid w:val="00E60165"/>
    <w:rsid w:val="00E816C0"/>
    <w:rsid w:val="00ED0218"/>
    <w:rsid w:val="00EE1DF6"/>
    <w:rsid w:val="00F36084"/>
    <w:rsid w:val="00F40799"/>
    <w:rsid w:val="00FD5573"/>
    <w:rsid w:val="00FF5C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E65E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911E0"/>
    <w:pPr>
      <w:jc w:val="both"/>
    </w:pPr>
    <w:rPr>
      <w:rFonts w:ascii="Times New Roman" w:hAnsi="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BA336D"/>
    <w:pPr>
      <w:tabs>
        <w:tab w:val="center" w:pos="4819"/>
        <w:tab w:val="right" w:pos="9638"/>
      </w:tabs>
    </w:pPr>
  </w:style>
  <w:style w:type="character" w:customStyle="1" w:styleId="PidipaginaCarattere">
    <w:name w:val="Piè di pagina Carattere"/>
    <w:basedOn w:val="Caratterepredefinitoparagrafo"/>
    <w:link w:val="Pidipagina"/>
    <w:uiPriority w:val="99"/>
    <w:rsid w:val="00BA336D"/>
    <w:rPr>
      <w:rFonts w:ascii="Times New Roman" w:hAnsi="Times New Roman"/>
    </w:rPr>
  </w:style>
  <w:style w:type="character" w:styleId="Numeropagina">
    <w:name w:val="page number"/>
    <w:basedOn w:val="Caratterepredefinitoparagrafo"/>
    <w:uiPriority w:val="99"/>
    <w:semiHidden/>
    <w:unhideWhenUsed/>
    <w:rsid w:val="00BA336D"/>
  </w:style>
  <w:style w:type="character" w:styleId="CitazioneHTML">
    <w:name w:val="HTML Cite"/>
    <w:basedOn w:val="Caratterepredefinitoparagrafo"/>
    <w:uiPriority w:val="99"/>
    <w:semiHidden/>
    <w:unhideWhenUsed/>
    <w:rsid w:val="000A6403"/>
    <w:rPr>
      <w:i/>
      <w:iCs/>
    </w:rPr>
  </w:style>
  <w:style w:type="character" w:customStyle="1" w:styleId="id-lock-registration">
    <w:name w:val="id-lock-registration"/>
    <w:basedOn w:val="Caratterepredefinitoparagrafo"/>
    <w:rsid w:val="000A6403"/>
  </w:style>
  <w:style w:type="character" w:styleId="Collegamentoipertestuale">
    <w:name w:val="Hyperlink"/>
    <w:basedOn w:val="Caratterepredefinitoparagrafo"/>
    <w:uiPriority w:val="99"/>
    <w:semiHidden/>
    <w:unhideWhenUsed/>
    <w:rsid w:val="000A6403"/>
    <w:rPr>
      <w:color w:val="0000FF"/>
      <w:u w:val="single"/>
    </w:rPr>
  </w:style>
  <w:style w:type="character" w:customStyle="1" w:styleId="reference-text">
    <w:name w:val="reference-text"/>
    <w:basedOn w:val="Caratterepredefinitoparagrafo"/>
    <w:rsid w:val="00AD7A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911E0"/>
    <w:pPr>
      <w:jc w:val="both"/>
    </w:pPr>
    <w:rPr>
      <w:rFonts w:ascii="Times New Roman" w:hAnsi="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BA336D"/>
    <w:pPr>
      <w:tabs>
        <w:tab w:val="center" w:pos="4819"/>
        <w:tab w:val="right" w:pos="9638"/>
      </w:tabs>
    </w:pPr>
  </w:style>
  <w:style w:type="character" w:customStyle="1" w:styleId="PidipaginaCarattere">
    <w:name w:val="Piè di pagina Carattere"/>
    <w:basedOn w:val="Caratterepredefinitoparagrafo"/>
    <w:link w:val="Pidipagina"/>
    <w:uiPriority w:val="99"/>
    <w:rsid w:val="00BA336D"/>
    <w:rPr>
      <w:rFonts w:ascii="Times New Roman" w:hAnsi="Times New Roman"/>
    </w:rPr>
  </w:style>
  <w:style w:type="character" w:styleId="Numeropagina">
    <w:name w:val="page number"/>
    <w:basedOn w:val="Caratterepredefinitoparagrafo"/>
    <w:uiPriority w:val="99"/>
    <w:semiHidden/>
    <w:unhideWhenUsed/>
    <w:rsid w:val="00BA336D"/>
  </w:style>
  <w:style w:type="character" w:styleId="CitazioneHTML">
    <w:name w:val="HTML Cite"/>
    <w:basedOn w:val="Caratterepredefinitoparagrafo"/>
    <w:uiPriority w:val="99"/>
    <w:semiHidden/>
    <w:unhideWhenUsed/>
    <w:rsid w:val="000A6403"/>
    <w:rPr>
      <w:i/>
      <w:iCs/>
    </w:rPr>
  </w:style>
  <w:style w:type="character" w:customStyle="1" w:styleId="id-lock-registration">
    <w:name w:val="id-lock-registration"/>
    <w:basedOn w:val="Caratterepredefinitoparagrafo"/>
    <w:rsid w:val="000A6403"/>
  </w:style>
  <w:style w:type="character" w:styleId="Collegamentoipertestuale">
    <w:name w:val="Hyperlink"/>
    <w:basedOn w:val="Caratterepredefinitoparagrafo"/>
    <w:uiPriority w:val="99"/>
    <w:semiHidden/>
    <w:unhideWhenUsed/>
    <w:rsid w:val="000A6403"/>
    <w:rPr>
      <w:color w:val="0000FF"/>
      <w:u w:val="single"/>
    </w:rPr>
  </w:style>
  <w:style w:type="character" w:customStyle="1" w:styleId="reference-text">
    <w:name w:val="reference-text"/>
    <w:basedOn w:val="Caratterepredefinitoparagrafo"/>
    <w:rsid w:val="00AD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EF5C-8B6F-B24C-B25C-5416E246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1513</Words>
  <Characters>8627</Characters>
  <Application>Microsoft Macintosh Word</Application>
  <DocSecurity>0</DocSecurity>
  <Lines>71</Lines>
  <Paragraphs>20</Paragraphs>
  <ScaleCrop>false</ScaleCrop>
  <Company>Universita' Luigi Bocconi</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Tuzet</dc:creator>
  <cp:keywords/>
  <dc:description/>
  <cp:lastModifiedBy>Giovanni Tuzet</cp:lastModifiedBy>
  <cp:revision>39</cp:revision>
  <dcterms:created xsi:type="dcterms:W3CDTF">2025-09-16T10:15:00Z</dcterms:created>
  <dcterms:modified xsi:type="dcterms:W3CDTF">2025-09-18T17:32:00Z</dcterms:modified>
</cp:coreProperties>
</file>