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F90DA" w14:textId="7F0E0075" w:rsidR="00C11C16" w:rsidRDefault="006A15A5" w:rsidP="00D5378A">
      <w:pPr>
        <w:jc w:val="center"/>
        <w:rPr>
          <w:b/>
          <w:bCs/>
          <w:u w:val="single"/>
        </w:rPr>
      </w:pPr>
      <w:r w:rsidRPr="00D5378A">
        <w:rPr>
          <w:b/>
          <w:bCs/>
          <w:u w:val="single"/>
        </w:rPr>
        <w:t>Competition law and breakaway leagues:</w:t>
      </w:r>
      <w:r w:rsidR="008E3739" w:rsidRPr="00D5378A">
        <w:rPr>
          <w:b/>
          <w:bCs/>
          <w:u w:val="single"/>
        </w:rPr>
        <w:t xml:space="preserve"> </w:t>
      </w:r>
      <w:r w:rsidR="00F60190">
        <w:rPr>
          <w:b/>
          <w:bCs/>
          <w:u w:val="single"/>
        </w:rPr>
        <w:t xml:space="preserve">aligning </w:t>
      </w:r>
      <w:r w:rsidR="0072010F" w:rsidRPr="00D5378A">
        <w:rPr>
          <w:b/>
          <w:bCs/>
          <w:u w:val="single"/>
        </w:rPr>
        <w:t>effective</w:t>
      </w:r>
      <w:r w:rsidR="00712002" w:rsidRPr="00D5378A">
        <w:rPr>
          <w:b/>
          <w:bCs/>
          <w:u w:val="single"/>
        </w:rPr>
        <w:t xml:space="preserve"> </w:t>
      </w:r>
      <w:r w:rsidR="0072010F" w:rsidRPr="00D5378A">
        <w:rPr>
          <w:b/>
          <w:bCs/>
          <w:u w:val="single"/>
        </w:rPr>
        <w:t>sports governance</w:t>
      </w:r>
      <w:r w:rsidR="00223EAB" w:rsidRPr="00D5378A">
        <w:rPr>
          <w:b/>
          <w:bCs/>
          <w:u w:val="single"/>
        </w:rPr>
        <w:t xml:space="preserve"> </w:t>
      </w:r>
      <w:r w:rsidR="00F60190">
        <w:rPr>
          <w:b/>
          <w:bCs/>
          <w:u w:val="single"/>
        </w:rPr>
        <w:t xml:space="preserve">and </w:t>
      </w:r>
      <w:r w:rsidR="00AF6FD2">
        <w:rPr>
          <w:b/>
          <w:bCs/>
          <w:u w:val="single"/>
        </w:rPr>
        <w:t>competition law</w:t>
      </w:r>
    </w:p>
    <w:p w14:paraId="6FC484C5" w14:textId="2781AA33" w:rsidR="00642E33" w:rsidRPr="00642E33" w:rsidRDefault="00642E33" w:rsidP="00D5378A">
      <w:pPr>
        <w:jc w:val="center"/>
      </w:pPr>
      <w:r>
        <w:t xml:space="preserve">Dr Grant Stirling, </w:t>
      </w:r>
      <w:r w:rsidR="000544B9">
        <w:t xml:space="preserve">Lecturer in Law, </w:t>
      </w:r>
      <w:r>
        <w:t>Edinburgh Napier University</w:t>
      </w:r>
    </w:p>
    <w:p w14:paraId="563D69E8" w14:textId="77777777" w:rsidR="00DE29E9" w:rsidRDefault="00DE29E9"/>
    <w:p w14:paraId="05635EBD" w14:textId="4F40A36E" w:rsidR="00CA68F7" w:rsidRPr="00B35A69" w:rsidRDefault="006A15A5" w:rsidP="00B35A69">
      <w:pPr>
        <w:jc w:val="both"/>
      </w:pPr>
      <w:r w:rsidRPr="00B35A69">
        <w:t>Although it has long been established that professional sport comes within the ambit of EU law</w:t>
      </w:r>
      <w:r w:rsidR="009B0953" w:rsidRPr="00B35A69">
        <w:t xml:space="preserve"> – including the rules on competition – insofar as </w:t>
      </w:r>
      <w:r w:rsidRPr="00B35A69">
        <w:t>it constitutes an economic activity,</w:t>
      </w:r>
      <w:r w:rsidR="003109C6">
        <w:rPr>
          <w:rStyle w:val="FootnoteReference"/>
        </w:rPr>
        <w:footnoteReference w:id="1"/>
      </w:r>
      <w:r w:rsidRPr="00B35A69">
        <w:t xml:space="preserve"> </w:t>
      </w:r>
      <w:r w:rsidR="00D7086C" w:rsidRPr="00B35A69">
        <w:t xml:space="preserve">over the years, </w:t>
      </w:r>
      <w:r w:rsidRPr="00B35A69">
        <w:t>interventions of the EU courts in</w:t>
      </w:r>
      <w:r w:rsidR="00CA68F7" w:rsidRPr="00B35A69">
        <w:t xml:space="preserve"> relation to</w:t>
      </w:r>
      <w:r w:rsidRPr="00B35A69">
        <w:t xml:space="preserve"> the organisation and governance of </w:t>
      </w:r>
      <w:r w:rsidR="00CA68F7" w:rsidRPr="00B35A69">
        <w:t xml:space="preserve">professional sport have been relatively few and far between. </w:t>
      </w:r>
      <w:r w:rsidR="00602941" w:rsidRPr="00B35A69">
        <w:t>Indeed</w:t>
      </w:r>
      <w:r w:rsidR="00F7645C" w:rsidRPr="00B35A69">
        <w:t>,</w:t>
      </w:r>
      <w:r w:rsidR="00602941" w:rsidRPr="00B35A69">
        <w:t xml:space="preserve"> </w:t>
      </w:r>
      <w:r w:rsidR="00B35A69">
        <w:t xml:space="preserve">specifically </w:t>
      </w:r>
      <w:r w:rsidR="00602941" w:rsidRPr="00B35A69">
        <w:t xml:space="preserve">the relationship between EU competition law </w:t>
      </w:r>
      <w:r w:rsidR="00F7645C" w:rsidRPr="00B35A69">
        <w:t xml:space="preserve">and professional sport </w:t>
      </w:r>
      <w:r w:rsidR="00B90D6E" w:rsidRPr="00B35A69">
        <w:t xml:space="preserve">remains </w:t>
      </w:r>
      <w:r w:rsidR="00715AB1" w:rsidRPr="00B35A69">
        <w:t xml:space="preserve">something of a nebulous area. </w:t>
      </w:r>
      <w:r w:rsidR="00CA68F7" w:rsidRPr="00B35A69">
        <w:t xml:space="preserve">As such, two recent decisions of the Court of Justice published on the same day in December 2023, in relation to ‘breakaway’ </w:t>
      </w:r>
      <w:r w:rsidR="00715AB1" w:rsidRPr="00B35A69">
        <w:t xml:space="preserve">professional </w:t>
      </w:r>
      <w:r w:rsidR="00CA68F7" w:rsidRPr="00B35A69">
        <w:t>sport</w:t>
      </w:r>
      <w:r w:rsidR="00BD05C9" w:rsidRPr="00B35A69">
        <w:t>s</w:t>
      </w:r>
      <w:r w:rsidR="00CA68F7" w:rsidRPr="00B35A69">
        <w:t xml:space="preserve"> competitions, represent important milestones in this area</w:t>
      </w:r>
      <w:r w:rsidR="00BA6D2F" w:rsidRPr="00B35A69">
        <w:t>.</w:t>
      </w:r>
    </w:p>
    <w:p w14:paraId="0DC19D45" w14:textId="343917AF" w:rsidR="00FF0C0B" w:rsidRPr="00B35A69" w:rsidRDefault="00CA68F7" w:rsidP="00B35A69">
      <w:pPr>
        <w:jc w:val="both"/>
      </w:pPr>
      <w:r w:rsidRPr="00B35A69">
        <w:t xml:space="preserve">The case of </w:t>
      </w:r>
      <w:r w:rsidRPr="00B35A69">
        <w:rPr>
          <w:i/>
          <w:iCs/>
        </w:rPr>
        <w:t>European Superleague Company v FIFA and UEFA</w:t>
      </w:r>
      <w:r w:rsidR="00F52E32" w:rsidRPr="00001C97">
        <w:rPr>
          <w:rStyle w:val="FootnoteReference"/>
        </w:rPr>
        <w:footnoteReference w:id="2"/>
      </w:r>
      <w:r w:rsidRPr="00B35A69">
        <w:rPr>
          <w:i/>
          <w:iCs/>
        </w:rPr>
        <w:t xml:space="preserve"> </w:t>
      </w:r>
      <w:r w:rsidRPr="00B35A69">
        <w:t>arose in relation to a</w:t>
      </w:r>
      <w:r w:rsidR="008337A2" w:rsidRPr="00B35A69">
        <w:t xml:space="preserve"> </w:t>
      </w:r>
      <w:r w:rsidR="00204568" w:rsidRPr="00B35A69">
        <w:t xml:space="preserve">high profile and </w:t>
      </w:r>
      <w:r w:rsidR="008337A2" w:rsidRPr="00B35A69">
        <w:t>highly controversial</w:t>
      </w:r>
      <w:r w:rsidRPr="00B35A69">
        <w:t xml:space="preserve"> attempt by a group of leading European professional football clubs to create a new ‘breakaway’ elite competition </w:t>
      </w:r>
      <w:r w:rsidR="008C39E1">
        <w:t xml:space="preserve">– the European Superleague – as </w:t>
      </w:r>
      <w:r w:rsidRPr="00B35A69">
        <w:t xml:space="preserve">a rival to UEFA’s Champions League. Essentially </w:t>
      </w:r>
      <w:r w:rsidR="00FF0C0B" w:rsidRPr="00B35A69">
        <w:t>the Court of Justice was asked</w:t>
      </w:r>
      <w:r w:rsidR="00FC5DE1" w:rsidRPr="00B35A69">
        <w:t xml:space="preserve"> in a preliminary reference from a Spanish court</w:t>
      </w:r>
      <w:r w:rsidR="00864BC1">
        <w:rPr>
          <w:rStyle w:val="FootnoteReference"/>
        </w:rPr>
        <w:footnoteReference w:id="3"/>
      </w:r>
      <w:r w:rsidR="00FF0C0B" w:rsidRPr="00B35A69">
        <w:t xml:space="preserve"> to consider whether FIFA and UEFA rules which </w:t>
      </w:r>
      <w:r w:rsidR="0062147B" w:rsidRPr="00B35A69">
        <w:t xml:space="preserve">purported to </w:t>
      </w:r>
      <w:r w:rsidR="00FF0C0B" w:rsidRPr="00B35A69">
        <w:t>g</w:t>
      </w:r>
      <w:r w:rsidR="0062147B" w:rsidRPr="00B35A69">
        <w:t>i</w:t>
      </w:r>
      <w:r w:rsidR="00FF0C0B" w:rsidRPr="00B35A69">
        <w:t xml:space="preserve">ve those </w:t>
      </w:r>
      <w:r w:rsidR="0062147B" w:rsidRPr="00B35A69">
        <w:t xml:space="preserve">two </w:t>
      </w:r>
      <w:r w:rsidR="00FF0C0B" w:rsidRPr="00B35A69">
        <w:t>organisations exclusive power to organise</w:t>
      </w:r>
      <w:r w:rsidR="008E2CA8">
        <w:t xml:space="preserve"> – or to</w:t>
      </w:r>
      <w:r w:rsidR="0062147B" w:rsidRPr="00B35A69">
        <w:t xml:space="preserve"> permit</w:t>
      </w:r>
      <w:r w:rsidR="00FF0C0B" w:rsidRPr="00B35A69">
        <w:t xml:space="preserve"> others to organise – international interclub football competitions</w:t>
      </w:r>
      <w:r w:rsidR="0062147B" w:rsidRPr="00B35A69">
        <w:t>,</w:t>
      </w:r>
      <w:r w:rsidR="00FF0C0B" w:rsidRPr="00B35A69">
        <w:t xml:space="preserve"> constituted breaches of Articles 101 (preclusion of anticompetitive agreements) and 102 (preclusion of abuse of dominance) of the Treaty on the Functioning of the European Union (TFEU). The court was further asked whether the potential sanctions </w:t>
      </w:r>
      <w:r w:rsidR="0062147B" w:rsidRPr="00B35A69">
        <w:t xml:space="preserve">which UEFA and FIFA </w:t>
      </w:r>
      <w:r w:rsidR="00BD4A23" w:rsidRPr="00B35A69">
        <w:t>threatened to impose for breaches of</w:t>
      </w:r>
      <w:r w:rsidR="00FF0C0B" w:rsidRPr="00B35A69">
        <w:t xml:space="preserve"> the aforesaid rules and the retention of rights relating to competitions </w:t>
      </w:r>
      <w:r w:rsidR="00883DE7" w:rsidRPr="00B35A69">
        <w:t xml:space="preserve">by UEFA and FIFA </w:t>
      </w:r>
      <w:r w:rsidR="00FF0C0B" w:rsidRPr="00B35A69">
        <w:t>also constituted breaches of Articles 101 and/or 102 TFEU</w:t>
      </w:r>
      <w:r w:rsidR="008337A2" w:rsidRPr="00B35A69">
        <w:t>.</w:t>
      </w:r>
      <w:r w:rsidR="00FF0C0B" w:rsidRPr="00B35A69">
        <w:t xml:space="preserve">  </w:t>
      </w:r>
    </w:p>
    <w:p w14:paraId="66130C93" w14:textId="6A84F502" w:rsidR="00FF79B6" w:rsidRPr="00B35A69" w:rsidRDefault="006B482A" w:rsidP="00B35A69">
      <w:pPr>
        <w:jc w:val="both"/>
      </w:pPr>
      <w:r w:rsidRPr="00B35A69">
        <w:t>The decision of the Court</w:t>
      </w:r>
      <w:r w:rsidR="001D7EC0" w:rsidRPr="00B35A69">
        <w:t xml:space="preserve"> of Justice in the case of </w:t>
      </w:r>
      <w:r w:rsidR="001D7EC0" w:rsidRPr="00A004E4">
        <w:rPr>
          <w:i/>
          <w:iCs/>
        </w:rPr>
        <w:t>International Skating Union v Commission</w:t>
      </w:r>
      <w:r w:rsidR="001D7EC0" w:rsidRPr="00B35A69">
        <w:t>,</w:t>
      </w:r>
      <w:r w:rsidR="00591333">
        <w:rPr>
          <w:rStyle w:val="FootnoteReference"/>
        </w:rPr>
        <w:footnoteReference w:id="4"/>
      </w:r>
      <w:r w:rsidR="001D7EC0" w:rsidRPr="00B35A69">
        <w:t xml:space="preserve"> came in the context of </w:t>
      </w:r>
      <w:r w:rsidR="00F50139" w:rsidRPr="00B35A69">
        <w:t>an appeal against a decision of the General Court</w:t>
      </w:r>
      <w:r w:rsidR="005878C7">
        <w:rPr>
          <w:rStyle w:val="FootnoteReference"/>
        </w:rPr>
        <w:footnoteReference w:id="5"/>
      </w:r>
      <w:r w:rsidR="00F50139" w:rsidRPr="00B35A69">
        <w:t xml:space="preserve"> to largely uphold a finding of the Commission</w:t>
      </w:r>
      <w:r w:rsidR="00644823">
        <w:rPr>
          <w:rStyle w:val="FootnoteReference"/>
        </w:rPr>
        <w:footnoteReference w:id="6"/>
      </w:r>
      <w:r w:rsidR="00F50139" w:rsidRPr="00B35A69">
        <w:t xml:space="preserve"> </w:t>
      </w:r>
      <w:r w:rsidR="00696DAF" w:rsidRPr="00B35A69">
        <w:t xml:space="preserve">in relation to </w:t>
      </w:r>
      <w:r w:rsidR="00E549E2" w:rsidRPr="00B35A69">
        <w:t xml:space="preserve">rules of the </w:t>
      </w:r>
      <w:r w:rsidR="003C1E4D" w:rsidRPr="00B35A69">
        <w:t>International Skating Union</w:t>
      </w:r>
      <w:r w:rsidR="000E616B" w:rsidRPr="00B35A69">
        <w:t xml:space="preserve"> (ISU)</w:t>
      </w:r>
      <w:r w:rsidR="003C1E4D" w:rsidRPr="00B35A69">
        <w:t xml:space="preserve"> that bore </w:t>
      </w:r>
      <w:r w:rsidR="00174F76" w:rsidRPr="00B35A69">
        <w:t xml:space="preserve">certain </w:t>
      </w:r>
      <w:r w:rsidR="003C1E4D" w:rsidRPr="00B35A69">
        <w:t xml:space="preserve">similarities with </w:t>
      </w:r>
      <w:r w:rsidR="007211BA">
        <w:t xml:space="preserve">the </w:t>
      </w:r>
      <w:r w:rsidR="00174F76" w:rsidRPr="00B35A69">
        <w:t xml:space="preserve">above-mentioned rules of </w:t>
      </w:r>
      <w:r w:rsidR="003C1E4D" w:rsidRPr="00B35A69">
        <w:t>UEFA and FIFA.</w:t>
      </w:r>
      <w:r w:rsidR="00335127" w:rsidRPr="00B35A69">
        <w:t xml:space="preserve"> </w:t>
      </w:r>
      <w:r w:rsidR="000E616B" w:rsidRPr="00B35A69">
        <w:t xml:space="preserve">The rules in question stipulated on the one hand that international skating competitions required to be pre-authorised by the ISU </w:t>
      </w:r>
      <w:r w:rsidR="006F46B4" w:rsidRPr="00B35A69">
        <w:t>and on the other</w:t>
      </w:r>
      <w:r w:rsidR="004B1CC0" w:rsidRPr="00B35A69">
        <w:t xml:space="preserve">, set down various eligibility criteria </w:t>
      </w:r>
      <w:r w:rsidR="006B0FF3" w:rsidRPr="00B35A69">
        <w:t>that had to be met by individual athletes</w:t>
      </w:r>
      <w:r w:rsidR="002D09CC" w:rsidRPr="00B35A69">
        <w:t xml:space="preserve"> to partake in competitions not organised by the ISU. Furthermore, the rules </w:t>
      </w:r>
      <w:r w:rsidR="00FF79B6" w:rsidRPr="00B35A69">
        <w:t xml:space="preserve">set out penalties </w:t>
      </w:r>
      <w:r w:rsidR="00021440" w:rsidRPr="00B35A69">
        <w:t>that could be imposed on athletes who failed to adhere to these rules.</w:t>
      </w:r>
    </w:p>
    <w:p w14:paraId="39EA6173" w14:textId="1BAF88B2" w:rsidR="00401A14" w:rsidRPr="00B35A69" w:rsidRDefault="00FB1514" w:rsidP="00B35A69">
      <w:pPr>
        <w:jc w:val="both"/>
      </w:pPr>
      <w:r w:rsidRPr="00B35A69">
        <w:t>Whereas in both of these cases the Court of Justice</w:t>
      </w:r>
      <w:r w:rsidR="00D57C7B" w:rsidRPr="00B35A69">
        <w:t xml:space="preserve"> identified problematic aspects of the rules of the governing bodies in question</w:t>
      </w:r>
      <w:r w:rsidR="00413B94">
        <w:t xml:space="preserve"> and the potential sanctions for infringing those rules, </w:t>
      </w:r>
      <w:r w:rsidR="00D57C7B" w:rsidRPr="00B35A69">
        <w:t>t</w:t>
      </w:r>
      <w:r w:rsidR="00DB12ED" w:rsidRPr="00B35A69">
        <w:t xml:space="preserve">he </w:t>
      </w:r>
      <w:r w:rsidR="00DB12ED" w:rsidRPr="00B35A69">
        <w:lastRenderedPageBreak/>
        <w:t xml:space="preserve">purpose of this paper is </w:t>
      </w:r>
      <w:r w:rsidR="00D57C7B" w:rsidRPr="00B35A69">
        <w:t xml:space="preserve">initially, </w:t>
      </w:r>
      <w:r w:rsidR="00DB12ED" w:rsidRPr="00B35A69">
        <w:t xml:space="preserve">to </w:t>
      </w:r>
      <w:r w:rsidR="00124B19" w:rsidRPr="00B35A69">
        <w:t>summarise the main points of these decisions</w:t>
      </w:r>
      <w:r w:rsidR="001A7EC7" w:rsidRPr="00B35A69">
        <w:t>,</w:t>
      </w:r>
      <w:r w:rsidR="00124B19" w:rsidRPr="00B35A69">
        <w:t xml:space="preserve"> </w:t>
      </w:r>
      <w:r w:rsidR="001A7EC7" w:rsidRPr="00B35A69">
        <w:t xml:space="preserve">before </w:t>
      </w:r>
      <w:r w:rsidR="003A44B1" w:rsidRPr="00B35A69">
        <w:t>then analys</w:t>
      </w:r>
      <w:r w:rsidR="001A7EC7" w:rsidRPr="00B35A69">
        <w:t>ing</w:t>
      </w:r>
      <w:r w:rsidR="003A44B1" w:rsidRPr="00B35A69">
        <w:t xml:space="preserve"> </w:t>
      </w:r>
      <w:r w:rsidR="00EC6AA7" w:rsidRPr="00B35A69">
        <w:t xml:space="preserve">where the decisions leave </w:t>
      </w:r>
      <w:r w:rsidR="006E1C80" w:rsidRPr="00B35A69">
        <w:t>the relationship between competition law and professional sport – and more specifically the question of breakaway competitions.</w:t>
      </w:r>
      <w:r w:rsidR="00EC6AA7" w:rsidRPr="00B35A69">
        <w:t xml:space="preserve"> </w:t>
      </w:r>
      <w:r w:rsidR="00556AAB" w:rsidRPr="00B35A69">
        <w:t xml:space="preserve">An attempt will then be made to </w:t>
      </w:r>
      <w:r w:rsidR="00401A14" w:rsidRPr="00B35A69">
        <w:t>suggest how</w:t>
      </w:r>
      <w:r w:rsidR="00E40921" w:rsidRPr="00B35A69">
        <w:t>, looking forward,</w:t>
      </w:r>
      <w:r w:rsidR="00401A14" w:rsidRPr="00B35A69">
        <w:t xml:space="preserve"> the concerns expressed by the courts in these cases might </w:t>
      </w:r>
      <w:r w:rsidR="00E40921" w:rsidRPr="00B35A69">
        <w:t>be overcome.</w:t>
      </w:r>
      <w:r w:rsidR="00CF7068">
        <w:t xml:space="preserve"> Prior to the discussion of the </w:t>
      </w:r>
      <w:r w:rsidR="00CF7068" w:rsidRPr="0054352D">
        <w:rPr>
          <w:i/>
          <w:iCs/>
        </w:rPr>
        <w:t>Superleague</w:t>
      </w:r>
      <w:r w:rsidR="00CF7068">
        <w:t xml:space="preserve"> case, some brief background will be provided to </w:t>
      </w:r>
      <w:r w:rsidR="0013530B">
        <w:t xml:space="preserve">the </w:t>
      </w:r>
      <w:r w:rsidR="0054352D">
        <w:t>ill-fated project in order to give context to the court’s decision.</w:t>
      </w:r>
      <w:r w:rsidR="00CF7068">
        <w:t xml:space="preserve"> </w:t>
      </w:r>
      <w:r w:rsidR="00401A14" w:rsidRPr="00B35A69">
        <w:t xml:space="preserve"> </w:t>
      </w:r>
    </w:p>
    <w:p w14:paraId="50C3186A" w14:textId="741885E6" w:rsidR="003D6B82" w:rsidRPr="00B35A69" w:rsidRDefault="00DC58EE" w:rsidP="00B35A69">
      <w:pPr>
        <w:jc w:val="both"/>
      </w:pPr>
      <w:r w:rsidRPr="00B35A69">
        <w:t xml:space="preserve">It will be argued that </w:t>
      </w:r>
      <w:r w:rsidR="00CB449A" w:rsidRPr="00B35A69">
        <w:t xml:space="preserve">the </w:t>
      </w:r>
      <w:r w:rsidR="00E40921" w:rsidRPr="00B35A69">
        <w:t>overriding</w:t>
      </w:r>
      <w:r w:rsidR="00C13A5F" w:rsidRPr="00B35A69">
        <w:t xml:space="preserve"> </w:t>
      </w:r>
      <w:r w:rsidR="000167FD" w:rsidRPr="00B35A69">
        <w:t xml:space="preserve">aim here should be to ensure that professional sports organisations </w:t>
      </w:r>
      <w:r w:rsidR="00804046" w:rsidRPr="00B35A69">
        <w:t xml:space="preserve">and clubs remain subject to competition law, but that competition law is also applied in a way that </w:t>
      </w:r>
      <w:r w:rsidR="00FB3E1F" w:rsidRPr="00B35A69">
        <w:t>takes account of the idiosyncrasies of sport</w:t>
      </w:r>
      <w:r w:rsidR="00C13A5F" w:rsidRPr="00B35A69">
        <w:t>.</w:t>
      </w:r>
      <w:r w:rsidR="00AF6EE0" w:rsidRPr="00B35A69">
        <w:t xml:space="preserve"> It will be </w:t>
      </w:r>
      <w:r w:rsidR="00CD7E03" w:rsidRPr="00B35A69">
        <w:t xml:space="preserve">further </w:t>
      </w:r>
      <w:r w:rsidR="00AF6EE0" w:rsidRPr="00B35A69">
        <w:t>argued that as long as competition law is applied in such a way, not onl</w:t>
      </w:r>
      <w:r w:rsidR="00B34A56" w:rsidRPr="00B35A69">
        <w:t xml:space="preserve">y can </w:t>
      </w:r>
      <w:r w:rsidR="009927CA" w:rsidRPr="00B35A69">
        <w:t xml:space="preserve">competition law </w:t>
      </w:r>
      <w:r w:rsidR="00C90A98">
        <w:t>interact with professional</w:t>
      </w:r>
      <w:r w:rsidR="009927CA" w:rsidRPr="00B35A69">
        <w:t xml:space="preserve"> sport in a coherent and effective way, </w:t>
      </w:r>
      <w:r w:rsidR="00374457" w:rsidRPr="00B35A69">
        <w:t>but i</w:t>
      </w:r>
      <w:r w:rsidR="00633804" w:rsidRPr="00B35A69">
        <w:t xml:space="preserve">t can positively complement the ideals </w:t>
      </w:r>
      <w:r w:rsidR="001E2953">
        <w:t xml:space="preserve">and aims </w:t>
      </w:r>
      <w:r w:rsidR="00633804" w:rsidRPr="00B35A69">
        <w:t xml:space="preserve">of sporting competition. </w:t>
      </w:r>
      <w:r w:rsidR="00BB2B61" w:rsidRPr="00B35A69">
        <w:t>In particular, p</w:t>
      </w:r>
      <w:r w:rsidR="00B94EBE" w:rsidRPr="00B35A69">
        <w:t xml:space="preserve">revalent doctrines within competition law, such as essential facilities and equality of opportunity, can be </w:t>
      </w:r>
      <w:r w:rsidR="00BB2B61" w:rsidRPr="00B35A69">
        <w:t xml:space="preserve">invoked </w:t>
      </w:r>
      <w:r w:rsidR="00C17DFB" w:rsidRPr="00B35A69">
        <w:t>in this regard.</w:t>
      </w:r>
      <w:r w:rsidR="009927CA" w:rsidRPr="00B35A69">
        <w:t xml:space="preserve"> </w:t>
      </w:r>
      <w:r w:rsidR="00C13A5F" w:rsidRPr="00B35A69">
        <w:t xml:space="preserve"> </w:t>
      </w:r>
    </w:p>
    <w:p w14:paraId="029BCE62" w14:textId="1AD53682" w:rsidR="00C17DFB" w:rsidRPr="00B35A69" w:rsidRDefault="00514586" w:rsidP="00B35A69">
      <w:pPr>
        <w:jc w:val="both"/>
      </w:pPr>
      <w:r w:rsidRPr="00B35A69">
        <w:t xml:space="preserve">Specifically with regard to breakaway leagues, </w:t>
      </w:r>
      <w:r w:rsidR="008C5B4E" w:rsidRPr="00B35A69">
        <w:t>there will be a focus on sports governance. While the possibility o</w:t>
      </w:r>
      <w:r w:rsidR="00051D0B" w:rsidRPr="00B35A69">
        <w:t>f ‘rival’ competitions may see</w:t>
      </w:r>
      <w:r w:rsidR="00F54EA3" w:rsidRPr="00B35A69">
        <w:t xml:space="preserve">m like an attractive one in theory from a competition law perspective, </w:t>
      </w:r>
      <w:r w:rsidR="004238A0" w:rsidRPr="00B35A69">
        <w:t xml:space="preserve">it will be submitted that </w:t>
      </w:r>
      <w:r w:rsidR="00F060E1" w:rsidRPr="00B35A69">
        <w:t xml:space="preserve">from a sporting </w:t>
      </w:r>
      <w:r w:rsidR="00381ADD">
        <w:t>point of view</w:t>
      </w:r>
      <w:r w:rsidR="00F060E1" w:rsidRPr="00B35A69">
        <w:t xml:space="preserve"> </w:t>
      </w:r>
      <w:r w:rsidR="004238A0" w:rsidRPr="00B35A69">
        <w:t>there is also much to be said for a structured and</w:t>
      </w:r>
      <w:r w:rsidR="00F060E1" w:rsidRPr="00B35A69">
        <w:t xml:space="preserve"> </w:t>
      </w:r>
      <w:r w:rsidR="006E7C63" w:rsidRPr="00B35A69">
        <w:t>pyra</w:t>
      </w:r>
      <w:r w:rsidR="007671DB" w:rsidRPr="00B35A69">
        <w:t xml:space="preserve">midic </w:t>
      </w:r>
      <w:r w:rsidR="00BA4FFC">
        <w:t xml:space="preserve">system of </w:t>
      </w:r>
      <w:r w:rsidR="007671DB" w:rsidRPr="00B35A69">
        <w:t xml:space="preserve">organisation of </w:t>
      </w:r>
      <w:r w:rsidR="009C5285" w:rsidRPr="00B35A69">
        <w:t xml:space="preserve">individual </w:t>
      </w:r>
      <w:r w:rsidR="007671DB" w:rsidRPr="00B35A69">
        <w:t>sport</w:t>
      </w:r>
      <w:r w:rsidR="009C5285" w:rsidRPr="00B35A69">
        <w:t xml:space="preserve">s. </w:t>
      </w:r>
      <w:r w:rsidR="008803FC" w:rsidRPr="00B35A69">
        <w:t xml:space="preserve">Equally, though, </w:t>
      </w:r>
      <w:r w:rsidR="00991480" w:rsidRPr="00B35A69">
        <w:t xml:space="preserve">such systems rely on the existence of </w:t>
      </w:r>
      <w:r w:rsidR="004D2A87" w:rsidRPr="00B35A69">
        <w:t xml:space="preserve">governing bodies with </w:t>
      </w:r>
      <w:r w:rsidR="004874A4" w:rsidRPr="00B35A69">
        <w:t>a lot of power</w:t>
      </w:r>
      <w:r w:rsidR="003079B9" w:rsidRPr="00B35A69">
        <w:t xml:space="preserve"> including the ability to issue sanctions of one sort or another. </w:t>
      </w:r>
      <w:r w:rsidR="00381753" w:rsidRPr="00B35A69">
        <w:t>As</w:t>
      </w:r>
      <w:r w:rsidR="004874A4" w:rsidRPr="00B35A69">
        <w:t xml:space="preserve"> the two above-mentioned decisions </w:t>
      </w:r>
      <w:r w:rsidR="00687AFF" w:rsidRPr="00B35A69">
        <w:t>show</w:t>
      </w:r>
      <w:r w:rsidR="00381753" w:rsidRPr="00B35A69">
        <w:t xml:space="preserve">, </w:t>
      </w:r>
      <w:r w:rsidR="00126825" w:rsidRPr="00B35A69">
        <w:t xml:space="preserve">the exercise of such powers makes such bodies susceptible to conduct or practices that </w:t>
      </w:r>
      <w:r w:rsidR="002B2989" w:rsidRPr="00B35A69">
        <w:t>risk infringing competition law. So</w:t>
      </w:r>
      <w:r w:rsidR="00126825" w:rsidRPr="00B35A69">
        <w:t>,</w:t>
      </w:r>
      <w:r w:rsidR="002B2989" w:rsidRPr="00B35A69">
        <w:t xml:space="preserve"> the question becomes how to square this circle</w:t>
      </w:r>
      <w:r w:rsidR="00126825" w:rsidRPr="00B35A69">
        <w:t xml:space="preserve"> of ensuring a coherent </w:t>
      </w:r>
      <w:r w:rsidR="00C76349" w:rsidRPr="00B35A69">
        <w:t>and effective system of sports governance, but avoiding anticompetitive conduct</w:t>
      </w:r>
      <w:r w:rsidR="00B25CE0">
        <w:t xml:space="preserve"> by the putative governing bodies</w:t>
      </w:r>
      <w:r w:rsidR="00C76349" w:rsidRPr="00B35A69">
        <w:t xml:space="preserve">? </w:t>
      </w:r>
      <w:r w:rsidR="002B2989" w:rsidRPr="00B35A69">
        <w:t xml:space="preserve">A number of possibilities will be </w:t>
      </w:r>
      <w:r w:rsidR="00FA1169" w:rsidRPr="00B35A69">
        <w:t>discussed in this regard, in</w:t>
      </w:r>
      <w:r w:rsidR="000502B2" w:rsidRPr="00B35A69">
        <w:t xml:space="preserve"> particular</w:t>
      </w:r>
      <w:r w:rsidR="00FA1169" w:rsidRPr="00B35A69">
        <w:t xml:space="preserve"> the </w:t>
      </w:r>
      <w:r w:rsidR="005546AF" w:rsidRPr="00B35A69">
        <w:t>idea</w:t>
      </w:r>
      <w:r w:rsidR="00FA1169" w:rsidRPr="00B35A69">
        <w:t xml:space="preserve"> of subjecting governing bodies to </w:t>
      </w:r>
      <w:r w:rsidR="005546AF" w:rsidRPr="00B35A69">
        <w:t xml:space="preserve">more bespoke </w:t>
      </w:r>
      <w:r w:rsidR="00FA1169" w:rsidRPr="00B35A69">
        <w:t xml:space="preserve">regulatory oversight </w:t>
      </w:r>
      <w:r w:rsidR="007363D2">
        <w:t xml:space="preserve">– as has been proposed in </w:t>
      </w:r>
      <w:r w:rsidR="007F02A3">
        <w:t xml:space="preserve">relation to professional football in </w:t>
      </w:r>
      <w:r w:rsidR="007363D2">
        <w:t xml:space="preserve">England </w:t>
      </w:r>
      <w:r w:rsidR="007A5110">
        <w:t>– or</w:t>
      </w:r>
      <w:r w:rsidR="007F02A3">
        <w:t xml:space="preserve"> alternatively</w:t>
      </w:r>
      <w:r w:rsidR="007A5110">
        <w:t>,</w:t>
      </w:r>
      <w:r w:rsidR="00FA1169" w:rsidRPr="00B35A69">
        <w:t xml:space="preserve"> requiring a </w:t>
      </w:r>
      <w:r w:rsidR="005B188E">
        <w:t xml:space="preserve">clearer </w:t>
      </w:r>
      <w:r w:rsidR="00FA1169" w:rsidRPr="00B35A69">
        <w:t xml:space="preserve">separation between </w:t>
      </w:r>
      <w:r w:rsidR="000502B2" w:rsidRPr="00B35A69">
        <w:t>activities of organisation and governance on the one hand and commercial activities on the other.</w:t>
      </w:r>
      <w:r w:rsidR="00FA1169" w:rsidRPr="00B35A69">
        <w:t xml:space="preserve"> </w:t>
      </w:r>
      <w:r w:rsidR="00E3304C">
        <w:t>Ultimately</w:t>
      </w:r>
      <w:r w:rsidR="00602428">
        <w:t>,</w:t>
      </w:r>
      <w:r w:rsidR="006E6521">
        <w:t xml:space="preserve"> i</w:t>
      </w:r>
      <w:r w:rsidR="002A0B04">
        <w:t>n a</w:t>
      </w:r>
      <w:r w:rsidR="00E25B79">
        <w:t>n environment</w:t>
      </w:r>
      <w:r w:rsidR="002A0B04">
        <w:t xml:space="preserve"> of transparent and fair</w:t>
      </w:r>
      <w:r w:rsidR="006E6521">
        <w:t xml:space="preserve"> sports governance</w:t>
      </w:r>
      <w:r w:rsidR="002A0B04">
        <w:t xml:space="preserve">, </w:t>
      </w:r>
      <w:r w:rsidR="00CB5714">
        <w:t xml:space="preserve">breakaway competitions </w:t>
      </w:r>
      <w:r w:rsidR="0061311D">
        <w:t>might</w:t>
      </w:r>
      <w:r w:rsidR="00CB5714">
        <w:t xml:space="preserve"> </w:t>
      </w:r>
      <w:r w:rsidR="002A0B04">
        <w:t xml:space="preserve">well </w:t>
      </w:r>
      <w:r w:rsidR="00CB5714">
        <w:t>become obsolete.</w:t>
      </w:r>
    </w:p>
    <w:p w14:paraId="6724FCCE" w14:textId="2F779A31" w:rsidR="0099145F" w:rsidRDefault="00C13A5F" w:rsidP="00DB12ED">
      <w:pPr>
        <w:jc w:val="both"/>
      </w:pPr>
      <w:r>
        <w:t xml:space="preserve"> </w:t>
      </w:r>
    </w:p>
    <w:p w14:paraId="04D3C692" w14:textId="79F3AAB2" w:rsidR="001D7EC0" w:rsidRDefault="001D7EC0" w:rsidP="001D7EC0">
      <w:pPr>
        <w:jc w:val="both"/>
      </w:pPr>
    </w:p>
    <w:p w14:paraId="24BFCE78" w14:textId="77777777" w:rsidR="002474DC" w:rsidRDefault="002474DC"/>
    <w:p w14:paraId="516E35FD" w14:textId="18FBC502" w:rsidR="006A15A5" w:rsidRDefault="00CA68F7">
      <w:r>
        <w:t xml:space="preserve"> </w:t>
      </w:r>
    </w:p>
    <w:sectPr w:rsidR="006A15A5" w:rsidSect="007374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A1D88" w14:textId="77777777" w:rsidR="00925A5B" w:rsidRDefault="00925A5B" w:rsidP="00F52E32">
      <w:pPr>
        <w:spacing w:after="0" w:line="240" w:lineRule="auto"/>
      </w:pPr>
      <w:r>
        <w:separator/>
      </w:r>
    </w:p>
  </w:endnote>
  <w:endnote w:type="continuationSeparator" w:id="0">
    <w:p w14:paraId="22533316" w14:textId="77777777" w:rsidR="00925A5B" w:rsidRDefault="00925A5B" w:rsidP="00F52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DA665" w14:textId="77777777" w:rsidR="00925A5B" w:rsidRDefault="00925A5B" w:rsidP="00F52E32">
      <w:pPr>
        <w:spacing w:after="0" w:line="240" w:lineRule="auto"/>
      </w:pPr>
      <w:r>
        <w:separator/>
      </w:r>
    </w:p>
  </w:footnote>
  <w:footnote w:type="continuationSeparator" w:id="0">
    <w:p w14:paraId="4B5449D8" w14:textId="77777777" w:rsidR="00925A5B" w:rsidRDefault="00925A5B" w:rsidP="00F52E32">
      <w:pPr>
        <w:spacing w:after="0" w:line="240" w:lineRule="auto"/>
      </w:pPr>
      <w:r>
        <w:continuationSeparator/>
      </w:r>
    </w:p>
  </w:footnote>
  <w:footnote w:id="1">
    <w:p w14:paraId="7DCA8A8C" w14:textId="1AA2A2FD" w:rsidR="003109C6" w:rsidRPr="005878C7" w:rsidRDefault="003109C6" w:rsidP="006B3799">
      <w:pPr>
        <w:pStyle w:val="FootnoteText"/>
        <w:jc w:val="both"/>
        <w:rPr>
          <w:sz w:val="18"/>
          <w:szCs w:val="18"/>
        </w:rPr>
      </w:pPr>
      <w:r w:rsidRPr="005878C7">
        <w:rPr>
          <w:rStyle w:val="FootnoteReference"/>
          <w:sz w:val="18"/>
          <w:szCs w:val="18"/>
        </w:rPr>
        <w:footnoteRef/>
      </w:r>
      <w:r w:rsidRPr="005878C7">
        <w:rPr>
          <w:sz w:val="18"/>
          <w:szCs w:val="18"/>
        </w:rPr>
        <w:t xml:space="preserve"> See inter alia: </w:t>
      </w:r>
      <w:r w:rsidRPr="005878C7">
        <w:rPr>
          <w:sz w:val="18"/>
          <w:szCs w:val="18"/>
        </w:rPr>
        <w:t xml:space="preserve">Case 36/74 </w:t>
      </w:r>
      <w:r w:rsidRPr="005878C7">
        <w:rPr>
          <w:i/>
          <w:iCs/>
          <w:sz w:val="18"/>
          <w:szCs w:val="18"/>
        </w:rPr>
        <w:t>Walrave v Association Union Cycliste Internationale</w:t>
      </w:r>
      <w:r w:rsidRPr="005878C7">
        <w:rPr>
          <w:sz w:val="18"/>
          <w:szCs w:val="18"/>
        </w:rPr>
        <w:t xml:space="preserve">, EU:C:1974:140; Case 13/76 </w:t>
      </w:r>
      <w:r w:rsidRPr="005878C7">
        <w:rPr>
          <w:i/>
          <w:iCs/>
          <w:sz w:val="18"/>
          <w:szCs w:val="18"/>
        </w:rPr>
        <w:t>Don</w:t>
      </w:r>
      <w:r w:rsidRPr="005878C7">
        <w:rPr>
          <w:rFonts w:cstheme="minorHAnsi"/>
          <w:i/>
          <w:iCs/>
          <w:sz w:val="18"/>
          <w:szCs w:val="18"/>
        </w:rPr>
        <w:t>à</w:t>
      </w:r>
      <w:r w:rsidRPr="005878C7">
        <w:rPr>
          <w:i/>
          <w:iCs/>
          <w:sz w:val="18"/>
          <w:szCs w:val="18"/>
        </w:rPr>
        <w:t xml:space="preserve"> v Mantero</w:t>
      </w:r>
      <w:r w:rsidRPr="005878C7">
        <w:rPr>
          <w:sz w:val="18"/>
          <w:szCs w:val="18"/>
        </w:rPr>
        <w:t xml:space="preserve">, EU:C:1976:115; Case 415/93 </w:t>
      </w:r>
      <w:r w:rsidRPr="005878C7">
        <w:rPr>
          <w:i/>
          <w:iCs/>
          <w:sz w:val="18"/>
          <w:szCs w:val="18"/>
        </w:rPr>
        <w:t>Union royal belge des soci</w:t>
      </w:r>
      <w:r w:rsidRPr="005878C7">
        <w:rPr>
          <w:rFonts w:cs="Calibri"/>
          <w:i/>
          <w:iCs/>
          <w:sz w:val="18"/>
          <w:szCs w:val="18"/>
        </w:rPr>
        <w:t>é</w:t>
      </w:r>
      <w:r w:rsidRPr="005878C7">
        <w:rPr>
          <w:i/>
          <w:iCs/>
          <w:sz w:val="18"/>
          <w:szCs w:val="18"/>
        </w:rPr>
        <w:t>t</w:t>
      </w:r>
      <w:r w:rsidRPr="005878C7">
        <w:rPr>
          <w:rFonts w:cs="Calibri"/>
          <w:i/>
          <w:iCs/>
          <w:sz w:val="18"/>
          <w:szCs w:val="18"/>
        </w:rPr>
        <w:t>é</w:t>
      </w:r>
      <w:r w:rsidRPr="005878C7">
        <w:rPr>
          <w:i/>
          <w:iCs/>
          <w:sz w:val="18"/>
          <w:szCs w:val="18"/>
        </w:rPr>
        <w:t>s de football association ASBL v Jean-Marc Bosman &amp; others</w:t>
      </w:r>
      <w:r w:rsidRPr="005878C7">
        <w:rPr>
          <w:sz w:val="18"/>
          <w:szCs w:val="18"/>
        </w:rPr>
        <w:t xml:space="preserve">, EU:C:1995:463; Joined Cases C-51/96 and C-191/97 </w:t>
      </w:r>
      <w:r w:rsidRPr="005878C7">
        <w:rPr>
          <w:i/>
          <w:sz w:val="18"/>
          <w:szCs w:val="18"/>
        </w:rPr>
        <w:t>Deli</w:t>
      </w:r>
      <w:r w:rsidRPr="005878C7">
        <w:rPr>
          <w:rFonts w:cstheme="minorHAnsi"/>
          <w:i/>
          <w:sz w:val="18"/>
          <w:szCs w:val="18"/>
        </w:rPr>
        <w:t>è</w:t>
      </w:r>
      <w:r w:rsidRPr="005878C7">
        <w:rPr>
          <w:i/>
          <w:sz w:val="18"/>
          <w:szCs w:val="18"/>
        </w:rPr>
        <w:t>ge v Ligue francophone de judo et disciplines associ</w:t>
      </w:r>
      <w:r w:rsidRPr="005878C7">
        <w:rPr>
          <w:rFonts w:cs="Calibri"/>
          <w:i/>
          <w:sz w:val="18"/>
          <w:szCs w:val="18"/>
        </w:rPr>
        <w:t>é</w:t>
      </w:r>
      <w:r w:rsidRPr="005878C7">
        <w:rPr>
          <w:i/>
          <w:sz w:val="18"/>
          <w:szCs w:val="18"/>
        </w:rPr>
        <w:t>es ASBL and Fran</w:t>
      </w:r>
      <w:r w:rsidRPr="005878C7">
        <w:rPr>
          <w:rFonts w:cs="Calibri"/>
          <w:i/>
          <w:sz w:val="18"/>
          <w:szCs w:val="18"/>
        </w:rPr>
        <w:t>ç</w:t>
      </w:r>
      <w:r w:rsidRPr="005878C7">
        <w:rPr>
          <w:i/>
          <w:sz w:val="18"/>
          <w:szCs w:val="18"/>
        </w:rPr>
        <w:t>ois Pacqu</w:t>
      </w:r>
      <w:r w:rsidRPr="005878C7">
        <w:rPr>
          <w:rFonts w:cs="Calibri"/>
          <w:i/>
          <w:sz w:val="18"/>
          <w:szCs w:val="18"/>
        </w:rPr>
        <w:t>é</w:t>
      </w:r>
      <w:r w:rsidRPr="005878C7">
        <w:rPr>
          <w:i/>
          <w:sz w:val="18"/>
          <w:szCs w:val="18"/>
        </w:rPr>
        <w:t>e</w:t>
      </w:r>
      <w:r w:rsidRPr="005878C7">
        <w:rPr>
          <w:iCs/>
          <w:sz w:val="18"/>
          <w:szCs w:val="18"/>
        </w:rPr>
        <w:t>,</w:t>
      </w:r>
      <w:r w:rsidRPr="005878C7">
        <w:rPr>
          <w:i/>
          <w:sz w:val="18"/>
          <w:szCs w:val="18"/>
        </w:rPr>
        <w:t xml:space="preserve"> </w:t>
      </w:r>
      <w:r w:rsidRPr="005878C7">
        <w:rPr>
          <w:iCs/>
          <w:sz w:val="18"/>
          <w:szCs w:val="18"/>
        </w:rPr>
        <w:t xml:space="preserve">EU:C:2000:199; Case C-519/04 P </w:t>
      </w:r>
      <w:r w:rsidRPr="005878C7">
        <w:rPr>
          <w:i/>
          <w:iCs/>
          <w:sz w:val="18"/>
          <w:szCs w:val="18"/>
        </w:rPr>
        <w:t>Meca-Medina &amp; Majcen v Commission</w:t>
      </w:r>
      <w:r w:rsidRPr="005878C7">
        <w:rPr>
          <w:sz w:val="18"/>
          <w:szCs w:val="18"/>
        </w:rPr>
        <w:t>,</w:t>
      </w:r>
      <w:r w:rsidRPr="005878C7">
        <w:rPr>
          <w:i/>
          <w:iCs/>
          <w:sz w:val="18"/>
          <w:szCs w:val="18"/>
        </w:rPr>
        <w:t xml:space="preserve"> </w:t>
      </w:r>
      <w:r w:rsidRPr="005878C7">
        <w:rPr>
          <w:sz w:val="18"/>
          <w:szCs w:val="18"/>
        </w:rPr>
        <w:t>EU:C:2006:492.</w:t>
      </w:r>
    </w:p>
  </w:footnote>
  <w:footnote w:id="2">
    <w:p w14:paraId="17E9E645" w14:textId="7D549814" w:rsidR="00F52E32" w:rsidRPr="005878C7" w:rsidRDefault="00F52E32" w:rsidP="006B3799">
      <w:pPr>
        <w:pStyle w:val="FootnoteText"/>
        <w:jc w:val="both"/>
        <w:rPr>
          <w:sz w:val="18"/>
          <w:szCs w:val="18"/>
        </w:rPr>
      </w:pPr>
      <w:r w:rsidRPr="005878C7">
        <w:rPr>
          <w:rStyle w:val="FootnoteReference"/>
          <w:sz w:val="18"/>
          <w:szCs w:val="18"/>
        </w:rPr>
        <w:footnoteRef/>
      </w:r>
      <w:r w:rsidRPr="005878C7">
        <w:rPr>
          <w:sz w:val="18"/>
          <w:szCs w:val="18"/>
        </w:rPr>
        <w:t xml:space="preserve"> </w:t>
      </w:r>
      <w:r w:rsidRPr="005878C7">
        <w:rPr>
          <w:sz w:val="18"/>
          <w:szCs w:val="18"/>
        </w:rPr>
        <w:t xml:space="preserve">C-333/21, </w:t>
      </w:r>
      <w:r w:rsidRPr="005878C7">
        <w:rPr>
          <w:i/>
          <w:iCs/>
          <w:sz w:val="18"/>
          <w:szCs w:val="18"/>
        </w:rPr>
        <w:t>European Superleague Company SL v Fédération internationale de football association (FIFA) and Union of European Football Associations (UEFA)</w:t>
      </w:r>
      <w:r w:rsidRPr="005878C7">
        <w:rPr>
          <w:sz w:val="18"/>
          <w:szCs w:val="18"/>
        </w:rPr>
        <w:t xml:space="preserve"> </w:t>
      </w:r>
      <w:r w:rsidR="00821615" w:rsidRPr="005878C7">
        <w:rPr>
          <w:sz w:val="18"/>
          <w:szCs w:val="18"/>
        </w:rPr>
        <w:t>EC:C:2023: 1011.</w:t>
      </w:r>
    </w:p>
  </w:footnote>
  <w:footnote w:id="3">
    <w:p w14:paraId="2D800761" w14:textId="547E5BAF" w:rsidR="00864BC1" w:rsidRPr="005878C7" w:rsidRDefault="00864BC1" w:rsidP="006B3799">
      <w:pPr>
        <w:pStyle w:val="FootnoteText"/>
        <w:jc w:val="both"/>
        <w:rPr>
          <w:sz w:val="18"/>
          <w:szCs w:val="18"/>
        </w:rPr>
      </w:pPr>
      <w:r w:rsidRPr="005878C7">
        <w:rPr>
          <w:rStyle w:val="FootnoteReference"/>
          <w:sz w:val="18"/>
          <w:szCs w:val="18"/>
        </w:rPr>
        <w:footnoteRef/>
      </w:r>
      <w:r w:rsidRPr="005878C7">
        <w:rPr>
          <w:sz w:val="18"/>
          <w:szCs w:val="18"/>
        </w:rPr>
        <w:t xml:space="preserve"> </w:t>
      </w:r>
      <w:r w:rsidRPr="005878C7">
        <w:rPr>
          <w:sz w:val="18"/>
          <w:szCs w:val="18"/>
        </w:rPr>
        <w:t>Juzgado de lo Mercantil de Madrid (Commercial Court in Madrid)</w:t>
      </w:r>
    </w:p>
  </w:footnote>
  <w:footnote w:id="4">
    <w:p w14:paraId="6CE8CEAB" w14:textId="1689654A" w:rsidR="00591333" w:rsidRPr="005878C7" w:rsidRDefault="00591333" w:rsidP="006B3799">
      <w:pPr>
        <w:spacing w:after="0"/>
        <w:jc w:val="both"/>
        <w:rPr>
          <w:sz w:val="18"/>
          <w:szCs w:val="18"/>
          <w:u w:val="single"/>
        </w:rPr>
      </w:pPr>
      <w:r w:rsidRPr="005878C7">
        <w:rPr>
          <w:rStyle w:val="FootnoteReference"/>
          <w:sz w:val="18"/>
          <w:szCs w:val="18"/>
        </w:rPr>
        <w:footnoteRef/>
      </w:r>
      <w:r w:rsidRPr="005878C7">
        <w:rPr>
          <w:sz w:val="18"/>
          <w:szCs w:val="18"/>
        </w:rPr>
        <w:t xml:space="preserve"> </w:t>
      </w:r>
      <w:r w:rsidRPr="005878C7">
        <w:rPr>
          <w:sz w:val="18"/>
          <w:szCs w:val="18"/>
        </w:rPr>
        <w:t xml:space="preserve">C-124/21 P, </w:t>
      </w:r>
      <w:r w:rsidRPr="005878C7">
        <w:rPr>
          <w:i/>
          <w:iCs/>
          <w:sz w:val="18"/>
          <w:szCs w:val="18"/>
        </w:rPr>
        <w:t xml:space="preserve">International Skating Union v Commission </w:t>
      </w:r>
      <w:r w:rsidRPr="005878C7">
        <w:rPr>
          <w:sz w:val="18"/>
          <w:szCs w:val="18"/>
        </w:rPr>
        <w:t>EU:C:2023:1012</w:t>
      </w:r>
      <w:r w:rsidRPr="005878C7">
        <w:rPr>
          <w:sz w:val="18"/>
          <w:szCs w:val="18"/>
        </w:rPr>
        <w:t>.</w:t>
      </w:r>
    </w:p>
  </w:footnote>
  <w:footnote w:id="5">
    <w:p w14:paraId="1E34796B" w14:textId="3666F3D9" w:rsidR="005878C7" w:rsidRPr="005878C7" w:rsidRDefault="005878C7">
      <w:pPr>
        <w:pStyle w:val="FootnoteText"/>
        <w:rPr>
          <w:sz w:val="18"/>
          <w:szCs w:val="18"/>
        </w:rPr>
      </w:pPr>
      <w:r w:rsidRPr="005878C7">
        <w:rPr>
          <w:rStyle w:val="FootnoteReference"/>
          <w:sz w:val="18"/>
          <w:szCs w:val="18"/>
        </w:rPr>
        <w:footnoteRef/>
      </w:r>
      <w:r w:rsidRPr="005878C7">
        <w:rPr>
          <w:sz w:val="18"/>
          <w:szCs w:val="18"/>
        </w:rPr>
        <w:t xml:space="preserve"> </w:t>
      </w:r>
      <w:r w:rsidRPr="005878C7">
        <w:rPr>
          <w:sz w:val="18"/>
          <w:szCs w:val="18"/>
        </w:rPr>
        <w:t xml:space="preserve">T-93/18, </w:t>
      </w:r>
      <w:r w:rsidRPr="005878C7">
        <w:rPr>
          <w:i/>
          <w:iCs/>
          <w:sz w:val="18"/>
          <w:szCs w:val="18"/>
        </w:rPr>
        <w:t xml:space="preserve">International Skaing Union v Commission </w:t>
      </w:r>
      <w:r w:rsidRPr="005878C7">
        <w:rPr>
          <w:sz w:val="18"/>
          <w:szCs w:val="18"/>
        </w:rPr>
        <w:t>EU:T:2020:610</w:t>
      </w:r>
    </w:p>
  </w:footnote>
  <w:footnote w:id="6">
    <w:p w14:paraId="2EE8B7AE" w14:textId="248D7C70" w:rsidR="00644823" w:rsidRPr="005878C7" w:rsidRDefault="00644823" w:rsidP="006B3799">
      <w:pPr>
        <w:pStyle w:val="FootnoteText"/>
        <w:jc w:val="both"/>
        <w:rPr>
          <w:sz w:val="18"/>
          <w:szCs w:val="18"/>
        </w:rPr>
      </w:pPr>
      <w:r w:rsidRPr="005878C7">
        <w:rPr>
          <w:rStyle w:val="FootnoteReference"/>
          <w:sz w:val="18"/>
          <w:szCs w:val="18"/>
        </w:rPr>
        <w:footnoteRef/>
      </w:r>
      <w:r w:rsidRPr="005878C7">
        <w:rPr>
          <w:sz w:val="18"/>
          <w:szCs w:val="18"/>
        </w:rPr>
        <w:t xml:space="preserve"> </w:t>
      </w:r>
      <w:r w:rsidRPr="005878C7">
        <w:rPr>
          <w:sz w:val="18"/>
          <w:szCs w:val="18"/>
        </w:rPr>
        <w:t>Commission Decision of 8 December 2017, C(2017) 8230 final, (Case AT.40208 – International Skating Union’s Eligibility Rules</w:t>
      </w:r>
      <w:r w:rsidR="006B3799" w:rsidRPr="005878C7">
        <w:rPr>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A5"/>
    <w:rsid w:val="00001C97"/>
    <w:rsid w:val="00011711"/>
    <w:rsid w:val="00012037"/>
    <w:rsid w:val="000167FD"/>
    <w:rsid w:val="00021440"/>
    <w:rsid w:val="00021694"/>
    <w:rsid w:val="000502B2"/>
    <w:rsid w:val="00051D0B"/>
    <w:rsid w:val="000544B9"/>
    <w:rsid w:val="000E616B"/>
    <w:rsid w:val="00124B19"/>
    <w:rsid w:val="00126825"/>
    <w:rsid w:val="0013530B"/>
    <w:rsid w:val="00174F76"/>
    <w:rsid w:val="001A7EC7"/>
    <w:rsid w:val="001D7EC0"/>
    <w:rsid w:val="001E2953"/>
    <w:rsid w:val="0020176A"/>
    <w:rsid w:val="00204568"/>
    <w:rsid w:val="00223EAB"/>
    <w:rsid w:val="00240F9D"/>
    <w:rsid w:val="002474DC"/>
    <w:rsid w:val="002A0B04"/>
    <w:rsid w:val="002A44A2"/>
    <w:rsid w:val="002B2989"/>
    <w:rsid w:val="002D09CC"/>
    <w:rsid w:val="003079B9"/>
    <w:rsid w:val="003109C6"/>
    <w:rsid w:val="00335127"/>
    <w:rsid w:val="00374457"/>
    <w:rsid w:val="00381753"/>
    <w:rsid w:val="00381ADD"/>
    <w:rsid w:val="00390BCD"/>
    <w:rsid w:val="003A44B1"/>
    <w:rsid w:val="003C1E4D"/>
    <w:rsid w:val="003D6B82"/>
    <w:rsid w:val="003E28C3"/>
    <w:rsid w:val="00401A14"/>
    <w:rsid w:val="00413B94"/>
    <w:rsid w:val="004231A6"/>
    <w:rsid w:val="004238A0"/>
    <w:rsid w:val="004874A4"/>
    <w:rsid w:val="004B1CC0"/>
    <w:rsid w:val="004D1D59"/>
    <w:rsid w:val="004D2A87"/>
    <w:rsid w:val="00514586"/>
    <w:rsid w:val="00531488"/>
    <w:rsid w:val="005409DD"/>
    <w:rsid w:val="0054352D"/>
    <w:rsid w:val="005546AF"/>
    <w:rsid w:val="00554785"/>
    <w:rsid w:val="00556AAB"/>
    <w:rsid w:val="00557CCB"/>
    <w:rsid w:val="005878C7"/>
    <w:rsid w:val="00591333"/>
    <w:rsid w:val="005B188E"/>
    <w:rsid w:val="005B3AD8"/>
    <w:rsid w:val="005F4629"/>
    <w:rsid w:val="0060132B"/>
    <w:rsid w:val="00602428"/>
    <w:rsid w:val="00602941"/>
    <w:rsid w:val="0061311D"/>
    <w:rsid w:val="0062147B"/>
    <w:rsid w:val="00633804"/>
    <w:rsid w:val="00642E33"/>
    <w:rsid w:val="00644823"/>
    <w:rsid w:val="00687AFF"/>
    <w:rsid w:val="00691761"/>
    <w:rsid w:val="00696DAF"/>
    <w:rsid w:val="006A15A5"/>
    <w:rsid w:val="006B0FF3"/>
    <w:rsid w:val="006B3799"/>
    <w:rsid w:val="006B482A"/>
    <w:rsid w:val="006D2FDF"/>
    <w:rsid w:val="006E1C80"/>
    <w:rsid w:val="006E6521"/>
    <w:rsid w:val="006E7C63"/>
    <w:rsid w:val="006F46B4"/>
    <w:rsid w:val="00712002"/>
    <w:rsid w:val="00715AB1"/>
    <w:rsid w:val="0072010F"/>
    <w:rsid w:val="007211BA"/>
    <w:rsid w:val="007363D2"/>
    <w:rsid w:val="00737460"/>
    <w:rsid w:val="007671DB"/>
    <w:rsid w:val="007A5110"/>
    <w:rsid w:val="007F02A3"/>
    <w:rsid w:val="00804046"/>
    <w:rsid w:val="0081144D"/>
    <w:rsid w:val="00821615"/>
    <w:rsid w:val="008337A2"/>
    <w:rsid w:val="00864BC1"/>
    <w:rsid w:val="008803FC"/>
    <w:rsid w:val="00883DE7"/>
    <w:rsid w:val="008C39E1"/>
    <w:rsid w:val="008C5B4E"/>
    <w:rsid w:val="008D65D8"/>
    <w:rsid w:val="008E2CA8"/>
    <w:rsid w:val="008E3739"/>
    <w:rsid w:val="00925A5B"/>
    <w:rsid w:val="00942EE0"/>
    <w:rsid w:val="0099145F"/>
    <w:rsid w:val="00991480"/>
    <w:rsid w:val="009927CA"/>
    <w:rsid w:val="009B0953"/>
    <w:rsid w:val="009C5285"/>
    <w:rsid w:val="00A004E4"/>
    <w:rsid w:val="00A13739"/>
    <w:rsid w:val="00AF6EE0"/>
    <w:rsid w:val="00AF6FD2"/>
    <w:rsid w:val="00B25CE0"/>
    <w:rsid w:val="00B34A56"/>
    <w:rsid w:val="00B35A69"/>
    <w:rsid w:val="00B4591E"/>
    <w:rsid w:val="00B90D6E"/>
    <w:rsid w:val="00B94EBE"/>
    <w:rsid w:val="00BA4FFC"/>
    <w:rsid w:val="00BA6D2F"/>
    <w:rsid w:val="00BB2B61"/>
    <w:rsid w:val="00BD05C9"/>
    <w:rsid w:val="00BD4A23"/>
    <w:rsid w:val="00C11C16"/>
    <w:rsid w:val="00C13A5F"/>
    <w:rsid w:val="00C17DFB"/>
    <w:rsid w:val="00C61695"/>
    <w:rsid w:val="00C76349"/>
    <w:rsid w:val="00C87E20"/>
    <w:rsid w:val="00C90A98"/>
    <w:rsid w:val="00CA68F7"/>
    <w:rsid w:val="00CB449A"/>
    <w:rsid w:val="00CB56A6"/>
    <w:rsid w:val="00CB5714"/>
    <w:rsid w:val="00CD7E03"/>
    <w:rsid w:val="00CF7068"/>
    <w:rsid w:val="00D5378A"/>
    <w:rsid w:val="00D57C7B"/>
    <w:rsid w:val="00D7086C"/>
    <w:rsid w:val="00DA4FF2"/>
    <w:rsid w:val="00DB12ED"/>
    <w:rsid w:val="00DC58EE"/>
    <w:rsid w:val="00DD53BA"/>
    <w:rsid w:val="00DE29E9"/>
    <w:rsid w:val="00DF066B"/>
    <w:rsid w:val="00E25B79"/>
    <w:rsid w:val="00E3304C"/>
    <w:rsid w:val="00E40921"/>
    <w:rsid w:val="00E53914"/>
    <w:rsid w:val="00E549E2"/>
    <w:rsid w:val="00EC1F83"/>
    <w:rsid w:val="00EC6AA7"/>
    <w:rsid w:val="00EC6F55"/>
    <w:rsid w:val="00EE67FD"/>
    <w:rsid w:val="00F060E1"/>
    <w:rsid w:val="00F50139"/>
    <w:rsid w:val="00F52E32"/>
    <w:rsid w:val="00F54EA3"/>
    <w:rsid w:val="00F60190"/>
    <w:rsid w:val="00F7645C"/>
    <w:rsid w:val="00F81781"/>
    <w:rsid w:val="00F9151B"/>
    <w:rsid w:val="00FA1169"/>
    <w:rsid w:val="00FA456D"/>
    <w:rsid w:val="00FB1514"/>
    <w:rsid w:val="00FB3E1F"/>
    <w:rsid w:val="00FC5DE1"/>
    <w:rsid w:val="00FF0C0B"/>
    <w:rsid w:val="00FF79B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82598"/>
  <w15:chartTrackingRefBased/>
  <w15:docId w15:val="{86AE685D-F4BA-4135-A15B-14DC9E48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15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15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15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15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15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15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15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15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15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5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15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15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15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15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15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15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15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15A5"/>
    <w:rPr>
      <w:rFonts w:eastAsiaTheme="majorEastAsia" w:cstheme="majorBidi"/>
      <w:color w:val="272727" w:themeColor="text1" w:themeTint="D8"/>
    </w:rPr>
  </w:style>
  <w:style w:type="paragraph" w:styleId="Title">
    <w:name w:val="Title"/>
    <w:basedOn w:val="Normal"/>
    <w:next w:val="Normal"/>
    <w:link w:val="TitleChar"/>
    <w:uiPriority w:val="10"/>
    <w:qFormat/>
    <w:rsid w:val="006A15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5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15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15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15A5"/>
    <w:pPr>
      <w:spacing w:before="160"/>
      <w:jc w:val="center"/>
    </w:pPr>
    <w:rPr>
      <w:i/>
      <w:iCs/>
      <w:color w:val="404040" w:themeColor="text1" w:themeTint="BF"/>
    </w:rPr>
  </w:style>
  <w:style w:type="character" w:customStyle="1" w:styleId="QuoteChar">
    <w:name w:val="Quote Char"/>
    <w:basedOn w:val="DefaultParagraphFont"/>
    <w:link w:val="Quote"/>
    <w:uiPriority w:val="29"/>
    <w:rsid w:val="006A15A5"/>
    <w:rPr>
      <w:i/>
      <w:iCs/>
      <w:color w:val="404040" w:themeColor="text1" w:themeTint="BF"/>
    </w:rPr>
  </w:style>
  <w:style w:type="paragraph" w:styleId="ListParagraph">
    <w:name w:val="List Paragraph"/>
    <w:basedOn w:val="Normal"/>
    <w:uiPriority w:val="34"/>
    <w:qFormat/>
    <w:rsid w:val="006A15A5"/>
    <w:pPr>
      <w:ind w:left="720"/>
      <w:contextualSpacing/>
    </w:pPr>
  </w:style>
  <w:style w:type="character" w:styleId="IntenseEmphasis">
    <w:name w:val="Intense Emphasis"/>
    <w:basedOn w:val="DefaultParagraphFont"/>
    <w:uiPriority w:val="21"/>
    <w:qFormat/>
    <w:rsid w:val="006A15A5"/>
    <w:rPr>
      <w:i/>
      <w:iCs/>
      <w:color w:val="0F4761" w:themeColor="accent1" w:themeShade="BF"/>
    </w:rPr>
  </w:style>
  <w:style w:type="paragraph" w:styleId="IntenseQuote">
    <w:name w:val="Intense Quote"/>
    <w:basedOn w:val="Normal"/>
    <w:next w:val="Normal"/>
    <w:link w:val="IntenseQuoteChar"/>
    <w:uiPriority w:val="30"/>
    <w:qFormat/>
    <w:rsid w:val="006A15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15A5"/>
    <w:rPr>
      <w:i/>
      <w:iCs/>
      <w:color w:val="0F4761" w:themeColor="accent1" w:themeShade="BF"/>
    </w:rPr>
  </w:style>
  <w:style w:type="character" w:styleId="IntenseReference">
    <w:name w:val="Intense Reference"/>
    <w:basedOn w:val="DefaultParagraphFont"/>
    <w:uiPriority w:val="32"/>
    <w:qFormat/>
    <w:rsid w:val="006A15A5"/>
    <w:rPr>
      <w:b/>
      <w:bCs/>
      <w:smallCaps/>
      <w:color w:val="0F4761" w:themeColor="accent1" w:themeShade="BF"/>
      <w:spacing w:val="5"/>
    </w:rPr>
  </w:style>
  <w:style w:type="paragraph" w:styleId="FootnoteText">
    <w:name w:val="footnote text"/>
    <w:basedOn w:val="Normal"/>
    <w:link w:val="FootnoteTextChar"/>
    <w:uiPriority w:val="99"/>
    <w:unhideWhenUsed/>
    <w:rsid w:val="00F52E32"/>
    <w:pPr>
      <w:spacing w:after="0" w:line="240" w:lineRule="auto"/>
    </w:pPr>
    <w:rPr>
      <w:sz w:val="20"/>
      <w:szCs w:val="20"/>
    </w:rPr>
  </w:style>
  <w:style w:type="character" w:customStyle="1" w:styleId="FootnoteTextChar">
    <w:name w:val="Footnote Text Char"/>
    <w:basedOn w:val="DefaultParagraphFont"/>
    <w:link w:val="FootnoteText"/>
    <w:uiPriority w:val="99"/>
    <w:rsid w:val="00F52E32"/>
    <w:rPr>
      <w:sz w:val="20"/>
      <w:szCs w:val="20"/>
    </w:rPr>
  </w:style>
  <w:style w:type="character" w:styleId="FootnoteReference">
    <w:name w:val="footnote reference"/>
    <w:basedOn w:val="DefaultParagraphFont"/>
    <w:uiPriority w:val="99"/>
    <w:semiHidden/>
    <w:unhideWhenUsed/>
    <w:rsid w:val="00F52E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EE69A-C1E9-4422-A387-6207C4C8E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Stirling</dc:creator>
  <cp:keywords/>
  <dc:description/>
  <cp:lastModifiedBy>Grant Stirling</cp:lastModifiedBy>
  <cp:revision>154</cp:revision>
  <dcterms:created xsi:type="dcterms:W3CDTF">2024-08-30T13:25:00Z</dcterms:created>
  <dcterms:modified xsi:type="dcterms:W3CDTF">2024-08-30T18:18:00Z</dcterms:modified>
</cp:coreProperties>
</file>