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EC24" w14:textId="6F7AE98D" w:rsidR="00A12A7F" w:rsidRPr="003A6280" w:rsidRDefault="00A12A7F" w:rsidP="003A6280">
      <w:pPr>
        <w:pStyle w:val="Titolo1"/>
        <w:jc w:val="both"/>
        <w:rPr>
          <w:rFonts w:ascii="Times New Roman" w:hAnsi="Times New Roman" w:cs="Times New Roman"/>
          <w:lang w:val="en-GB"/>
        </w:rPr>
      </w:pPr>
      <w:r w:rsidRPr="003A6280">
        <w:rPr>
          <w:rFonts w:ascii="Times New Roman" w:hAnsi="Times New Roman" w:cs="Times New Roman"/>
          <w:lang w:val="en-GB"/>
        </w:rPr>
        <w:t xml:space="preserve">TITLE: </w:t>
      </w:r>
      <w:r w:rsidRPr="003A6280">
        <w:rPr>
          <w:rFonts w:ascii="Times New Roman" w:hAnsi="Times New Roman" w:cs="Times New Roman"/>
          <w:lang w:val="en-GB"/>
        </w:rPr>
        <w:t>Comparative transaction cost analysis of possible juridical forms of RECs</w:t>
      </w:r>
    </w:p>
    <w:p w14:paraId="05AA197A" w14:textId="2017A459" w:rsidR="00A12A7F" w:rsidRDefault="00A12A7F" w:rsidP="003A6280">
      <w:pPr>
        <w:pStyle w:val="Titolo1"/>
        <w:jc w:val="both"/>
        <w:rPr>
          <w:rFonts w:ascii="Times New Roman" w:hAnsi="Times New Roman" w:cs="Times New Roman"/>
          <w:lang w:val="en-GB"/>
        </w:rPr>
      </w:pPr>
      <w:r w:rsidRPr="003A6280">
        <w:rPr>
          <w:rFonts w:ascii="Times New Roman" w:hAnsi="Times New Roman" w:cs="Times New Roman"/>
          <w:lang w:val="en-GB"/>
        </w:rPr>
        <w:t xml:space="preserve">CALL </w:t>
      </w:r>
      <w:r w:rsidRPr="003A6280">
        <w:rPr>
          <w:rFonts w:ascii="Times New Roman" w:hAnsi="Times New Roman" w:cs="Times New Roman"/>
          <w:lang w:val="en-GB"/>
        </w:rPr>
        <w:t>for papers – side 2023</w:t>
      </w:r>
    </w:p>
    <w:p w14:paraId="1E265222" w14:textId="77777777" w:rsidR="003A6280" w:rsidRPr="003A6280" w:rsidRDefault="003A6280" w:rsidP="003A6280">
      <w:pPr>
        <w:rPr>
          <w:lang w:val="en-GB"/>
        </w:rPr>
      </w:pPr>
    </w:p>
    <w:p w14:paraId="69A008DA" w14:textId="32A631DD" w:rsidR="00A12A7F" w:rsidRPr="003A6280" w:rsidRDefault="00A12A7F" w:rsidP="003A6280">
      <w:pPr>
        <w:pStyle w:val="Sottotitolo"/>
        <w:jc w:val="both"/>
        <w:rPr>
          <w:rFonts w:ascii="Times New Roman" w:hAnsi="Times New Roman" w:cs="Times New Roman"/>
          <w:b/>
          <w:bCs/>
          <w:smallCaps/>
          <w:color w:val="000000" w:themeColor="text1"/>
          <w:sz w:val="32"/>
          <w:szCs w:val="32"/>
          <w:lang w:val="en-GB"/>
        </w:rPr>
      </w:pPr>
      <w:bookmarkStart w:id="0" w:name="_Hlk135505514"/>
      <w:r w:rsidRPr="003A6280">
        <w:rPr>
          <w:rStyle w:val="Titolo2Carattere"/>
          <w:rFonts w:ascii="Times New Roman" w:hAnsi="Times New Roman" w:cs="Times New Roman"/>
          <w:sz w:val="32"/>
          <w:szCs w:val="32"/>
          <w:lang w:val="en-GB"/>
        </w:rPr>
        <w:t>Aut</w:t>
      </w:r>
      <w:r w:rsidRPr="003A6280">
        <w:rPr>
          <w:rStyle w:val="Titolo2Carattere"/>
          <w:rFonts w:ascii="Times New Roman" w:hAnsi="Times New Roman" w:cs="Times New Roman"/>
          <w:sz w:val="32"/>
          <w:szCs w:val="32"/>
          <w:lang w:val="en-GB"/>
        </w:rPr>
        <w:t>hor</w:t>
      </w:r>
      <w:r w:rsidRPr="003A6280">
        <w:rPr>
          <w:rStyle w:val="Titolo2Carattere"/>
          <w:rFonts w:ascii="Times New Roman" w:hAnsi="Times New Roman" w:cs="Times New Roman"/>
          <w:sz w:val="32"/>
          <w:szCs w:val="32"/>
          <w:lang w:val="en-GB"/>
        </w:rPr>
        <w:t>:</w:t>
      </w:r>
      <w:r>
        <w:rPr>
          <w:lang w:val="en-GB"/>
        </w:rPr>
        <w:t xml:space="preserve">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Grazia Greco – PhD candidate – LEES PhD (Law, </w:t>
      </w:r>
      <w:proofErr w:type="gramStart"/>
      <w:r w:rsidRPr="003A6280">
        <w:rPr>
          <w:rFonts w:ascii="Times New Roman" w:hAnsi="Times New Roman" w:cs="Times New Roman"/>
          <w:sz w:val="28"/>
          <w:szCs w:val="28"/>
          <w:lang w:val="en-GB"/>
        </w:rPr>
        <w:t>economics</w:t>
      </w:r>
      <w:proofErr w:type="gramEnd"/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and ethics for the institutions for sustainable development) </w:t>
      </w:r>
    </w:p>
    <w:p w14:paraId="3B80817E" w14:textId="49C85A7A" w:rsidR="00A12A7F" w:rsidRPr="003A6280" w:rsidRDefault="00A12A7F" w:rsidP="003A6280">
      <w:pPr>
        <w:pStyle w:val="Sottotitol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Department of international and public law – University </w:t>
      </w:r>
      <w:r w:rsidR="003A6280"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“La </w:t>
      </w:r>
      <w:proofErr w:type="spellStart"/>
      <w:r w:rsidR="003A6280" w:rsidRPr="003A6280">
        <w:rPr>
          <w:rFonts w:ascii="Times New Roman" w:hAnsi="Times New Roman" w:cs="Times New Roman"/>
          <w:sz w:val="28"/>
          <w:szCs w:val="28"/>
          <w:lang w:val="en-GB"/>
        </w:rPr>
        <w:t>Statale</w:t>
      </w:r>
      <w:proofErr w:type="spellEnd"/>
      <w:r w:rsidR="003A6280"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”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of Milan </w:t>
      </w:r>
    </w:p>
    <w:p w14:paraId="430AD0C8" w14:textId="3A73EB88" w:rsidR="00A12A7F" w:rsidRPr="003A6280" w:rsidRDefault="00A12A7F" w:rsidP="003A6280">
      <w:pPr>
        <w:pStyle w:val="Titolo2"/>
        <w:jc w:val="both"/>
        <w:rPr>
          <w:rFonts w:ascii="Times New Roman" w:hAnsi="Times New Roman" w:cs="Times New Roman"/>
          <w:sz w:val="40"/>
          <w:szCs w:val="40"/>
          <w:lang w:val="en-GB"/>
        </w:rPr>
      </w:pPr>
      <w:r w:rsidRPr="003A6280">
        <w:rPr>
          <w:rFonts w:ascii="Times New Roman" w:hAnsi="Times New Roman" w:cs="Times New Roman"/>
          <w:sz w:val="32"/>
          <w:szCs w:val="32"/>
          <w:lang w:val="en-GB"/>
        </w:rPr>
        <w:t>T</w:t>
      </w:r>
      <w:r w:rsidRPr="003A6280">
        <w:rPr>
          <w:rFonts w:ascii="Times New Roman" w:hAnsi="Times New Roman" w:cs="Times New Roman"/>
          <w:sz w:val="32"/>
          <w:szCs w:val="32"/>
          <w:lang w:val="en-GB"/>
        </w:rPr>
        <w:t>opic</w:t>
      </w:r>
      <w:r w:rsidRPr="003A6280">
        <w:rPr>
          <w:rFonts w:ascii="Times New Roman" w:hAnsi="Times New Roman" w:cs="Times New Roman"/>
          <w:sz w:val="32"/>
          <w:szCs w:val="32"/>
          <w:lang w:val="en-GB"/>
        </w:rPr>
        <w:t>:</w:t>
      </w:r>
      <w:r w:rsidRPr="003A6280">
        <w:rPr>
          <w:rFonts w:ascii="Times New Roman" w:hAnsi="Times New Roman" w:cs="Times New Roman"/>
          <w:lang w:val="en-GB"/>
        </w:rPr>
        <w:t xml:space="preserve"> </w:t>
      </w:r>
      <w:r w:rsidR="003A6280">
        <w:rPr>
          <w:rFonts w:ascii="Times New Roman" w:hAnsi="Times New Roman" w:cs="Times New Roman"/>
          <w:lang w:val="en-GB"/>
        </w:rPr>
        <w:t xml:space="preserve"> </w:t>
      </w:r>
      <w:r w:rsidRPr="003A6280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Transaction Cost Economics, and Economics of Institutions</w:t>
      </w:r>
    </w:p>
    <w:p w14:paraId="23AAEC22" w14:textId="690013F7" w:rsidR="00A12A7F" w:rsidRPr="003A6280" w:rsidRDefault="00A12A7F" w:rsidP="003A6280">
      <w:pPr>
        <w:pStyle w:val="Titolo2"/>
        <w:jc w:val="both"/>
        <w:rPr>
          <w:rFonts w:ascii="Times New Roman" w:hAnsi="Times New Roman" w:cs="Times New Roman"/>
          <w:sz w:val="40"/>
          <w:szCs w:val="40"/>
        </w:rPr>
      </w:pPr>
      <w:r w:rsidRPr="003A6280">
        <w:rPr>
          <w:rFonts w:ascii="Times New Roman" w:hAnsi="Times New Roman" w:cs="Times New Roman"/>
          <w:sz w:val="32"/>
          <w:szCs w:val="32"/>
        </w:rPr>
        <w:t>Keywords:</w:t>
      </w:r>
      <w:r w:rsidRPr="003A628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F319DDB" w14:textId="0C1F960E" w:rsidR="00A12A7F" w:rsidRPr="003A6280" w:rsidRDefault="00A12A7F" w:rsidP="003A6280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A6280">
        <w:rPr>
          <w:rFonts w:ascii="Times New Roman" w:hAnsi="Times New Roman" w:cs="Times New Roman"/>
          <w:sz w:val="28"/>
          <w:szCs w:val="36"/>
        </w:rPr>
        <w:t>Renewable</w:t>
      </w:r>
      <w:proofErr w:type="spellEnd"/>
      <w:r w:rsidRPr="003A6280">
        <w:rPr>
          <w:rFonts w:ascii="Times New Roman" w:hAnsi="Times New Roman" w:cs="Times New Roman"/>
          <w:sz w:val="28"/>
          <w:szCs w:val="36"/>
        </w:rPr>
        <w:t xml:space="preserve"> energy community, Social </w:t>
      </w:r>
      <w:proofErr w:type="spellStart"/>
      <w:proofErr w:type="gramStart"/>
      <w:r w:rsidRPr="003A6280">
        <w:rPr>
          <w:rFonts w:ascii="Times New Roman" w:hAnsi="Times New Roman" w:cs="Times New Roman"/>
          <w:sz w:val="28"/>
          <w:szCs w:val="36"/>
        </w:rPr>
        <w:t>justice</w:t>
      </w:r>
      <w:proofErr w:type="spellEnd"/>
      <w:r w:rsidRPr="003A6280">
        <w:rPr>
          <w:rFonts w:ascii="Times New Roman" w:hAnsi="Times New Roman" w:cs="Times New Roman"/>
          <w:sz w:val="28"/>
          <w:szCs w:val="36"/>
        </w:rPr>
        <w:t xml:space="preserve"> ,</w:t>
      </w:r>
      <w:proofErr w:type="gramEnd"/>
      <w:r w:rsidRPr="003A6280">
        <w:rPr>
          <w:rFonts w:ascii="Times New Roman" w:hAnsi="Times New Roman" w:cs="Times New Roman"/>
          <w:sz w:val="28"/>
          <w:szCs w:val="36"/>
        </w:rPr>
        <w:t xml:space="preserve"> energy system </w:t>
      </w:r>
      <w:proofErr w:type="spellStart"/>
      <w:r w:rsidRPr="003A6280">
        <w:rPr>
          <w:rFonts w:ascii="Times New Roman" w:hAnsi="Times New Roman" w:cs="Times New Roman"/>
          <w:sz w:val="28"/>
          <w:szCs w:val="36"/>
        </w:rPr>
        <w:t>transition</w:t>
      </w:r>
      <w:proofErr w:type="spellEnd"/>
      <w:r w:rsidRPr="003A6280">
        <w:rPr>
          <w:rFonts w:ascii="Times New Roman" w:hAnsi="Times New Roman" w:cs="Times New Roman"/>
          <w:sz w:val="28"/>
          <w:szCs w:val="36"/>
        </w:rPr>
        <w:t xml:space="preserve">, energy </w:t>
      </w:r>
      <w:proofErr w:type="spellStart"/>
      <w:r w:rsidRPr="003A6280">
        <w:rPr>
          <w:rFonts w:ascii="Times New Roman" w:hAnsi="Times New Roman" w:cs="Times New Roman"/>
          <w:sz w:val="28"/>
          <w:szCs w:val="36"/>
        </w:rPr>
        <w:t>sustainability</w:t>
      </w:r>
      <w:proofErr w:type="spellEnd"/>
      <w:r w:rsidRPr="003A6280">
        <w:rPr>
          <w:rFonts w:ascii="Times New Roman" w:hAnsi="Times New Roman" w:cs="Times New Roman"/>
          <w:sz w:val="28"/>
          <w:szCs w:val="36"/>
        </w:rPr>
        <w:t xml:space="preserve">, comparative </w:t>
      </w:r>
      <w:proofErr w:type="spellStart"/>
      <w:r w:rsidRPr="003A6280">
        <w:rPr>
          <w:rFonts w:ascii="Times New Roman" w:hAnsi="Times New Roman" w:cs="Times New Roman"/>
          <w:sz w:val="28"/>
          <w:szCs w:val="36"/>
        </w:rPr>
        <w:t>transaction</w:t>
      </w:r>
      <w:proofErr w:type="spellEnd"/>
      <w:r w:rsidRPr="003A6280">
        <w:rPr>
          <w:rFonts w:ascii="Times New Roman" w:hAnsi="Times New Roman" w:cs="Times New Roman"/>
          <w:sz w:val="28"/>
          <w:szCs w:val="36"/>
        </w:rPr>
        <w:t xml:space="preserve"> cost </w:t>
      </w:r>
      <w:proofErr w:type="spellStart"/>
      <w:r w:rsidRPr="003A6280">
        <w:rPr>
          <w:rFonts w:ascii="Times New Roman" w:hAnsi="Times New Roman" w:cs="Times New Roman"/>
          <w:sz w:val="28"/>
          <w:szCs w:val="36"/>
        </w:rPr>
        <w:t>economics</w:t>
      </w:r>
      <w:proofErr w:type="spellEnd"/>
      <w:r w:rsidRPr="003A6280">
        <w:rPr>
          <w:rFonts w:ascii="Times New Roman" w:hAnsi="Times New Roman" w:cs="Times New Roman"/>
          <w:sz w:val="28"/>
          <w:szCs w:val="36"/>
        </w:rPr>
        <w:t xml:space="preserve"> </w:t>
      </w:r>
    </w:p>
    <w:bookmarkEnd w:id="0"/>
    <w:p w14:paraId="254C92D7" w14:textId="5D81BBAA" w:rsidR="00A12A7F" w:rsidRPr="003A6280" w:rsidRDefault="00A12A7F" w:rsidP="003A6280">
      <w:pPr>
        <w:pStyle w:val="Titolo2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3A6280">
        <w:rPr>
          <w:rFonts w:ascii="Times New Roman" w:hAnsi="Times New Roman" w:cs="Times New Roman"/>
          <w:sz w:val="32"/>
          <w:szCs w:val="32"/>
        </w:rPr>
        <w:t>Abstract</w:t>
      </w:r>
    </w:p>
    <w:p w14:paraId="1559C980" w14:textId="36EA278C" w:rsidR="009567F7" w:rsidRPr="003A6280" w:rsidRDefault="009567F7" w:rsidP="003A628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The delicate balance among economic growth, reduction of inequalities and </w:t>
      </w:r>
      <w:proofErr w:type="spellStart"/>
      <w:r w:rsidRPr="003A6280">
        <w:rPr>
          <w:rFonts w:ascii="Times New Roman" w:hAnsi="Times New Roman" w:cs="Times New Roman"/>
          <w:sz w:val="28"/>
          <w:szCs w:val="28"/>
          <w:lang w:val="en-GB"/>
        </w:rPr>
        <w:t>urgentness</w:t>
      </w:r>
      <w:proofErr w:type="spellEnd"/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of climate change mitigation sets its focal point in the governance of environmental resources, namely (by the purpose of this p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aper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) energy resources.</w:t>
      </w:r>
    </w:p>
    <w:p w14:paraId="0B3427C1" w14:textId="2F905E1F" w:rsidR="009567F7" w:rsidRPr="003A6280" w:rsidRDefault="009567F7" w:rsidP="003A628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6280">
        <w:rPr>
          <w:rFonts w:ascii="Times New Roman" w:hAnsi="Times New Roman" w:cs="Times New Roman"/>
          <w:sz w:val="28"/>
          <w:szCs w:val="28"/>
          <w:lang w:val="en-GB"/>
        </w:rPr>
        <w:t>G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iven the very strong dependence of anthropogenic activities on the availability of energy (electrical and otherwise) on the well-being of individuals and communities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energy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may be considered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in terms of </w:t>
      </w:r>
      <w:r w:rsidRPr="003A628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entitlement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3A6280">
        <w:rPr>
          <w:rFonts w:ascii="Times New Roman" w:hAnsi="Times New Roman" w:cs="Times New Roman"/>
          <w:i/>
          <w:iCs/>
          <w:sz w:val="28"/>
          <w:szCs w:val="28"/>
          <w:lang w:val="en-GB"/>
        </w:rPr>
        <w:t>basic capabilities</w:t>
      </w:r>
      <w:r w:rsidRPr="003A6280"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This assumption lies on the current trends of production and consumption in many countries (especially those with a higher dependence on very energy consuming </w:t>
      </w:r>
      <w:proofErr w:type="spellStart"/>
      <w:r w:rsidRPr="003A6280">
        <w:rPr>
          <w:rFonts w:ascii="Times New Roman" w:hAnsi="Times New Roman" w:cs="Times New Roman"/>
          <w:sz w:val="28"/>
          <w:szCs w:val="28"/>
          <w:lang w:val="en-GB"/>
        </w:rPr>
        <w:t>technlogies</w:t>
      </w:r>
      <w:proofErr w:type="spellEnd"/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, some for individual usage, while the development countries especially for the requirement of construction of complex infrastructures). The concept of </w:t>
      </w:r>
      <w:r w:rsidRPr="003A6280">
        <w:rPr>
          <w:rFonts w:ascii="Times New Roman" w:hAnsi="Times New Roman" w:cs="Times New Roman"/>
          <w:i/>
          <w:iCs/>
          <w:sz w:val="28"/>
          <w:szCs w:val="28"/>
          <w:lang w:val="en-GB"/>
        </w:rPr>
        <w:t>decent living standards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is here used as reference.</w:t>
      </w:r>
    </w:p>
    <w:p w14:paraId="1980B78F" w14:textId="20039608" w:rsidR="009567F7" w:rsidRPr="003A6280" w:rsidRDefault="009567F7" w:rsidP="003A628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6280">
        <w:rPr>
          <w:rFonts w:ascii="Times New Roman" w:hAnsi="Times New Roman" w:cs="Times New Roman"/>
          <w:sz w:val="28"/>
          <w:szCs w:val="28"/>
          <w:lang w:val="en-GB"/>
        </w:rPr>
        <w:t>The model of Renewable Energy Community, i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ntroduced in EU by the Renewable Energy Directive 2018/2001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later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(temporarily)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implemented at the national level by the D.L. 162/2019, L.  8/2020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, is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shaped as a form of shared local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micro-production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of energy from renewable sources. This model allows the reshaping of the energy system on a local, community and collective level. A definitive implementing decree, indicating a preferred institutional preference for RECs, has not yet been produced, slowing down the rise of such configurations. An Energy Community can be defined as a coalition of users who voluntarily join to produce and provide renewable energy at a good price to those same users. It is based on a self-production and decentralized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approach to the production of electrical energy. The purpose is the distributed production of power </w:t>
      </w:r>
      <w:proofErr w:type="gramStart"/>
      <w:r w:rsidRPr="003A6280">
        <w:rPr>
          <w:rFonts w:ascii="Times New Roman" w:hAnsi="Times New Roman" w:cs="Times New Roman"/>
          <w:sz w:val="28"/>
          <w:szCs w:val="28"/>
          <w:lang w:val="en-GB"/>
        </w:rPr>
        <w:t>in order to</w:t>
      </w:r>
      <w:proofErr w:type="gramEnd"/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supply the local energy demand and to generate social value.</w:t>
      </w:r>
    </w:p>
    <w:p w14:paraId="4D9E4A74" w14:textId="73D6C243" w:rsidR="009567F7" w:rsidRPr="003A6280" w:rsidRDefault="009567F7" w:rsidP="003A628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The lack of the definitive legal reception in Italy leaves space for a wide debate in the academical and stakeholder community about the possible juridical forms of RECs and of the implication of each of those in terms of a variety of aspects, including economical sustainability, possible participants (e.g. individuals, firms, local institutions, etc), </w:t>
      </w:r>
      <w:proofErr w:type="gramStart"/>
      <w:r w:rsidRPr="003A6280">
        <w:rPr>
          <w:rFonts w:ascii="Times New Roman" w:hAnsi="Times New Roman" w:cs="Times New Roman"/>
          <w:sz w:val="28"/>
          <w:szCs w:val="28"/>
          <w:lang w:val="en-GB"/>
        </w:rPr>
        <w:t>et al..</w:t>
      </w:r>
      <w:proofErr w:type="gramEnd"/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To answer this question,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both the legal prescription of the model and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transaction costs economics will be used for the comparison of efficiency of different juridical forms. </w:t>
      </w:r>
    </w:p>
    <w:p w14:paraId="62E2B9AF" w14:textId="09E916D1" w:rsidR="009567F7" w:rsidRPr="003A6280" w:rsidRDefault="00954F89" w:rsidP="003A628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By use of transaction costs economic </w:t>
      </w:r>
      <w:proofErr w:type="gramStart"/>
      <w:r w:rsidRPr="003A6280">
        <w:rPr>
          <w:rFonts w:ascii="Times New Roman" w:hAnsi="Times New Roman" w:cs="Times New Roman"/>
          <w:sz w:val="28"/>
          <w:szCs w:val="28"/>
          <w:lang w:val="en-GB"/>
        </w:rPr>
        <w:t>theory</w:t>
      </w:r>
      <w:proofErr w:type="gramEnd"/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 the author intends to compare and justify the choice of the juridical forms which may best answer to the governance requirement of an institution for 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sustainable and democratic local/decentralized system of electricity production and consumption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 xml:space="preserve">, based on a voluntary collective action and on the creation of a community. Aspects of efficiency among various institutional designs on phenomena like incompleteness of contracts, abuse of authority, etc will be analysed. </w:t>
      </w:r>
    </w:p>
    <w:p w14:paraId="516C1034" w14:textId="10E76DC4" w:rsidR="009567F7" w:rsidRPr="003A6280" w:rsidRDefault="00954F89" w:rsidP="003A628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6280">
        <w:rPr>
          <w:rFonts w:ascii="Times New Roman" w:hAnsi="Times New Roman" w:cs="Times New Roman"/>
          <w:sz w:val="28"/>
          <w:szCs w:val="28"/>
          <w:lang w:val="en-GB"/>
        </w:rPr>
        <w:t>To the current state of the discussion, mainly from the legal point of view the mainly accepted forms are the non-recognized association (leaving problems in terms of tutelage from responsibility of the configuration, but having lower cost of creation, so easier on a smaller scale) and the co-operative (with higher costs for its creation but holding juridical personality).</w:t>
      </w:r>
    </w:p>
    <w:p w14:paraId="66308AAC" w14:textId="6451B50A" w:rsidR="008B2280" w:rsidRPr="003A6280" w:rsidRDefault="00A12A7F" w:rsidP="003A6280">
      <w:pPr>
        <w:jc w:val="both"/>
        <w:rPr>
          <w:sz w:val="28"/>
          <w:szCs w:val="28"/>
          <w:lang w:val="en-GB"/>
        </w:rPr>
      </w:pPr>
      <w:r w:rsidRPr="003A6280">
        <w:rPr>
          <w:rFonts w:ascii="Times New Roman" w:hAnsi="Times New Roman" w:cs="Times New Roman"/>
          <w:sz w:val="28"/>
          <w:szCs w:val="28"/>
          <w:lang w:val="en-GB"/>
        </w:rPr>
        <w:t>This paper is part of a larger interdisciplinary Ph.D. project titled: “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The advantages of energy communities and of the co-operative form for an effective democratic governance of renewable energy as commons and related public services, according to the principles of sustainability, environmental and intergenerational justice</w:t>
      </w:r>
      <w:r w:rsidRPr="003A6280">
        <w:rPr>
          <w:rFonts w:ascii="Times New Roman" w:hAnsi="Times New Roman" w:cs="Times New Roman"/>
          <w:sz w:val="28"/>
          <w:szCs w:val="28"/>
          <w:lang w:val="en-GB"/>
        </w:rPr>
        <w:t>”, which looks at RECs as a form of commodification and democratization of the energy system, and which aims at the draft of a statute for REC that respects and enhances the principles of sustainability and justice it can p</w:t>
      </w:r>
      <w:r w:rsidRPr="003A6280">
        <w:rPr>
          <w:sz w:val="28"/>
          <w:szCs w:val="28"/>
          <w:lang w:val="en-GB"/>
        </w:rPr>
        <w:t xml:space="preserve">otentially address. </w:t>
      </w:r>
    </w:p>
    <w:sectPr w:rsidR="008B2280" w:rsidRPr="003A6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7239" w14:textId="77777777" w:rsidR="00390871" w:rsidRDefault="00390871" w:rsidP="009567F7">
      <w:pPr>
        <w:spacing w:after="0" w:line="240" w:lineRule="auto"/>
      </w:pPr>
      <w:r>
        <w:separator/>
      </w:r>
    </w:p>
  </w:endnote>
  <w:endnote w:type="continuationSeparator" w:id="0">
    <w:p w14:paraId="78741F18" w14:textId="77777777" w:rsidR="00390871" w:rsidRDefault="00390871" w:rsidP="0095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C59B" w14:textId="77777777" w:rsidR="00390871" w:rsidRDefault="00390871" w:rsidP="009567F7">
      <w:pPr>
        <w:spacing w:after="0" w:line="240" w:lineRule="auto"/>
      </w:pPr>
      <w:r>
        <w:separator/>
      </w:r>
    </w:p>
  </w:footnote>
  <w:footnote w:type="continuationSeparator" w:id="0">
    <w:p w14:paraId="5D5DFF48" w14:textId="77777777" w:rsidR="00390871" w:rsidRDefault="00390871" w:rsidP="00956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A4"/>
    <w:rsid w:val="00390871"/>
    <w:rsid w:val="003A6280"/>
    <w:rsid w:val="004441A4"/>
    <w:rsid w:val="008B2280"/>
    <w:rsid w:val="00954F89"/>
    <w:rsid w:val="009567F7"/>
    <w:rsid w:val="00A12A7F"/>
    <w:rsid w:val="00E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49A"/>
  <w15:chartTrackingRefBased/>
  <w15:docId w15:val="{565AA8DC-BC82-447C-B69C-C54A3EE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280"/>
  </w:style>
  <w:style w:type="paragraph" w:styleId="Titolo1">
    <w:name w:val="heading 1"/>
    <w:basedOn w:val="Normale"/>
    <w:next w:val="Normale"/>
    <w:link w:val="Titolo1Carattere"/>
    <w:uiPriority w:val="9"/>
    <w:qFormat/>
    <w:rsid w:val="003A628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62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62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62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A62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A62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A62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62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A62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67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67F7"/>
    <w:rPr>
      <w:rFonts w:ascii="Times New Roman" w:hAnsi="Times New Roman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67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567F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628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628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62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6280"/>
    <w:rPr>
      <w:rFonts w:asciiTheme="majorHAnsi" w:eastAsiaTheme="majorEastAsia" w:hAnsiTheme="majorHAnsi" w:cstheme="majorBidi"/>
      <w:sz w:val="30"/>
      <w:szCs w:val="3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628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628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A628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A628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A628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628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A628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A628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62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3A628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Enfasigrassetto">
    <w:name w:val="Strong"/>
    <w:basedOn w:val="Carpredefinitoparagrafo"/>
    <w:uiPriority w:val="22"/>
    <w:qFormat/>
    <w:rsid w:val="003A6280"/>
    <w:rPr>
      <w:b/>
      <w:bCs/>
    </w:rPr>
  </w:style>
  <w:style w:type="character" w:styleId="Enfasicorsivo">
    <w:name w:val="Emphasis"/>
    <w:basedOn w:val="Carpredefinitoparagrafo"/>
    <w:uiPriority w:val="20"/>
    <w:qFormat/>
    <w:rsid w:val="003A6280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3A628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A628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A6280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A628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A628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3A6280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628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3A6280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3A6280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3A6280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A62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Greco</dc:creator>
  <cp:keywords/>
  <dc:description/>
  <cp:lastModifiedBy>Grazia Greco</cp:lastModifiedBy>
  <cp:revision>3</cp:revision>
  <dcterms:created xsi:type="dcterms:W3CDTF">2023-09-30T19:58:00Z</dcterms:created>
  <dcterms:modified xsi:type="dcterms:W3CDTF">2023-09-30T20:35:00Z</dcterms:modified>
</cp:coreProperties>
</file>