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F897" w14:textId="6B2B2545" w:rsidR="00ED2F94" w:rsidRPr="00B52B66" w:rsidRDefault="00BC515D" w:rsidP="00B52B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 </w:t>
      </w:r>
      <w:r w:rsidR="00B52B66" w:rsidRPr="00BC515D">
        <w:rPr>
          <w:rFonts w:ascii="Times New Roman" w:hAnsi="Times New Roman" w:cs="Times New Roman"/>
          <w:b/>
          <w:bCs/>
          <w:i/>
          <w:iCs/>
        </w:rPr>
        <w:t>Italian Society of Law and Economics</w:t>
      </w:r>
      <w:r w:rsidR="00B52B66" w:rsidRPr="00B52B66">
        <w:rPr>
          <w:rFonts w:ascii="Times New Roman" w:hAnsi="Times New Roman" w:cs="Times New Roman"/>
          <w:b/>
          <w:bCs/>
        </w:rPr>
        <w:t xml:space="preserve"> (SIDE) – </w:t>
      </w:r>
      <w:r w:rsidR="006C1736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9</w:t>
      </w:r>
      <w:r w:rsidRPr="00BC515D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Annual </w:t>
      </w:r>
      <w:r w:rsidR="00B52B66" w:rsidRPr="00B52B66">
        <w:rPr>
          <w:rFonts w:ascii="Times New Roman" w:hAnsi="Times New Roman" w:cs="Times New Roman"/>
          <w:b/>
          <w:bCs/>
        </w:rPr>
        <w:t xml:space="preserve">Conference </w:t>
      </w:r>
      <w:r>
        <w:rPr>
          <w:rFonts w:ascii="Times New Roman" w:hAnsi="Times New Roman" w:cs="Times New Roman"/>
          <w:b/>
          <w:bCs/>
        </w:rPr>
        <w:t>(</w:t>
      </w:r>
      <w:r w:rsidR="00B52B66" w:rsidRPr="00B52B66">
        <w:rPr>
          <w:rFonts w:ascii="Times New Roman" w:hAnsi="Times New Roman" w:cs="Times New Roman"/>
          <w:b/>
          <w:bCs/>
        </w:rPr>
        <w:t>2023</w:t>
      </w:r>
      <w:r>
        <w:rPr>
          <w:rFonts w:ascii="Times New Roman" w:hAnsi="Times New Roman" w:cs="Times New Roman"/>
          <w:b/>
          <w:bCs/>
        </w:rPr>
        <w:t>)</w:t>
      </w:r>
    </w:p>
    <w:p w14:paraId="1907E821" w14:textId="6E2AD960" w:rsidR="006841D5" w:rsidRDefault="006841D5" w:rsidP="000E1AD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841D5">
        <w:rPr>
          <w:rFonts w:ascii="Times New Roman" w:hAnsi="Times New Roman" w:cs="Times New Roman"/>
          <w:b/>
          <w:bCs/>
        </w:rPr>
        <w:t>Submission of long abstract</w:t>
      </w:r>
      <w:r>
        <w:rPr>
          <w:rFonts w:ascii="Times New Roman" w:hAnsi="Times New Roman" w:cs="Times New Roman"/>
          <w:b/>
          <w:bCs/>
        </w:rPr>
        <w:t xml:space="preserve"> (around 1,000 words) </w:t>
      </w:r>
    </w:p>
    <w:p w14:paraId="66FBA26C" w14:textId="47F445A2" w:rsidR="009144B5" w:rsidRDefault="009144B5" w:rsidP="000E1AD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Topic</w:t>
      </w:r>
      <w:r w:rsidR="00827381">
        <w:rPr>
          <w:rFonts w:ascii="Times New Roman" w:hAnsi="Times New Roman" w:cs="Times New Roman"/>
          <w:b/>
          <w:bCs/>
        </w:rPr>
        <w:t>:</w:t>
      </w:r>
      <w:r w:rsidR="00827381" w:rsidRPr="00827381">
        <w:t xml:space="preserve"> </w:t>
      </w:r>
      <w:r w:rsidR="00D20E5D">
        <w:rPr>
          <w:rFonts w:ascii="Times New Roman" w:hAnsi="Times New Roman" w:cs="Times New Roman"/>
          <w:b/>
          <w:bCs/>
        </w:rPr>
        <w:t>C</w:t>
      </w:r>
      <w:r w:rsidR="00827381" w:rsidRPr="00827381">
        <w:rPr>
          <w:rFonts w:ascii="Times New Roman" w:hAnsi="Times New Roman" w:cs="Times New Roman"/>
          <w:b/>
          <w:bCs/>
        </w:rPr>
        <w:t xml:space="preserve">reative outputs </w:t>
      </w:r>
      <w:r w:rsidR="00D20E5D">
        <w:rPr>
          <w:rFonts w:ascii="Times New Roman" w:hAnsi="Times New Roman" w:cs="Times New Roman"/>
          <w:b/>
          <w:bCs/>
        </w:rPr>
        <w:t>as</w:t>
      </w:r>
      <w:r w:rsidR="009C7DA6">
        <w:rPr>
          <w:rFonts w:ascii="Times New Roman" w:hAnsi="Times New Roman" w:cs="Times New Roman"/>
          <w:b/>
          <w:bCs/>
        </w:rPr>
        <w:t xml:space="preserve"> the </w:t>
      </w:r>
      <w:r w:rsidR="00827381" w:rsidRPr="00827381">
        <w:rPr>
          <w:rFonts w:ascii="Times New Roman" w:hAnsi="Times New Roman" w:cs="Times New Roman"/>
          <w:b/>
          <w:bCs/>
        </w:rPr>
        <w:t xml:space="preserve">result </w:t>
      </w:r>
      <w:r w:rsidR="009C7DA6">
        <w:rPr>
          <w:rFonts w:ascii="Times New Roman" w:hAnsi="Times New Roman" w:cs="Times New Roman"/>
          <w:b/>
          <w:bCs/>
        </w:rPr>
        <w:t>of</w:t>
      </w:r>
      <w:r w:rsidR="00827381" w:rsidRPr="00827381">
        <w:rPr>
          <w:rFonts w:ascii="Times New Roman" w:hAnsi="Times New Roman" w:cs="Times New Roman"/>
          <w:b/>
          <w:bCs/>
        </w:rPr>
        <w:t xml:space="preserve"> a shared </w:t>
      </w:r>
      <w:r w:rsidR="00D20E5D">
        <w:rPr>
          <w:rFonts w:ascii="Times New Roman" w:hAnsi="Times New Roman" w:cs="Times New Roman"/>
          <w:b/>
          <w:bCs/>
        </w:rPr>
        <w:t xml:space="preserve">cooperative </w:t>
      </w:r>
      <w:r w:rsidR="00827381" w:rsidRPr="00827381">
        <w:rPr>
          <w:rFonts w:ascii="Times New Roman" w:hAnsi="Times New Roman" w:cs="Times New Roman"/>
          <w:b/>
          <w:bCs/>
        </w:rPr>
        <w:t xml:space="preserve">process and </w:t>
      </w:r>
      <w:r w:rsidR="00654CA0" w:rsidRPr="00654CA0">
        <w:rPr>
          <w:rFonts w:ascii="Times New Roman" w:hAnsi="Times New Roman" w:cs="Times New Roman"/>
          <w:b/>
          <w:bCs/>
        </w:rPr>
        <w:t xml:space="preserve">why the </w:t>
      </w:r>
      <w:r w:rsidR="00BD6051">
        <w:rPr>
          <w:rFonts w:ascii="Times New Roman" w:hAnsi="Times New Roman" w:cs="Times New Roman"/>
          <w:b/>
          <w:bCs/>
        </w:rPr>
        <w:t xml:space="preserve">property right institution </w:t>
      </w:r>
      <w:r w:rsidR="00D20E5D">
        <w:rPr>
          <w:rFonts w:ascii="Times New Roman" w:hAnsi="Times New Roman" w:cs="Times New Roman"/>
          <w:b/>
          <w:bCs/>
        </w:rPr>
        <w:t>may not be adequate. The case of theatre productions.</w:t>
      </w:r>
      <w:r w:rsidR="00654CA0" w:rsidRPr="00654CA0">
        <w:rPr>
          <w:rFonts w:ascii="Times New Roman" w:hAnsi="Times New Roman" w:cs="Times New Roman"/>
          <w:b/>
          <w:bCs/>
        </w:rPr>
        <w:t xml:space="preserve"> </w:t>
      </w:r>
    </w:p>
    <w:p w14:paraId="741FCF1D" w14:textId="55D121E4" w:rsidR="00242019" w:rsidRPr="007A1A5B" w:rsidRDefault="002635B9" w:rsidP="000E1AD3">
      <w:pPr>
        <w:spacing w:line="240" w:lineRule="auto"/>
        <w:jc w:val="both"/>
        <w:rPr>
          <w:rFonts w:ascii="Times New Roman" w:hAnsi="Times New Roman" w:cs="Times New Roman"/>
        </w:rPr>
      </w:pPr>
      <w:r w:rsidRPr="007A1A5B">
        <w:rPr>
          <w:rFonts w:ascii="Times New Roman" w:hAnsi="Times New Roman" w:cs="Times New Roman"/>
        </w:rPr>
        <w:t xml:space="preserve">Silvia Sacchetti (University of Trento); Marta Nicolodi (University of Milan) </w:t>
      </w:r>
    </w:p>
    <w:p w14:paraId="7584E99D" w14:textId="77777777" w:rsidR="009952E5" w:rsidRPr="007A1A5B" w:rsidRDefault="009952E5" w:rsidP="00525547">
      <w:pPr>
        <w:spacing w:line="240" w:lineRule="auto"/>
        <w:jc w:val="both"/>
        <w:rPr>
          <w:sz w:val="32"/>
          <w:szCs w:val="32"/>
        </w:rPr>
      </w:pPr>
    </w:p>
    <w:p w14:paraId="39F017C2" w14:textId="386EB145" w:rsidR="00B508B8" w:rsidRDefault="00E022AD" w:rsidP="0052554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="003B756C">
        <w:rPr>
          <w:rFonts w:ascii="Times New Roman" w:hAnsi="Times New Roman" w:cs="Times New Roman"/>
        </w:rPr>
        <w:t xml:space="preserve"> contribution aims to analyse the concept of creative output resulting from a shared </w:t>
      </w:r>
      <w:r>
        <w:rPr>
          <w:rFonts w:ascii="Times New Roman" w:hAnsi="Times New Roman" w:cs="Times New Roman"/>
        </w:rPr>
        <w:t xml:space="preserve">cooperative </w:t>
      </w:r>
      <w:r w:rsidR="003B756C">
        <w:rPr>
          <w:rFonts w:ascii="Times New Roman" w:hAnsi="Times New Roman" w:cs="Times New Roman"/>
        </w:rPr>
        <w:t>process</w:t>
      </w:r>
      <w:r>
        <w:rPr>
          <w:rFonts w:ascii="Times New Roman" w:hAnsi="Times New Roman" w:cs="Times New Roman"/>
        </w:rPr>
        <w:t>.</w:t>
      </w:r>
      <w:r w:rsidR="006D5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3B756C">
        <w:rPr>
          <w:rFonts w:ascii="Times New Roman" w:hAnsi="Times New Roman" w:cs="Times New Roman"/>
        </w:rPr>
        <w:t>n particular</w:t>
      </w:r>
      <w:r>
        <w:rPr>
          <w:rFonts w:ascii="Times New Roman" w:hAnsi="Times New Roman" w:cs="Times New Roman"/>
        </w:rPr>
        <w:t>, the paper builds a justification to support the idea of</w:t>
      </w:r>
      <w:r w:rsidR="003B756C">
        <w:rPr>
          <w:rFonts w:ascii="Times New Roman" w:hAnsi="Times New Roman" w:cs="Times New Roman"/>
        </w:rPr>
        <w:t xml:space="preserve"> why the institution of property right alone may not be </w:t>
      </w:r>
      <w:r w:rsidR="007833AE">
        <w:rPr>
          <w:rFonts w:ascii="Times New Roman" w:hAnsi="Times New Roman" w:cs="Times New Roman"/>
        </w:rPr>
        <w:t xml:space="preserve">functional to </w:t>
      </w:r>
      <w:r w:rsidR="003B756C">
        <w:rPr>
          <w:rFonts w:ascii="Times New Roman" w:hAnsi="Times New Roman" w:cs="Times New Roman"/>
        </w:rPr>
        <w:t>adequate</w:t>
      </w:r>
      <w:r w:rsidR="004A4EFA">
        <w:rPr>
          <w:rFonts w:ascii="Times New Roman" w:hAnsi="Times New Roman" w:cs="Times New Roman"/>
        </w:rPr>
        <w:t>ly protect</w:t>
      </w:r>
      <w:r w:rsidR="00AD51E1">
        <w:rPr>
          <w:rFonts w:ascii="Times New Roman" w:hAnsi="Times New Roman" w:cs="Times New Roman"/>
        </w:rPr>
        <w:t xml:space="preserve"> </w:t>
      </w:r>
      <w:r w:rsidR="004A4EFA">
        <w:rPr>
          <w:rFonts w:ascii="Times New Roman" w:hAnsi="Times New Roman" w:cs="Times New Roman"/>
        </w:rPr>
        <w:t xml:space="preserve">creative expressions. </w:t>
      </w:r>
      <w:r w:rsidR="00640624">
        <w:rPr>
          <w:rFonts w:ascii="Times New Roman" w:hAnsi="Times New Roman" w:cs="Times New Roman"/>
        </w:rPr>
        <w:t>T</w:t>
      </w:r>
      <w:r w:rsidR="00A153B0">
        <w:rPr>
          <w:rFonts w:ascii="Times New Roman" w:hAnsi="Times New Roman" w:cs="Times New Roman"/>
        </w:rPr>
        <w:t>his type of analysis</w:t>
      </w:r>
      <w:r w:rsidR="00640624">
        <w:rPr>
          <w:rFonts w:ascii="Times New Roman" w:hAnsi="Times New Roman" w:cs="Times New Roman"/>
        </w:rPr>
        <w:t xml:space="preserve"> will be conducted with specific reference to the sector</w:t>
      </w:r>
      <w:r w:rsidR="00536691">
        <w:rPr>
          <w:rFonts w:ascii="Times New Roman" w:hAnsi="Times New Roman" w:cs="Times New Roman"/>
        </w:rPr>
        <w:t xml:space="preserve"> of </w:t>
      </w:r>
      <w:r w:rsidR="007766A6">
        <w:rPr>
          <w:rFonts w:ascii="Times New Roman" w:hAnsi="Times New Roman" w:cs="Times New Roman"/>
        </w:rPr>
        <w:t>theatrical productions</w:t>
      </w:r>
      <w:r w:rsidR="00486EE1">
        <w:rPr>
          <w:rFonts w:ascii="Times New Roman" w:hAnsi="Times New Roman" w:cs="Times New Roman"/>
        </w:rPr>
        <w:t xml:space="preserve"> in which </w:t>
      </w:r>
      <w:r>
        <w:rPr>
          <w:rFonts w:ascii="Times New Roman" w:hAnsi="Times New Roman" w:cs="Times New Roman"/>
        </w:rPr>
        <w:t xml:space="preserve">cooperation among participants, at different degrees, </w:t>
      </w:r>
      <w:r w:rsidR="00486EE1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often </w:t>
      </w:r>
      <w:r w:rsidR="00486EE1">
        <w:rPr>
          <w:rFonts w:ascii="Times New Roman" w:hAnsi="Times New Roman" w:cs="Times New Roman"/>
        </w:rPr>
        <w:t>present</w:t>
      </w:r>
      <w:r w:rsidR="00CE6123">
        <w:rPr>
          <w:rFonts w:ascii="Times New Roman" w:hAnsi="Times New Roman" w:cs="Times New Roman"/>
        </w:rPr>
        <w:t>. Th</w:t>
      </w:r>
      <w:r w:rsidR="00266E8C">
        <w:rPr>
          <w:rFonts w:ascii="Times New Roman" w:hAnsi="Times New Roman" w:cs="Times New Roman"/>
        </w:rPr>
        <w:t xml:space="preserve">e </w:t>
      </w:r>
      <w:r w:rsidR="00A2578D">
        <w:rPr>
          <w:rFonts w:ascii="Times New Roman" w:hAnsi="Times New Roman" w:cs="Times New Roman"/>
        </w:rPr>
        <w:t>theatre</w:t>
      </w:r>
      <w:r w:rsidR="00CE6123">
        <w:rPr>
          <w:rFonts w:ascii="Times New Roman" w:hAnsi="Times New Roman" w:cs="Times New Roman"/>
        </w:rPr>
        <w:t xml:space="preserve"> world</w:t>
      </w:r>
      <w:r w:rsidR="00B64748">
        <w:rPr>
          <w:rFonts w:ascii="Times New Roman" w:hAnsi="Times New Roman" w:cs="Times New Roman"/>
        </w:rPr>
        <w:t xml:space="preserve"> lends</w:t>
      </w:r>
      <w:r w:rsidR="00CE6123">
        <w:rPr>
          <w:rFonts w:ascii="Times New Roman" w:hAnsi="Times New Roman" w:cs="Times New Roman"/>
        </w:rPr>
        <w:t xml:space="preserve"> </w:t>
      </w:r>
      <w:r w:rsidR="00B24756">
        <w:rPr>
          <w:rFonts w:ascii="Times New Roman" w:hAnsi="Times New Roman" w:cs="Times New Roman"/>
        </w:rPr>
        <w:t xml:space="preserve">itself to be a fascinating setting to make a whole range of considerations </w:t>
      </w:r>
      <w:r w:rsidR="00EE5FE1">
        <w:rPr>
          <w:rFonts w:ascii="Times New Roman" w:hAnsi="Times New Roman" w:cs="Times New Roman"/>
        </w:rPr>
        <w:t>o</w:t>
      </w:r>
      <w:r w:rsidR="00EE5FE1" w:rsidRPr="00EE5FE1">
        <w:rPr>
          <w:rFonts w:ascii="Times New Roman" w:hAnsi="Times New Roman" w:cs="Times New Roman"/>
        </w:rPr>
        <w:t xml:space="preserve">n creative </w:t>
      </w:r>
      <w:r>
        <w:rPr>
          <w:rFonts w:ascii="Times New Roman" w:hAnsi="Times New Roman" w:cs="Times New Roman"/>
        </w:rPr>
        <w:t>team</w:t>
      </w:r>
      <w:r w:rsidR="00EE5FE1" w:rsidRPr="00EE5FE1">
        <w:rPr>
          <w:rFonts w:ascii="Times New Roman" w:hAnsi="Times New Roman" w:cs="Times New Roman"/>
        </w:rPr>
        <w:t xml:space="preserve">work </w:t>
      </w:r>
      <w:r w:rsidR="00563D06">
        <w:rPr>
          <w:rFonts w:ascii="Times New Roman" w:hAnsi="Times New Roman" w:cs="Times New Roman"/>
        </w:rPr>
        <w:t>and</w:t>
      </w:r>
      <w:r w:rsidR="00525547">
        <w:rPr>
          <w:rFonts w:ascii="Times New Roman" w:hAnsi="Times New Roman" w:cs="Times New Roman"/>
        </w:rPr>
        <w:t xml:space="preserve">, more specifically, on the </w:t>
      </w:r>
      <w:r w:rsidR="00624983">
        <w:rPr>
          <w:rFonts w:ascii="Times New Roman" w:hAnsi="Times New Roman" w:cs="Times New Roman"/>
        </w:rPr>
        <w:t xml:space="preserve">effects </w:t>
      </w:r>
      <w:r w:rsidR="00F744D8">
        <w:rPr>
          <w:rFonts w:ascii="Times New Roman" w:hAnsi="Times New Roman" w:cs="Times New Roman"/>
        </w:rPr>
        <w:t>that</w:t>
      </w:r>
      <w:r w:rsidR="00624983">
        <w:rPr>
          <w:rFonts w:ascii="Times New Roman" w:hAnsi="Times New Roman" w:cs="Times New Roman"/>
        </w:rPr>
        <w:t xml:space="preserve"> governance choices </w:t>
      </w:r>
      <w:r w:rsidR="004479BC">
        <w:rPr>
          <w:rFonts w:ascii="Times New Roman" w:hAnsi="Times New Roman" w:cs="Times New Roman"/>
        </w:rPr>
        <w:t>produce</w:t>
      </w:r>
      <w:r w:rsidR="00701331">
        <w:rPr>
          <w:rFonts w:ascii="Times New Roman" w:hAnsi="Times New Roman" w:cs="Times New Roman"/>
        </w:rPr>
        <w:t xml:space="preserve"> in terms of creative </w:t>
      </w:r>
      <w:r>
        <w:rPr>
          <w:rFonts w:ascii="Times New Roman" w:hAnsi="Times New Roman" w:cs="Times New Roman"/>
        </w:rPr>
        <w:t>capabilities</w:t>
      </w:r>
      <w:r w:rsidR="00701331">
        <w:rPr>
          <w:rFonts w:ascii="Times New Roman" w:hAnsi="Times New Roman" w:cs="Times New Roman"/>
        </w:rPr>
        <w:t xml:space="preserve">. </w:t>
      </w:r>
      <w:r w:rsidR="000E6A43" w:rsidRPr="000E6A43">
        <w:rPr>
          <w:rFonts w:ascii="Times New Roman" w:hAnsi="Times New Roman" w:cs="Times New Roman"/>
        </w:rPr>
        <w:t xml:space="preserve">Dealing with creativity and how to facilitate it within a given context has to do with the whole spectrum of human needs that are not primarily aimed at maximising profits or building competitive advantages, but at people’s wellbeing and self-actualization (Sacchetti, 2022). </w:t>
      </w:r>
      <w:r>
        <w:rPr>
          <w:rFonts w:ascii="Times New Roman" w:hAnsi="Times New Roman" w:cs="Times New Roman"/>
        </w:rPr>
        <w:t xml:space="preserve">Along the inquiry started by </w:t>
      </w:r>
      <w:r w:rsidR="00D20E5D">
        <w:rPr>
          <w:rFonts w:ascii="Times New Roman" w:hAnsi="Times New Roman" w:cs="Times New Roman"/>
        </w:rPr>
        <w:t xml:space="preserve">Abraham </w:t>
      </w:r>
      <w:r>
        <w:rPr>
          <w:rFonts w:ascii="Times New Roman" w:hAnsi="Times New Roman" w:cs="Times New Roman"/>
        </w:rPr>
        <w:t>Ma</w:t>
      </w:r>
      <w:r w:rsidR="00137095">
        <w:rPr>
          <w:rFonts w:ascii="Times New Roman" w:hAnsi="Times New Roman" w:cs="Times New Roman"/>
        </w:rPr>
        <w:t>sl</w:t>
      </w:r>
      <w:r>
        <w:rPr>
          <w:rFonts w:ascii="Times New Roman" w:hAnsi="Times New Roman" w:cs="Times New Roman"/>
        </w:rPr>
        <w:t>ow (196</w:t>
      </w:r>
      <w:r w:rsidR="005F12C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 and John Dewey (1927) on the role of creativity and critical intelligence in the making of a good life, our</w:t>
      </w:r>
      <w:r w:rsidR="000E6A43" w:rsidRPr="000E6A43">
        <w:rPr>
          <w:rFonts w:ascii="Times New Roman" w:hAnsi="Times New Roman" w:cs="Times New Roman"/>
        </w:rPr>
        <w:t xml:space="preserve"> discussion </w:t>
      </w:r>
      <w:r>
        <w:rPr>
          <w:rFonts w:ascii="Times New Roman" w:hAnsi="Times New Roman" w:cs="Times New Roman"/>
        </w:rPr>
        <w:t>is intended to</w:t>
      </w:r>
      <w:r w:rsidR="000E6A43" w:rsidRPr="000E6A43">
        <w:rPr>
          <w:rFonts w:ascii="Times New Roman" w:hAnsi="Times New Roman" w:cs="Times New Roman"/>
        </w:rPr>
        <w:t xml:space="preserve"> be useful not only for the limited context of theatre but also as a message to be applied in other sectors, especially in those where the creative element has not yet been considered</w:t>
      </w:r>
      <w:r>
        <w:rPr>
          <w:rFonts w:ascii="Times New Roman" w:hAnsi="Times New Roman" w:cs="Times New Roman"/>
        </w:rPr>
        <w:t xml:space="preserve"> (Sacchetti et al. 2009)</w:t>
      </w:r>
      <w:r w:rsidR="000E6A43" w:rsidRPr="000E6A43">
        <w:rPr>
          <w:rFonts w:ascii="Times New Roman" w:hAnsi="Times New Roman" w:cs="Times New Roman"/>
        </w:rPr>
        <w:t>.</w:t>
      </w:r>
      <w:r w:rsidR="006D5270">
        <w:rPr>
          <w:rFonts w:ascii="Times New Roman" w:hAnsi="Times New Roman" w:cs="Times New Roman"/>
        </w:rPr>
        <w:t xml:space="preserve"> </w:t>
      </w:r>
    </w:p>
    <w:p w14:paraId="2E773578" w14:textId="66F270E2" w:rsidR="00CC1E3E" w:rsidRDefault="00F14E80" w:rsidP="00F14E8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Although </w:t>
      </w:r>
      <w:r w:rsidR="00C812DB">
        <w:rPr>
          <w:rFonts w:ascii="Times New Roman" w:hAnsi="Times New Roman" w:cs="Times New Roman"/>
        </w:rPr>
        <w:t>drama</w:t>
      </w:r>
      <w:r w:rsidR="00BF73B6">
        <w:rPr>
          <w:rFonts w:ascii="Times New Roman" w:hAnsi="Times New Roman" w:cs="Times New Roman"/>
        </w:rPr>
        <w:t xml:space="preserve"> co</w:t>
      </w:r>
      <w:r w:rsidRPr="00B6208D">
        <w:rPr>
          <w:rFonts w:ascii="Times New Roman" w:hAnsi="Times New Roman" w:cs="Times New Roman"/>
        </w:rPr>
        <w:t xml:space="preserve">mpanies evolved until reaching articulated </w:t>
      </w:r>
      <w:r>
        <w:rPr>
          <w:rFonts w:ascii="Times New Roman" w:hAnsi="Times New Roman" w:cs="Times New Roman"/>
        </w:rPr>
        <w:t>configurations</w:t>
      </w:r>
      <w:r w:rsidRPr="00B6208D">
        <w:rPr>
          <w:rFonts w:ascii="Times New Roman" w:hAnsi="Times New Roman" w:cs="Times New Roman"/>
        </w:rPr>
        <w:t xml:space="preserve">, </w:t>
      </w:r>
      <w:proofErr w:type="gramStart"/>
      <w:r w:rsidRPr="00B6208D">
        <w:rPr>
          <w:rFonts w:ascii="Times New Roman" w:hAnsi="Times New Roman" w:cs="Times New Roman"/>
        </w:rPr>
        <w:t>similar to</w:t>
      </w:r>
      <w:proofErr w:type="gramEnd"/>
      <w:r w:rsidRPr="00B6208D">
        <w:rPr>
          <w:rFonts w:ascii="Times New Roman" w:hAnsi="Times New Roman" w:cs="Times New Roman"/>
        </w:rPr>
        <w:t xml:space="preserve"> </w:t>
      </w:r>
      <w:r w:rsidR="00E022AD">
        <w:rPr>
          <w:rFonts w:ascii="Times New Roman" w:hAnsi="Times New Roman" w:cs="Times New Roman"/>
        </w:rPr>
        <w:t>firm hierarchies</w:t>
      </w:r>
      <w:r>
        <w:rPr>
          <w:rFonts w:ascii="Times New Roman" w:hAnsi="Times New Roman" w:cs="Times New Roman"/>
        </w:rPr>
        <w:t xml:space="preserve">, </w:t>
      </w:r>
      <w:r w:rsidRPr="00B6208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heir </w:t>
      </w:r>
      <w:r w:rsidRPr="00B6208D">
        <w:rPr>
          <w:rFonts w:ascii="Times New Roman" w:hAnsi="Times New Roman" w:cs="Times New Roman"/>
        </w:rPr>
        <w:t>organization</w:t>
      </w:r>
      <w:r>
        <w:rPr>
          <w:rFonts w:ascii="Times New Roman" w:hAnsi="Times New Roman" w:cs="Times New Roman"/>
        </w:rPr>
        <w:t xml:space="preserve"> has preserved ancient structures and customs</w:t>
      </w:r>
      <w:r w:rsidR="00CA4A6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022AD">
        <w:rPr>
          <w:rFonts w:ascii="Times New Roman" w:hAnsi="Times New Roman" w:cs="Times New Roman"/>
        </w:rPr>
        <w:t>retaining cooperative modes of coordination</w:t>
      </w:r>
      <w:r w:rsidR="00CA4A63">
        <w:rPr>
          <w:rFonts w:ascii="Times New Roman" w:hAnsi="Times New Roman" w:cs="Times New Roman"/>
        </w:rPr>
        <w:t xml:space="preserve"> or, as in management language,</w:t>
      </w:r>
      <w:r w:rsidRPr="00B6208D">
        <w:rPr>
          <w:rFonts w:ascii="Times New Roman" w:hAnsi="Times New Roman" w:cs="Times New Roman"/>
        </w:rPr>
        <w:t xml:space="preserve"> </w:t>
      </w:r>
      <w:r w:rsidR="00CA4A63">
        <w:rPr>
          <w:rFonts w:ascii="Times New Roman" w:hAnsi="Times New Roman" w:cs="Times New Roman"/>
        </w:rPr>
        <w:t xml:space="preserve">a </w:t>
      </w:r>
      <w:r w:rsidRPr="00B6208D">
        <w:rPr>
          <w:rFonts w:ascii="Times New Roman" w:hAnsi="Times New Roman" w:cs="Times New Roman"/>
        </w:rPr>
        <w:t xml:space="preserve">teamwork </w:t>
      </w:r>
      <w:r w:rsidR="00CA4A63">
        <w:rPr>
          <w:rFonts w:ascii="Times New Roman" w:hAnsi="Times New Roman" w:cs="Times New Roman"/>
        </w:rPr>
        <w:t>approach among the</w:t>
      </w:r>
      <w:r w:rsidRPr="00B6208D">
        <w:rPr>
          <w:rFonts w:ascii="Times New Roman" w:hAnsi="Times New Roman" w:cs="Times New Roman"/>
        </w:rPr>
        <w:t xml:space="preserve"> stakeholders involved</w:t>
      </w:r>
      <w:r w:rsidR="00885781">
        <w:rPr>
          <w:rFonts w:ascii="Times New Roman" w:hAnsi="Times New Roman" w:cs="Times New Roman"/>
        </w:rPr>
        <w:t xml:space="preserve"> (Gallina, 2007)</w:t>
      </w:r>
      <w:r>
        <w:rPr>
          <w:rFonts w:ascii="Times New Roman" w:hAnsi="Times New Roman" w:cs="Times New Roman"/>
        </w:rPr>
        <w:t xml:space="preserve">. </w:t>
      </w:r>
      <w:r w:rsidR="00BB0D57">
        <w:rPr>
          <w:rFonts w:ascii="Times New Roman" w:hAnsi="Times New Roman" w:cs="Times New Roman"/>
        </w:rPr>
        <w:t xml:space="preserve">Working in </w:t>
      </w:r>
      <w:r w:rsidR="00266E8C">
        <w:rPr>
          <w:rFonts w:ascii="Times New Roman" w:hAnsi="Times New Roman" w:cs="Times New Roman"/>
        </w:rPr>
        <w:t xml:space="preserve">a </w:t>
      </w:r>
      <w:r w:rsidR="00BB0D57">
        <w:rPr>
          <w:rFonts w:ascii="Times New Roman" w:hAnsi="Times New Roman" w:cs="Times New Roman"/>
        </w:rPr>
        <w:t>team ha</w:t>
      </w:r>
      <w:r w:rsidR="002B2D56">
        <w:rPr>
          <w:rFonts w:ascii="Times New Roman" w:hAnsi="Times New Roman" w:cs="Times New Roman"/>
        </w:rPr>
        <w:t>s</w:t>
      </w:r>
      <w:r w:rsidR="00BB0D57">
        <w:rPr>
          <w:rFonts w:ascii="Times New Roman" w:hAnsi="Times New Roman" w:cs="Times New Roman"/>
        </w:rPr>
        <w:t xml:space="preserve"> a super-additive </w:t>
      </w:r>
      <w:r w:rsidR="008D1EDC">
        <w:rPr>
          <w:rFonts w:ascii="Times New Roman" w:hAnsi="Times New Roman" w:cs="Times New Roman"/>
        </w:rPr>
        <w:t>value</w:t>
      </w:r>
      <w:r w:rsidR="00BB0D57" w:rsidRPr="008A1804">
        <w:rPr>
          <w:rFonts w:ascii="Times New Roman" w:hAnsi="Times New Roman" w:cs="Times New Roman"/>
        </w:rPr>
        <w:t xml:space="preserve">, as </w:t>
      </w:r>
      <w:proofErr w:type="gramStart"/>
      <w:r w:rsidR="00BB0D57" w:rsidRPr="008A1804">
        <w:rPr>
          <w:rFonts w:ascii="Times New Roman" w:hAnsi="Times New Roman" w:cs="Times New Roman"/>
        </w:rPr>
        <w:t>the final result</w:t>
      </w:r>
      <w:proofErr w:type="gramEnd"/>
      <w:r w:rsidR="00BB0D57" w:rsidRPr="008A1804">
        <w:rPr>
          <w:rFonts w:ascii="Times New Roman" w:hAnsi="Times New Roman" w:cs="Times New Roman"/>
        </w:rPr>
        <w:t xml:space="preserve"> </w:t>
      </w:r>
      <w:r w:rsidR="008D1EDC">
        <w:rPr>
          <w:rFonts w:ascii="Times New Roman" w:hAnsi="Times New Roman" w:cs="Times New Roman"/>
        </w:rPr>
        <w:t xml:space="preserve">– the theatre performance - </w:t>
      </w:r>
      <w:r w:rsidR="00BB0D57" w:rsidRPr="008A1804">
        <w:rPr>
          <w:rFonts w:ascii="Times New Roman" w:hAnsi="Times New Roman" w:cs="Times New Roman"/>
        </w:rPr>
        <w:t>can be achieved only through creative interaction</w:t>
      </w:r>
      <w:r w:rsidR="00491B69">
        <w:rPr>
          <w:rFonts w:ascii="Times New Roman" w:hAnsi="Times New Roman" w:cs="Times New Roman"/>
        </w:rPr>
        <w:t xml:space="preserve"> among the various stakeholders involved in the creative process</w:t>
      </w:r>
      <w:r w:rsidR="00732CB2">
        <w:rPr>
          <w:rFonts w:ascii="Times New Roman" w:hAnsi="Times New Roman" w:cs="Times New Roman"/>
        </w:rPr>
        <w:t>.</w:t>
      </w:r>
      <w:r w:rsidR="00B86463">
        <w:rPr>
          <w:rFonts w:ascii="Times New Roman" w:hAnsi="Times New Roman" w:cs="Times New Roman"/>
        </w:rPr>
        <w:t xml:space="preserve"> </w:t>
      </w:r>
      <w:r w:rsidR="00CA4A63">
        <w:rPr>
          <w:rFonts w:ascii="Times New Roman" w:hAnsi="Times New Roman" w:cs="Times New Roman"/>
        </w:rPr>
        <w:t xml:space="preserve">The similarities with Dewey’s deliberative process are evident: the outcome is not known ex-ante but is the result of a process where participants mutually share perspectives and experiences, based on intuition, reason and argument rather than power asymmetry. What is known ex-ante is the willingness of </w:t>
      </w:r>
      <w:r w:rsidR="0024457A">
        <w:rPr>
          <w:rFonts w:ascii="Times New Roman" w:hAnsi="Times New Roman" w:cs="Times New Roman"/>
        </w:rPr>
        <w:t>cooperators</w:t>
      </w:r>
      <w:r w:rsidR="00CA4A63">
        <w:rPr>
          <w:rFonts w:ascii="Times New Roman" w:hAnsi="Times New Roman" w:cs="Times New Roman"/>
        </w:rPr>
        <w:t xml:space="preserve"> to </w:t>
      </w:r>
      <w:r w:rsidR="0024457A">
        <w:rPr>
          <w:rFonts w:ascii="Times New Roman" w:hAnsi="Times New Roman" w:cs="Times New Roman"/>
        </w:rPr>
        <w:t>partake in the process</w:t>
      </w:r>
      <w:r w:rsidR="00CA4A63">
        <w:rPr>
          <w:rFonts w:ascii="Times New Roman" w:hAnsi="Times New Roman" w:cs="Times New Roman"/>
        </w:rPr>
        <w:t xml:space="preserve"> to the best of their abilities to jointly produce a performance that is fulfilling for them and </w:t>
      </w:r>
      <w:r w:rsidR="0024457A">
        <w:rPr>
          <w:rFonts w:ascii="Times New Roman" w:hAnsi="Times New Roman" w:cs="Times New Roman"/>
        </w:rPr>
        <w:t xml:space="preserve">for </w:t>
      </w:r>
      <w:r w:rsidR="00CA4A63">
        <w:rPr>
          <w:rFonts w:ascii="Times New Roman" w:hAnsi="Times New Roman" w:cs="Times New Roman"/>
        </w:rPr>
        <w:t>others.</w:t>
      </w:r>
    </w:p>
    <w:p w14:paraId="1CE9AE80" w14:textId="030BA0E2" w:rsidR="00250BAF" w:rsidRDefault="007006BB" w:rsidP="00F14E8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discuss how to analyse </w:t>
      </w:r>
      <w:r w:rsidR="00B227C5">
        <w:rPr>
          <w:rFonts w:ascii="Times New Roman" w:hAnsi="Times New Roman" w:cs="Times New Roman"/>
        </w:rPr>
        <w:t xml:space="preserve">creative outputs deriving from a </w:t>
      </w:r>
      <w:r w:rsidR="00723090">
        <w:rPr>
          <w:rFonts w:ascii="Times New Roman" w:hAnsi="Times New Roman" w:cs="Times New Roman"/>
        </w:rPr>
        <w:t>shared</w:t>
      </w:r>
      <w:r w:rsidR="00B227C5">
        <w:rPr>
          <w:rFonts w:ascii="Times New Roman" w:hAnsi="Times New Roman" w:cs="Times New Roman"/>
        </w:rPr>
        <w:t xml:space="preserve"> process</w:t>
      </w:r>
      <w:r w:rsidR="008C0F45">
        <w:rPr>
          <w:rFonts w:ascii="Times New Roman" w:hAnsi="Times New Roman" w:cs="Times New Roman"/>
        </w:rPr>
        <w:t>, a</w:t>
      </w:r>
      <w:r w:rsidR="000E1C84">
        <w:rPr>
          <w:rFonts w:ascii="Times New Roman" w:hAnsi="Times New Roman" w:cs="Times New Roman"/>
        </w:rPr>
        <w:t xml:space="preserve">n initial attempt will be made </w:t>
      </w:r>
      <w:r w:rsidR="002A6466">
        <w:rPr>
          <w:rFonts w:ascii="Times New Roman" w:hAnsi="Times New Roman" w:cs="Times New Roman"/>
        </w:rPr>
        <w:t xml:space="preserve">at reconnecting the nature of the collaborative stage activity </w:t>
      </w:r>
      <w:r w:rsidR="00233548">
        <w:rPr>
          <w:rFonts w:ascii="Times New Roman" w:hAnsi="Times New Roman" w:cs="Times New Roman"/>
        </w:rPr>
        <w:t>in terms of team production theory</w:t>
      </w:r>
      <w:r w:rsidR="0005647D">
        <w:rPr>
          <w:rFonts w:ascii="Times New Roman" w:hAnsi="Times New Roman" w:cs="Times New Roman"/>
        </w:rPr>
        <w:t>. According to Blair and Stout</w:t>
      </w:r>
      <w:r w:rsidR="00CA4A63">
        <w:rPr>
          <w:rFonts w:ascii="Times New Roman" w:hAnsi="Times New Roman" w:cs="Times New Roman"/>
        </w:rPr>
        <w:t xml:space="preserve"> (1999), </w:t>
      </w:r>
      <w:r w:rsidR="003A455C">
        <w:rPr>
          <w:rFonts w:ascii="Times New Roman" w:hAnsi="Times New Roman" w:cs="Times New Roman"/>
        </w:rPr>
        <w:t>i</w:t>
      </w:r>
      <w:r w:rsidR="001F146A" w:rsidRPr="003F1E56">
        <w:rPr>
          <w:rFonts w:ascii="Times New Roman" w:hAnsi="Times New Roman" w:cs="Times New Roman"/>
        </w:rPr>
        <w:t xml:space="preserve">f the activities and inputs of participants are adequately coordinated, their collective output can be qualitatively different and vastly larger than the sum of what </w:t>
      </w:r>
      <w:proofErr w:type="gramStart"/>
      <w:r w:rsidR="001F146A" w:rsidRPr="003F1E56">
        <w:rPr>
          <w:rFonts w:ascii="Times New Roman" w:hAnsi="Times New Roman" w:cs="Times New Roman"/>
        </w:rPr>
        <w:t>each individual</w:t>
      </w:r>
      <w:proofErr w:type="gramEnd"/>
      <w:r w:rsidR="001F146A" w:rsidRPr="003F1E56">
        <w:rPr>
          <w:rFonts w:ascii="Times New Roman" w:hAnsi="Times New Roman" w:cs="Times New Roman"/>
        </w:rPr>
        <w:t xml:space="preserve"> could produce separately</w:t>
      </w:r>
      <w:r w:rsidR="005C309F">
        <w:rPr>
          <w:rFonts w:ascii="Times New Roman" w:hAnsi="Times New Roman" w:cs="Times New Roman"/>
        </w:rPr>
        <w:t xml:space="preserve">. </w:t>
      </w:r>
      <w:r w:rsidR="00103BE3">
        <w:rPr>
          <w:rFonts w:ascii="Times New Roman" w:hAnsi="Times New Roman" w:cs="Times New Roman"/>
        </w:rPr>
        <w:t xml:space="preserve">In this context, coordination will not happen from the top down, but in the lateral interaction </w:t>
      </w:r>
      <w:r w:rsidR="002331BF">
        <w:rPr>
          <w:rFonts w:ascii="Times New Roman" w:hAnsi="Times New Roman" w:cs="Times New Roman"/>
        </w:rPr>
        <w:t xml:space="preserve">among team members. </w:t>
      </w:r>
      <w:r w:rsidR="00CA4A63">
        <w:rPr>
          <w:rFonts w:ascii="Times New Roman" w:hAnsi="Times New Roman" w:cs="Times New Roman"/>
        </w:rPr>
        <w:t>Administrative coordination</w:t>
      </w:r>
      <w:r w:rsidR="00543E42" w:rsidRPr="00543E42">
        <w:rPr>
          <w:rFonts w:ascii="Times New Roman" w:hAnsi="Times New Roman" w:cs="Times New Roman"/>
        </w:rPr>
        <w:t xml:space="preserve"> may still be </w:t>
      </w:r>
      <w:r w:rsidR="00543E42">
        <w:rPr>
          <w:rFonts w:ascii="Times New Roman" w:hAnsi="Times New Roman" w:cs="Times New Roman"/>
        </w:rPr>
        <w:t>needed</w:t>
      </w:r>
      <w:r w:rsidR="00543E42" w:rsidRPr="00543E42">
        <w:rPr>
          <w:rFonts w:ascii="Times New Roman" w:hAnsi="Times New Roman" w:cs="Times New Roman"/>
        </w:rPr>
        <w:t xml:space="preserve">, but the role </w:t>
      </w:r>
      <w:r w:rsidR="00331BDD">
        <w:rPr>
          <w:rFonts w:ascii="Times New Roman" w:hAnsi="Times New Roman" w:cs="Times New Roman"/>
        </w:rPr>
        <w:t xml:space="preserve">of </w:t>
      </w:r>
      <w:r w:rsidR="00543E42" w:rsidRPr="00543E42">
        <w:rPr>
          <w:rFonts w:ascii="Times New Roman" w:hAnsi="Times New Roman" w:cs="Times New Roman"/>
        </w:rPr>
        <w:t xml:space="preserve">governance </w:t>
      </w:r>
      <w:r w:rsidR="00CA4A63">
        <w:rPr>
          <w:rFonts w:ascii="Times New Roman" w:hAnsi="Times New Roman" w:cs="Times New Roman"/>
        </w:rPr>
        <w:t>is functional to</w:t>
      </w:r>
      <w:r w:rsidR="00543E42" w:rsidRPr="00543E42">
        <w:rPr>
          <w:rFonts w:ascii="Times New Roman" w:hAnsi="Times New Roman" w:cs="Times New Roman"/>
        </w:rPr>
        <w:t xml:space="preserve"> </w:t>
      </w:r>
      <w:r w:rsidR="00CA4A63">
        <w:rPr>
          <w:rFonts w:ascii="Times New Roman" w:hAnsi="Times New Roman" w:cs="Times New Roman"/>
        </w:rPr>
        <w:t xml:space="preserve">stop opportunistic </w:t>
      </w:r>
      <w:r w:rsidR="00137095">
        <w:rPr>
          <w:rFonts w:ascii="Times New Roman" w:hAnsi="Times New Roman" w:cs="Times New Roman"/>
        </w:rPr>
        <w:t>behaviours</w:t>
      </w:r>
      <w:r w:rsidR="00CA4A63">
        <w:rPr>
          <w:rFonts w:ascii="Times New Roman" w:hAnsi="Times New Roman" w:cs="Times New Roman"/>
        </w:rPr>
        <w:t xml:space="preserve"> or mediate </w:t>
      </w:r>
      <w:r w:rsidR="00543E42" w:rsidRPr="00543E42">
        <w:rPr>
          <w:rFonts w:ascii="Times New Roman" w:hAnsi="Times New Roman" w:cs="Times New Roman"/>
        </w:rPr>
        <w:t>horizontal disputes among team members that may arise along the way</w:t>
      </w:r>
      <w:r w:rsidR="005A1E1B">
        <w:rPr>
          <w:rFonts w:ascii="Times New Roman" w:hAnsi="Times New Roman" w:cs="Times New Roman"/>
        </w:rPr>
        <w:t xml:space="preserve">. </w:t>
      </w:r>
    </w:p>
    <w:p w14:paraId="315B33B5" w14:textId="2B5FB56D" w:rsidR="00C518E5" w:rsidRDefault="00F547B5" w:rsidP="00525547">
      <w:pPr>
        <w:spacing w:line="240" w:lineRule="auto"/>
        <w:jc w:val="both"/>
        <w:rPr>
          <w:rFonts w:ascii="Times New Roman" w:hAnsi="Times New Roman" w:cs="Times New Roman"/>
        </w:rPr>
      </w:pPr>
      <w:r w:rsidRPr="00F547B5">
        <w:rPr>
          <w:rFonts w:ascii="Times New Roman" w:hAnsi="Times New Roman" w:cs="Times New Roman"/>
        </w:rPr>
        <w:t>Aoki provides a further understanding of corporate governance’s role, departing from the idea that a</w:t>
      </w:r>
      <w:r>
        <w:rPr>
          <w:rFonts w:ascii="Times New Roman" w:hAnsi="Times New Roman" w:cs="Times New Roman"/>
        </w:rPr>
        <w:t xml:space="preserve"> </w:t>
      </w:r>
      <w:r w:rsidRPr="00F547B5">
        <w:rPr>
          <w:rFonts w:ascii="Times New Roman" w:hAnsi="Times New Roman" w:cs="Times New Roman"/>
        </w:rPr>
        <w:t xml:space="preserve">governance model serves primarily to control opportunistic </w:t>
      </w:r>
      <w:r w:rsidR="00E614C3" w:rsidRPr="00F547B5">
        <w:rPr>
          <w:rFonts w:ascii="Times New Roman" w:hAnsi="Times New Roman" w:cs="Times New Roman"/>
        </w:rPr>
        <w:t>behaviour</w:t>
      </w:r>
      <w:r w:rsidRPr="00F547B5">
        <w:rPr>
          <w:rFonts w:ascii="Times New Roman" w:hAnsi="Times New Roman" w:cs="Times New Roman"/>
        </w:rPr>
        <w:t xml:space="preserve"> but to sustain the mutually beneficial</w:t>
      </w:r>
      <w:r w:rsidR="00E614C3">
        <w:rPr>
          <w:rFonts w:ascii="Times New Roman" w:hAnsi="Times New Roman" w:cs="Times New Roman"/>
        </w:rPr>
        <w:t xml:space="preserve"> </w:t>
      </w:r>
      <w:r w:rsidRPr="00F547B5">
        <w:rPr>
          <w:rFonts w:ascii="Times New Roman" w:hAnsi="Times New Roman" w:cs="Times New Roman"/>
        </w:rPr>
        <w:t>opportunities from cooperation</w:t>
      </w:r>
      <w:r w:rsidR="00E614C3">
        <w:rPr>
          <w:rFonts w:ascii="Times New Roman" w:hAnsi="Times New Roman" w:cs="Times New Roman"/>
        </w:rPr>
        <w:t>. He discussed</w:t>
      </w:r>
      <w:r w:rsidR="00B55786" w:rsidRPr="008A1804">
        <w:rPr>
          <w:rFonts w:ascii="Times New Roman" w:hAnsi="Times New Roman" w:cs="Times New Roman"/>
        </w:rPr>
        <w:t xml:space="preserve"> about firms as team production between investors’ financial resources and managers’ and workers’ cognitive resources (Aoki, 2010). Literature on shared governance in </w:t>
      </w:r>
      <w:r w:rsidR="00B55786">
        <w:rPr>
          <w:rFonts w:ascii="Times New Roman" w:hAnsi="Times New Roman" w:cs="Times New Roman"/>
        </w:rPr>
        <w:t xml:space="preserve">a </w:t>
      </w:r>
      <w:r w:rsidR="00B55786" w:rsidRPr="008A1804">
        <w:rPr>
          <w:rFonts w:ascii="Times New Roman" w:hAnsi="Times New Roman" w:cs="Times New Roman"/>
        </w:rPr>
        <w:t xml:space="preserve">university context is also relevant (Degli Antoni, </w:t>
      </w:r>
      <w:proofErr w:type="spellStart"/>
      <w:r w:rsidR="00B55786" w:rsidRPr="008A1804">
        <w:rPr>
          <w:rFonts w:ascii="Times New Roman" w:hAnsi="Times New Roman" w:cs="Times New Roman"/>
        </w:rPr>
        <w:t>Fia</w:t>
      </w:r>
      <w:proofErr w:type="spellEnd"/>
      <w:r w:rsidR="00B55786" w:rsidRPr="008A1804">
        <w:rPr>
          <w:rFonts w:ascii="Times New Roman" w:hAnsi="Times New Roman" w:cs="Times New Roman"/>
        </w:rPr>
        <w:t>, Sacconi, 2022). The highly specialized nature of knowledge possessed by university co-essential figures requires</w:t>
      </w:r>
      <w:r w:rsidR="00B55786">
        <w:rPr>
          <w:rFonts w:ascii="Times New Roman" w:hAnsi="Times New Roman" w:cs="Times New Roman"/>
        </w:rPr>
        <w:t xml:space="preserve"> a</w:t>
      </w:r>
      <w:r w:rsidR="00B55786" w:rsidRPr="008A1804">
        <w:rPr>
          <w:rFonts w:ascii="Times New Roman" w:hAnsi="Times New Roman" w:cs="Times New Roman"/>
        </w:rPr>
        <w:t xml:space="preserve"> cooperative mode of governance rather than an autocratic one to reduce the risk of making ineffective decision</w:t>
      </w:r>
      <w:r w:rsidR="00B55786">
        <w:rPr>
          <w:rFonts w:ascii="Times New Roman" w:hAnsi="Times New Roman" w:cs="Times New Roman"/>
        </w:rPr>
        <w:t>s</w:t>
      </w:r>
      <w:r w:rsidR="00B55786" w:rsidRPr="008A1804">
        <w:rPr>
          <w:rFonts w:ascii="Times New Roman" w:hAnsi="Times New Roman" w:cs="Times New Roman"/>
        </w:rPr>
        <w:t xml:space="preserve">. This concept is not far from the team idea behind theatre productions in which the creative contribution of participants, </w:t>
      </w:r>
      <w:r w:rsidR="00B55786">
        <w:rPr>
          <w:rFonts w:ascii="Times New Roman" w:hAnsi="Times New Roman" w:cs="Times New Roman"/>
        </w:rPr>
        <w:t>which</w:t>
      </w:r>
      <w:r w:rsidR="00B55786" w:rsidRPr="008A1804">
        <w:rPr>
          <w:rFonts w:ascii="Times New Roman" w:hAnsi="Times New Roman" w:cs="Times New Roman"/>
        </w:rPr>
        <w:t xml:space="preserve"> is personal and unique, will be safeguarded in its authentic form if shared governance is present.</w:t>
      </w:r>
      <w:r w:rsidR="00807C57">
        <w:rPr>
          <w:rFonts w:ascii="Times New Roman" w:hAnsi="Times New Roman" w:cs="Times New Roman"/>
        </w:rPr>
        <w:t xml:space="preserve"> </w:t>
      </w:r>
    </w:p>
    <w:p w14:paraId="57C5A8B0" w14:textId="00CF6E09" w:rsidR="00017A9F" w:rsidRDefault="005F7E3A" w:rsidP="001844C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Cooperation, however, is one among alternative modes of organising resources. We hence discuss</w:t>
      </w:r>
      <w:r w:rsidR="006F1189">
        <w:rPr>
          <w:rFonts w:ascii="Times New Roman" w:hAnsi="Times New Roman" w:cs="Times New Roman"/>
        </w:rPr>
        <w:t xml:space="preserve"> how </w:t>
      </w:r>
      <w:r>
        <w:rPr>
          <w:rFonts w:ascii="Times New Roman" w:hAnsi="Times New Roman" w:cs="Times New Roman"/>
        </w:rPr>
        <w:t xml:space="preserve">theatre production benefits from the support of </w:t>
      </w:r>
      <w:r w:rsidR="00C27E2B">
        <w:rPr>
          <w:rFonts w:ascii="Times New Roman" w:hAnsi="Times New Roman" w:cs="Times New Roman"/>
        </w:rPr>
        <w:t xml:space="preserve">a combination of </w:t>
      </w:r>
      <w:r w:rsidR="00C07C29">
        <w:rPr>
          <w:rFonts w:ascii="Times New Roman" w:hAnsi="Times New Roman" w:cs="Times New Roman"/>
        </w:rPr>
        <w:t>resource coordinatio</w:t>
      </w:r>
      <w:r w:rsidR="00C6137C">
        <w:rPr>
          <w:rFonts w:ascii="Times New Roman" w:hAnsi="Times New Roman" w:cs="Times New Roman"/>
        </w:rPr>
        <w:t>n modalities (</w:t>
      </w:r>
      <w:r>
        <w:rPr>
          <w:rFonts w:ascii="Times New Roman" w:hAnsi="Times New Roman" w:cs="Times New Roman"/>
        </w:rPr>
        <w:t>market exchange and authority besides cooperation</w:t>
      </w:r>
      <w:r w:rsidR="00C6137C">
        <w:rPr>
          <w:rFonts w:ascii="Times New Roman" w:hAnsi="Times New Roman" w:cs="Times New Roman"/>
        </w:rPr>
        <w:t>)</w:t>
      </w:r>
      <w:r w:rsidR="00C27E2B">
        <w:rPr>
          <w:rFonts w:ascii="Times New Roman" w:hAnsi="Times New Roman" w:cs="Times New Roman"/>
        </w:rPr>
        <w:t xml:space="preserve">. </w:t>
      </w:r>
      <w:r w:rsidR="005A0150">
        <w:rPr>
          <w:rFonts w:ascii="Times New Roman" w:hAnsi="Times New Roman" w:cs="Times New Roman"/>
        </w:rPr>
        <w:t>Within certain limits, in fact, the presence of authorit</w:t>
      </w:r>
      <w:r>
        <w:rPr>
          <w:rFonts w:ascii="Times New Roman" w:hAnsi="Times New Roman" w:cs="Times New Roman"/>
        </w:rPr>
        <w:t>y</w:t>
      </w:r>
      <w:r w:rsidR="005A0150">
        <w:rPr>
          <w:rFonts w:ascii="Times New Roman" w:hAnsi="Times New Roman" w:cs="Times New Roman"/>
        </w:rPr>
        <w:t xml:space="preserve"> and market </w:t>
      </w:r>
      <w:r>
        <w:rPr>
          <w:rFonts w:ascii="Times New Roman" w:hAnsi="Times New Roman" w:cs="Times New Roman"/>
        </w:rPr>
        <w:t xml:space="preserve">exchange (including the use of better specified contracts) </w:t>
      </w:r>
      <w:r w:rsidR="005A0150">
        <w:rPr>
          <w:rFonts w:ascii="Times New Roman" w:hAnsi="Times New Roman" w:cs="Times New Roman"/>
        </w:rPr>
        <w:t xml:space="preserve">may benefit </w:t>
      </w:r>
      <w:r w:rsidR="004A6234">
        <w:rPr>
          <w:rFonts w:ascii="Times New Roman" w:hAnsi="Times New Roman" w:cs="Times New Roman"/>
        </w:rPr>
        <w:t xml:space="preserve">theatrical creativity </w:t>
      </w:r>
      <w:r w:rsidR="00176C10">
        <w:rPr>
          <w:rFonts w:ascii="Times New Roman" w:hAnsi="Times New Roman" w:cs="Times New Roman"/>
        </w:rPr>
        <w:t>(w</w:t>
      </w:r>
      <w:r w:rsidR="00176C10" w:rsidRPr="008B1652">
        <w:rPr>
          <w:rFonts w:ascii="Times New Roman" w:hAnsi="Times New Roman" w:cs="Times New Roman"/>
        </w:rPr>
        <w:t xml:space="preserve">ithout </w:t>
      </w:r>
      <w:r w:rsidR="00176C10">
        <w:rPr>
          <w:rFonts w:ascii="Times New Roman" w:hAnsi="Times New Roman" w:cs="Times New Roman"/>
        </w:rPr>
        <w:t xml:space="preserve">the </w:t>
      </w:r>
      <w:r w:rsidR="00176C10" w:rsidRPr="008B1652">
        <w:rPr>
          <w:rFonts w:ascii="Times New Roman" w:hAnsi="Times New Roman" w:cs="Times New Roman"/>
        </w:rPr>
        <w:t xml:space="preserve">public transfer of economic resources and the presence of a paying public, for example, </w:t>
      </w:r>
      <w:r w:rsidR="00176C10">
        <w:rPr>
          <w:rFonts w:ascii="Times New Roman" w:hAnsi="Times New Roman" w:cs="Times New Roman"/>
        </w:rPr>
        <w:t>theatre</w:t>
      </w:r>
      <w:r>
        <w:rPr>
          <w:rFonts w:ascii="Times New Roman" w:hAnsi="Times New Roman" w:cs="Times New Roman"/>
        </w:rPr>
        <w:t xml:space="preserve"> </w:t>
      </w:r>
      <w:r w:rsidR="00137095">
        <w:rPr>
          <w:rFonts w:ascii="Times New Roman" w:hAnsi="Times New Roman" w:cs="Times New Roman"/>
        </w:rPr>
        <w:t>productions</w:t>
      </w:r>
      <w:r w:rsidR="00176C10">
        <w:rPr>
          <w:rFonts w:ascii="Times New Roman" w:hAnsi="Times New Roman" w:cs="Times New Roman"/>
        </w:rPr>
        <w:t xml:space="preserve"> could not exist). </w:t>
      </w:r>
      <w:r>
        <w:rPr>
          <w:rFonts w:ascii="Times New Roman" w:hAnsi="Times New Roman" w:cs="Times New Roman"/>
        </w:rPr>
        <w:lastRenderedPageBreak/>
        <w:t xml:space="preserve">This introduces a concern for economic sustainability besides creativeness and self-actualisation. </w:t>
      </w:r>
      <w:r w:rsidR="00DD1F9B">
        <w:rPr>
          <w:rFonts w:ascii="Times New Roman" w:hAnsi="Times New Roman" w:cs="Times New Roman"/>
        </w:rPr>
        <w:t xml:space="preserve">It </w:t>
      </w:r>
      <w:r w:rsidR="00DD1F9B" w:rsidRPr="00DD1F9B">
        <w:rPr>
          <w:rFonts w:ascii="Times New Roman" w:hAnsi="Times New Roman" w:cs="Times New Roman"/>
        </w:rPr>
        <w:t xml:space="preserve">will be </w:t>
      </w:r>
      <w:r w:rsidR="00DD1F9B">
        <w:rPr>
          <w:rFonts w:ascii="Times New Roman" w:hAnsi="Times New Roman" w:cs="Times New Roman"/>
        </w:rPr>
        <w:t xml:space="preserve">therefore </w:t>
      </w:r>
      <w:r w:rsidR="00DD1F9B" w:rsidRPr="00DD1F9B">
        <w:rPr>
          <w:rFonts w:ascii="Times New Roman" w:hAnsi="Times New Roman" w:cs="Times New Roman"/>
        </w:rPr>
        <w:t xml:space="preserve">discussed to what extent it </w:t>
      </w:r>
      <w:r w:rsidR="00DD1F9B">
        <w:rPr>
          <w:rFonts w:ascii="Times New Roman" w:hAnsi="Times New Roman" w:cs="Times New Roman"/>
        </w:rPr>
        <w:t>would</w:t>
      </w:r>
      <w:r w:rsidR="00DD1F9B" w:rsidRPr="00DD1F9B">
        <w:rPr>
          <w:rFonts w:ascii="Times New Roman" w:hAnsi="Times New Roman" w:cs="Times New Roman"/>
        </w:rPr>
        <w:t xml:space="preserve"> be possible to </w:t>
      </w:r>
      <w:r w:rsidR="00DD1F9B">
        <w:rPr>
          <w:rFonts w:ascii="Times New Roman" w:hAnsi="Times New Roman" w:cs="Times New Roman"/>
        </w:rPr>
        <w:t>have</w:t>
      </w:r>
      <w:r w:rsidR="00DD1F9B" w:rsidRPr="00DD1F9B">
        <w:rPr>
          <w:rFonts w:ascii="Times New Roman" w:hAnsi="Times New Roman" w:cs="Times New Roman"/>
        </w:rPr>
        <w:t xml:space="preserve"> a proper balance between the various </w:t>
      </w:r>
      <w:r w:rsidR="00DD1F9B">
        <w:rPr>
          <w:rFonts w:ascii="Times New Roman" w:hAnsi="Times New Roman" w:cs="Times New Roman"/>
        </w:rPr>
        <w:t xml:space="preserve">resource coordination mechanisms (cooperation, </w:t>
      </w:r>
      <w:proofErr w:type="gramStart"/>
      <w:r w:rsidR="00DD1F9B">
        <w:rPr>
          <w:rFonts w:ascii="Times New Roman" w:hAnsi="Times New Roman" w:cs="Times New Roman"/>
        </w:rPr>
        <w:t>market</w:t>
      </w:r>
      <w:proofErr w:type="gramEnd"/>
      <w:r w:rsidR="00DD1F9B">
        <w:rPr>
          <w:rFonts w:ascii="Times New Roman" w:hAnsi="Times New Roman" w:cs="Times New Roman"/>
        </w:rPr>
        <w:t xml:space="preserve"> and </w:t>
      </w:r>
      <w:r w:rsidR="00E80149">
        <w:rPr>
          <w:rFonts w:ascii="Times New Roman" w:hAnsi="Times New Roman" w:cs="Times New Roman"/>
        </w:rPr>
        <w:t xml:space="preserve">authority) without being </w:t>
      </w:r>
      <w:r>
        <w:rPr>
          <w:rFonts w:ascii="Times New Roman" w:hAnsi="Times New Roman" w:cs="Times New Roman"/>
        </w:rPr>
        <w:t>jeopardising the cooperators’</w:t>
      </w:r>
      <w:r w:rsidR="00E80149">
        <w:rPr>
          <w:rFonts w:ascii="Times New Roman" w:hAnsi="Times New Roman" w:cs="Times New Roman"/>
        </w:rPr>
        <w:t xml:space="preserve"> creativity. </w:t>
      </w:r>
    </w:p>
    <w:p w14:paraId="63DE3EDC" w14:textId="0B426D80" w:rsidR="00642D31" w:rsidRPr="00E71448" w:rsidRDefault="00FC719A" w:rsidP="001844C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question is how copyrights relate with a team cooperative output. </w:t>
      </w:r>
      <w:r w:rsidR="00294A8B">
        <w:rPr>
          <w:rFonts w:ascii="Times New Roman" w:hAnsi="Times New Roman" w:cs="Times New Roman"/>
        </w:rPr>
        <w:t>Copyright law</w:t>
      </w:r>
      <w:r w:rsidR="006769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have been conceived mainly to </w:t>
      </w:r>
      <w:r w:rsidR="00D92D4F">
        <w:rPr>
          <w:rFonts w:ascii="Times New Roman" w:hAnsi="Times New Roman" w:cs="Times New Roman"/>
        </w:rPr>
        <w:t xml:space="preserve">safeguard </w:t>
      </w:r>
      <w:r>
        <w:rPr>
          <w:rFonts w:ascii="Times New Roman" w:hAnsi="Times New Roman" w:cs="Times New Roman"/>
        </w:rPr>
        <w:t xml:space="preserve">individual </w:t>
      </w:r>
      <w:r w:rsidR="00D92D4F">
        <w:rPr>
          <w:rFonts w:ascii="Times New Roman" w:hAnsi="Times New Roman" w:cs="Times New Roman"/>
        </w:rPr>
        <w:t xml:space="preserve">creative outputs. </w:t>
      </w:r>
      <w:r w:rsidR="001844CD">
        <w:rPr>
          <w:rFonts w:ascii="Times New Roman" w:hAnsi="Times New Roman" w:cs="Times New Roman"/>
        </w:rPr>
        <w:t xml:space="preserve">The latter </w:t>
      </w:r>
      <w:r w:rsidR="001844CD" w:rsidRPr="00E71448">
        <w:rPr>
          <w:rFonts w:ascii="Times New Roman" w:hAnsi="Times New Roman" w:cs="Times New Roman"/>
        </w:rPr>
        <w:t xml:space="preserve">is an intellectual property right which protects the creative efforts of the creator </w:t>
      </w:r>
      <w:r w:rsidR="001844CD">
        <w:rPr>
          <w:rFonts w:ascii="Times New Roman" w:hAnsi="Times New Roman" w:cs="Times New Roman"/>
        </w:rPr>
        <w:t>of the</w:t>
      </w:r>
      <w:r w:rsidR="001844CD" w:rsidRPr="00E71448">
        <w:rPr>
          <w:rFonts w:ascii="Times New Roman" w:hAnsi="Times New Roman" w:cs="Times New Roman"/>
        </w:rPr>
        <w:t xml:space="preserve"> original work, </w:t>
      </w:r>
      <w:r w:rsidR="001844CD">
        <w:rPr>
          <w:rFonts w:ascii="Times New Roman" w:hAnsi="Times New Roman" w:cs="Times New Roman"/>
        </w:rPr>
        <w:t>giving him/her</w:t>
      </w:r>
      <w:r w:rsidR="001844CD" w:rsidRPr="00E71448">
        <w:rPr>
          <w:rFonts w:ascii="Times New Roman" w:hAnsi="Times New Roman" w:cs="Times New Roman"/>
        </w:rPr>
        <w:t xml:space="preserve"> the exclusive right to allow others to use or copy that work. If you own </w:t>
      </w:r>
      <w:r w:rsidR="002A5FFF">
        <w:rPr>
          <w:rFonts w:ascii="Times New Roman" w:hAnsi="Times New Roman" w:cs="Times New Roman"/>
        </w:rPr>
        <w:t xml:space="preserve">the </w:t>
      </w:r>
      <w:r w:rsidR="001844CD" w:rsidRPr="00E71448">
        <w:rPr>
          <w:rFonts w:ascii="Times New Roman" w:hAnsi="Times New Roman" w:cs="Times New Roman"/>
        </w:rPr>
        <w:t xml:space="preserve">copyright in a work, you may be entitled to </w:t>
      </w:r>
      <w:r w:rsidR="002A5FFF">
        <w:rPr>
          <w:rFonts w:ascii="Times New Roman" w:hAnsi="Times New Roman" w:cs="Times New Roman"/>
        </w:rPr>
        <w:t xml:space="preserve">the </w:t>
      </w:r>
      <w:r w:rsidR="001844CD" w:rsidRPr="00E71448">
        <w:rPr>
          <w:rFonts w:ascii="Times New Roman" w:hAnsi="Times New Roman" w:cs="Times New Roman"/>
        </w:rPr>
        <w:t>acknowledgement of ownership and payment if another party uses your work.</w:t>
      </w:r>
      <w:r w:rsidR="00716665">
        <w:rPr>
          <w:rFonts w:ascii="Times New Roman" w:hAnsi="Times New Roman" w:cs="Times New Roman"/>
        </w:rPr>
        <w:t xml:space="preserve"> </w:t>
      </w:r>
      <w:r w:rsidR="00604D9C">
        <w:rPr>
          <w:rFonts w:ascii="Times New Roman" w:hAnsi="Times New Roman" w:cs="Times New Roman"/>
        </w:rPr>
        <w:t>Copyright rules</w:t>
      </w:r>
      <w:r>
        <w:rPr>
          <w:rFonts w:ascii="Times New Roman" w:hAnsi="Times New Roman" w:cs="Times New Roman"/>
        </w:rPr>
        <w:t>, however,</w:t>
      </w:r>
      <w:r w:rsidR="00604D9C">
        <w:rPr>
          <w:rFonts w:ascii="Times New Roman" w:hAnsi="Times New Roman" w:cs="Times New Roman"/>
        </w:rPr>
        <w:t xml:space="preserve"> are clear as for individual creations, while</w:t>
      </w:r>
      <w:r w:rsidR="00A5422B">
        <w:rPr>
          <w:rFonts w:ascii="Times New Roman" w:hAnsi="Times New Roman" w:cs="Times New Roman"/>
        </w:rPr>
        <w:t xml:space="preserve">, if they are preceded by collective processes, some issues may arise regarding </w:t>
      </w:r>
      <w:r w:rsidR="003D7040" w:rsidRPr="003D7040">
        <w:rPr>
          <w:rFonts w:ascii="Times New Roman" w:hAnsi="Times New Roman" w:cs="Times New Roman"/>
        </w:rPr>
        <w:t>who, after this process, is the author and first owner of the work</w:t>
      </w:r>
      <w:r w:rsidR="003D7040">
        <w:rPr>
          <w:rFonts w:ascii="Times New Roman" w:hAnsi="Times New Roman" w:cs="Times New Roman"/>
        </w:rPr>
        <w:t xml:space="preserve">. </w:t>
      </w:r>
      <w:r w:rsidR="007C245A">
        <w:rPr>
          <w:rFonts w:ascii="Times New Roman" w:hAnsi="Times New Roman" w:cs="Times New Roman"/>
        </w:rPr>
        <w:t>We hence consider</w:t>
      </w:r>
      <w:r w:rsidR="009464D2">
        <w:rPr>
          <w:rFonts w:ascii="Times New Roman" w:hAnsi="Times New Roman" w:cs="Times New Roman"/>
        </w:rPr>
        <w:t xml:space="preserve"> </w:t>
      </w:r>
      <w:r w:rsidR="00DC51AB">
        <w:rPr>
          <w:rFonts w:ascii="Times New Roman" w:hAnsi="Times New Roman" w:cs="Times New Roman"/>
        </w:rPr>
        <w:t xml:space="preserve">how, in drama productions, copyright protection </w:t>
      </w:r>
      <w:r w:rsidR="00445DB5">
        <w:rPr>
          <w:rFonts w:ascii="Times New Roman" w:hAnsi="Times New Roman" w:cs="Times New Roman"/>
        </w:rPr>
        <w:t xml:space="preserve">may </w:t>
      </w:r>
      <w:r w:rsidR="0037062B">
        <w:rPr>
          <w:rFonts w:ascii="Times New Roman" w:hAnsi="Times New Roman" w:cs="Times New Roman"/>
        </w:rPr>
        <w:t xml:space="preserve">create issues as </w:t>
      </w:r>
      <w:r w:rsidR="006448E8" w:rsidRPr="006448E8">
        <w:rPr>
          <w:rFonts w:ascii="Times New Roman" w:hAnsi="Times New Roman" w:cs="Times New Roman"/>
        </w:rPr>
        <w:t xml:space="preserve">it does not adequately consider the </w:t>
      </w:r>
      <w:r w:rsidR="006448E8">
        <w:rPr>
          <w:rFonts w:ascii="Times New Roman" w:hAnsi="Times New Roman" w:cs="Times New Roman"/>
        </w:rPr>
        <w:t>creative contribution</w:t>
      </w:r>
      <w:r w:rsidR="006448E8" w:rsidRPr="006448E8">
        <w:rPr>
          <w:rFonts w:ascii="Times New Roman" w:hAnsi="Times New Roman" w:cs="Times New Roman"/>
        </w:rPr>
        <w:t xml:space="preserve"> of all stakeholders involved</w:t>
      </w:r>
      <w:r w:rsidR="006448E8">
        <w:rPr>
          <w:rFonts w:ascii="Times New Roman" w:hAnsi="Times New Roman" w:cs="Times New Roman"/>
        </w:rPr>
        <w:t xml:space="preserve"> in a performance. </w:t>
      </w:r>
    </w:p>
    <w:p w14:paraId="1DEC3E8A" w14:textId="58DF6495" w:rsidR="00440E4E" w:rsidRDefault="007C245A" w:rsidP="00440E4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Intellectual property rights (IPR)</w:t>
      </w:r>
      <w:r w:rsidR="0037062B">
        <w:rPr>
          <w:rFonts w:ascii="Times New Roman" w:hAnsi="Times New Roman" w:cs="Times New Roman"/>
        </w:rPr>
        <w:t>, in fact,</w:t>
      </w:r>
      <w:r w:rsidR="005B15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are </w:t>
      </w:r>
      <w:r w:rsidR="005B15BB">
        <w:rPr>
          <w:rFonts w:ascii="Times New Roman" w:hAnsi="Times New Roman" w:cs="Times New Roman"/>
        </w:rPr>
        <w:t>generally accorded to the author of the script</w:t>
      </w:r>
      <w:r w:rsidR="009722D1">
        <w:rPr>
          <w:rFonts w:ascii="Times New Roman" w:hAnsi="Times New Roman" w:cs="Times New Roman"/>
        </w:rPr>
        <w:t xml:space="preserve"> of the play</w:t>
      </w:r>
      <w:r w:rsidR="005B15BB">
        <w:rPr>
          <w:rFonts w:ascii="Times New Roman" w:hAnsi="Times New Roman" w:cs="Times New Roman"/>
        </w:rPr>
        <w:t xml:space="preserve">, </w:t>
      </w:r>
      <w:r w:rsidR="002165E3">
        <w:rPr>
          <w:rFonts w:ascii="Times New Roman" w:hAnsi="Times New Roman" w:cs="Times New Roman"/>
        </w:rPr>
        <w:t xml:space="preserve">which is </w:t>
      </w:r>
      <w:r w:rsidR="005B15BB">
        <w:rPr>
          <w:rFonts w:ascii="Times New Roman" w:hAnsi="Times New Roman" w:cs="Times New Roman"/>
        </w:rPr>
        <w:t xml:space="preserve">the playwright. </w:t>
      </w:r>
      <w:r w:rsidR="007149B8">
        <w:rPr>
          <w:rFonts w:ascii="Times New Roman" w:hAnsi="Times New Roman" w:cs="Times New Roman"/>
        </w:rPr>
        <w:t>Although plays are sometimes read as literature</w:t>
      </w:r>
      <w:r w:rsidR="00C85C81">
        <w:rPr>
          <w:rFonts w:ascii="Times New Roman" w:hAnsi="Times New Roman" w:cs="Times New Roman"/>
        </w:rPr>
        <w:t>, dramatic works are not the same as literary works</w:t>
      </w:r>
      <w:r w:rsidR="004C30D0">
        <w:rPr>
          <w:rFonts w:ascii="Times New Roman" w:hAnsi="Times New Roman" w:cs="Times New Roman"/>
        </w:rPr>
        <w:t>, which are not required to possess the performance quality.</w:t>
      </w:r>
      <w:r w:rsidR="00291C29">
        <w:rPr>
          <w:rFonts w:ascii="Times New Roman" w:hAnsi="Times New Roman" w:cs="Times New Roman"/>
        </w:rPr>
        <w:t xml:space="preserve"> </w:t>
      </w:r>
      <w:r w:rsidR="00721820">
        <w:rPr>
          <w:rFonts w:ascii="Times New Roman" w:hAnsi="Times New Roman" w:cs="Times New Roman"/>
        </w:rPr>
        <w:t>Dr</w:t>
      </w:r>
      <w:r w:rsidR="009300BF">
        <w:rPr>
          <w:rFonts w:ascii="Times New Roman" w:hAnsi="Times New Roman" w:cs="Times New Roman"/>
        </w:rPr>
        <w:t xml:space="preserve">amatic works </w:t>
      </w:r>
      <w:r w:rsidR="00721820">
        <w:rPr>
          <w:rFonts w:ascii="Times New Roman" w:hAnsi="Times New Roman" w:cs="Times New Roman"/>
        </w:rPr>
        <w:t xml:space="preserve">are therefore </w:t>
      </w:r>
      <w:r w:rsidR="00492A5C">
        <w:rPr>
          <w:rFonts w:ascii="Times New Roman" w:hAnsi="Times New Roman" w:cs="Times New Roman"/>
        </w:rPr>
        <w:t xml:space="preserve">authored via a collaborative </w:t>
      </w:r>
      <w:r w:rsidR="001416D8">
        <w:rPr>
          <w:rFonts w:ascii="Times New Roman" w:hAnsi="Times New Roman" w:cs="Times New Roman"/>
        </w:rPr>
        <w:t xml:space="preserve">process with several participants in addition to the playwright </w:t>
      </w:r>
      <w:r w:rsidR="00564AB2">
        <w:rPr>
          <w:rFonts w:ascii="Times New Roman" w:hAnsi="Times New Roman" w:cs="Times New Roman"/>
        </w:rPr>
        <w:t>(think of the actors, directors, scenographers</w:t>
      </w:r>
      <w:r>
        <w:rPr>
          <w:rFonts w:ascii="Times New Roman" w:hAnsi="Times New Roman" w:cs="Times New Roman"/>
        </w:rPr>
        <w:t>, to mention some</w:t>
      </w:r>
      <w:r w:rsidR="00564AB2">
        <w:rPr>
          <w:rFonts w:ascii="Times New Roman" w:hAnsi="Times New Roman" w:cs="Times New Roman"/>
        </w:rPr>
        <w:t xml:space="preserve">) </w:t>
      </w:r>
      <w:r w:rsidR="0089763D">
        <w:rPr>
          <w:rFonts w:ascii="Times New Roman" w:hAnsi="Times New Roman" w:cs="Times New Roman"/>
        </w:rPr>
        <w:t xml:space="preserve">providing each </w:t>
      </w:r>
      <w:r w:rsidR="001C2A66">
        <w:rPr>
          <w:rFonts w:ascii="Times New Roman" w:hAnsi="Times New Roman" w:cs="Times New Roman"/>
        </w:rPr>
        <w:t xml:space="preserve">creative contribution. </w:t>
      </w:r>
      <w:r w:rsidR="006E4142">
        <w:rPr>
          <w:rFonts w:ascii="Times New Roman" w:hAnsi="Times New Roman" w:cs="Times New Roman"/>
        </w:rPr>
        <w:t xml:space="preserve">There may be therefore several </w:t>
      </w:r>
      <w:r>
        <w:rPr>
          <w:rFonts w:ascii="Times New Roman" w:hAnsi="Times New Roman" w:cs="Times New Roman"/>
        </w:rPr>
        <w:t xml:space="preserve">participants </w:t>
      </w:r>
      <w:r w:rsidR="006E4142">
        <w:rPr>
          <w:rFonts w:ascii="Times New Roman" w:hAnsi="Times New Roman" w:cs="Times New Roman"/>
        </w:rPr>
        <w:t xml:space="preserve">making </w:t>
      </w:r>
      <w:r w:rsidR="00C02B09">
        <w:rPr>
          <w:rFonts w:ascii="Times New Roman" w:hAnsi="Times New Roman" w:cs="Times New Roman"/>
        </w:rPr>
        <w:t>original contributions to the play</w:t>
      </w:r>
      <w:r>
        <w:rPr>
          <w:rFonts w:ascii="Times New Roman" w:hAnsi="Times New Roman" w:cs="Times New Roman"/>
        </w:rPr>
        <w:t>,</w:t>
      </w:r>
      <w:r w:rsidR="00C02B09">
        <w:rPr>
          <w:rFonts w:ascii="Times New Roman" w:hAnsi="Times New Roman" w:cs="Times New Roman"/>
        </w:rPr>
        <w:t xml:space="preserve"> sufficient to create a joint authorship interest. </w:t>
      </w:r>
      <w:r w:rsidR="001C2A66">
        <w:rPr>
          <w:rFonts w:ascii="Times New Roman" w:hAnsi="Times New Roman" w:cs="Times New Roman"/>
        </w:rPr>
        <w:t>However,</w:t>
      </w:r>
      <w:r w:rsidR="00326FA4">
        <w:rPr>
          <w:rFonts w:ascii="Times New Roman" w:hAnsi="Times New Roman" w:cs="Times New Roman"/>
        </w:rPr>
        <w:t xml:space="preserve"> </w:t>
      </w:r>
      <w:r w:rsidR="00374DC4">
        <w:rPr>
          <w:rFonts w:ascii="Times New Roman" w:hAnsi="Times New Roman" w:cs="Times New Roman"/>
        </w:rPr>
        <w:t>the collaborative model of creativity</w:t>
      </w:r>
      <w:r>
        <w:rPr>
          <w:rFonts w:ascii="Times New Roman" w:hAnsi="Times New Roman" w:cs="Times New Roman"/>
        </w:rPr>
        <w:t xml:space="preserve"> that is</w:t>
      </w:r>
      <w:r w:rsidR="00137095">
        <w:rPr>
          <w:rFonts w:ascii="Times New Roman" w:hAnsi="Times New Roman" w:cs="Times New Roman"/>
        </w:rPr>
        <w:t xml:space="preserve"> </w:t>
      </w:r>
      <w:r w:rsidR="00374DC4">
        <w:rPr>
          <w:rFonts w:ascii="Times New Roman" w:hAnsi="Times New Roman" w:cs="Times New Roman"/>
        </w:rPr>
        <w:t xml:space="preserve">at work </w:t>
      </w:r>
      <w:r w:rsidR="00F616C4">
        <w:rPr>
          <w:rFonts w:ascii="Times New Roman" w:hAnsi="Times New Roman" w:cs="Times New Roman"/>
        </w:rPr>
        <w:t xml:space="preserve">in theatre does not lend itself easily to the traditional way copyright </w:t>
      </w:r>
      <w:r w:rsidR="00F60AC5">
        <w:rPr>
          <w:rFonts w:ascii="Times New Roman" w:hAnsi="Times New Roman" w:cs="Times New Roman"/>
        </w:rPr>
        <w:t>recognise</w:t>
      </w:r>
      <w:r w:rsidR="005A2585">
        <w:rPr>
          <w:rFonts w:ascii="Times New Roman" w:hAnsi="Times New Roman" w:cs="Times New Roman"/>
        </w:rPr>
        <w:t>s</w:t>
      </w:r>
      <w:r w:rsidR="00F60AC5">
        <w:rPr>
          <w:rFonts w:ascii="Times New Roman" w:hAnsi="Times New Roman" w:cs="Times New Roman"/>
        </w:rPr>
        <w:t xml:space="preserve"> authorship </w:t>
      </w:r>
      <w:r w:rsidR="008573CA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>,</w:t>
      </w:r>
      <w:r w:rsidR="008573CA">
        <w:rPr>
          <w:rFonts w:ascii="Times New Roman" w:hAnsi="Times New Roman" w:cs="Times New Roman"/>
        </w:rPr>
        <w:t xml:space="preserve"> in a case of </w:t>
      </w:r>
      <w:r w:rsidR="00FE68D1">
        <w:rPr>
          <w:rFonts w:ascii="Times New Roman" w:hAnsi="Times New Roman" w:cs="Times New Roman"/>
        </w:rPr>
        <w:t xml:space="preserve">disputed authorship, a court will usually ascribe economic and moral rights </w:t>
      </w:r>
      <w:r w:rsidR="00456424">
        <w:rPr>
          <w:rFonts w:ascii="Times New Roman" w:hAnsi="Times New Roman" w:cs="Times New Roman"/>
        </w:rPr>
        <w:t>in the dramatic work to the playwright only</w:t>
      </w:r>
      <w:r w:rsidR="00F60AC5">
        <w:rPr>
          <w:rFonts w:ascii="Times New Roman" w:hAnsi="Times New Roman" w:cs="Times New Roman"/>
        </w:rPr>
        <w:t xml:space="preserve"> (McDonagh, 2021). </w:t>
      </w:r>
      <w:r w:rsidR="00C64908">
        <w:rPr>
          <w:rFonts w:ascii="Times New Roman" w:hAnsi="Times New Roman" w:cs="Times New Roman"/>
        </w:rPr>
        <w:t>I</w:t>
      </w:r>
      <w:r w:rsidR="00F33339">
        <w:rPr>
          <w:rFonts w:ascii="Times New Roman" w:hAnsi="Times New Roman" w:cs="Times New Roman"/>
        </w:rPr>
        <w:t>t</w:t>
      </w:r>
      <w:r w:rsidR="00C64908">
        <w:rPr>
          <w:rFonts w:ascii="Times New Roman" w:hAnsi="Times New Roman" w:cs="Times New Roman"/>
        </w:rPr>
        <w:t xml:space="preserve"> would seem therefore </w:t>
      </w:r>
      <w:r w:rsidR="00C42CF7">
        <w:rPr>
          <w:rFonts w:ascii="Times New Roman" w:hAnsi="Times New Roman" w:cs="Times New Roman"/>
        </w:rPr>
        <w:t>that lawyers assimilate</w:t>
      </w:r>
      <w:r w:rsidR="00AC5FF6">
        <w:rPr>
          <w:rFonts w:ascii="Times New Roman" w:hAnsi="Times New Roman" w:cs="Times New Roman"/>
        </w:rPr>
        <w:t xml:space="preserve"> theatre performances </w:t>
      </w:r>
      <w:r w:rsidR="00440E4E">
        <w:rPr>
          <w:rFonts w:ascii="Times New Roman" w:hAnsi="Times New Roman" w:cs="Times New Roman"/>
        </w:rPr>
        <w:t>to any other kind of artwor</w:t>
      </w:r>
      <w:r w:rsidR="00AC5FF6">
        <w:rPr>
          <w:rFonts w:ascii="Times New Roman" w:hAnsi="Times New Roman" w:cs="Times New Roman"/>
        </w:rPr>
        <w:t>k</w:t>
      </w:r>
      <w:r w:rsidR="00C03D47">
        <w:rPr>
          <w:rFonts w:ascii="Times New Roman" w:hAnsi="Times New Roman" w:cs="Times New Roman"/>
        </w:rPr>
        <w:t xml:space="preserve"> </w:t>
      </w:r>
      <w:r w:rsidR="00856092">
        <w:rPr>
          <w:rFonts w:ascii="Times New Roman" w:hAnsi="Times New Roman" w:cs="Times New Roman"/>
        </w:rPr>
        <w:t xml:space="preserve">individually produced </w:t>
      </w:r>
      <w:r w:rsidR="00C03D47">
        <w:rPr>
          <w:rFonts w:ascii="Times New Roman" w:hAnsi="Times New Roman" w:cs="Times New Roman"/>
        </w:rPr>
        <w:t>(like a painting, a song or literature)</w:t>
      </w:r>
      <w:r w:rsidR="00440E4E">
        <w:rPr>
          <w:rFonts w:ascii="Times New Roman" w:hAnsi="Times New Roman" w:cs="Times New Roman"/>
        </w:rPr>
        <w:t>,</w:t>
      </w:r>
      <w:r w:rsidR="00856092">
        <w:rPr>
          <w:rFonts w:ascii="Times New Roman" w:hAnsi="Times New Roman" w:cs="Times New Roman"/>
        </w:rPr>
        <w:t xml:space="preserve"> </w:t>
      </w:r>
      <w:r w:rsidR="00440E4E" w:rsidRPr="000419D4">
        <w:rPr>
          <w:rFonts w:ascii="Times New Roman" w:hAnsi="Times New Roman" w:cs="Times New Roman"/>
        </w:rPr>
        <w:t xml:space="preserve">without considering all the further creative developments in the head of the other stakeholders involved in the </w:t>
      </w:r>
      <w:r w:rsidR="00440E4E">
        <w:rPr>
          <w:rFonts w:ascii="Times New Roman" w:hAnsi="Times New Roman" w:cs="Times New Roman"/>
        </w:rPr>
        <w:t>subsequent</w:t>
      </w:r>
      <w:r w:rsidR="00440E4E" w:rsidRPr="000419D4">
        <w:rPr>
          <w:rFonts w:ascii="Times New Roman" w:hAnsi="Times New Roman" w:cs="Times New Roman"/>
        </w:rPr>
        <w:t xml:space="preserve"> </w:t>
      </w:r>
      <w:r w:rsidR="00440E4E">
        <w:rPr>
          <w:rFonts w:ascii="Times New Roman" w:hAnsi="Times New Roman" w:cs="Times New Roman"/>
        </w:rPr>
        <w:t xml:space="preserve">phases (or by simply reconducting all subsequent creative moments under the umbrella of the playwright’s copyright). </w:t>
      </w:r>
    </w:p>
    <w:p w14:paraId="4273A31C" w14:textId="1613DEB2" w:rsidR="00AF2882" w:rsidRDefault="00AF2882" w:rsidP="00AF288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will consequently lead</w:t>
      </w:r>
      <w:r w:rsidR="008E735D">
        <w:rPr>
          <w:rFonts w:ascii="Times New Roman" w:hAnsi="Times New Roman" w:cs="Times New Roman"/>
        </w:rPr>
        <w:t xml:space="preserve"> to questioning whether</w:t>
      </w:r>
      <w:r w:rsidR="00C6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form in which copyright is currently structured </w:t>
      </w:r>
      <w:r w:rsidR="00C6020E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adequate for the field of stage entertainment or </w:t>
      </w:r>
      <w:r w:rsidR="001D7032">
        <w:rPr>
          <w:rFonts w:ascii="Times New Roman" w:hAnsi="Times New Roman" w:cs="Times New Roman"/>
        </w:rPr>
        <w:t xml:space="preserve">whether </w:t>
      </w:r>
      <w:r>
        <w:rPr>
          <w:rFonts w:ascii="Times New Roman" w:hAnsi="Times New Roman" w:cs="Times New Roman"/>
        </w:rPr>
        <w:t>property right</w:t>
      </w:r>
      <w:r w:rsidR="005B6D0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protection should be </w:t>
      </w:r>
      <w:r w:rsidR="00D20E5D">
        <w:rPr>
          <w:rFonts w:ascii="Times New Roman" w:hAnsi="Times New Roman" w:cs="Times New Roman"/>
        </w:rPr>
        <w:t xml:space="preserve">rethought or </w:t>
      </w:r>
      <w:r>
        <w:rPr>
          <w:rFonts w:ascii="Times New Roman" w:hAnsi="Times New Roman" w:cs="Times New Roman"/>
        </w:rPr>
        <w:t xml:space="preserve">adjusted in the light of the </w:t>
      </w:r>
      <w:r w:rsidR="00D20E5D">
        <w:rPr>
          <w:rFonts w:ascii="Times New Roman" w:hAnsi="Times New Roman" w:cs="Times New Roman"/>
        </w:rPr>
        <w:t>cooperative nature</w:t>
      </w:r>
      <w:r w:rsidR="007C245A">
        <w:rPr>
          <w:rFonts w:ascii="Times New Roman" w:hAnsi="Times New Roman" w:cs="Times New Roman"/>
        </w:rPr>
        <w:t xml:space="preserve"> </w:t>
      </w:r>
      <w:r w:rsidR="0024457A">
        <w:rPr>
          <w:rFonts w:ascii="Times New Roman" w:hAnsi="Times New Roman" w:cs="Times New Roman"/>
        </w:rPr>
        <w:t xml:space="preserve">of the </w:t>
      </w:r>
      <w:r w:rsidR="007C245A">
        <w:rPr>
          <w:rFonts w:ascii="Times New Roman" w:hAnsi="Times New Roman" w:cs="Times New Roman"/>
        </w:rPr>
        <w:t>production process</w:t>
      </w:r>
      <w:r w:rsidR="001D7032">
        <w:rPr>
          <w:rFonts w:ascii="Times New Roman" w:hAnsi="Times New Roman" w:cs="Times New Roman"/>
        </w:rPr>
        <w:t xml:space="preserve">. </w:t>
      </w:r>
      <w:r w:rsidRPr="005001AC">
        <w:rPr>
          <w:rFonts w:ascii="Times New Roman" w:hAnsi="Times New Roman" w:cs="Times New Roman"/>
        </w:rPr>
        <w:t xml:space="preserve">In carrying out </w:t>
      </w:r>
      <w:r w:rsidR="007C245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investigation</w:t>
      </w:r>
      <w:r w:rsidRPr="005001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</w:t>
      </w:r>
      <w:r w:rsidRPr="005001AC">
        <w:rPr>
          <w:rFonts w:ascii="Times New Roman" w:hAnsi="Times New Roman" w:cs="Times New Roman"/>
        </w:rPr>
        <w:t xml:space="preserve"> what </w:t>
      </w:r>
      <w:r w:rsidR="007C245A">
        <w:rPr>
          <w:rFonts w:ascii="Times New Roman" w:hAnsi="Times New Roman" w:cs="Times New Roman"/>
        </w:rPr>
        <w:t>ownership forms</w:t>
      </w:r>
      <w:r w:rsidRPr="005001AC">
        <w:rPr>
          <w:rFonts w:ascii="Times New Roman" w:hAnsi="Times New Roman" w:cs="Times New Roman"/>
        </w:rPr>
        <w:t xml:space="preserve">, </w:t>
      </w:r>
      <w:r w:rsidR="001D7032">
        <w:rPr>
          <w:rFonts w:ascii="Times New Roman" w:hAnsi="Times New Roman" w:cs="Times New Roman"/>
        </w:rPr>
        <w:t>we</w:t>
      </w:r>
      <w:r w:rsidRPr="005001AC">
        <w:rPr>
          <w:rFonts w:ascii="Times New Roman" w:hAnsi="Times New Roman" w:cs="Times New Roman"/>
        </w:rPr>
        <w:t xml:space="preserve"> will </w:t>
      </w:r>
      <w:r w:rsidR="007C245A">
        <w:rPr>
          <w:rFonts w:ascii="Times New Roman" w:hAnsi="Times New Roman" w:cs="Times New Roman"/>
        </w:rPr>
        <w:t xml:space="preserve">build on ideas of membership </w:t>
      </w:r>
      <w:r w:rsidR="00D20E5D">
        <w:rPr>
          <w:rFonts w:ascii="Times New Roman" w:hAnsi="Times New Roman" w:cs="Times New Roman"/>
        </w:rPr>
        <w:t xml:space="preserve">rather than ownership </w:t>
      </w:r>
      <w:r w:rsidR="007C245A">
        <w:rPr>
          <w:rFonts w:ascii="Times New Roman" w:hAnsi="Times New Roman" w:cs="Times New Roman"/>
        </w:rPr>
        <w:t>(Sacchetti</w:t>
      </w:r>
      <w:r w:rsidR="00D20E5D">
        <w:rPr>
          <w:rFonts w:ascii="Times New Roman" w:hAnsi="Times New Roman" w:cs="Times New Roman"/>
        </w:rPr>
        <w:t xml:space="preserve"> and</w:t>
      </w:r>
      <w:r w:rsidR="007C245A">
        <w:rPr>
          <w:rFonts w:ascii="Times New Roman" w:hAnsi="Times New Roman" w:cs="Times New Roman"/>
        </w:rPr>
        <w:t xml:space="preserve"> </w:t>
      </w:r>
      <w:proofErr w:type="spellStart"/>
      <w:r w:rsidR="007C245A">
        <w:rPr>
          <w:rFonts w:ascii="Times New Roman" w:hAnsi="Times New Roman" w:cs="Times New Roman"/>
        </w:rPr>
        <w:t>Borzaga</w:t>
      </w:r>
      <w:proofErr w:type="spellEnd"/>
      <w:r w:rsidR="007C245A">
        <w:rPr>
          <w:rFonts w:ascii="Times New Roman" w:hAnsi="Times New Roman" w:cs="Times New Roman"/>
        </w:rPr>
        <w:t xml:space="preserve"> 2021) and we will reflect on the public good nature of </w:t>
      </w:r>
      <w:r w:rsidR="00D20E5D">
        <w:rPr>
          <w:rFonts w:ascii="Times New Roman" w:hAnsi="Times New Roman" w:cs="Times New Roman"/>
        </w:rPr>
        <w:t>creative service production</w:t>
      </w:r>
      <w:r w:rsidR="007C245A">
        <w:rPr>
          <w:rFonts w:ascii="Times New Roman" w:hAnsi="Times New Roman" w:cs="Times New Roman"/>
        </w:rPr>
        <w:t xml:space="preserve">, </w:t>
      </w:r>
      <w:r w:rsidR="00D20E5D">
        <w:rPr>
          <w:rFonts w:ascii="Times New Roman" w:hAnsi="Times New Roman" w:cs="Times New Roman"/>
        </w:rPr>
        <w:t>which</w:t>
      </w:r>
      <w:r w:rsidR="007C245A">
        <w:rPr>
          <w:rFonts w:ascii="Times New Roman" w:hAnsi="Times New Roman" w:cs="Times New Roman"/>
        </w:rPr>
        <w:t xml:space="preserve"> Ostrom and Hess</w:t>
      </w:r>
      <w:r w:rsidR="00D20E5D">
        <w:rPr>
          <w:rFonts w:ascii="Times New Roman" w:hAnsi="Times New Roman" w:cs="Times New Roman"/>
        </w:rPr>
        <w:t xml:space="preserve"> (</w:t>
      </w:r>
      <w:r w:rsidR="00D861B5">
        <w:rPr>
          <w:rFonts w:ascii="Times New Roman" w:hAnsi="Times New Roman" w:cs="Times New Roman"/>
        </w:rPr>
        <w:t>2006</w:t>
      </w:r>
      <w:r w:rsidR="00D20E5D">
        <w:rPr>
          <w:rFonts w:ascii="Times New Roman" w:hAnsi="Times New Roman" w:cs="Times New Roman"/>
        </w:rPr>
        <w:t xml:space="preserve">) understand as </w:t>
      </w:r>
      <w:r w:rsidR="00D20E5D" w:rsidRPr="004165AC">
        <w:rPr>
          <w:rFonts w:ascii="Times New Roman" w:hAnsi="Times New Roman" w:cs="Times New Roman"/>
        </w:rPr>
        <w:t>commons arrangements for overcoming various social dilemmas associated with sharing and producing information, innovation, and creative works</w:t>
      </w:r>
      <w:r w:rsidR="00D20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D20E5D">
        <w:rPr>
          <w:rFonts w:ascii="Times New Roman" w:hAnsi="Times New Roman" w:cs="Times New Roman"/>
        </w:rPr>
        <w:t xml:space="preserve">see also </w:t>
      </w:r>
      <w:r>
        <w:rPr>
          <w:rFonts w:ascii="Times New Roman" w:hAnsi="Times New Roman" w:cs="Times New Roman"/>
        </w:rPr>
        <w:t xml:space="preserve">Frischmann, Madison, Strandburg, 2014). </w:t>
      </w:r>
    </w:p>
    <w:p w14:paraId="073DA2A8" w14:textId="77777777" w:rsidR="006C10E8" w:rsidRDefault="006C10E8" w:rsidP="00CC0E57">
      <w:pPr>
        <w:rPr>
          <w:rFonts w:ascii="Times New Roman" w:hAnsi="Times New Roman" w:cs="Times New Roman"/>
        </w:rPr>
      </w:pPr>
    </w:p>
    <w:p w14:paraId="5274437D" w14:textId="77777777" w:rsidR="009952E5" w:rsidRDefault="009952E5" w:rsidP="00CC0E57">
      <w:pPr>
        <w:rPr>
          <w:rFonts w:ascii="Times New Roman" w:hAnsi="Times New Roman" w:cs="Times New Roman"/>
        </w:rPr>
      </w:pPr>
    </w:p>
    <w:p w14:paraId="34EBCABE" w14:textId="77777777" w:rsidR="009952E5" w:rsidRDefault="009952E5" w:rsidP="00CC0E57">
      <w:pPr>
        <w:rPr>
          <w:rFonts w:ascii="Times New Roman" w:hAnsi="Times New Roman" w:cs="Times New Roman"/>
        </w:rPr>
      </w:pPr>
    </w:p>
    <w:p w14:paraId="2520DEE6" w14:textId="77777777" w:rsidR="006C10E8" w:rsidRDefault="006C10E8" w:rsidP="00CC0E57">
      <w:pPr>
        <w:rPr>
          <w:rFonts w:ascii="Times New Roman" w:hAnsi="Times New Roman" w:cs="Times New Roman"/>
        </w:rPr>
      </w:pPr>
    </w:p>
    <w:p w14:paraId="0DF57025" w14:textId="77777777" w:rsidR="006C10E8" w:rsidRDefault="006C10E8" w:rsidP="00CC0E57">
      <w:pPr>
        <w:rPr>
          <w:rFonts w:ascii="Times New Roman" w:hAnsi="Times New Roman" w:cs="Times New Roman"/>
        </w:rPr>
      </w:pPr>
    </w:p>
    <w:p w14:paraId="7A38201D" w14:textId="77777777" w:rsidR="006D5270" w:rsidRDefault="006D5270" w:rsidP="00CC0E57">
      <w:pPr>
        <w:rPr>
          <w:rFonts w:ascii="Times New Roman" w:hAnsi="Times New Roman" w:cs="Times New Roman"/>
        </w:rPr>
      </w:pPr>
    </w:p>
    <w:p w14:paraId="48F51F4E" w14:textId="77777777" w:rsidR="006D5270" w:rsidRDefault="006D5270" w:rsidP="00CC0E57">
      <w:pPr>
        <w:rPr>
          <w:rFonts w:ascii="Times New Roman" w:hAnsi="Times New Roman" w:cs="Times New Roman"/>
        </w:rPr>
      </w:pPr>
    </w:p>
    <w:p w14:paraId="7B758AA0" w14:textId="77777777" w:rsidR="006D5270" w:rsidRDefault="006D5270" w:rsidP="00CC0E57">
      <w:pPr>
        <w:rPr>
          <w:rFonts w:ascii="Times New Roman" w:hAnsi="Times New Roman" w:cs="Times New Roman"/>
        </w:rPr>
      </w:pPr>
    </w:p>
    <w:p w14:paraId="1F59E514" w14:textId="77777777" w:rsidR="006D5270" w:rsidRDefault="006D5270" w:rsidP="00CC0E57">
      <w:pPr>
        <w:rPr>
          <w:rFonts w:ascii="Times New Roman" w:hAnsi="Times New Roman" w:cs="Times New Roman"/>
        </w:rPr>
      </w:pPr>
    </w:p>
    <w:p w14:paraId="1BB518C6" w14:textId="77777777" w:rsidR="006D5270" w:rsidRDefault="006D5270" w:rsidP="00CC0E57">
      <w:pPr>
        <w:rPr>
          <w:rFonts w:ascii="Times New Roman" w:hAnsi="Times New Roman" w:cs="Times New Roman"/>
        </w:rPr>
      </w:pPr>
    </w:p>
    <w:p w14:paraId="5D4D175B" w14:textId="77777777" w:rsidR="006C10E8" w:rsidRDefault="006C10E8" w:rsidP="00CC0E57">
      <w:pPr>
        <w:rPr>
          <w:rFonts w:ascii="Times New Roman" w:hAnsi="Times New Roman" w:cs="Times New Roman"/>
        </w:rPr>
      </w:pPr>
    </w:p>
    <w:p w14:paraId="54AD8E40" w14:textId="77777777" w:rsidR="006B1E50" w:rsidRDefault="006B1E50" w:rsidP="000F78A7">
      <w:pPr>
        <w:rPr>
          <w:rFonts w:ascii="Times New Roman" w:hAnsi="Times New Roman" w:cs="Times New Roman"/>
        </w:rPr>
      </w:pPr>
    </w:p>
    <w:p w14:paraId="1E531FDE" w14:textId="2EE9A6B7" w:rsidR="006B1E50" w:rsidRPr="006B1E50" w:rsidRDefault="00C974E0" w:rsidP="000F78A7">
      <w:pPr>
        <w:rPr>
          <w:rFonts w:ascii="Times New Roman" w:hAnsi="Times New Roman" w:cs="Times New Roman"/>
          <w:b/>
          <w:bCs/>
        </w:rPr>
      </w:pPr>
      <w:r w:rsidRPr="00C974E0">
        <w:rPr>
          <w:rFonts w:ascii="Times New Roman" w:hAnsi="Times New Roman" w:cs="Times New Roman"/>
          <w:b/>
          <w:bCs/>
        </w:rPr>
        <w:lastRenderedPageBreak/>
        <w:t xml:space="preserve">REFERENCES </w:t>
      </w:r>
    </w:p>
    <w:p w14:paraId="75FA4D54" w14:textId="77777777" w:rsidR="006B1E50" w:rsidRDefault="006B1E50" w:rsidP="00B2490B">
      <w:pPr>
        <w:spacing w:line="240" w:lineRule="auto"/>
        <w:jc w:val="both"/>
        <w:rPr>
          <w:rFonts w:ascii="Times New Roman" w:hAnsi="Times New Roman" w:cs="Times New Roman"/>
        </w:rPr>
      </w:pPr>
      <w:r w:rsidRPr="00075C76">
        <w:rPr>
          <w:rFonts w:ascii="Times New Roman" w:hAnsi="Times New Roman" w:cs="Times New Roman"/>
        </w:rPr>
        <w:t xml:space="preserve">Amabile, T. M. (1997) ‘Motivating Creativity in organizations: On doing what you love and loving </w:t>
      </w:r>
      <w:r>
        <w:rPr>
          <w:rFonts w:ascii="Times New Roman" w:hAnsi="Times New Roman" w:cs="Times New Roman"/>
        </w:rPr>
        <w:t xml:space="preserve">what you do’, </w:t>
      </w:r>
      <w:r w:rsidRPr="006D5BA9">
        <w:rPr>
          <w:rFonts w:ascii="Times New Roman" w:hAnsi="Times New Roman" w:cs="Times New Roman"/>
          <w:i/>
          <w:iCs/>
        </w:rPr>
        <w:t>California Management Review</w:t>
      </w:r>
      <w:r>
        <w:rPr>
          <w:rFonts w:ascii="Times New Roman" w:hAnsi="Times New Roman" w:cs="Times New Roman"/>
        </w:rPr>
        <w:t>, 40, pp. 39-58.</w:t>
      </w:r>
    </w:p>
    <w:p w14:paraId="1E758CDF" w14:textId="77777777" w:rsidR="006B1E50" w:rsidRDefault="006B1E50" w:rsidP="00B2490B">
      <w:pPr>
        <w:spacing w:line="240" w:lineRule="auto"/>
        <w:jc w:val="both"/>
        <w:rPr>
          <w:rFonts w:ascii="Times New Roman" w:hAnsi="Times New Roman" w:cs="Times New Roman"/>
        </w:rPr>
      </w:pPr>
      <w:r w:rsidRPr="00665BF4">
        <w:rPr>
          <w:rFonts w:ascii="Times New Roman" w:hAnsi="Times New Roman" w:cs="Times New Roman"/>
        </w:rPr>
        <w:t xml:space="preserve">Aoki, M. (2010) </w:t>
      </w:r>
      <w:r w:rsidRPr="00665BF4">
        <w:rPr>
          <w:rFonts w:ascii="Times New Roman" w:hAnsi="Times New Roman" w:cs="Times New Roman"/>
          <w:i/>
          <w:iCs/>
        </w:rPr>
        <w:t>Corporations in Evolving Diversity: Cognition, Governance, and Institutional Rules</w:t>
      </w:r>
      <w:r w:rsidRPr="00665BF4">
        <w:rPr>
          <w:rFonts w:ascii="Times New Roman" w:hAnsi="Times New Roman" w:cs="Times New Roman"/>
        </w:rPr>
        <w:t>, Oxford: Oxford</w:t>
      </w:r>
      <w:r>
        <w:rPr>
          <w:rFonts w:ascii="Times New Roman" w:hAnsi="Times New Roman" w:cs="Times New Roman"/>
        </w:rPr>
        <w:t xml:space="preserve"> </w:t>
      </w:r>
      <w:r w:rsidRPr="00665BF4">
        <w:rPr>
          <w:rFonts w:ascii="Times New Roman" w:hAnsi="Times New Roman" w:cs="Times New Roman"/>
        </w:rPr>
        <w:t>University Press</w:t>
      </w:r>
      <w:r>
        <w:rPr>
          <w:rFonts w:ascii="Times New Roman" w:hAnsi="Times New Roman" w:cs="Times New Roman"/>
        </w:rPr>
        <w:t xml:space="preserve">. </w:t>
      </w:r>
    </w:p>
    <w:p w14:paraId="1EAA1C82" w14:textId="77777777" w:rsidR="006B1E50" w:rsidRPr="000F65FF" w:rsidRDefault="006B1E50" w:rsidP="00CC0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Blair, M. M, Stout, L. A. (1999) ‘A Team Production Theory of Corporate Law’, </w:t>
      </w:r>
      <w:r w:rsidRPr="00686089">
        <w:rPr>
          <w:rFonts w:ascii="Times New Roman" w:hAnsi="Times New Roman" w:cs="Times New Roman"/>
          <w:i/>
          <w:iCs/>
        </w:rPr>
        <w:t>Virgina Law Review</w:t>
      </w:r>
      <w:r>
        <w:rPr>
          <w:rFonts w:ascii="Times New Roman" w:hAnsi="Times New Roman" w:cs="Times New Roman"/>
        </w:rPr>
        <w:t>, 85(2), pp. 248-328.</w:t>
      </w:r>
    </w:p>
    <w:p w14:paraId="7F14645D" w14:textId="77777777" w:rsidR="006B1E50" w:rsidRDefault="006B1E50" w:rsidP="000F78A7">
      <w:pPr>
        <w:rPr>
          <w:rFonts w:ascii="Times New Roman" w:hAnsi="Times New Roman" w:cs="Times New Roman"/>
        </w:rPr>
      </w:pPr>
      <w:proofErr w:type="spellStart"/>
      <w:r w:rsidRPr="000F78A7">
        <w:rPr>
          <w:rFonts w:ascii="Times New Roman" w:hAnsi="Times New Roman" w:cs="Times New Roman"/>
        </w:rPr>
        <w:t>Bowrey</w:t>
      </w:r>
      <w:proofErr w:type="spellEnd"/>
      <w:r w:rsidRPr="00723782">
        <w:rPr>
          <w:rFonts w:ascii="Times New Roman" w:hAnsi="Times New Roman" w:cs="Times New Roman"/>
        </w:rPr>
        <w:t xml:space="preserve">, K. (2006) </w:t>
      </w:r>
      <w:proofErr w:type="gramStart"/>
      <w:r w:rsidRPr="000F78A7">
        <w:rPr>
          <w:rFonts w:ascii="Times New Roman" w:hAnsi="Times New Roman" w:cs="Times New Roman"/>
        </w:rPr>
        <w:t>‘ Alternative</w:t>
      </w:r>
      <w:proofErr w:type="gramEnd"/>
      <w:r w:rsidRPr="000F78A7">
        <w:rPr>
          <w:rFonts w:ascii="Times New Roman" w:hAnsi="Times New Roman" w:cs="Times New Roman"/>
        </w:rPr>
        <w:t xml:space="preserve"> Intellectual Property ?</w:t>
      </w:r>
      <w:r w:rsidRPr="00723782">
        <w:rPr>
          <w:rFonts w:ascii="Times New Roman" w:hAnsi="Times New Roman" w:cs="Times New Roman"/>
        </w:rPr>
        <w:t xml:space="preserve">: Indigenous Protocols, Copyleft and New Juridifications of Customary Practices’, </w:t>
      </w:r>
      <w:proofErr w:type="spellStart"/>
      <w:r w:rsidRPr="00723782">
        <w:rPr>
          <w:rFonts w:ascii="Times New Roman" w:hAnsi="Times New Roman" w:cs="Times New Roman"/>
        </w:rPr>
        <w:t>Maquarie</w:t>
      </w:r>
      <w:proofErr w:type="spellEnd"/>
      <w:r w:rsidRPr="00723782">
        <w:rPr>
          <w:rFonts w:ascii="Times New Roman" w:hAnsi="Times New Roman" w:cs="Times New Roman"/>
        </w:rPr>
        <w:t xml:space="preserve"> Law Journal 6, pp. 65-95. </w:t>
      </w:r>
    </w:p>
    <w:p w14:paraId="4C5B4C61" w14:textId="77777777" w:rsidR="006B1E50" w:rsidRPr="006D2C5A" w:rsidRDefault="006B1E50" w:rsidP="000F78A7">
      <w:pPr>
        <w:rPr>
          <w:rFonts w:ascii="Times New Roman" w:hAnsi="Times New Roman" w:cs="Times New Roman"/>
        </w:rPr>
      </w:pPr>
      <w:r w:rsidRPr="000F78A7">
        <w:rPr>
          <w:rFonts w:ascii="Times New Roman" w:hAnsi="Times New Roman" w:cs="Times New Roman"/>
        </w:rPr>
        <w:t>Coombe</w:t>
      </w:r>
      <w:r w:rsidRPr="006D2C5A">
        <w:rPr>
          <w:rFonts w:ascii="Times New Roman" w:hAnsi="Times New Roman" w:cs="Times New Roman"/>
        </w:rPr>
        <w:t xml:space="preserve">, R. J. (1998) </w:t>
      </w:r>
      <w:r w:rsidRPr="000F78A7">
        <w:rPr>
          <w:rFonts w:ascii="Times New Roman" w:hAnsi="Times New Roman" w:cs="Times New Roman"/>
          <w:i/>
          <w:iCs/>
        </w:rPr>
        <w:t>The Cultural Life of Intellectual Properties: Authorship, Appropriation and the</w:t>
      </w:r>
      <w:r w:rsidRPr="006D2C5A">
        <w:rPr>
          <w:rFonts w:ascii="Times New Roman" w:hAnsi="Times New Roman" w:cs="Times New Roman"/>
          <w:i/>
          <w:iCs/>
        </w:rPr>
        <w:t xml:space="preserve"> </w:t>
      </w:r>
      <w:r w:rsidRPr="000F78A7">
        <w:rPr>
          <w:rFonts w:ascii="Times New Roman" w:hAnsi="Times New Roman" w:cs="Times New Roman"/>
          <w:i/>
          <w:iCs/>
        </w:rPr>
        <w:t>Law</w:t>
      </w:r>
      <w:r w:rsidRPr="006D2C5A">
        <w:rPr>
          <w:rFonts w:ascii="Times New Roman" w:hAnsi="Times New Roman" w:cs="Times New Roman"/>
          <w:i/>
          <w:iCs/>
        </w:rPr>
        <w:t xml:space="preserve">, </w:t>
      </w:r>
      <w:r w:rsidRPr="000F78A7">
        <w:rPr>
          <w:rFonts w:ascii="Times New Roman" w:hAnsi="Times New Roman" w:cs="Times New Roman"/>
        </w:rPr>
        <w:t>Durham: Duke University Publishing</w:t>
      </w:r>
      <w:r w:rsidRPr="006D2C5A">
        <w:rPr>
          <w:rFonts w:ascii="Times New Roman" w:hAnsi="Times New Roman" w:cs="Times New Roman"/>
        </w:rPr>
        <w:t>.</w:t>
      </w:r>
    </w:p>
    <w:p w14:paraId="658E042C" w14:textId="77777777" w:rsidR="006B1E50" w:rsidRPr="00106261" w:rsidRDefault="006B1E50" w:rsidP="00286A22">
      <w:pPr>
        <w:jc w:val="both"/>
        <w:rPr>
          <w:rFonts w:ascii="Times New Roman" w:hAnsi="Times New Roman" w:cs="Times New Roman"/>
        </w:rPr>
      </w:pPr>
      <w:r w:rsidRPr="00286A22">
        <w:rPr>
          <w:rFonts w:ascii="Times New Roman" w:hAnsi="Times New Roman" w:cs="Times New Roman"/>
        </w:rPr>
        <w:t>Craig,</w:t>
      </w:r>
      <w:r>
        <w:rPr>
          <w:rFonts w:ascii="Times New Roman" w:hAnsi="Times New Roman" w:cs="Times New Roman"/>
        </w:rPr>
        <w:t xml:space="preserve"> C. J.</w:t>
      </w:r>
      <w:r w:rsidRPr="00286A22">
        <w:rPr>
          <w:rFonts w:ascii="Times New Roman" w:hAnsi="Times New Roman" w:cs="Times New Roman"/>
        </w:rPr>
        <w:t xml:space="preserve"> (2007) ‘Reconstructing the Author Self: Some Feminist Lessons for Copyright Law’ 15</w:t>
      </w:r>
      <w:r>
        <w:rPr>
          <w:rFonts w:ascii="Times New Roman" w:hAnsi="Times New Roman" w:cs="Times New Roman"/>
        </w:rPr>
        <w:t xml:space="preserve">(2) </w:t>
      </w:r>
      <w:r w:rsidRPr="000F1474">
        <w:rPr>
          <w:rFonts w:ascii="Times New Roman" w:hAnsi="Times New Roman" w:cs="Times New Roman"/>
          <w:i/>
          <w:iCs/>
        </w:rPr>
        <w:t>Journal of Gender, Social Policy and the Law</w:t>
      </w:r>
      <w:r>
        <w:rPr>
          <w:rFonts w:ascii="Times New Roman" w:hAnsi="Times New Roman" w:cs="Times New Roman"/>
        </w:rPr>
        <w:t xml:space="preserve">, pp. </w:t>
      </w:r>
      <w:r w:rsidRPr="00286A22">
        <w:rPr>
          <w:rFonts w:ascii="Times New Roman" w:hAnsi="Times New Roman" w:cs="Times New Roman"/>
        </w:rPr>
        <w:t>207</w:t>
      </w:r>
      <w:r>
        <w:rPr>
          <w:rFonts w:ascii="Times New Roman" w:hAnsi="Times New Roman" w:cs="Times New Roman"/>
        </w:rPr>
        <w:t xml:space="preserve">-268. </w:t>
      </w:r>
    </w:p>
    <w:p w14:paraId="1442EB25" w14:textId="77777777" w:rsidR="006B1E50" w:rsidRPr="00086482" w:rsidRDefault="006B1E50" w:rsidP="00086482">
      <w:pPr>
        <w:spacing w:after="200" w:line="240" w:lineRule="auto"/>
        <w:jc w:val="both"/>
        <w:rPr>
          <w:rFonts w:ascii="Times New Roman" w:eastAsiaTheme="minorEastAsia" w:hAnsi="Times New Roman" w:cs="Times New Roman"/>
          <w:kern w:val="0"/>
          <w:sz w:val="21"/>
          <w:szCs w:val="21"/>
          <w14:ligatures w14:val="none"/>
        </w:rPr>
      </w:pPr>
      <w:r w:rsidRPr="00086482">
        <w:rPr>
          <w:rFonts w:ascii="Times New Roman" w:eastAsiaTheme="minorEastAsia" w:hAnsi="Times New Roman" w:cs="Times New Roman"/>
          <w:kern w:val="0"/>
          <w:sz w:val="21"/>
          <w:szCs w:val="21"/>
          <w14:ligatures w14:val="none"/>
        </w:rPr>
        <w:t xml:space="preserve">Degli Antoni, G., </w:t>
      </w:r>
      <w:proofErr w:type="spellStart"/>
      <w:r w:rsidRPr="00086482">
        <w:rPr>
          <w:rFonts w:ascii="Times New Roman" w:eastAsiaTheme="minorEastAsia" w:hAnsi="Times New Roman" w:cs="Times New Roman"/>
          <w:kern w:val="0"/>
          <w:sz w:val="21"/>
          <w:szCs w:val="21"/>
          <w14:ligatures w14:val="none"/>
        </w:rPr>
        <w:t>Fia</w:t>
      </w:r>
      <w:proofErr w:type="spellEnd"/>
      <w:r w:rsidRPr="00086482">
        <w:rPr>
          <w:rFonts w:ascii="Times New Roman" w:eastAsiaTheme="minorEastAsia" w:hAnsi="Times New Roman" w:cs="Times New Roman"/>
          <w:kern w:val="0"/>
          <w:sz w:val="21"/>
          <w:szCs w:val="21"/>
          <w14:ligatures w14:val="none"/>
        </w:rPr>
        <w:t xml:space="preserve">, M., Sacconi, S. (2022), ‘Specific investments, cognitive resources, and specialized nature of research production in academic institutions: why shared governance matters for performance’, </w:t>
      </w:r>
      <w:r w:rsidRPr="00086482">
        <w:rPr>
          <w:rFonts w:ascii="Times New Roman" w:eastAsiaTheme="minorEastAsia" w:hAnsi="Times New Roman" w:cs="Times New Roman"/>
          <w:i/>
          <w:iCs/>
          <w:kern w:val="0"/>
          <w:sz w:val="21"/>
          <w:szCs w:val="21"/>
          <w14:ligatures w14:val="none"/>
        </w:rPr>
        <w:t>Journal of Institutional Economics</w:t>
      </w:r>
      <w:r w:rsidRPr="00086482">
        <w:rPr>
          <w:rFonts w:ascii="Times New Roman" w:eastAsiaTheme="minorEastAsia" w:hAnsi="Times New Roman" w:cs="Times New Roman"/>
          <w:kern w:val="0"/>
          <w:sz w:val="21"/>
          <w:szCs w:val="21"/>
          <w14:ligatures w14:val="none"/>
        </w:rPr>
        <w:t xml:space="preserve">, 18, pp. 655-676. </w:t>
      </w:r>
    </w:p>
    <w:p w14:paraId="6643B824" w14:textId="77777777" w:rsidR="006B1E50" w:rsidRPr="0036180C" w:rsidRDefault="006B1E50" w:rsidP="0036180C">
      <w:pPr>
        <w:rPr>
          <w:rFonts w:ascii="Times New Roman" w:hAnsi="Times New Roman" w:cs="Times New Roman"/>
        </w:rPr>
      </w:pPr>
      <w:r w:rsidRPr="0036180C">
        <w:rPr>
          <w:rFonts w:ascii="Times New Roman" w:hAnsi="Times New Roman" w:cs="Times New Roman"/>
        </w:rPr>
        <w:t xml:space="preserve">Dewey, J. (1927). </w:t>
      </w:r>
      <w:r w:rsidRPr="0036180C">
        <w:rPr>
          <w:rFonts w:ascii="Times New Roman" w:hAnsi="Times New Roman" w:cs="Times New Roman"/>
          <w:i/>
          <w:iCs/>
        </w:rPr>
        <w:t>The public and its problems</w:t>
      </w:r>
      <w:r>
        <w:rPr>
          <w:rFonts w:ascii="Times New Roman" w:hAnsi="Times New Roman" w:cs="Times New Roman"/>
        </w:rPr>
        <w:t>,</w:t>
      </w:r>
      <w:r w:rsidRPr="0036180C">
        <w:rPr>
          <w:rFonts w:ascii="Times New Roman" w:hAnsi="Times New Roman" w:cs="Times New Roman"/>
        </w:rPr>
        <w:t xml:space="preserve"> New York</w:t>
      </w:r>
      <w:r w:rsidRPr="005837B6">
        <w:rPr>
          <w:rFonts w:ascii="Times New Roman" w:hAnsi="Times New Roman" w:cs="Times New Roman"/>
        </w:rPr>
        <w:t>:</w:t>
      </w:r>
      <w:r w:rsidRPr="0036180C">
        <w:rPr>
          <w:rFonts w:ascii="Times New Roman" w:hAnsi="Times New Roman" w:cs="Times New Roman"/>
        </w:rPr>
        <w:t xml:space="preserve"> Holt Publishers.</w:t>
      </w:r>
    </w:p>
    <w:p w14:paraId="4EFC24C7" w14:textId="77777777" w:rsidR="006B1E50" w:rsidRDefault="006B1E50" w:rsidP="007A7A8A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A7A8A">
        <w:rPr>
          <w:rFonts w:ascii="Times New Roman" w:hAnsi="Times New Roman" w:cs="Times New Roman"/>
          <w:lang w:val="it-IT"/>
        </w:rPr>
        <w:t>Frischmann</w:t>
      </w:r>
      <w:proofErr w:type="spellEnd"/>
      <w:r w:rsidRPr="007A7A8A">
        <w:rPr>
          <w:rFonts w:ascii="Times New Roman" w:hAnsi="Times New Roman" w:cs="Times New Roman"/>
          <w:lang w:val="it-IT"/>
        </w:rPr>
        <w:t xml:space="preserve">, B. M. (ed.) et al. </w:t>
      </w:r>
      <w:r w:rsidRPr="00C81E87">
        <w:rPr>
          <w:rFonts w:ascii="Times New Roman" w:hAnsi="Times New Roman" w:cs="Times New Roman"/>
        </w:rPr>
        <w:t xml:space="preserve">(2014) </w:t>
      </w:r>
      <w:r w:rsidRPr="00C81E87">
        <w:rPr>
          <w:rFonts w:ascii="Times New Roman" w:hAnsi="Times New Roman" w:cs="Times New Roman"/>
          <w:i/>
          <w:iCs/>
        </w:rPr>
        <w:t>Governing Knowledge Commons</w:t>
      </w:r>
      <w:r>
        <w:rPr>
          <w:rFonts w:ascii="Times New Roman" w:hAnsi="Times New Roman" w:cs="Times New Roman"/>
        </w:rPr>
        <w:t xml:space="preserve">, Oxford University Press. </w:t>
      </w:r>
    </w:p>
    <w:p w14:paraId="3A1BCF1E" w14:textId="77777777" w:rsidR="006B1E50" w:rsidRPr="00FC3859" w:rsidRDefault="006B1E50" w:rsidP="00EB2C98">
      <w:pPr>
        <w:spacing w:line="240" w:lineRule="auto"/>
        <w:jc w:val="both"/>
        <w:rPr>
          <w:rFonts w:ascii="Times New Roman" w:hAnsi="Times New Roman" w:cs="Times New Roman"/>
        </w:rPr>
      </w:pPr>
      <w:r w:rsidRPr="00EB2C98">
        <w:rPr>
          <w:rFonts w:ascii="Times New Roman" w:hAnsi="Times New Roman" w:cs="Times New Roman"/>
          <w:lang w:val="it-IT"/>
        </w:rPr>
        <w:t xml:space="preserve">Gallina, M. (2007) </w:t>
      </w:r>
      <w:r w:rsidRPr="00EB2C98">
        <w:rPr>
          <w:rFonts w:ascii="Times New Roman" w:hAnsi="Times New Roman" w:cs="Times New Roman"/>
          <w:i/>
          <w:iCs/>
          <w:lang w:val="it-IT"/>
        </w:rPr>
        <w:t>Organizzare Teatro. Produzione, distribuzione, gestione nel sistema italiano.</w:t>
      </w:r>
      <w:r w:rsidRPr="00EB2C98">
        <w:rPr>
          <w:rFonts w:ascii="Times New Roman" w:hAnsi="Times New Roman" w:cs="Times New Roman"/>
          <w:lang w:val="it-IT"/>
        </w:rPr>
        <w:t xml:space="preserve"> </w:t>
      </w:r>
      <w:r w:rsidRPr="00FC3859">
        <w:rPr>
          <w:rFonts w:ascii="Times New Roman" w:hAnsi="Times New Roman" w:cs="Times New Roman"/>
        </w:rPr>
        <w:t xml:space="preserve">6th </w:t>
      </w:r>
      <w:proofErr w:type="spellStart"/>
      <w:r w:rsidRPr="00FC3859">
        <w:rPr>
          <w:rFonts w:ascii="Times New Roman" w:hAnsi="Times New Roman" w:cs="Times New Roman"/>
        </w:rPr>
        <w:t>edn</w:t>
      </w:r>
      <w:proofErr w:type="spellEnd"/>
      <w:r w:rsidRPr="00FC3859">
        <w:rPr>
          <w:rFonts w:ascii="Times New Roman" w:hAnsi="Times New Roman" w:cs="Times New Roman"/>
        </w:rPr>
        <w:t xml:space="preserve">. Milano: </w:t>
      </w:r>
      <w:proofErr w:type="spellStart"/>
      <w:r w:rsidRPr="00FC3859">
        <w:rPr>
          <w:rFonts w:ascii="Times New Roman" w:hAnsi="Times New Roman" w:cs="Times New Roman"/>
        </w:rPr>
        <w:t>FrancoAngeli</w:t>
      </w:r>
      <w:proofErr w:type="spellEnd"/>
      <w:r w:rsidRPr="00FC3859">
        <w:rPr>
          <w:rFonts w:ascii="Times New Roman" w:hAnsi="Times New Roman" w:cs="Times New Roman"/>
        </w:rPr>
        <w:t xml:space="preserve">. </w:t>
      </w:r>
    </w:p>
    <w:p w14:paraId="57E59028" w14:textId="77777777" w:rsidR="006B1E50" w:rsidRPr="0036180C" w:rsidRDefault="006B1E50" w:rsidP="0036180C">
      <w:pPr>
        <w:rPr>
          <w:rFonts w:ascii="Times New Roman" w:hAnsi="Times New Roman" w:cs="Times New Roman"/>
        </w:rPr>
      </w:pPr>
      <w:r w:rsidRPr="0036180C">
        <w:rPr>
          <w:rFonts w:ascii="Times New Roman" w:hAnsi="Times New Roman" w:cs="Times New Roman"/>
        </w:rPr>
        <w:t xml:space="preserve">Maslow, A. H. (1963). </w:t>
      </w:r>
      <w:r>
        <w:rPr>
          <w:rFonts w:ascii="Times New Roman" w:hAnsi="Times New Roman" w:cs="Times New Roman"/>
        </w:rPr>
        <w:t>‘</w:t>
      </w:r>
      <w:r w:rsidRPr="0036180C">
        <w:rPr>
          <w:rFonts w:ascii="Times New Roman" w:hAnsi="Times New Roman" w:cs="Times New Roman"/>
        </w:rPr>
        <w:t>The creative attitude</w:t>
      </w:r>
      <w:r>
        <w:rPr>
          <w:rFonts w:ascii="Times New Roman" w:hAnsi="Times New Roman" w:cs="Times New Roman"/>
        </w:rPr>
        <w:t>’,</w:t>
      </w:r>
      <w:r w:rsidRPr="0036180C">
        <w:rPr>
          <w:rFonts w:ascii="Times New Roman" w:hAnsi="Times New Roman" w:cs="Times New Roman"/>
        </w:rPr>
        <w:t> </w:t>
      </w:r>
      <w:r w:rsidRPr="0036180C">
        <w:rPr>
          <w:rFonts w:ascii="Times New Roman" w:hAnsi="Times New Roman" w:cs="Times New Roman"/>
          <w:i/>
          <w:iCs/>
        </w:rPr>
        <w:t xml:space="preserve">The </w:t>
      </w:r>
      <w:proofErr w:type="spellStart"/>
      <w:r w:rsidRPr="0036180C">
        <w:rPr>
          <w:rFonts w:ascii="Times New Roman" w:hAnsi="Times New Roman" w:cs="Times New Roman"/>
          <w:i/>
          <w:iCs/>
        </w:rPr>
        <w:t>Structurist</w:t>
      </w:r>
      <w:proofErr w:type="spellEnd"/>
      <w:r w:rsidRPr="0036180C">
        <w:rPr>
          <w:rFonts w:ascii="Times New Roman" w:hAnsi="Times New Roman" w:cs="Times New Roman"/>
        </w:rPr>
        <w:t>, (3), 4.</w:t>
      </w:r>
    </w:p>
    <w:p w14:paraId="1CD83BB4" w14:textId="77777777" w:rsidR="006B1E50" w:rsidRPr="001521FC" w:rsidRDefault="006B1E50" w:rsidP="00B4667D">
      <w:pPr>
        <w:jc w:val="both"/>
        <w:rPr>
          <w:rFonts w:ascii="Times New Roman" w:hAnsi="Times New Roman" w:cs="Times New Roman"/>
        </w:rPr>
      </w:pPr>
      <w:r w:rsidRPr="001521FC">
        <w:rPr>
          <w:rFonts w:ascii="Times New Roman" w:hAnsi="Times New Roman" w:cs="Times New Roman"/>
        </w:rPr>
        <w:t xml:space="preserve">McDonagh, L. (2014) ‘Plays, Performances and Power Struggles - Examining Copyright’s ‘Integrity’ in the Field of Theatre’, </w:t>
      </w:r>
      <w:r w:rsidRPr="001521FC">
        <w:rPr>
          <w:rFonts w:ascii="Times New Roman" w:hAnsi="Times New Roman" w:cs="Times New Roman"/>
          <w:i/>
          <w:iCs/>
        </w:rPr>
        <w:t>Modern Law Review</w:t>
      </w:r>
      <w:r w:rsidRPr="001521FC">
        <w:rPr>
          <w:rFonts w:ascii="Times New Roman" w:hAnsi="Times New Roman" w:cs="Times New Roman"/>
        </w:rPr>
        <w:t>, 77(4), pp. 533-562.</w:t>
      </w:r>
    </w:p>
    <w:p w14:paraId="2E7734D2" w14:textId="77777777" w:rsidR="006B1E50" w:rsidRPr="009F7489" w:rsidRDefault="006B1E50" w:rsidP="00B4667D">
      <w:pPr>
        <w:jc w:val="both"/>
        <w:rPr>
          <w:rFonts w:ascii="Times New Roman" w:hAnsi="Times New Roman" w:cs="Times New Roman"/>
        </w:rPr>
      </w:pPr>
      <w:r w:rsidRPr="001521FC">
        <w:rPr>
          <w:rFonts w:ascii="Times New Roman" w:hAnsi="Times New Roman" w:cs="Times New Roman"/>
        </w:rPr>
        <w:t xml:space="preserve">McDonagh, L. (2021) </w:t>
      </w:r>
      <w:r w:rsidRPr="001521FC">
        <w:rPr>
          <w:rFonts w:ascii="Times New Roman" w:hAnsi="Times New Roman" w:cs="Times New Roman"/>
          <w:i/>
          <w:iCs/>
        </w:rPr>
        <w:t>Performing copyright: law, theatre, and authorship</w:t>
      </w:r>
      <w:r w:rsidRPr="001521FC">
        <w:rPr>
          <w:rFonts w:ascii="Times New Roman" w:hAnsi="Times New Roman" w:cs="Times New Roman"/>
        </w:rPr>
        <w:t xml:space="preserve">. </w:t>
      </w:r>
      <w:r w:rsidRPr="009F7489">
        <w:rPr>
          <w:rFonts w:ascii="Times New Roman" w:hAnsi="Times New Roman" w:cs="Times New Roman"/>
        </w:rPr>
        <w:t xml:space="preserve">1st </w:t>
      </w:r>
      <w:proofErr w:type="spellStart"/>
      <w:r w:rsidRPr="009F7489">
        <w:rPr>
          <w:rFonts w:ascii="Times New Roman" w:hAnsi="Times New Roman" w:cs="Times New Roman"/>
        </w:rPr>
        <w:t>edn</w:t>
      </w:r>
      <w:proofErr w:type="spellEnd"/>
      <w:r w:rsidRPr="009F7489">
        <w:rPr>
          <w:rFonts w:ascii="Times New Roman" w:hAnsi="Times New Roman" w:cs="Times New Roman"/>
        </w:rPr>
        <w:t xml:space="preserve">. London: Hart Publishing. </w:t>
      </w:r>
    </w:p>
    <w:p w14:paraId="2E321A42" w14:textId="77777777" w:rsidR="006B1E50" w:rsidRPr="0036180C" w:rsidRDefault="006B1E50" w:rsidP="009F7489">
      <w:pPr>
        <w:spacing w:line="240" w:lineRule="auto"/>
        <w:jc w:val="both"/>
        <w:rPr>
          <w:rFonts w:ascii="Times New Roman" w:hAnsi="Times New Roman" w:cs="Times New Roman"/>
        </w:rPr>
      </w:pPr>
      <w:r w:rsidRPr="00EB65CB">
        <w:rPr>
          <w:rFonts w:ascii="Times New Roman" w:hAnsi="Times New Roman" w:cs="Times New Roman"/>
        </w:rPr>
        <w:t>Sacchetti, F., Sacchetti, S., &amp; Sugden, R. (2009)</w:t>
      </w:r>
      <w:r>
        <w:rPr>
          <w:rFonts w:ascii="Times New Roman" w:hAnsi="Times New Roman" w:cs="Times New Roman"/>
        </w:rPr>
        <w:t xml:space="preserve"> ‘</w:t>
      </w:r>
      <w:r w:rsidRPr="00EB65CB">
        <w:rPr>
          <w:rFonts w:ascii="Times New Roman" w:hAnsi="Times New Roman" w:cs="Times New Roman"/>
        </w:rPr>
        <w:t>Creativity and socio‐economic development: space for the interests of publics</w:t>
      </w:r>
      <w:r>
        <w:rPr>
          <w:rFonts w:ascii="Times New Roman" w:hAnsi="Times New Roman" w:cs="Times New Roman"/>
        </w:rPr>
        <w:t>’,</w:t>
      </w:r>
      <w:r w:rsidRPr="00EB65CB">
        <w:rPr>
          <w:rFonts w:ascii="Times New Roman" w:hAnsi="Times New Roman" w:cs="Times New Roman"/>
        </w:rPr>
        <w:t> </w:t>
      </w:r>
      <w:r w:rsidRPr="00EB65CB">
        <w:rPr>
          <w:rFonts w:ascii="Times New Roman" w:hAnsi="Times New Roman" w:cs="Times New Roman"/>
          <w:i/>
          <w:iCs/>
        </w:rPr>
        <w:t>International Review of Applied Economics</w:t>
      </w:r>
      <w:r w:rsidRPr="00EB65CB">
        <w:rPr>
          <w:rFonts w:ascii="Times New Roman" w:hAnsi="Times New Roman" w:cs="Times New Roman"/>
        </w:rPr>
        <w:t xml:space="preserve">, 23(6), </w:t>
      </w:r>
      <w:r>
        <w:rPr>
          <w:rFonts w:ascii="Times New Roman" w:hAnsi="Times New Roman" w:cs="Times New Roman"/>
        </w:rPr>
        <w:t xml:space="preserve">pp. </w:t>
      </w:r>
      <w:r w:rsidRPr="00EB65CB">
        <w:rPr>
          <w:rFonts w:ascii="Times New Roman" w:hAnsi="Times New Roman" w:cs="Times New Roman"/>
        </w:rPr>
        <w:t>653-672.</w:t>
      </w:r>
    </w:p>
    <w:p w14:paraId="532611C5" w14:textId="77777777" w:rsidR="006B1E50" w:rsidRDefault="006B1E50" w:rsidP="009F7489">
      <w:pPr>
        <w:spacing w:line="240" w:lineRule="auto"/>
        <w:jc w:val="both"/>
        <w:rPr>
          <w:rFonts w:ascii="Times New Roman" w:hAnsi="Times New Roman" w:cs="Times New Roman"/>
        </w:rPr>
      </w:pPr>
      <w:r w:rsidRPr="00EB27ED">
        <w:rPr>
          <w:rFonts w:ascii="Times New Roman" w:hAnsi="Times New Roman" w:cs="Times New Roman"/>
        </w:rPr>
        <w:t>Sacchetti, S. (2015</w:t>
      </w:r>
      <w:r>
        <w:rPr>
          <w:rFonts w:ascii="Times New Roman" w:hAnsi="Times New Roman" w:cs="Times New Roman"/>
        </w:rPr>
        <w:t>/2013</w:t>
      </w:r>
      <w:r w:rsidRPr="00EB27ED">
        <w:rPr>
          <w:rFonts w:ascii="Times New Roman" w:hAnsi="Times New Roman" w:cs="Times New Roman"/>
        </w:rPr>
        <w:t>) ‘Inclusive and Exclusive Social Preferences: A Deweyan Framework t</w:t>
      </w:r>
      <w:r>
        <w:rPr>
          <w:rFonts w:ascii="Times New Roman" w:hAnsi="Times New Roman" w:cs="Times New Roman"/>
        </w:rPr>
        <w:t xml:space="preserve">o Explain Governance Heterogeneity’, </w:t>
      </w:r>
      <w:r w:rsidRPr="00B5716E">
        <w:rPr>
          <w:rFonts w:ascii="Times New Roman" w:hAnsi="Times New Roman" w:cs="Times New Roman"/>
          <w:i/>
          <w:iCs/>
        </w:rPr>
        <w:t>Journal of Business Ethics</w:t>
      </w:r>
      <w:r>
        <w:rPr>
          <w:rFonts w:ascii="Times New Roman" w:hAnsi="Times New Roman" w:cs="Times New Roman"/>
        </w:rPr>
        <w:t xml:space="preserve">, 126, pp. 473-485. </w:t>
      </w:r>
    </w:p>
    <w:p w14:paraId="76848A74" w14:textId="77777777" w:rsidR="006B1E50" w:rsidRPr="00BC10EE" w:rsidRDefault="006B1E50" w:rsidP="00BC10EE">
      <w:pPr>
        <w:rPr>
          <w:rFonts w:ascii="Times New Roman" w:hAnsi="Times New Roman" w:cs="Times New Roman"/>
          <w:i/>
          <w:iCs/>
        </w:rPr>
      </w:pPr>
      <w:r w:rsidRPr="00BC10EE">
        <w:rPr>
          <w:rFonts w:ascii="Times New Roman" w:hAnsi="Times New Roman" w:cs="Times New Roman"/>
        </w:rPr>
        <w:t xml:space="preserve">Sacchetti, S. (2022) ‘What can economic coordination do for creativity and </w:t>
      </w:r>
      <w:proofErr w:type="gramStart"/>
      <w:r w:rsidRPr="00BC10EE">
        <w:rPr>
          <w:rFonts w:ascii="Times New Roman" w:hAnsi="Times New Roman" w:cs="Times New Roman"/>
        </w:rPr>
        <w:t>wellbeing?,</w:t>
      </w:r>
      <w:proofErr w:type="gramEnd"/>
      <w:r w:rsidRPr="00BC10EE">
        <w:rPr>
          <w:rFonts w:ascii="Times New Roman" w:hAnsi="Times New Roman" w:cs="Times New Roman"/>
        </w:rPr>
        <w:t xml:space="preserve"> </w:t>
      </w:r>
      <w:r w:rsidRPr="00BC10EE">
        <w:rPr>
          <w:rFonts w:ascii="Times New Roman" w:hAnsi="Times New Roman" w:cs="Times New Roman"/>
          <w:i/>
          <w:iCs/>
        </w:rPr>
        <w:t xml:space="preserve">Creativity and Innovation Management. </w:t>
      </w:r>
    </w:p>
    <w:p w14:paraId="55C086D1" w14:textId="77777777" w:rsidR="006B1E50" w:rsidRDefault="006B1E50" w:rsidP="009F7489">
      <w:pPr>
        <w:spacing w:line="240" w:lineRule="auto"/>
        <w:jc w:val="both"/>
        <w:rPr>
          <w:rFonts w:ascii="Times New Roman" w:hAnsi="Times New Roman" w:cs="Times New Roman"/>
        </w:rPr>
      </w:pPr>
      <w:r w:rsidRPr="0084104F">
        <w:rPr>
          <w:rFonts w:ascii="Times New Roman" w:hAnsi="Times New Roman" w:cs="Times New Roman"/>
        </w:rPr>
        <w:t xml:space="preserve">Sacchetti, S., &amp; </w:t>
      </w:r>
      <w:proofErr w:type="spellStart"/>
      <w:r w:rsidRPr="0084104F">
        <w:rPr>
          <w:rFonts w:ascii="Times New Roman" w:hAnsi="Times New Roman" w:cs="Times New Roman"/>
        </w:rPr>
        <w:t>Borzaga</w:t>
      </w:r>
      <w:proofErr w:type="spellEnd"/>
      <w:r w:rsidRPr="0084104F">
        <w:rPr>
          <w:rFonts w:ascii="Times New Roman" w:hAnsi="Times New Roman" w:cs="Times New Roman"/>
        </w:rPr>
        <w:t xml:space="preserve">, C. (2021). </w:t>
      </w:r>
      <w:r>
        <w:rPr>
          <w:rFonts w:ascii="Times New Roman" w:hAnsi="Times New Roman" w:cs="Times New Roman"/>
        </w:rPr>
        <w:t>‘</w:t>
      </w:r>
      <w:r w:rsidRPr="0084104F">
        <w:rPr>
          <w:rFonts w:ascii="Times New Roman" w:hAnsi="Times New Roman" w:cs="Times New Roman"/>
        </w:rPr>
        <w:t>The foundations of the “public organisation”: Governance failure and the problem of external effects</w:t>
      </w:r>
      <w:r>
        <w:rPr>
          <w:rFonts w:ascii="Times New Roman" w:hAnsi="Times New Roman" w:cs="Times New Roman"/>
        </w:rPr>
        <w:t>’,</w:t>
      </w:r>
      <w:r w:rsidRPr="0084104F">
        <w:rPr>
          <w:rFonts w:ascii="Times New Roman" w:hAnsi="Times New Roman" w:cs="Times New Roman"/>
        </w:rPr>
        <w:t> </w:t>
      </w:r>
      <w:r w:rsidRPr="00E7683F">
        <w:rPr>
          <w:rFonts w:ascii="Times New Roman" w:hAnsi="Times New Roman" w:cs="Times New Roman"/>
          <w:i/>
          <w:iCs/>
        </w:rPr>
        <w:t>Journal of Management and Governance</w:t>
      </w:r>
      <w:r w:rsidRPr="0084104F">
        <w:rPr>
          <w:rFonts w:ascii="Times New Roman" w:hAnsi="Times New Roman" w:cs="Times New Roman"/>
        </w:rPr>
        <w:t xml:space="preserve">, 25, </w:t>
      </w:r>
      <w:r>
        <w:rPr>
          <w:rFonts w:ascii="Times New Roman" w:hAnsi="Times New Roman" w:cs="Times New Roman"/>
        </w:rPr>
        <w:t xml:space="preserve">pp. </w:t>
      </w:r>
      <w:r w:rsidRPr="0084104F">
        <w:rPr>
          <w:rFonts w:ascii="Times New Roman" w:hAnsi="Times New Roman" w:cs="Times New Roman"/>
        </w:rPr>
        <w:t>731-758.</w:t>
      </w:r>
    </w:p>
    <w:p w14:paraId="5600D15F" w14:textId="77777777" w:rsidR="006B1E50" w:rsidRDefault="006B1E50" w:rsidP="009F7489">
      <w:pPr>
        <w:spacing w:line="240" w:lineRule="auto"/>
        <w:jc w:val="both"/>
        <w:rPr>
          <w:rFonts w:ascii="Times New Roman" w:hAnsi="Times New Roman" w:cs="Times New Roman"/>
        </w:rPr>
      </w:pPr>
      <w:r w:rsidRPr="00867959">
        <w:rPr>
          <w:rFonts w:ascii="Times New Roman" w:hAnsi="Times New Roman" w:cs="Times New Roman"/>
        </w:rPr>
        <w:t xml:space="preserve">Sacchetti, S., </w:t>
      </w:r>
      <w:proofErr w:type="spellStart"/>
      <w:r w:rsidRPr="00867959">
        <w:rPr>
          <w:rFonts w:ascii="Times New Roman" w:hAnsi="Times New Roman" w:cs="Times New Roman"/>
        </w:rPr>
        <w:t>Borzaga</w:t>
      </w:r>
      <w:proofErr w:type="spellEnd"/>
      <w:r w:rsidRPr="00867959">
        <w:rPr>
          <w:rFonts w:ascii="Times New Roman" w:hAnsi="Times New Roman" w:cs="Times New Roman"/>
        </w:rPr>
        <w:t>, C., Torta, E. C. (2023) ‘The Institution</w:t>
      </w:r>
      <w:r>
        <w:rPr>
          <w:rFonts w:ascii="Times New Roman" w:hAnsi="Times New Roman" w:cs="Times New Roman"/>
        </w:rPr>
        <w:t>s</w:t>
      </w:r>
      <w:r w:rsidRPr="00867959">
        <w:rPr>
          <w:rFonts w:ascii="Times New Roman" w:hAnsi="Times New Roman" w:cs="Times New Roman"/>
        </w:rPr>
        <w:t xml:space="preserve"> of Live</w:t>
      </w:r>
      <w:r>
        <w:rPr>
          <w:rFonts w:ascii="Times New Roman" w:hAnsi="Times New Roman" w:cs="Times New Roman"/>
        </w:rPr>
        <w:t xml:space="preserve">lihood and Social Enterprise Systems’, </w:t>
      </w:r>
      <w:r w:rsidRPr="00C55946">
        <w:rPr>
          <w:rFonts w:ascii="Times New Roman" w:hAnsi="Times New Roman" w:cs="Times New Roman"/>
          <w:i/>
          <w:iCs/>
        </w:rPr>
        <w:t>Forum for Social Economics</w:t>
      </w:r>
      <w:r>
        <w:rPr>
          <w:rFonts w:ascii="Times New Roman" w:hAnsi="Times New Roman" w:cs="Times New Roman"/>
        </w:rPr>
        <w:t xml:space="preserve">, 52(3), pp. 282-297. </w:t>
      </w:r>
    </w:p>
    <w:p w14:paraId="786D145B" w14:textId="77777777" w:rsidR="006B1E50" w:rsidRDefault="006B1E50" w:rsidP="009F7489">
      <w:pPr>
        <w:spacing w:line="240" w:lineRule="auto"/>
        <w:jc w:val="both"/>
        <w:rPr>
          <w:rFonts w:ascii="Times New Roman" w:hAnsi="Times New Roman" w:cs="Times New Roman"/>
        </w:rPr>
      </w:pPr>
      <w:r w:rsidRPr="004E511A">
        <w:rPr>
          <w:rFonts w:ascii="Times New Roman" w:hAnsi="Times New Roman" w:cs="Times New Roman"/>
        </w:rPr>
        <w:t>Sacchetti, S.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Catturani</w:t>
      </w:r>
      <w:proofErr w:type="spellEnd"/>
      <w:r>
        <w:rPr>
          <w:rFonts w:ascii="Times New Roman" w:hAnsi="Times New Roman" w:cs="Times New Roman"/>
        </w:rPr>
        <w:t xml:space="preserve">, I. </w:t>
      </w:r>
      <w:r w:rsidRPr="004E511A">
        <w:rPr>
          <w:rFonts w:ascii="Times New Roman" w:hAnsi="Times New Roman" w:cs="Times New Roman"/>
        </w:rPr>
        <w:t>(2021) ‘Governance and different types of</w:t>
      </w:r>
      <w:r>
        <w:rPr>
          <w:rFonts w:ascii="Times New Roman" w:hAnsi="Times New Roman" w:cs="Times New Roman"/>
        </w:rPr>
        <w:t xml:space="preserve"> value: A framework for analysis’, </w:t>
      </w:r>
      <w:r w:rsidRPr="00C12B0A">
        <w:rPr>
          <w:rFonts w:ascii="Times New Roman" w:hAnsi="Times New Roman" w:cs="Times New Roman"/>
          <w:i/>
          <w:iCs/>
        </w:rPr>
        <w:t>Journal of Co-operative Organization and Management</w:t>
      </w:r>
      <w:r>
        <w:rPr>
          <w:rFonts w:ascii="Times New Roman" w:hAnsi="Times New Roman" w:cs="Times New Roman"/>
        </w:rPr>
        <w:t xml:space="preserve">, 9. </w:t>
      </w:r>
    </w:p>
    <w:p w14:paraId="0BB2E804" w14:textId="77777777" w:rsidR="006B1E50" w:rsidRPr="009F7489" w:rsidRDefault="006B1E50" w:rsidP="009F7489">
      <w:pPr>
        <w:spacing w:line="240" w:lineRule="auto"/>
        <w:jc w:val="both"/>
        <w:rPr>
          <w:rFonts w:ascii="Times New Roman" w:hAnsi="Times New Roman" w:cs="Times New Roman"/>
        </w:rPr>
      </w:pPr>
      <w:r w:rsidRPr="00D047DE">
        <w:rPr>
          <w:rFonts w:ascii="Times New Roman" w:hAnsi="Times New Roman" w:cs="Times New Roman"/>
        </w:rPr>
        <w:t xml:space="preserve">Sacchetti, S., </w:t>
      </w:r>
      <w:proofErr w:type="spellStart"/>
      <w:r w:rsidRPr="00D047DE">
        <w:rPr>
          <w:rFonts w:ascii="Times New Roman" w:hAnsi="Times New Roman" w:cs="Times New Roman"/>
        </w:rPr>
        <w:t>Tortia</w:t>
      </w:r>
      <w:proofErr w:type="spellEnd"/>
      <w:r w:rsidRPr="00D047DE">
        <w:rPr>
          <w:rFonts w:ascii="Times New Roman" w:hAnsi="Times New Roman" w:cs="Times New Roman"/>
        </w:rPr>
        <w:t>, E.</w:t>
      </w:r>
      <w:r>
        <w:rPr>
          <w:rFonts w:ascii="Times New Roman" w:hAnsi="Times New Roman" w:cs="Times New Roman"/>
        </w:rPr>
        <w:t xml:space="preserve"> C.</w:t>
      </w:r>
      <w:r w:rsidRPr="00D047DE">
        <w:rPr>
          <w:rFonts w:ascii="Times New Roman" w:hAnsi="Times New Roman" w:cs="Times New Roman"/>
        </w:rPr>
        <w:t xml:space="preserve"> (2013) ‘Satisfaction with </w:t>
      </w:r>
      <w:r>
        <w:rPr>
          <w:rFonts w:ascii="Times New Roman" w:hAnsi="Times New Roman" w:cs="Times New Roman"/>
        </w:rPr>
        <w:t xml:space="preserve">Creativity: A Study of Organizational Characteristics and Individual Motivation’, </w:t>
      </w:r>
      <w:r w:rsidRPr="004B5D44">
        <w:rPr>
          <w:rFonts w:ascii="Times New Roman" w:hAnsi="Times New Roman" w:cs="Times New Roman"/>
          <w:i/>
          <w:iCs/>
        </w:rPr>
        <w:t>Journal of Happiness Studies</w:t>
      </w:r>
      <w:r>
        <w:rPr>
          <w:rFonts w:ascii="Times New Roman" w:hAnsi="Times New Roman" w:cs="Times New Roman"/>
        </w:rPr>
        <w:t xml:space="preserve">, 14(6), </w:t>
      </w:r>
      <w:r w:rsidRPr="003109A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p</w:t>
      </w:r>
      <w:r w:rsidRPr="003109AB">
        <w:rPr>
          <w:rFonts w:ascii="Times New Roman" w:hAnsi="Times New Roman" w:cs="Times New Roman"/>
        </w:rPr>
        <w:t>. 1789-1811</w:t>
      </w:r>
      <w:r>
        <w:rPr>
          <w:rFonts w:ascii="Times New Roman" w:hAnsi="Times New Roman" w:cs="Times New Roman"/>
        </w:rPr>
        <w:t xml:space="preserve">. </w:t>
      </w:r>
    </w:p>
    <w:p w14:paraId="697B85CB" w14:textId="77777777" w:rsidR="006B1E50" w:rsidRDefault="006B1E50" w:rsidP="00B4667D">
      <w:pPr>
        <w:jc w:val="both"/>
        <w:rPr>
          <w:rFonts w:ascii="Times New Roman" w:hAnsi="Times New Roman" w:cs="Times New Roman"/>
        </w:rPr>
      </w:pPr>
      <w:r w:rsidRPr="00106261">
        <w:rPr>
          <w:rFonts w:ascii="Times New Roman" w:hAnsi="Times New Roman" w:cs="Times New Roman"/>
        </w:rPr>
        <w:t xml:space="preserve">Simone, D. (2022) </w:t>
      </w:r>
      <w:r w:rsidRPr="00F81A7D">
        <w:rPr>
          <w:rFonts w:ascii="Times New Roman" w:hAnsi="Times New Roman" w:cs="Times New Roman"/>
          <w:i/>
          <w:iCs/>
        </w:rPr>
        <w:t>Copyright and Collective Authorship: Locating the Authors of Collaborative Work</w:t>
      </w:r>
      <w:r>
        <w:rPr>
          <w:rFonts w:ascii="Times New Roman" w:hAnsi="Times New Roman" w:cs="Times New Roman"/>
        </w:rPr>
        <w:t xml:space="preserve">, Cambridge: Cambridge University Press. </w:t>
      </w:r>
    </w:p>
    <w:sectPr w:rsidR="006B1E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17D65"/>
    <w:multiLevelType w:val="hybridMultilevel"/>
    <w:tmpl w:val="73C6DA6A"/>
    <w:lvl w:ilvl="0" w:tplc="19BE141A">
      <w:start w:val="2"/>
      <w:numFmt w:val="bullet"/>
      <w:lvlText w:val=""/>
      <w:lvlJc w:val="left"/>
      <w:pPr>
        <w:ind w:left="4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6326919"/>
    <w:multiLevelType w:val="hybridMultilevel"/>
    <w:tmpl w:val="F430841E"/>
    <w:lvl w:ilvl="0" w:tplc="5E5C7DD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A13856"/>
    <w:multiLevelType w:val="hybridMultilevel"/>
    <w:tmpl w:val="7668D052"/>
    <w:lvl w:ilvl="0" w:tplc="8A9041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354764">
    <w:abstractNumId w:val="1"/>
  </w:num>
  <w:num w:numId="2" w16cid:durableId="735205565">
    <w:abstractNumId w:val="2"/>
  </w:num>
  <w:num w:numId="3" w16cid:durableId="1100567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66"/>
    <w:rsid w:val="00007935"/>
    <w:rsid w:val="0001612D"/>
    <w:rsid w:val="00017062"/>
    <w:rsid w:val="00017A9F"/>
    <w:rsid w:val="0005647D"/>
    <w:rsid w:val="0006053C"/>
    <w:rsid w:val="000652BA"/>
    <w:rsid w:val="000713D2"/>
    <w:rsid w:val="00086482"/>
    <w:rsid w:val="000B045F"/>
    <w:rsid w:val="000D4677"/>
    <w:rsid w:val="000E1AD3"/>
    <w:rsid w:val="000E1C84"/>
    <w:rsid w:val="000E6A43"/>
    <w:rsid w:val="000F1474"/>
    <w:rsid w:val="000F65FF"/>
    <w:rsid w:val="000F78A7"/>
    <w:rsid w:val="00103BE3"/>
    <w:rsid w:val="00106261"/>
    <w:rsid w:val="00130BA3"/>
    <w:rsid w:val="00137095"/>
    <w:rsid w:val="001416D8"/>
    <w:rsid w:val="00176C10"/>
    <w:rsid w:val="001844CD"/>
    <w:rsid w:val="001B13CB"/>
    <w:rsid w:val="001C2A66"/>
    <w:rsid w:val="001D5505"/>
    <w:rsid w:val="001D7032"/>
    <w:rsid w:val="001E5E75"/>
    <w:rsid w:val="001E626B"/>
    <w:rsid w:val="001F146A"/>
    <w:rsid w:val="001F7A3E"/>
    <w:rsid w:val="00203D70"/>
    <w:rsid w:val="002165E3"/>
    <w:rsid w:val="002331BF"/>
    <w:rsid w:val="00233548"/>
    <w:rsid w:val="00242019"/>
    <w:rsid w:val="0024457A"/>
    <w:rsid w:val="00250BAF"/>
    <w:rsid w:val="002635B9"/>
    <w:rsid w:val="00266E8C"/>
    <w:rsid w:val="00272C96"/>
    <w:rsid w:val="00286A22"/>
    <w:rsid w:val="00291C29"/>
    <w:rsid w:val="00294A8B"/>
    <w:rsid w:val="00296403"/>
    <w:rsid w:val="002A5FFF"/>
    <w:rsid w:val="002A6466"/>
    <w:rsid w:val="002B2D56"/>
    <w:rsid w:val="002C16C8"/>
    <w:rsid w:val="002C39F0"/>
    <w:rsid w:val="002C7029"/>
    <w:rsid w:val="002E76F2"/>
    <w:rsid w:val="00300DA8"/>
    <w:rsid w:val="003124EF"/>
    <w:rsid w:val="00326FA4"/>
    <w:rsid w:val="00331972"/>
    <w:rsid w:val="00331BDD"/>
    <w:rsid w:val="0034501E"/>
    <w:rsid w:val="0036180C"/>
    <w:rsid w:val="0037062B"/>
    <w:rsid w:val="00374DC4"/>
    <w:rsid w:val="003A2FEE"/>
    <w:rsid w:val="003A455C"/>
    <w:rsid w:val="003B60BD"/>
    <w:rsid w:val="003B756C"/>
    <w:rsid w:val="003D7040"/>
    <w:rsid w:val="003F1E56"/>
    <w:rsid w:val="003F6CAA"/>
    <w:rsid w:val="00411412"/>
    <w:rsid w:val="004333F3"/>
    <w:rsid w:val="00440E4E"/>
    <w:rsid w:val="00441C60"/>
    <w:rsid w:val="00445DB5"/>
    <w:rsid w:val="004479BC"/>
    <w:rsid w:val="00456424"/>
    <w:rsid w:val="00466C53"/>
    <w:rsid w:val="00486EE1"/>
    <w:rsid w:val="00491B69"/>
    <w:rsid w:val="00492A5C"/>
    <w:rsid w:val="004A4EFA"/>
    <w:rsid w:val="004A6234"/>
    <w:rsid w:val="004C30D0"/>
    <w:rsid w:val="004C4576"/>
    <w:rsid w:val="004D3EC0"/>
    <w:rsid w:val="004F321A"/>
    <w:rsid w:val="00507812"/>
    <w:rsid w:val="00525547"/>
    <w:rsid w:val="00536691"/>
    <w:rsid w:val="00543E42"/>
    <w:rsid w:val="00547975"/>
    <w:rsid w:val="00563D06"/>
    <w:rsid w:val="00564AB2"/>
    <w:rsid w:val="00576F24"/>
    <w:rsid w:val="005837B6"/>
    <w:rsid w:val="00585937"/>
    <w:rsid w:val="00593BAC"/>
    <w:rsid w:val="005A0150"/>
    <w:rsid w:val="005A1E1B"/>
    <w:rsid w:val="005A2585"/>
    <w:rsid w:val="005B15BB"/>
    <w:rsid w:val="005B6D07"/>
    <w:rsid w:val="005C0E60"/>
    <w:rsid w:val="005C309F"/>
    <w:rsid w:val="005F12CE"/>
    <w:rsid w:val="005F7E3A"/>
    <w:rsid w:val="00604D9C"/>
    <w:rsid w:val="00624983"/>
    <w:rsid w:val="006309C4"/>
    <w:rsid w:val="006312D1"/>
    <w:rsid w:val="00635CD3"/>
    <w:rsid w:val="006377B0"/>
    <w:rsid w:val="00640624"/>
    <w:rsid w:val="00642D31"/>
    <w:rsid w:val="006448E8"/>
    <w:rsid w:val="00652470"/>
    <w:rsid w:val="00654CA0"/>
    <w:rsid w:val="00672233"/>
    <w:rsid w:val="00675931"/>
    <w:rsid w:val="00676955"/>
    <w:rsid w:val="00676CA2"/>
    <w:rsid w:val="006841D5"/>
    <w:rsid w:val="00686089"/>
    <w:rsid w:val="00696745"/>
    <w:rsid w:val="006B0041"/>
    <w:rsid w:val="006B1E50"/>
    <w:rsid w:val="006C10E8"/>
    <w:rsid w:val="006C1736"/>
    <w:rsid w:val="006C1F4D"/>
    <w:rsid w:val="006D08CB"/>
    <w:rsid w:val="006D2C5A"/>
    <w:rsid w:val="006D5270"/>
    <w:rsid w:val="006D6C96"/>
    <w:rsid w:val="006E4142"/>
    <w:rsid w:val="006E57E3"/>
    <w:rsid w:val="006F1189"/>
    <w:rsid w:val="007006BB"/>
    <w:rsid w:val="00701331"/>
    <w:rsid w:val="00706E66"/>
    <w:rsid w:val="007149B8"/>
    <w:rsid w:val="00716665"/>
    <w:rsid w:val="00721820"/>
    <w:rsid w:val="00723090"/>
    <w:rsid w:val="00723782"/>
    <w:rsid w:val="00730DC7"/>
    <w:rsid w:val="00732CB2"/>
    <w:rsid w:val="0073608F"/>
    <w:rsid w:val="007361E6"/>
    <w:rsid w:val="00736F80"/>
    <w:rsid w:val="00743180"/>
    <w:rsid w:val="00762715"/>
    <w:rsid w:val="007766A6"/>
    <w:rsid w:val="007823E6"/>
    <w:rsid w:val="007833AE"/>
    <w:rsid w:val="00783480"/>
    <w:rsid w:val="007916C9"/>
    <w:rsid w:val="00792B4C"/>
    <w:rsid w:val="007A1A5B"/>
    <w:rsid w:val="007A6B16"/>
    <w:rsid w:val="007A7A8A"/>
    <w:rsid w:val="007B40AC"/>
    <w:rsid w:val="007B434E"/>
    <w:rsid w:val="007C245A"/>
    <w:rsid w:val="007C4E73"/>
    <w:rsid w:val="007D4E7D"/>
    <w:rsid w:val="007E0467"/>
    <w:rsid w:val="007F0799"/>
    <w:rsid w:val="00807C57"/>
    <w:rsid w:val="00813BA6"/>
    <w:rsid w:val="00827381"/>
    <w:rsid w:val="0084104F"/>
    <w:rsid w:val="008458A6"/>
    <w:rsid w:val="00856092"/>
    <w:rsid w:val="008573CA"/>
    <w:rsid w:val="00885781"/>
    <w:rsid w:val="00891B3F"/>
    <w:rsid w:val="0089763D"/>
    <w:rsid w:val="008A2417"/>
    <w:rsid w:val="008B2276"/>
    <w:rsid w:val="008C0F45"/>
    <w:rsid w:val="008D1EDC"/>
    <w:rsid w:val="008E270A"/>
    <w:rsid w:val="008E3246"/>
    <w:rsid w:val="008E735D"/>
    <w:rsid w:val="008F4FDF"/>
    <w:rsid w:val="009128D5"/>
    <w:rsid w:val="009144B5"/>
    <w:rsid w:val="009300BF"/>
    <w:rsid w:val="009464D2"/>
    <w:rsid w:val="0095035E"/>
    <w:rsid w:val="009722D1"/>
    <w:rsid w:val="009736E9"/>
    <w:rsid w:val="009930F4"/>
    <w:rsid w:val="009952E5"/>
    <w:rsid w:val="009A3544"/>
    <w:rsid w:val="009A43D5"/>
    <w:rsid w:val="009C7DA6"/>
    <w:rsid w:val="009D440F"/>
    <w:rsid w:val="009E0BDF"/>
    <w:rsid w:val="009F2143"/>
    <w:rsid w:val="009F7489"/>
    <w:rsid w:val="00A07FAF"/>
    <w:rsid w:val="00A11A38"/>
    <w:rsid w:val="00A153B0"/>
    <w:rsid w:val="00A1672A"/>
    <w:rsid w:val="00A2578D"/>
    <w:rsid w:val="00A26704"/>
    <w:rsid w:val="00A50B09"/>
    <w:rsid w:val="00A5422B"/>
    <w:rsid w:val="00A72A42"/>
    <w:rsid w:val="00A7325E"/>
    <w:rsid w:val="00A74CDD"/>
    <w:rsid w:val="00A7752F"/>
    <w:rsid w:val="00AC5FF6"/>
    <w:rsid w:val="00AC60D0"/>
    <w:rsid w:val="00AD51E1"/>
    <w:rsid w:val="00AF1914"/>
    <w:rsid w:val="00AF2882"/>
    <w:rsid w:val="00AF4116"/>
    <w:rsid w:val="00B227C5"/>
    <w:rsid w:val="00B24756"/>
    <w:rsid w:val="00B2490B"/>
    <w:rsid w:val="00B4667D"/>
    <w:rsid w:val="00B508B8"/>
    <w:rsid w:val="00B510D3"/>
    <w:rsid w:val="00B52B66"/>
    <w:rsid w:val="00B55786"/>
    <w:rsid w:val="00B64748"/>
    <w:rsid w:val="00B86463"/>
    <w:rsid w:val="00B935CB"/>
    <w:rsid w:val="00B93ACE"/>
    <w:rsid w:val="00BB0D57"/>
    <w:rsid w:val="00BC10EE"/>
    <w:rsid w:val="00BC1E9B"/>
    <w:rsid w:val="00BC515D"/>
    <w:rsid w:val="00BD6051"/>
    <w:rsid w:val="00BF0DBB"/>
    <w:rsid w:val="00BF5C78"/>
    <w:rsid w:val="00BF73B6"/>
    <w:rsid w:val="00C02B09"/>
    <w:rsid w:val="00C03D47"/>
    <w:rsid w:val="00C07C29"/>
    <w:rsid w:val="00C135D8"/>
    <w:rsid w:val="00C15600"/>
    <w:rsid w:val="00C2617E"/>
    <w:rsid w:val="00C27E2B"/>
    <w:rsid w:val="00C335B1"/>
    <w:rsid w:val="00C42CF7"/>
    <w:rsid w:val="00C44729"/>
    <w:rsid w:val="00C518E5"/>
    <w:rsid w:val="00C6020E"/>
    <w:rsid w:val="00C6137C"/>
    <w:rsid w:val="00C64908"/>
    <w:rsid w:val="00C74D3C"/>
    <w:rsid w:val="00C80D98"/>
    <w:rsid w:val="00C812DB"/>
    <w:rsid w:val="00C81698"/>
    <w:rsid w:val="00C8251B"/>
    <w:rsid w:val="00C85C81"/>
    <w:rsid w:val="00C974E0"/>
    <w:rsid w:val="00CA4A63"/>
    <w:rsid w:val="00CA7099"/>
    <w:rsid w:val="00CB686F"/>
    <w:rsid w:val="00CC0E57"/>
    <w:rsid w:val="00CC1E3E"/>
    <w:rsid w:val="00CD1802"/>
    <w:rsid w:val="00CE6123"/>
    <w:rsid w:val="00D1132C"/>
    <w:rsid w:val="00D12BB0"/>
    <w:rsid w:val="00D15FE6"/>
    <w:rsid w:val="00D20E5D"/>
    <w:rsid w:val="00D47C94"/>
    <w:rsid w:val="00D52158"/>
    <w:rsid w:val="00D82B06"/>
    <w:rsid w:val="00D861B5"/>
    <w:rsid w:val="00D92D4F"/>
    <w:rsid w:val="00DA3371"/>
    <w:rsid w:val="00DB750E"/>
    <w:rsid w:val="00DC51AB"/>
    <w:rsid w:val="00DC67CF"/>
    <w:rsid w:val="00DD1F9B"/>
    <w:rsid w:val="00DE04FC"/>
    <w:rsid w:val="00DF0334"/>
    <w:rsid w:val="00DF73F7"/>
    <w:rsid w:val="00E022AD"/>
    <w:rsid w:val="00E15DA0"/>
    <w:rsid w:val="00E25724"/>
    <w:rsid w:val="00E34606"/>
    <w:rsid w:val="00E43C20"/>
    <w:rsid w:val="00E472D8"/>
    <w:rsid w:val="00E614C3"/>
    <w:rsid w:val="00E71448"/>
    <w:rsid w:val="00E73AFB"/>
    <w:rsid w:val="00E7683F"/>
    <w:rsid w:val="00E80149"/>
    <w:rsid w:val="00E85E3E"/>
    <w:rsid w:val="00E9484A"/>
    <w:rsid w:val="00EA2C81"/>
    <w:rsid w:val="00EB2C98"/>
    <w:rsid w:val="00EB65CB"/>
    <w:rsid w:val="00ED2F94"/>
    <w:rsid w:val="00EE5FE1"/>
    <w:rsid w:val="00F023F8"/>
    <w:rsid w:val="00F04153"/>
    <w:rsid w:val="00F14E80"/>
    <w:rsid w:val="00F162EF"/>
    <w:rsid w:val="00F20970"/>
    <w:rsid w:val="00F2424B"/>
    <w:rsid w:val="00F33339"/>
    <w:rsid w:val="00F427B6"/>
    <w:rsid w:val="00F547B5"/>
    <w:rsid w:val="00F603AE"/>
    <w:rsid w:val="00F60AC5"/>
    <w:rsid w:val="00F616C4"/>
    <w:rsid w:val="00F744D8"/>
    <w:rsid w:val="00F81A7D"/>
    <w:rsid w:val="00F844D4"/>
    <w:rsid w:val="00F858F4"/>
    <w:rsid w:val="00F92F2F"/>
    <w:rsid w:val="00F95561"/>
    <w:rsid w:val="00FA7614"/>
    <w:rsid w:val="00FB1303"/>
    <w:rsid w:val="00FB3DC8"/>
    <w:rsid w:val="00FB3EA6"/>
    <w:rsid w:val="00FC719A"/>
    <w:rsid w:val="00FD3ADE"/>
    <w:rsid w:val="00FE202E"/>
    <w:rsid w:val="00FE68D1"/>
    <w:rsid w:val="00FF2A68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FE81"/>
  <w15:chartTrackingRefBased/>
  <w15:docId w15:val="{EBEED93F-9B52-41D3-90CB-CC10B851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2715"/>
    <w:pPr>
      <w:spacing w:after="200" w:line="288" w:lineRule="auto"/>
      <w:ind w:left="720"/>
      <w:contextualSpacing/>
    </w:pPr>
    <w:rPr>
      <w:rFonts w:eastAsiaTheme="minorEastAsia"/>
      <w:kern w:val="0"/>
      <w:sz w:val="21"/>
      <w:szCs w:val="21"/>
      <w:lang w:val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7C24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245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245A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24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245A"/>
    <w:rPr>
      <w:b/>
      <w:bCs/>
      <w:sz w:val="20"/>
      <w:szCs w:val="20"/>
      <w:lang w:val="en-GB"/>
    </w:rPr>
  </w:style>
  <w:style w:type="paragraph" w:styleId="Revisione">
    <w:name w:val="Revision"/>
    <w:hidden/>
    <w:uiPriority w:val="99"/>
    <w:semiHidden/>
    <w:rsid w:val="007A1A5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Nicolodi</dc:creator>
  <cp:keywords/>
  <dc:description/>
  <cp:lastModifiedBy>Marta Nicolodi</cp:lastModifiedBy>
  <cp:revision>23</cp:revision>
  <dcterms:created xsi:type="dcterms:W3CDTF">2023-10-02T08:33:00Z</dcterms:created>
  <dcterms:modified xsi:type="dcterms:W3CDTF">2023-10-02T15:13:00Z</dcterms:modified>
</cp:coreProperties>
</file>