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28C45" w14:textId="12DF8228" w:rsidR="00DF72A2" w:rsidRPr="005D6019" w:rsidRDefault="007A2191" w:rsidP="00CB4DF4">
      <w:pPr>
        <w:autoSpaceDE w:val="0"/>
        <w:autoSpaceDN w:val="0"/>
        <w:adjustRightInd w:val="0"/>
        <w:spacing w:before="240" w:after="240" w:line="480" w:lineRule="auto"/>
        <w:jc w:val="center"/>
        <w:rPr>
          <w:rFonts w:ascii="Book Antiqua" w:hAnsi="Book Antiqua"/>
          <w:sz w:val="36"/>
          <w:szCs w:val="36"/>
        </w:rPr>
      </w:pPr>
      <w:r w:rsidRPr="005D6019">
        <w:rPr>
          <w:rFonts w:ascii="Book Antiqua" w:hAnsi="Book Antiqua"/>
          <w:sz w:val="36"/>
          <w:szCs w:val="36"/>
        </w:rPr>
        <w:t>Regulating Inertia in</w:t>
      </w:r>
      <w:r w:rsidR="006F6DEA" w:rsidRPr="005D6019">
        <w:rPr>
          <w:rFonts w:ascii="Book Antiqua" w:hAnsi="Book Antiqua"/>
          <w:sz w:val="36"/>
          <w:szCs w:val="36"/>
        </w:rPr>
        <w:t xml:space="preserve"> </w:t>
      </w:r>
      <w:r w:rsidR="00742BF7" w:rsidRPr="005D6019">
        <w:rPr>
          <w:rFonts w:ascii="Book Antiqua" w:hAnsi="Book Antiqua"/>
          <w:sz w:val="36"/>
          <w:szCs w:val="36"/>
        </w:rPr>
        <w:t>a</w:t>
      </w:r>
      <w:r w:rsidRPr="005D6019">
        <w:rPr>
          <w:rFonts w:ascii="Book Antiqua" w:hAnsi="Book Antiqua"/>
          <w:sz w:val="36"/>
          <w:szCs w:val="36"/>
        </w:rPr>
        <w:t xml:space="preserve"> Subscription Economy</w:t>
      </w:r>
    </w:p>
    <w:p w14:paraId="178B4304" w14:textId="27A87949" w:rsidR="00CB4DF4" w:rsidRPr="005D6019" w:rsidRDefault="00CB4DF4" w:rsidP="00CB4DF4">
      <w:pPr>
        <w:pStyle w:val="ListeParagraf"/>
        <w:autoSpaceDE w:val="0"/>
        <w:autoSpaceDN w:val="0"/>
        <w:adjustRightInd w:val="0"/>
        <w:spacing w:before="240" w:after="240" w:line="480" w:lineRule="auto"/>
        <w:ind w:left="0"/>
        <w:contextualSpacing w:val="0"/>
        <w:jc w:val="center"/>
        <w:rPr>
          <w:rFonts w:ascii="Book Antiqua" w:hAnsi="Book Antiqua"/>
          <w:i/>
          <w:iCs/>
          <w:sz w:val="28"/>
          <w:szCs w:val="28"/>
        </w:rPr>
      </w:pPr>
      <w:r w:rsidRPr="005D6019">
        <w:rPr>
          <w:rFonts w:ascii="Book Antiqua" w:hAnsi="Book Antiqua"/>
          <w:i/>
          <w:iCs/>
          <w:sz w:val="28"/>
          <w:szCs w:val="28"/>
        </w:rPr>
        <w:t>Eserhan Eser</w:t>
      </w:r>
    </w:p>
    <w:p w14:paraId="74F5AF60" w14:textId="19C62E0C" w:rsidR="005E0D5A" w:rsidRDefault="005E0D5A" w:rsidP="00CB4DF4">
      <w:pPr>
        <w:pStyle w:val="ListeParagraf"/>
        <w:autoSpaceDE w:val="0"/>
        <w:autoSpaceDN w:val="0"/>
        <w:adjustRightInd w:val="0"/>
        <w:spacing w:before="240" w:after="240" w:line="480" w:lineRule="auto"/>
        <w:ind w:left="0"/>
        <w:contextualSpacing w:val="0"/>
        <w:jc w:val="center"/>
        <w:rPr>
          <w:rFonts w:ascii="Book Antiqua" w:hAnsi="Book Antiqua"/>
          <w:sz w:val="24"/>
          <w:szCs w:val="24"/>
        </w:rPr>
      </w:pPr>
    </w:p>
    <w:p w14:paraId="62E14E2F" w14:textId="77777777" w:rsidR="005E0D5A" w:rsidRDefault="005E0D5A" w:rsidP="00CB4DF4">
      <w:pPr>
        <w:pStyle w:val="ListeParagraf"/>
        <w:autoSpaceDE w:val="0"/>
        <w:autoSpaceDN w:val="0"/>
        <w:adjustRightInd w:val="0"/>
        <w:spacing w:before="240" w:after="240" w:line="480" w:lineRule="auto"/>
        <w:ind w:left="0"/>
        <w:contextualSpacing w:val="0"/>
        <w:jc w:val="center"/>
        <w:rPr>
          <w:rFonts w:ascii="Book Antiqua" w:hAnsi="Book Antiqua"/>
          <w:sz w:val="24"/>
          <w:szCs w:val="24"/>
        </w:rPr>
      </w:pPr>
    </w:p>
    <w:p w14:paraId="5EFF0293" w14:textId="16347192" w:rsidR="00DF72A2" w:rsidRPr="005D6019" w:rsidRDefault="007A2191" w:rsidP="00CB4DF4">
      <w:pPr>
        <w:pStyle w:val="ListeParagraf"/>
        <w:autoSpaceDE w:val="0"/>
        <w:autoSpaceDN w:val="0"/>
        <w:adjustRightInd w:val="0"/>
        <w:spacing w:before="240" w:after="240" w:line="480" w:lineRule="auto"/>
        <w:ind w:left="0"/>
        <w:contextualSpacing w:val="0"/>
        <w:jc w:val="center"/>
        <w:rPr>
          <w:rFonts w:ascii="Book Antiqua" w:hAnsi="Book Antiqua"/>
          <w:sz w:val="24"/>
          <w:szCs w:val="24"/>
        </w:rPr>
      </w:pPr>
      <w:r w:rsidRPr="005D6019">
        <w:rPr>
          <w:rFonts w:ascii="Book Antiqua" w:hAnsi="Book Antiqua"/>
          <w:sz w:val="24"/>
          <w:szCs w:val="24"/>
        </w:rPr>
        <w:t>Abstract</w:t>
      </w:r>
    </w:p>
    <w:p w14:paraId="63D00F04" w14:textId="04F93A12" w:rsidR="005E0D5A" w:rsidRDefault="00BA251B" w:rsidP="00EA2AFB">
      <w:pPr>
        <w:pStyle w:val="ListeParagraf"/>
        <w:autoSpaceDE w:val="0"/>
        <w:autoSpaceDN w:val="0"/>
        <w:adjustRightInd w:val="0"/>
        <w:spacing w:before="240" w:after="240" w:line="480" w:lineRule="auto"/>
        <w:ind w:left="0"/>
        <w:contextualSpacing w:val="0"/>
        <w:jc w:val="both"/>
        <w:rPr>
          <w:rFonts w:ascii="Book Antiqua" w:hAnsi="Book Antiqua"/>
          <w:sz w:val="24"/>
          <w:szCs w:val="24"/>
        </w:rPr>
      </w:pPr>
      <w:r>
        <w:rPr>
          <w:rFonts w:ascii="Book Antiqua" w:hAnsi="Book Antiqua"/>
          <w:sz w:val="24"/>
          <w:szCs w:val="24"/>
        </w:rPr>
        <w:t>In</w:t>
      </w:r>
      <w:r w:rsidR="00D23DDC" w:rsidRPr="00D23DDC">
        <w:rPr>
          <w:rFonts w:ascii="Book Antiqua" w:hAnsi="Book Antiqua"/>
          <w:sz w:val="24"/>
          <w:szCs w:val="24"/>
        </w:rPr>
        <w:t xml:space="preserve"> subscription-based </w:t>
      </w:r>
      <w:r w:rsidR="00F8002D">
        <w:rPr>
          <w:rFonts w:ascii="Book Antiqua" w:hAnsi="Book Antiqua"/>
          <w:sz w:val="24"/>
          <w:szCs w:val="24"/>
        </w:rPr>
        <w:t>services</w:t>
      </w:r>
      <w:r w:rsidR="00D23DDC" w:rsidRPr="00D23DDC">
        <w:rPr>
          <w:rFonts w:ascii="Book Antiqua" w:hAnsi="Book Antiqua"/>
          <w:sz w:val="24"/>
          <w:szCs w:val="24"/>
        </w:rPr>
        <w:t>, the buyer</w:t>
      </w:r>
      <w:r>
        <w:rPr>
          <w:rFonts w:ascii="Book Antiqua" w:hAnsi="Book Antiqua"/>
          <w:sz w:val="24"/>
          <w:szCs w:val="24"/>
        </w:rPr>
        <w:t>s</w:t>
      </w:r>
      <w:r w:rsidR="00D23DDC" w:rsidRPr="00D23DDC">
        <w:rPr>
          <w:rFonts w:ascii="Book Antiqua" w:hAnsi="Book Antiqua"/>
          <w:sz w:val="24"/>
          <w:szCs w:val="24"/>
        </w:rPr>
        <w:t xml:space="preserve"> </w:t>
      </w:r>
      <w:r w:rsidRPr="00D23DDC">
        <w:rPr>
          <w:rFonts w:ascii="Book Antiqua" w:hAnsi="Book Antiqua"/>
          <w:sz w:val="24"/>
          <w:szCs w:val="24"/>
        </w:rPr>
        <w:t>remain</w:t>
      </w:r>
      <w:r w:rsidR="00D23DDC" w:rsidRPr="00D23DDC">
        <w:rPr>
          <w:rFonts w:ascii="Book Antiqua" w:hAnsi="Book Antiqua"/>
          <w:sz w:val="24"/>
          <w:szCs w:val="24"/>
        </w:rPr>
        <w:t xml:space="preserve"> in the subscription </w:t>
      </w:r>
      <w:r>
        <w:rPr>
          <w:rFonts w:ascii="Book Antiqua" w:hAnsi="Book Antiqua"/>
          <w:sz w:val="24"/>
          <w:szCs w:val="24"/>
        </w:rPr>
        <w:t>until they switch or cancel</w:t>
      </w:r>
      <w:r w:rsidR="00D23DDC" w:rsidRPr="00D23DDC">
        <w:rPr>
          <w:rFonts w:ascii="Book Antiqua" w:hAnsi="Book Antiqua"/>
          <w:sz w:val="24"/>
          <w:szCs w:val="24"/>
        </w:rPr>
        <w:t xml:space="preserve">. </w:t>
      </w:r>
      <w:r w:rsidR="00F8002D">
        <w:rPr>
          <w:rFonts w:ascii="Book Antiqua" w:hAnsi="Book Antiqua"/>
          <w:sz w:val="24"/>
          <w:szCs w:val="24"/>
        </w:rPr>
        <w:t>Over time</w:t>
      </w:r>
      <w:r w:rsidR="00D23DDC" w:rsidRPr="00D23DDC">
        <w:rPr>
          <w:rFonts w:ascii="Book Antiqua" w:hAnsi="Book Antiqua"/>
          <w:sz w:val="24"/>
          <w:szCs w:val="24"/>
        </w:rPr>
        <w:t xml:space="preserve">, the alternatives may become more </w:t>
      </w:r>
      <w:r w:rsidR="00E6374C">
        <w:rPr>
          <w:rFonts w:ascii="Book Antiqua" w:hAnsi="Book Antiqua"/>
          <w:sz w:val="24"/>
          <w:szCs w:val="24"/>
        </w:rPr>
        <w:t xml:space="preserve">attractive to the customers </w:t>
      </w:r>
      <w:r w:rsidR="00D23DDC" w:rsidRPr="00D23DDC">
        <w:rPr>
          <w:rFonts w:ascii="Book Antiqua" w:hAnsi="Book Antiqua"/>
          <w:sz w:val="24"/>
          <w:szCs w:val="24"/>
        </w:rPr>
        <w:t xml:space="preserve">compared to the current subscription, </w:t>
      </w:r>
      <w:r>
        <w:rPr>
          <w:rFonts w:ascii="Book Antiqua" w:hAnsi="Book Antiqua"/>
          <w:sz w:val="24"/>
          <w:szCs w:val="24"/>
        </w:rPr>
        <w:t>or</w:t>
      </w:r>
      <w:r w:rsidR="00D23DDC" w:rsidRPr="00D23DDC">
        <w:rPr>
          <w:rFonts w:ascii="Book Antiqua" w:hAnsi="Book Antiqua"/>
          <w:sz w:val="24"/>
          <w:szCs w:val="24"/>
        </w:rPr>
        <w:t xml:space="preserve"> the benefit </w:t>
      </w:r>
      <w:r w:rsidR="005E6535">
        <w:rPr>
          <w:rFonts w:ascii="Book Antiqua" w:hAnsi="Book Antiqua"/>
          <w:sz w:val="24"/>
          <w:szCs w:val="24"/>
        </w:rPr>
        <w:t>that customer</w:t>
      </w:r>
      <w:r w:rsidR="00E14417">
        <w:rPr>
          <w:rFonts w:ascii="Book Antiqua" w:hAnsi="Book Antiqua"/>
          <w:sz w:val="24"/>
          <w:szCs w:val="24"/>
        </w:rPr>
        <w:t>s</w:t>
      </w:r>
      <w:r w:rsidR="005E6535">
        <w:rPr>
          <w:rFonts w:ascii="Book Antiqua" w:hAnsi="Book Antiqua"/>
          <w:sz w:val="24"/>
          <w:szCs w:val="24"/>
        </w:rPr>
        <w:t xml:space="preserve"> get from</w:t>
      </w:r>
      <w:r w:rsidR="00D23DDC" w:rsidRPr="00D23DDC">
        <w:rPr>
          <w:rFonts w:ascii="Book Antiqua" w:hAnsi="Book Antiqua"/>
          <w:sz w:val="24"/>
          <w:szCs w:val="24"/>
        </w:rPr>
        <w:t xml:space="preserve"> the subscription may decrease. </w:t>
      </w:r>
      <w:r w:rsidR="00F8002D">
        <w:rPr>
          <w:rFonts w:ascii="Book Antiqua" w:hAnsi="Book Antiqua"/>
          <w:sz w:val="24"/>
          <w:szCs w:val="24"/>
        </w:rPr>
        <w:t>When this happens</w:t>
      </w:r>
      <w:r w:rsidR="00D23DDC" w:rsidRPr="00D23DDC">
        <w:rPr>
          <w:rFonts w:ascii="Book Antiqua" w:hAnsi="Book Antiqua"/>
          <w:sz w:val="24"/>
          <w:szCs w:val="24"/>
        </w:rPr>
        <w:t xml:space="preserve">, a reasonable customer will switch to the alternative or unsubscribe. However, some customers fail to do </w:t>
      </w:r>
      <w:r w:rsidR="00F8002D">
        <w:rPr>
          <w:rFonts w:ascii="Book Antiqua" w:hAnsi="Book Antiqua"/>
          <w:sz w:val="24"/>
          <w:szCs w:val="24"/>
        </w:rPr>
        <w:t>so</w:t>
      </w:r>
      <w:r w:rsidR="00D23DDC" w:rsidRPr="00D23DDC">
        <w:rPr>
          <w:rFonts w:ascii="Book Antiqua" w:hAnsi="Book Antiqua"/>
          <w:sz w:val="24"/>
          <w:szCs w:val="24"/>
        </w:rPr>
        <w:t xml:space="preserve">. </w:t>
      </w:r>
      <w:r w:rsidR="00A24384">
        <w:rPr>
          <w:rFonts w:ascii="Book Antiqua" w:hAnsi="Book Antiqua"/>
          <w:sz w:val="24"/>
          <w:szCs w:val="24"/>
        </w:rPr>
        <w:t>T</w:t>
      </w:r>
      <w:r w:rsidR="00F8002D">
        <w:rPr>
          <w:rFonts w:ascii="Book Antiqua" w:hAnsi="Book Antiqua"/>
          <w:sz w:val="24"/>
          <w:szCs w:val="24"/>
        </w:rPr>
        <w:t xml:space="preserve">his </w:t>
      </w:r>
      <w:r w:rsidR="00E8110A">
        <w:rPr>
          <w:rFonts w:ascii="Book Antiqua" w:hAnsi="Book Antiqua"/>
          <w:sz w:val="24"/>
          <w:szCs w:val="24"/>
        </w:rPr>
        <w:t>failure</w:t>
      </w:r>
      <w:r w:rsidR="00A24384">
        <w:rPr>
          <w:rFonts w:ascii="Book Antiqua" w:hAnsi="Book Antiqua"/>
          <w:sz w:val="24"/>
          <w:szCs w:val="24"/>
        </w:rPr>
        <w:t xml:space="preserve"> is</w:t>
      </w:r>
      <w:r w:rsidR="00E8110A">
        <w:rPr>
          <w:rFonts w:ascii="Book Antiqua" w:hAnsi="Book Antiqua"/>
          <w:sz w:val="24"/>
          <w:szCs w:val="24"/>
        </w:rPr>
        <w:t xml:space="preserve"> </w:t>
      </w:r>
      <w:r w:rsidR="00A24384">
        <w:rPr>
          <w:rFonts w:ascii="Book Antiqua" w:hAnsi="Book Antiqua"/>
          <w:sz w:val="24"/>
          <w:szCs w:val="24"/>
        </w:rPr>
        <w:t xml:space="preserve">defined </w:t>
      </w:r>
      <w:r>
        <w:rPr>
          <w:rFonts w:ascii="Book Antiqua" w:hAnsi="Book Antiqua"/>
          <w:sz w:val="24"/>
          <w:szCs w:val="24"/>
        </w:rPr>
        <w:t xml:space="preserve">as </w:t>
      </w:r>
      <w:r w:rsidR="00D23DDC" w:rsidRPr="00D23DDC">
        <w:rPr>
          <w:rFonts w:ascii="Book Antiqua" w:hAnsi="Book Antiqua"/>
          <w:sz w:val="24"/>
          <w:szCs w:val="24"/>
        </w:rPr>
        <w:t>customer</w:t>
      </w:r>
      <w:r>
        <w:rPr>
          <w:rFonts w:ascii="Book Antiqua" w:hAnsi="Book Antiqua"/>
          <w:sz w:val="24"/>
          <w:szCs w:val="24"/>
        </w:rPr>
        <w:t>’s inertia</w:t>
      </w:r>
      <w:r w:rsidR="00A24384">
        <w:rPr>
          <w:rFonts w:ascii="Book Antiqua" w:hAnsi="Book Antiqua"/>
          <w:sz w:val="24"/>
          <w:szCs w:val="24"/>
        </w:rPr>
        <w:t>. U</w:t>
      </w:r>
      <w:r w:rsidR="00A24384" w:rsidRPr="00D23DDC">
        <w:rPr>
          <w:rFonts w:ascii="Book Antiqua" w:hAnsi="Book Antiqua"/>
          <w:sz w:val="24"/>
          <w:szCs w:val="24"/>
        </w:rPr>
        <w:t>sing data from customers'</w:t>
      </w:r>
      <w:r w:rsidR="00A24384">
        <w:rPr>
          <w:rFonts w:ascii="Book Antiqua" w:hAnsi="Book Antiqua"/>
          <w:sz w:val="24"/>
          <w:szCs w:val="24"/>
        </w:rPr>
        <w:t xml:space="preserve"> statements, this study </w:t>
      </w:r>
      <w:r w:rsidR="00EA2AFB">
        <w:rPr>
          <w:rFonts w:ascii="Book Antiqua" w:hAnsi="Book Antiqua"/>
          <w:sz w:val="24"/>
          <w:szCs w:val="24"/>
        </w:rPr>
        <w:t>identifies</w:t>
      </w:r>
      <w:r w:rsidR="00D23DDC" w:rsidRPr="00D23DDC">
        <w:rPr>
          <w:rFonts w:ascii="Book Antiqua" w:hAnsi="Book Antiqua"/>
          <w:sz w:val="24"/>
          <w:szCs w:val="24"/>
        </w:rPr>
        <w:t xml:space="preserve"> </w:t>
      </w:r>
      <w:r w:rsidR="00E8110A">
        <w:rPr>
          <w:rFonts w:ascii="Book Antiqua" w:hAnsi="Book Antiqua"/>
          <w:sz w:val="24"/>
          <w:szCs w:val="24"/>
        </w:rPr>
        <w:t>inert customer</w:t>
      </w:r>
      <w:r w:rsidR="00D23DDC" w:rsidRPr="00D23DDC">
        <w:rPr>
          <w:rFonts w:ascii="Book Antiqua" w:hAnsi="Book Antiqua"/>
          <w:sz w:val="24"/>
          <w:szCs w:val="24"/>
        </w:rPr>
        <w:t xml:space="preserve"> </w:t>
      </w:r>
      <w:r w:rsidR="00F8002D">
        <w:rPr>
          <w:rFonts w:ascii="Book Antiqua" w:hAnsi="Book Antiqua"/>
          <w:sz w:val="24"/>
          <w:szCs w:val="24"/>
        </w:rPr>
        <w:t xml:space="preserve">behavior </w:t>
      </w:r>
      <w:r w:rsidR="00D23DDC" w:rsidRPr="00D23DDC">
        <w:rPr>
          <w:rFonts w:ascii="Book Antiqua" w:hAnsi="Book Antiqua"/>
          <w:sz w:val="24"/>
          <w:szCs w:val="24"/>
        </w:rPr>
        <w:t xml:space="preserve">among </w:t>
      </w:r>
      <w:r w:rsidR="005E0D5A">
        <w:rPr>
          <w:rFonts w:ascii="Book Antiqua" w:hAnsi="Book Antiqua"/>
          <w:sz w:val="24"/>
          <w:szCs w:val="24"/>
        </w:rPr>
        <w:t xml:space="preserve">monthly </w:t>
      </w:r>
      <w:r w:rsidR="00D23DDC" w:rsidRPr="00D23DDC">
        <w:rPr>
          <w:rFonts w:ascii="Book Antiqua" w:hAnsi="Book Antiqua"/>
          <w:sz w:val="24"/>
          <w:szCs w:val="24"/>
        </w:rPr>
        <w:t>wireless phone</w:t>
      </w:r>
      <w:r w:rsidR="005E0D5A">
        <w:rPr>
          <w:rFonts w:ascii="Book Antiqua" w:hAnsi="Book Antiqua"/>
          <w:sz w:val="24"/>
          <w:szCs w:val="24"/>
        </w:rPr>
        <w:t xml:space="preserve"> line</w:t>
      </w:r>
      <w:r w:rsidR="00D23DDC" w:rsidRPr="00D23DDC">
        <w:rPr>
          <w:rFonts w:ascii="Book Antiqua" w:hAnsi="Book Antiqua"/>
          <w:sz w:val="24"/>
          <w:szCs w:val="24"/>
        </w:rPr>
        <w:t xml:space="preserve"> subscriptions.</w:t>
      </w:r>
      <w:r>
        <w:rPr>
          <w:rFonts w:ascii="Book Antiqua" w:hAnsi="Book Antiqua"/>
          <w:sz w:val="24"/>
          <w:szCs w:val="24"/>
        </w:rPr>
        <w:t xml:space="preserve"> </w:t>
      </w:r>
      <w:r w:rsidR="00507667">
        <w:rPr>
          <w:rFonts w:ascii="Book Antiqua" w:hAnsi="Book Antiqua"/>
          <w:sz w:val="24"/>
          <w:szCs w:val="24"/>
        </w:rPr>
        <w:t>To address</w:t>
      </w:r>
      <w:r w:rsidR="005E0D5A" w:rsidRPr="005E0D5A">
        <w:rPr>
          <w:rFonts w:ascii="Book Antiqua" w:hAnsi="Book Antiqua"/>
          <w:sz w:val="24"/>
          <w:szCs w:val="24"/>
        </w:rPr>
        <w:t xml:space="preserve"> inertia</w:t>
      </w:r>
      <w:r w:rsidR="00507667">
        <w:rPr>
          <w:rFonts w:ascii="Book Antiqua" w:hAnsi="Book Antiqua"/>
          <w:sz w:val="24"/>
          <w:szCs w:val="24"/>
        </w:rPr>
        <w:t xml:space="preserve">, states have responded </w:t>
      </w:r>
      <w:r w:rsidR="005E0D5A" w:rsidRPr="005E0D5A">
        <w:rPr>
          <w:rFonts w:ascii="Book Antiqua" w:hAnsi="Book Antiqua"/>
          <w:sz w:val="24"/>
          <w:szCs w:val="24"/>
        </w:rPr>
        <w:t>with automatic renewal laws</w:t>
      </w:r>
      <w:r w:rsidR="005E0D5A">
        <w:rPr>
          <w:rFonts w:ascii="Book Antiqua" w:hAnsi="Book Antiqua"/>
          <w:sz w:val="24"/>
          <w:szCs w:val="24"/>
        </w:rPr>
        <w:t xml:space="preserve"> that</w:t>
      </w:r>
      <w:r w:rsidR="005E0D5A" w:rsidRPr="005E0D5A">
        <w:rPr>
          <w:rFonts w:ascii="Book Antiqua" w:hAnsi="Book Antiqua"/>
          <w:sz w:val="24"/>
          <w:szCs w:val="24"/>
        </w:rPr>
        <w:t xml:space="preserve"> </w:t>
      </w:r>
      <w:r w:rsidR="005E6535">
        <w:rPr>
          <w:rFonts w:ascii="Book Antiqua" w:hAnsi="Book Antiqua"/>
          <w:sz w:val="24"/>
          <w:szCs w:val="24"/>
        </w:rPr>
        <w:t xml:space="preserve">most of </w:t>
      </w:r>
      <w:r w:rsidR="00E14417">
        <w:rPr>
          <w:rFonts w:ascii="Book Antiqua" w:hAnsi="Book Antiqua"/>
          <w:sz w:val="24"/>
          <w:szCs w:val="24"/>
        </w:rPr>
        <w:t>which</w:t>
      </w:r>
      <w:r w:rsidR="005E6535">
        <w:rPr>
          <w:rFonts w:ascii="Book Antiqua" w:hAnsi="Book Antiqua"/>
          <w:sz w:val="24"/>
          <w:szCs w:val="24"/>
        </w:rPr>
        <w:t xml:space="preserve"> </w:t>
      </w:r>
      <w:r w:rsidR="00A24384">
        <w:rPr>
          <w:rFonts w:ascii="Book Antiqua" w:hAnsi="Book Antiqua"/>
          <w:sz w:val="24"/>
          <w:szCs w:val="24"/>
        </w:rPr>
        <w:t>cover only yearly contracts</w:t>
      </w:r>
      <w:r w:rsidR="005E0D5A">
        <w:rPr>
          <w:rFonts w:ascii="Book Antiqua" w:hAnsi="Book Antiqua"/>
          <w:sz w:val="24"/>
          <w:szCs w:val="24"/>
        </w:rPr>
        <w:t>.</w:t>
      </w:r>
      <w:r w:rsidR="00A24384">
        <w:rPr>
          <w:rFonts w:ascii="Book Antiqua" w:hAnsi="Book Antiqua"/>
          <w:sz w:val="24"/>
          <w:szCs w:val="24"/>
        </w:rPr>
        <w:t xml:space="preserve"> Therefore, </w:t>
      </w:r>
      <w:r w:rsidR="00507667">
        <w:rPr>
          <w:rFonts w:ascii="Book Antiqua" w:hAnsi="Book Antiqua"/>
          <w:sz w:val="24"/>
          <w:szCs w:val="24"/>
        </w:rPr>
        <w:t>the</w:t>
      </w:r>
      <w:r w:rsidR="005E6535">
        <w:rPr>
          <w:rFonts w:ascii="Book Antiqua" w:hAnsi="Book Antiqua"/>
          <w:sz w:val="24"/>
          <w:szCs w:val="24"/>
        </w:rPr>
        <w:t xml:space="preserve"> current regulations</w:t>
      </w:r>
      <w:r w:rsidR="00507667">
        <w:rPr>
          <w:rFonts w:ascii="Book Antiqua" w:hAnsi="Book Antiqua"/>
          <w:sz w:val="24"/>
          <w:szCs w:val="24"/>
        </w:rPr>
        <w:t xml:space="preserve"> don’t </w:t>
      </w:r>
      <w:r w:rsidR="005E6535">
        <w:rPr>
          <w:rFonts w:ascii="Book Antiqua" w:hAnsi="Book Antiqua"/>
          <w:sz w:val="24"/>
          <w:szCs w:val="24"/>
        </w:rPr>
        <w:t xml:space="preserve">address </w:t>
      </w:r>
      <w:r w:rsidR="00E14417">
        <w:rPr>
          <w:rFonts w:ascii="Book Antiqua" w:hAnsi="Book Antiqua"/>
          <w:sz w:val="24"/>
          <w:szCs w:val="24"/>
        </w:rPr>
        <w:t xml:space="preserve">the </w:t>
      </w:r>
      <w:r w:rsidR="005E6535">
        <w:rPr>
          <w:rFonts w:ascii="Book Antiqua" w:hAnsi="Book Antiqua"/>
          <w:sz w:val="24"/>
          <w:szCs w:val="24"/>
        </w:rPr>
        <w:t>inertia problem in monthly subscriptions</w:t>
      </w:r>
      <w:r w:rsidR="00A24384">
        <w:rPr>
          <w:rFonts w:ascii="Book Antiqua" w:hAnsi="Book Antiqua"/>
          <w:sz w:val="24"/>
          <w:szCs w:val="24"/>
        </w:rPr>
        <w:t>.</w:t>
      </w:r>
      <w:r w:rsidR="005E0D5A">
        <w:rPr>
          <w:rFonts w:ascii="Book Antiqua" w:hAnsi="Book Antiqua"/>
          <w:sz w:val="24"/>
          <w:szCs w:val="24"/>
        </w:rPr>
        <w:t xml:space="preserve"> Drawing on the marketing literature, this </w:t>
      </w:r>
      <w:r w:rsidR="00EA2AFB">
        <w:rPr>
          <w:rFonts w:ascii="Book Antiqua" w:hAnsi="Book Antiqua"/>
          <w:sz w:val="24"/>
          <w:szCs w:val="24"/>
        </w:rPr>
        <w:t>study</w:t>
      </w:r>
      <w:r w:rsidR="00D23DDC" w:rsidRPr="00D23DDC">
        <w:rPr>
          <w:rFonts w:ascii="Book Antiqua" w:hAnsi="Book Antiqua"/>
          <w:sz w:val="24"/>
          <w:szCs w:val="24"/>
        </w:rPr>
        <w:t xml:space="preserve"> proposes </w:t>
      </w:r>
      <w:r w:rsidR="005E0D5A">
        <w:rPr>
          <w:rFonts w:ascii="Book Antiqua" w:hAnsi="Book Antiqua"/>
          <w:sz w:val="24"/>
          <w:szCs w:val="24"/>
        </w:rPr>
        <w:t xml:space="preserve">expanding state regulations to all subscriptions with </w:t>
      </w:r>
      <w:r w:rsidR="00D23DDC" w:rsidRPr="00D23DDC">
        <w:rPr>
          <w:rFonts w:ascii="Book Antiqua" w:hAnsi="Book Antiqua"/>
          <w:sz w:val="24"/>
          <w:szCs w:val="24"/>
        </w:rPr>
        <w:t xml:space="preserve">a reminder </w:t>
      </w:r>
      <w:r w:rsidR="00F8002D">
        <w:rPr>
          <w:rFonts w:ascii="Book Antiqua" w:hAnsi="Book Antiqua"/>
          <w:sz w:val="24"/>
          <w:szCs w:val="24"/>
        </w:rPr>
        <w:t>mechanism</w:t>
      </w:r>
      <w:r w:rsidR="005E0D5A">
        <w:rPr>
          <w:rFonts w:ascii="Book Antiqua" w:hAnsi="Book Antiqua"/>
          <w:sz w:val="24"/>
          <w:szCs w:val="24"/>
        </w:rPr>
        <w:t>.</w:t>
      </w:r>
    </w:p>
    <w:p w14:paraId="20417A67" w14:textId="77777777" w:rsidR="005E0D5A" w:rsidRDefault="005E0D5A" w:rsidP="00EA2AFB">
      <w:pPr>
        <w:pStyle w:val="ListeParagraf"/>
        <w:autoSpaceDE w:val="0"/>
        <w:autoSpaceDN w:val="0"/>
        <w:adjustRightInd w:val="0"/>
        <w:spacing w:before="240" w:after="240" w:line="480" w:lineRule="auto"/>
        <w:ind w:left="0"/>
        <w:contextualSpacing w:val="0"/>
        <w:jc w:val="both"/>
        <w:rPr>
          <w:rFonts w:ascii="Book Antiqua" w:hAnsi="Book Antiqua"/>
          <w:sz w:val="24"/>
          <w:szCs w:val="24"/>
        </w:rPr>
      </w:pPr>
    </w:p>
    <w:p w14:paraId="540D76C6" w14:textId="66A38026" w:rsidR="00615FB6" w:rsidRDefault="00615FB6" w:rsidP="00C63857">
      <w:pPr>
        <w:spacing w:line="480" w:lineRule="auto"/>
        <w:jc w:val="center"/>
        <w:rPr>
          <w:rFonts w:ascii="Book Antiqua" w:hAnsi="Book Antiqua"/>
          <w:sz w:val="24"/>
          <w:szCs w:val="24"/>
        </w:rPr>
      </w:pPr>
      <w:r>
        <w:rPr>
          <w:rFonts w:ascii="Book Antiqua" w:hAnsi="Book Antiqua"/>
          <w:sz w:val="24"/>
          <w:szCs w:val="24"/>
        </w:rPr>
        <w:t>Introduction</w:t>
      </w:r>
    </w:p>
    <w:p w14:paraId="4D452BD2" w14:textId="1238F758" w:rsidR="006A425C" w:rsidRPr="006A425C" w:rsidRDefault="00C63857" w:rsidP="006A425C">
      <w:pPr>
        <w:spacing w:line="480" w:lineRule="auto"/>
        <w:ind w:firstLine="708"/>
        <w:jc w:val="both"/>
        <w:rPr>
          <w:rFonts w:ascii="Book Antiqua" w:hAnsi="Book Antiqua"/>
          <w:sz w:val="24"/>
          <w:szCs w:val="24"/>
        </w:rPr>
      </w:pPr>
      <w:r>
        <w:rPr>
          <w:rFonts w:ascii="Book Antiqua" w:hAnsi="Book Antiqua"/>
          <w:sz w:val="24"/>
          <w:szCs w:val="24"/>
        </w:rPr>
        <w:t>The market offers many alternatives for different types of subscriptions.  When picking among different type</w:t>
      </w:r>
      <w:r w:rsidR="00E6374C">
        <w:rPr>
          <w:rFonts w:ascii="Book Antiqua" w:hAnsi="Book Antiqua"/>
          <w:sz w:val="24"/>
          <w:szCs w:val="24"/>
        </w:rPr>
        <w:t>s</w:t>
      </w:r>
      <w:r>
        <w:rPr>
          <w:rFonts w:ascii="Book Antiqua" w:hAnsi="Book Antiqua"/>
          <w:sz w:val="24"/>
          <w:szCs w:val="24"/>
        </w:rPr>
        <w:t xml:space="preserve"> of services, a consumer makes an initial sign-up decision after evaluating the service and comparing it with the other alternatives. </w:t>
      </w:r>
      <w:r w:rsidR="006A425C">
        <w:rPr>
          <w:rFonts w:ascii="Book Antiqua" w:hAnsi="Book Antiqua"/>
          <w:sz w:val="24"/>
          <w:szCs w:val="24"/>
        </w:rPr>
        <w:t>Picking a</w:t>
      </w:r>
      <w:r w:rsidR="006A425C" w:rsidRPr="006A425C">
        <w:rPr>
          <w:rFonts w:ascii="Book Antiqua" w:hAnsi="Book Antiqua"/>
          <w:sz w:val="24"/>
          <w:szCs w:val="24"/>
        </w:rPr>
        <w:t xml:space="preserve"> subscription might not seem much different from a one-time purchase of </w:t>
      </w:r>
      <w:r w:rsidR="006A425C">
        <w:rPr>
          <w:rFonts w:ascii="Book Antiqua" w:hAnsi="Book Antiqua"/>
          <w:sz w:val="24"/>
          <w:szCs w:val="24"/>
        </w:rPr>
        <w:t>a toaster</w:t>
      </w:r>
      <w:r w:rsidR="006A425C" w:rsidRPr="006A425C">
        <w:rPr>
          <w:rFonts w:ascii="Book Antiqua" w:hAnsi="Book Antiqua"/>
          <w:sz w:val="24"/>
          <w:szCs w:val="24"/>
        </w:rPr>
        <w:t>.</w:t>
      </w:r>
      <w:r w:rsidR="006A425C">
        <w:rPr>
          <w:rFonts w:ascii="Segoe UI" w:hAnsi="Segoe UI" w:cs="Segoe UI"/>
          <w:color w:val="3C4257"/>
          <w:shd w:val="clear" w:color="auto" w:fill="FFFFFF"/>
        </w:rPr>
        <w:t> </w:t>
      </w:r>
      <w:r w:rsidR="006A425C" w:rsidRPr="006A425C">
        <w:rPr>
          <w:rFonts w:ascii="Book Antiqua" w:hAnsi="Book Antiqua"/>
          <w:sz w:val="24"/>
          <w:szCs w:val="24"/>
        </w:rPr>
        <w:t xml:space="preserve">However, </w:t>
      </w:r>
      <w:r w:rsidR="00E6374C">
        <w:rPr>
          <w:rFonts w:ascii="Book Antiqua" w:hAnsi="Book Antiqua"/>
          <w:sz w:val="24"/>
          <w:szCs w:val="24"/>
        </w:rPr>
        <w:t>subscriptions</w:t>
      </w:r>
      <w:r w:rsidR="006A425C" w:rsidRPr="006A425C">
        <w:rPr>
          <w:rFonts w:ascii="Book Antiqua" w:hAnsi="Book Antiqua"/>
          <w:sz w:val="24"/>
          <w:szCs w:val="24"/>
        </w:rPr>
        <w:t xml:space="preserve"> differ</w:t>
      </w:r>
      <w:r w:rsidR="00E6374C">
        <w:rPr>
          <w:rFonts w:ascii="Book Antiqua" w:hAnsi="Book Antiqua"/>
          <w:sz w:val="24"/>
          <w:szCs w:val="24"/>
        </w:rPr>
        <w:t xml:space="preserve"> from</w:t>
      </w:r>
      <w:r w:rsidR="006A425C" w:rsidRPr="006A425C">
        <w:rPr>
          <w:rFonts w:ascii="Book Antiqua" w:hAnsi="Book Antiqua"/>
          <w:sz w:val="24"/>
          <w:szCs w:val="24"/>
        </w:rPr>
        <w:t xml:space="preserve"> </w:t>
      </w:r>
      <w:r w:rsidR="00E6374C">
        <w:rPr>
          <w:rFonts w:ascii="Book Antiqua" w:hAnsi="Book Antiqua"/>
          <w:sz w:val="24"/>
          <w:szCs w:val="24"/>
        </w:rPr>
        <w:t xml:space="preserve">toasters </w:t>
      </w:r>
      <w:r w:rsidR="003C5289">
        <w:rPr>
          <w:rFonts w:ascii="Book Antiqua" w:hAnsi="Book Antiqua"/>
          <w:sz w:val="24"/>
          <w:szCs w:val="24"/>
        </w:rPr>
        <w:t>with</w:t>
      </w:r>
      <w:r w:rsidR="00E6374C">
        <w:rPr>
          <w:rFonts w:ascii="Book Antiqua" w:hAnsi="Book Antiqua"/>
          <w:sz w:val="24"/>
          <w:szCs w:val="24"/>
        </w:rPr>
        <w:t xml:space="preserve"> re</w:t>
      </w:r>
      <w:r w:rsidR="003C5289">
        <w:rPr>
          <w:rFonts w:ascii="Book Antiqua" w:hAnsi="Book Antiqua"/>
          <w:sz w:val="24"/>
          <w:szCs w:val="24"/>
        </w:rPr>
        <w:t>c</w:t>
      </w:r>
      <w:r w:rsidR="00E6374C">
        <w:rPr>
          <w:rFonts w:ascii="Book Antiqua" w:hAnsi="Book Antiqua"/>
          <w:sz w:val="24"/>
          <w:szCs w:val="24"/>
        </w:rPr>
        <w:t>urring payments</w:t>
      </w:r>
      <w:r w:rsidR="006A425C" w:rsidRPr="006A425C">
        <w:rPr>
          <w:rFonts w:ascii="Book Antiqua" w:hAnsi="Book Antiqua"/>
          <w:sz w:val="24"/>
          <w:szCs w:val="24"/>
        </w:rPr>
        <w:t>.</w:t>
      </w:r>
    </w:p>
    <w:p w14:paraId="7DB36298" w14:textId="04A58098" w:rsidR="00C63857" w:rsidRDefault="00C63857" w:rsidP="00C63857">
      <w:pPr>
        <w:spacing w:line="480" w:lineRule="auto"/>
        <w:ind w:firstLine="708"/>
        <w:jc w:val="both"/>
        <w:rPr>
          <w:rFonts w:ascii="Book Antiqua" w:hAnsi="Book Antiqua"/>
          <w:sz w:val="24"/>
          <w:szCs w:val="24"/>
        </w:rPr>
      </w:pPr>
      <w:r>
        <w:rPr>
          <w:rFonts w:ascii="Book Antiqua" w:hAnsi="Book Antiqua"/>
          <w:sz w:val="24"/>
          <w:szCs w:val="24"/>
        </w:rPr>
        <w:t xml:space="preserve">Over time, the market may offer better alternatives for the customer, but the customer may fail to notice </w:t>
      </w:r>
      <w:r w:rsidR="006A425C">
        <w:rPr>
          <w:rFonts w:ascii="Book Antiqua" w:hAnsi="Book Antiqua"/>
          <w:sz w:val="24"/>
          <w:szCs w:val="24"/>
        </w:rPr>
        <w:t>them</w:t>
      </w:r>
      <w:r w:rsidR="00EA2AFB">
        <w:rPr>
          <w:rFonts w:ascii="Book Antiqua" w:hAnsi="Book Antiqua"/>
          <w:sz w:val="24"/>
          <w:szCs w:val="24"/>
        </w:rPr>
        <w:t xml:space="preserve"> or fail to </w:t>
      </w:r>
      <w:r w:rsidR="00E6374C">
        <w:rPr>
          <w:rFonts w:ascii="Book Antiqua" w:hAnsi="Book Antiqua"/>
          <w:sz w:val="24"/>
          <w:szCs w:val="24"/>
        </w:rPr>
        <w:t>act</w:t>
      </w:r>
      <w:r>
        <w:rPr>
          <w:rFonts w:ascii="Book Antiqua" w:hAnsi="Book Antiqua"/>
          <w:sz w:val="24"/>
          <w:szCs w:val="24"/>
        </w:rPr>
        <w:t xml:space="preserve">. </w:t>
      </w:r>
      <w:r w:rsidR="00EA2AFB">
        <w:rPr>
          <w:rFonts w:ascii="Book Antiqua" w:hAnsi="Book Antiqua"/>
          <w:sz w:val="24"/>
          <w:szCs w:val="24"/>
        </w:rPr>
        <w:t>Moreover,</w:t>
      </w:r>
      <w:r w:rsidRPr="00C63857">
        <w:rPr>
          <w:rFonts w:ascii="Book Antiqua" w:hAnsi="Book Antiqua"/>
          <w:sz w:val="24"/>
          <w:szCs w:val="24"/>
        </w:rPr>
        <w:t xml:space="preserve"> the customer may not be able to benefit from this service as originally expected.</w:t>
      </w:r>
      <w:r w:rsidR="002A25DA">
        <w:rPr>
          <w:rStyle w:val="DipnotBavurusu"/>
          <w:rFonts w:ascii="Book Antiqua" w:hAnsi="Book Antiqua"/>
          <w:sz w:val="24"/>
          <w:szCs w:val="24"/>
        </w:rPr>
        <w:footnoteReference w:id="1"/>
      </w:r>
      <w:r>
        <w:rPr>
          <w:rFonts w:ascii="Book Antiqua" w:hAnsi="Book Antiqua"/>
          <w:sz w:val="24"/>
          <w:szCs w:val="24"/>
        </w:rPr>
        <w:t xml:space="preserve"> </w:t>
      </w:r>
      <w:r w:rsidR="000639DB">
        <w:rPr>
          <w:rFonts w:ascii="Book Antiqua" w:hAnsi="Book Antiqua"/>
          <w:sz w:val="24"/>
          <w:szCs w:val="24"/>
        </w:rPr>
        <w:t>In</w:t>
      </w:r>
      <w:r>
        <w:rPr>
          <w:rFonts w:ascii="Book Antiqua" w:hAnsi="Book Antiqua"/>
          <w:sz w:val="24"/>
          <w:szCs w:val="24"/>
        </w:rPr>
        <w:t xml:space="preserve"> these scenarios, a rational customer is expected to switch to the better alternative or cancel the subscription</w:t>
      </w:r>
      <w:r w:rsidR="006A425C">
        <w:rPr>
          <w:rFonts w:ascii="Book Antiqua" w:hAnsi="Book Antiqua"/>
          <w:sz w:val="24"/>
          <w:szCs w:val="24"/>
        </w:rPr>
        <w:t xml:space="preserve"> that doesn’t deliver the </w:t>
      </w:r>
      <w:r w:rsidR="005E6535">
        <w:rPr>
          <w:rFonts w:ascii="Book Antiqua" w:hAnsi="Book Antiqua"/>
          <w:sz w:val="24"/>
          <w:szCs w:val="24"/>
        </w:rPr>
        <w:t>expected</w:t>
      </w:r>
      <w:r w:rsidR="006A425C">
        <w:rPr>
          <w:rFonts w:ascii="Book Antiqua" w:hAnsi="Book Antiqua"/>
          <w:sz w:val="24"/>
          <w:szCs w:val="24"/>
        </w:rPr>
        <w:t xml:space="preserve"> benefits</w:t>
      </w:r>
      <w:r>
        <w:rPr>
          <w:rFonts w:ascii="Book Antiqua" w:hAnsi="Book Antiqua"/>
          <w:sz w:val="24"/>
          <w:szCs w:val="24"/>
        </w:rPr>
        <w:t xml:space="preserve">. </w:t>
      </w:r>
      <w:r w:rsidR="002A25DA">
        <w:rPr>
          <w:rFonts w:ascii="Book Antiqua" w:hAnsi="Book Antiqua"/>
          <w:sz w:val="24"/>
          <w:szCs w:val="24"/>
        </w:rPr>
        <w:t xml:space="preserve">But some customers fail to do so. </w:t>
      </w:r>
      <w:r>
        <w:rPr>
          <w:rFonts w:ascii="Book Antiqua" w:hAnsi="Book Antiqua"/>
          <w:sz w:val="24"/>
          <w:szCs w:val="24"/>
        </w:rPr>
        <w:t>The customer’s failure to switch</w:t>
      </w:r>
      <w:r w:rsidR="005E6535">
        <w:rPr>
          <w:rFonts w:ascii="Book Antiqua" w:hAnsi="Book Antiqua"/>
          <w:sz w:val="24"/>
          <w:szCs w:val="24"/>
        </w:rPr>
        <w:t xml:space="preserve"> </w:t>
      </w:r>
      <w:r w:rsidR="005E6535">
        <w:rPr>
          <w:rFonts w:ascii="Book Antiqua" w:hAnsi="Book Antiqua"/>
          <w:sz w:val="24"/>
          <w:szCs w:val="24"/>
        </w:rPr>
        <w:t>when there’s a better alternative on the market</w:t>
      </w:r>
      <w:r>
        <w:rPr>
          <w:rFonts w:ascii="Book Antiqua" w:hAnsi="Book Antiqua"/>
          <w:sz w:val="24"/>
          <w:szCs w:val="24"/>
        </w:rPr>
        <w:t xml:space="preserve"> or </w:t>
      </w:r>
      <w:r w:rsidR="00EA2AFB">
        <w:rPr>
          <w:rFonts w:ascii="Book Antiqua" w:hAnsi="Book Antiqua"/>
          <w:sz w:val="24"/>
          <w:szCs w:val="24"/>
        </w:rPr>
        <w:t>unsubscribe</w:t>
      </w:r>
      <w:r>
        <w:rPr>
          <w:rFonts w:ascii="Book Antiqua" w:hAnsi="Book Antiqua"/>
          <w:sz w:val="24"/>
          <w:szCs w:val="24"/>
        </w:rPr>
        <w:t xml:space="preserve"> when the expected benefit isn’t delivered </w:t>
      </w:r>
      <w:r w:rsidR="00EA2AFB">
        <w:rPr>
          <w:rFonts w:ascii="Book Antiqua" w:hAnsi="Book Antiqua"/>
          <w:sz w:val="24"/>
          <w:szCs w:val="24"/>
        </w:rPr>
        <w:t xml:space="preserve">is </w:t>
      </w:r>
      <w:r>
        <w:rPr>
          <w:rFonts w:ascii="Book Antiqua" w:hAnsi="Book Antiqua"/>
          <w:sz w:val="24"/>
          <w:szCs w:val="24"/>
        </w:rPr>
        <w:t xml:space="preserve">defined as </w:t>
      </w:r>
      <w:r w:rsidR="00E6374C">
        <w:rPr>
          <w:rFonts w:ascii="Book Antiqua" w:hAnsi="Book Antiqua"/>
          <w:sz w:val="24"/>
          <w:szCs w:val="24"/>
        </w:rPr>
        <w:t xml:space="preserve">the </w:t>
      </w:r>
      <w:r w:rsidR="005E0D5A">
        <w:rPr>
          <w:rFonts w:ascii="Book Antiqua" w:hAnsi="Book Antiqua"/>
          <w:sz w:val="24"/>
          <w:szCs w:val="24"/>
        </w:rPr>
        <w:t>“</w:t>
      </w:r>
      <w:r>
        <w:rPr>
          <w:rFonts w:ascii="Book Antiqua" w:hAnsi="Book Antiqua"/>
          <w:sz w:val="24"/>
          <w:szCs w:val="24"/>
        </w:rPr>
        <w:t>customer’s inertia</w:t>
      </w:r>
      <w:r w:rsidR="005E0D5A">
        <w:rPr>
          <w:rFonts w:ascii="Book Antiqua" w:hAnsi="Book Antiqua"/>
          <w:sz w:val="24"/>
          <w:szCs w:val="24"/>
        </w:rPr>
        <w:t>”</w:t>
      </w:r>
      <w:r>
        <w:rPr>
          <w:rFonts w:ascii="Book Antiqua" w:hAnsi="Book Antiqua"/>
          <w:sz w:val="24"/>
          <w:szCs w:val="24"/>
        </w:rPr>
        <w:t>.</w:t>
      </w:r>
      <w:r w:rsidR="00EA2AFB">
        <w:rPr>
          <w:rStyle w:val="DipnotBavurusu"/>
          <w:rFonts w:ascii="Book Antiqua" w:hAnsi="Book Antiqua"/>
          <w:sz w:val="24"/>
          <w:szCs w:val="24"/>
        </w:rPr>
        <w:footnoteReference w:id="2"/>
      </w:r>
    </w:p>
    <w:p w14:paraId="3EE9B971" w14:textId="13B1ABC2" w:rsidR="00C63857" w:rsidRDefault="00C63857" w:rsidP="00C73224">
      <w:pPr>
        <w:spacing w:line="480" w:lineRule="auto"/>
        <w:ind w:firstLine="708"/>
        <w:jc w:val="both"/>
        <w:rPr>
          <w:rFonts w:ascii="Book Antiqua" w:hAnsi="Book Antiqua"/>
          <w:sz w:val="24"/>
          <w:szCs w:val="24"/>
        </w:rPr>
      </w:pPr>
      <w:r>
        <w:rPr>
          <w:rFonts w:ascii="Book Antiqua" w:hAnsi="Book Antiqua"/>
          <w:sz w:val="24"/>
          <w:szCs w:val="24"/>
        </w:rPr>
        <w:lastRenderedPageBreak/>
        <w:t>The customer’s inertia may be observed in many different subscription</w:t>
      </w:r>
      <w:r w:rsidR="00E6374C">
        <w:rPr>
          <w:rFonts w:ascii="Book Antiqua" w:hAnsi="Book Antiqua"/>
          <w:sz w:val="24"/>
          <w:szCs w:val="24"/>
        </w:rPr>
        <w:t>-</w:t>
      </w:r>
      <w:r>
        <w:rPr>
          <w:rFonts w:ascii="Book Antiqua" w:hAnsi="Book Antiqua"/>
          <w:sz w:val="24"/>
          <w:szCs w:val="24"/>
        </w:rPr>
        <w:t>type services from health insurances</w:t>
      </w:r>
      <w:r w:rsidR="002A25DA">
        <w:rPr>
          <w:rStyle w:val="DipnotBavurusu"/>
          <w:rFonts w:ascii="Book Antiqua" w:hAnsi="Book Antiqua"/>
          <w:sz w:val="24"/>
          <w:szCs w:val="24"/>
        </w:rPr>
        <w:footnoteReference w:id="3"/>
      </w:r>
      <w:r>
        <w:rPr>
          <w:rFonts w:ascii="Book Antiqua" w:hAnsi="Book Antiqua"/>
          <w:sz w:val="24"/>
          <w:szCs w:val="24"/>
        </w:rPr>
        <w:t xml:space="preserve"> to </w:t>
      </w:r>
      <w:r w:rsidR="005E6535">
        <w:rPr>
          <w:rFonts w:ascii="Book Antiqua" w:hAnsi="Book Antiqua"/>
          <w:sz w:val="24"/>
          <w:szCs w:val="24"/>
        </w:rPr>
        <w:t>the digital services</w:t>
      </w:r>
      <w:r w:rsidR="005E6535">
        <w:rPr>
          <w:rStyle w:val="DipnotBavurusu"/>
          <w:rFonts w:ascii="Book Antiqua" w:hAnsi="Book Antiqua"/>
          <w:sz w:val="24"/>
          <w:szCs w:val="24"/>
        </w:rPr>
        <w:footnoteReference w:id="4"/>
      </w:r>
      <w:r>
        <w:rPr>
          <w:rFonts w:ascii="Book Antiqua" w:hAnsi="Book Antiqua"/>
          <w:sz w:val="24"/>
          <w:szCs w:val="24"/>
        </w:rPr>
        <w:t xml:space="preserve">. Among </w:t>
      </w:r>
      <w:r w:rsidR="00E06435">
        <w:rPr>
          <w:rFonts w:ascii="Book Antiqua" w:hAnsi="Book Antiqua"/>
          <w:sz w:val="24"/>
          <w:szCs w:val="24"/>
        </w:rPr>
        <w:t>those</w:t>
      </w:r>
      <w:r>
        <w:rPr>
          <w:rFonts w:ascii="Book Antiqua" w:hAnsi="Book Antiqua"/>
          <w:sz w:val="24"/>
          <w:szCs w:val="24"/>
        </w:rPr>
        <w:t xml:space="preserve">, this study scrutinizes wireless phone line subscriptions for various reasons. With the advance of wireless technology, </w:t>
      </w:r>
      <w:r w:rsidR="006A425C">
        <w:rPr>
          <w:rFonts w:ascii="Book Antiqua" w:hAnsi="Book Antiqua"/>
          <w:sz w:val="24"/>
          <w:szCs w:val="24"/>
        </w:rPr>
        <w:t>the wireless service providers</w:t>
      </w:r>
      <w:r>
        <w:rPr>
          <w:rFonts w:ascii="Book Antiqua" w:hAnsi="Book Antiqua"/>
          <w:sz w:val="24"/>
          <w:szCs w:val="24"/>
        </w:rPr>
        <w:t xml:space="preserve"> offered better plans year after year.</w:t>
      </w:r>
      <w:r w:rsidR="00C26550">
        <w:rPr>
          <w:rStyle w:val="DipnotBavurusu"/>
          <w:rFonts w:ascii="Book Antiqua" w:hAnsi="Book Antiqua"/>
          <w:sz w:val="24"/>
          <w:szCs w:val="24"/>
        </w:rPr>
        <w:footnoteReference w:id="5"/>
      </w:r>
      <w:r>
        <w:rPr>
          <w:rFonts w:ascii="Book Antiqua" w:hAnsi="Book Antiqua"/>
          <w:sz w:val="24"/>
          <w:szCs w:val="24"/>
        </w:rPr>
        <w:t xml:space="preserve"> Therefore, the customers who st</w:t>
      </w:r>
      <w:r w:rsidR="00100B18">
        <w:rPr>
          <w:rFonts w:ascii="Book Antiqua" w:hAnsi="Book Antiqua"/>
          <w:sz w:val="24"/>
          <w:szCs w:val="24"/>
        </w:rPr>
        <w:t>u</w:t>
      </w:r>
      <w:r>
        <w:rPr>
          <w:rFonts w:ascii="Book Antiqua" w:hAnsi="Book Antiqua"/>
          <w:sz w:val="24"/>
          <w:szCs w:val="24"/>
        </w:rPr>
        <w:t xml:space="preserve">ck with their plan over the years ended up paying more for getting less while there are better options </w:t>
      </w:r>
      <w:r w:rsidR="00100B18">
        <w:rPr>
          <w:rFonts w:ascii="Book Antiqua" w:hAnsi="Book Antiqua"/>
          <w:sz w:val="24"/>
          <w:szCs w:val="24"/>
        </w:rPr>
        <w:t>o</w:t>
      </w:r>
      <w:r>
        <w:rPr>
          <w:rFonts w:ascii="Book Antiqua" w:hAnsi="Book Antiqua"/>
          <w:sz w:val="24"/>
          <w:szCs w:val="24"/>
        </w:rPr>
        <w:t>n the market. Second, wireless phone subscriptions are one of the most common subscriptions. Almost everyone has a cellphone.</w:t>
      </w:r>
      <w:r w:rsidR="00C26550">
        <w:rPr>
          <w:rStyle w:val="DipnotBavurusu"/>
          <w:rFonts w:ascii="Book Antiqua" w:hAnsi="Book Antiqua"/>
          <w:sz w:val="24"/>
          <w:szCs w:val="24"/>
        </w:rPr>
        <w:footnoteReference w:id="6"/>
      </w:r>
      <w:r w:rsidR="00C26550">
        <w:rPr>
          <w:rFonts w:ascii="Book Antiqua" w:hAnsi="Book Antiqua"/>
          <w:sz w:val="24"/>
          <w:szCs w:val="24"/>
        </w:rPr>
        <w:t xml:space="preserve"> </w:t>
      </w:r>
      <w:r w:rsidR="006A425C">
        <w:rPr>
          <w:rFonts w:ascii="Book Antiqua" w:hAnsi="Book Antiqua"/>
          <w:sz w:val="24"/>
          <w:szCs w:val="24"/>
        </w:rPr>
        <w:t xml:space="preserve">The widespread usage of cellphones not only made the data collecting phase easier but also indicates the importance of the study. </w:t>
      </w:r>
      <w:r>
        <w:rPr>
          <w:rFonts w:ascii="Book Antiqua" w:hAnsi="Book Antiqua"/>
          <w:sz w:val="24"/>
          <w:szCs w:val="24"/>
        </w:rPr>
        <w:t xml:space="preserve">Finally, the inert customer behavior is easily observable in the wireless subscriptions.  </w:t>
      </w:r>
      <w:r w:rsidR="005E6535">
        <w:rPr>
          <w:rFonts w:ascii="Book Antiqua" w:hAnsi="Book Antiqua"/>
          <w:sz w:val="24"/>
          <w:szCs w:val="24"/>
        </w:rPr>
        <w:t>The s</w:t>
      </w:r>
      <w:r w:rsidR="00E5658A">
        <w:rPr>
          <w:rFonts w:ascii="Book Antiqua" w:hAnsi="Book Antiqua"/>
          <w:sz w:val="24"/>
          <w:szCs w:val="24"/>
        </w:rPr>
        <w:t xml:space="preserve">ubscription </w:t>
      </w:r>
      <w:r>
        <w:rPr>
          <w:rFonts w:ascii="Book Antiqua" w:hAnsi="Book Antiqua"/>
          <w:sz w:val="24"/>
          <w:szCs w:val="24"/>
        </w:rPr>
        <w:t xml:space="preserve">statements offer clear evidence of the customers that stick with old plans. </w:t>
      </w:r>
    </w:p>
    <w:p w14:paraId="13460129" w14:textId="54252DBC" w:rsidR="001746AF" w:rsidRDefault="001746AF" w:rsidP="001746AF">
      <w:pPr>
        <w:spacing w:line="480" w:lineRule="auto"/>
        <w:ind w:firstLine="708"/>
        <w:jc w:val="both"/>
        <w:rPr>
          <w:rFonts w:ascii="Book Antiqua" w:hAnsi="Book Antiqua"/>
          <w:sz w:val="24"/>
          <w:szCs w:val="24"/>
        </w:rPr>
      </w:pPr>
      <w:r>
        <w:rPr>
          <w:rFonts w:ascii="Book Antiqua" w:hAnsi="Book Antiqua"/>
          <w:sz w:val="24"/>
          <w:szCs w:val="24"/>
        </w:rPr>
        <w:lastRenderedPageBreak/>
        <w:t>For this</w:t>
      </w:r>
      <w:r w:rsidR="006A425C">
        <w:rPr>
          <w:rFonts w:ascii="Book Antiqua" w:hAnsi="Book Antiqua"/>
          <w:sz w:val="24"/>
          <w:szCs w:val="24"/>
        </w:rPr>
        <w:t xml:space="preserve"> study, 7</w:t>
      </w:r>
      <w:r w:rsidR="00E5658A">
        <w:rPr>
          <w:rFonts w:ascii="Book Antiqua" w:hAnsi="Book Antiqua"/>
          <w:sz w:val="24"/>
          <w:szCs w:val="24"/>
        </w:rPr>
        <w:t>8</w:t>
      </w:r>
      <w:r w:rsidR="006A425C">
        <w:rPr>
          <w:rFonts w:ascii="Book Antiqua" w:hAnsi="Book Antiqua"/>
          <w:sz w:val="24"/>
          <w:szCs w:val="24"/>
        </w:rPr>
        <w:t xml:space="preserve"> statements that represent 290 users </w:t>
      </w:r>
      <w:r w:rsidR="00100B18">
        <w:rPr>
          <w:rFonts w:ascii="Book Antiqua" w:hAnsi="Book Antiqua"/>
          <w:sz w:val="24"/>
          <w:szCs w:val="24"/>
        </w:rPr>
        <w:t>were</w:t>
      </w:r>
      <w:r w:rsidR="006A425C">
        <w:rPr>
          <w:rFonts w:ascii="Book Antiqua" w:hAnsi="Book Antiqua"/>
          <w:sz w:val="24"/>
          <w:szCs w:val="24"/>
        </w:rPr>
        <w:t xml:space="preserve"> collected.</w:t>
      </w:r>
      <w:r w:rsidR="001D4788">
        <w:rPr>
          <w:rStyle w:val="DipnotBavurusu"/>
          <w:rFonts w:ascii="Book Antiqua" w:hAnsi="Book Antiqua"/>
          <w:sz w:val="24"/>
          <w:szCs w:val="24"/>
        </w:rPr>
        <w:footnoteReference w:id="7"/>
      </w:r>
      <w:r w:rsidR="006A425C">
        <w:rPr>
          <w:rFonts w:ascii="Book Antiqua" w:hAnsi="Book Antiqua"/>
          <w:sz w:val="24"/>
          <w:szCs w:val="24"/>
        </w:rPr>
        <w:t xml:space="preserve"> </w:t>
      </w:r>
      <w:r w:rsidR="001D4788">
        <w:rPr>
          <w:rFonts w:ascii="Book Antiqua" w:hAnsi="Book Antiqua"/>
          <w:sz w:val="24"/>
          <w:szCs w:val="24"/>
        </w:rPr>
        <w:t xml:space="preserve">The plans </w:t>
      </w:r>
      <w:r w:rsidR="00B70240">
        <w:rPr>
          <w:rFonts w:ascii="Book Antiqua" w:hAnsi="Book Antiqua"/>
          <w:sz w:val="24"/>
          <w:szCs w:val="24"/>
        </w:rPr>
        <w:t xml:space="preserve">on the statements </w:t>
      </w:r>
      <w:r w:rsidR="00100B18">
        <w:rPr>
          <w:rFonts w:ascii="Book Antiqua" w:hAnsi="Book Antiqua"/>
          <w:sz w:val="24"/>
          <w:szCs w:val="24"/>
        </w:rPr>
        <w:t xml:space="preserve">were </w:t>
      </w:r>
      <w:r w:rsidR="001D4788">
        <w:rPr>
          <w:rFonts w:ascii="Book Antiqua" w:hAnsi="Book Antiqua"/>
          <w:sz w:val="24"/>
          <w:szCs w:val="24"/>
        </w:rPr>
        <w:t xml:space="preserve">compared to the plans </w:t>
      </w:r>
      <w:r w:rsidR="00B70240">
        <w:rPr>
          <w:rFonts w:ascii="Book Antiqua" w:hAnsi="Book Antiqua"/>
          <w:sz w:val="24"/>
          <w:szCs w:val="24"/>
        </w:rPr>
        <w:t>that</w:t>
      </w:r>
      <w:r w:rsidR="001D4788">
        <w:rPr>
          <w:rFonts w:ascii="Book Antiqua" w:hAnsi="Book Antiqua"/>
          <w:sz w:val="24"/>
          <w:szCs w:val="24"/>
        </w:rPr>
        <w:t xml:space="preserve"> the same company</w:t>
      </w:r>
      <w:r w:rsidR="00B70240">
        <w:rPr>
          <w:rFonts w:ascii="Book Antiqua" w:hAnsi="Book Antiqua"/>
          <w:sz w:val="24"/>
          <w:szCs w:val="24"/>
        </w:rPr>
        <w:t xml:space="preserve"> currently offer</w:t>
      </w:r>
      <w:r w:rsidR="00E6374C">
        <w:rPr>
          <w:rFonts w:ascii="Book Antiqua" w:hAnsi="Book Antiqua"/>
          <w:sz w:val="24"/>
          <w:szCs w:val="24"/>
        </w:rPr>
        <w:t>s</w:t>
      </w:r>
      <w:r w:rsidR="001D4788">
        <w:rPr>
          <w:rFonts w:ascii="Book Antiqua" w:hAnsi="Book Antiqua"/>
          <w:sz w:val="24"/>
          <w:szCs w:val="24"/>
        </w:rPr>
        <w:t>.</w:t>
      </w:r>
      <w:r w:rsidR="00B70240">
        <w:rPr>
          <w:rStyle w:val="DipnotBavurusu"/>
          <w:rFonts w:ascii="Book Antiqua" w:hAnsi="Book Antiqua"/>
          <w:sz w:val="24"/>
          <w:szCs w:val="24"/>
        </w:rPr>
        <w:footnoteReference w:id="8"/>
      </w:r>
      <w:r w:rsidR="001D4788">
        <w:rPr>
          <w:rFonts w:ascii="Book Antiqua" w:hAnsi="Book Antiqua"/>
          <w:sz w:val="24"/>
          <w:szCs w:val="24"/>
        </w:rPr>
        <w:t xml:space="preserve"> For example, the plan of an AT&amp;T user is compared to the current plans of</w:t>
      </w:r>
      <w:r w:rsidR="00100B18">
        <w:rPr>
          <w:rFonts w:ascii="Book Antiqua" w:hAnsi="Book Antiqua"/>
          <w:sz w:val="24"/>
          <w:szCs w:val="24"/>
        </w:rPr>
        <w:t>fered by</w:t>
      </w:r>
      <w:r w:rsidR="001D4788">
        <w:rPr>
          <w:rFonts w:ascii="Book Antiqua" w:hAnsi="Book Antiqua"/>
          <w:sz w:val="24"/>
          <w:szCs w:val="24"/>
        </w:rPr>
        <w:t xml:space="preserve"> AT&amp;T. </w:t>
      </w:r>
      <w:r w:rsidR="00C73224">
        <w:rPr>
          <w:rFonts w:ascii="Book Antiqua" w:hAnsi="Book Antiqua"/>
          <w:sz w:val="24"/>
          <w:szCs w:val="24"/>
        </w:rPr>
        <w:t>If the</w:t>
      </w:r>
      <w:r w:rsidR="001D4788">
        <w:rPr>
          <w:rFonts w:ascii="Book Antiqua" w:hAnsi="Book Antiqua"/>
          <w:sz w:val="24"/>
          <w:szCs w:val="24"/>
        </w:rPr>
        <w:t xml:space="preserve"> current plans offer more data for the price that the customer pays, </w:t>
      </w:r>
      <w:r w:rsidR="00B70240">
        <w:rPr>
          <w:rFonts w:ascii="Book Antiqua" w:hAnsi="Book Antiqua"/>
          <w:sz w:val="24"/>
          <w:szCs w:val="24"/>
        </w:rPr>
        <w:t xml:space="preserve">this study accepts this user </w:t>
      </w:r>
      <w:r w:rsidR="005E6535">
        <w:rPr>
          <w:rFonts w:ascii="Book Antiqua" w:hAnsi="Book Antiqua"/>
          <w:sz w:val="24"/>
          <w:szCs w:val="24"/>
        </w:rPr>
        <w:t xml:space="preserve">as </w:t>
      </w:r>
      <w:r w:rsidR="00100B18">
        <w:rPr>
          <w:rFonts w:ascii="Book Antiqua" w:hAnsi="Book Antiqua"/>
          <w:sz w:val="24"/>
          <w:szCs w:val="24"/>
        </w:rPr>
        <w:t xml:space="preserve">being </w:t>
      </w:r>
      <w:r w:rsidR="00B70240">
        <w:rPr>
          <w:rFonts w:ascii="Book Antiqua" w:hAnsi="Book Antiqua"/>
          <w:sz w:val="24"/>
          <w:szCs w:val="24"/>
        </w:rPr>
        <w:t xml:space="preserve">in inertia. </w:t>
      </w:r>
      <w:r w:rsidR="00B70240" w:rsidRPr="00B70240">
        <w:rPr>
          <w:rFonts w:ascii="Book Antiqua" w:hAnsi="Book Antiqua"/>
          <w:sz w:val="24"/>
          <w:szCs w:val="24"/>
        </w:rPr>
        <w:t>198 of the 290 users are in inertia</w:t>
      </w:r>
      <w:r w:rsidR="00B70240">
        <w:rPr>
          <w:rFonts w:ascii="Book Antiqua" w:hAnsi="Book Antiqua"/>
          <w:sz w:val="24"/>
          <w:szCs w:val="24"/>
        </w:rPr>
        <w:t xml:space="preserve"> which makes 68% of all customer sample</w:t>
      </w:r>
      <w:r w:rsidR="00E6374C">
        <w:rPr>
          <w:rFonts w:ascii="Book Antiqua" w:hAnsi="Book Antiqua"/>
          <w:sz w:val="24"/>
          <w:szCs w:val="24"/>
        </w:rPr>
        <w:t>s</w:t>
      </w:r>
      <w:r w:rsidR="00B70240" w:rsidRPr="00B70240">
        <w:rPr>
          <w:rFonts w:ascii="Book Antiqua" w:hAnsi="Book Antiqua"/>
          <w:sz w:val="24"/>
          <w:szCs w:val="24"/>
        </w:rPr>
        <w:t>.</w:t>
      </w:r>
      <w:r w:rsidR="006A425C">
        <w:rPr>
          <w:rFonts w:ascii="Book Antiqua" w:hAnsi="Book Antiqua"/>
          <w:sz w:val="24"/>
          <w:szCs w:val="24"/>
        </w:rPr>
        <w:t xml:space="preserve"> </w:t>
      </w:r>
      <w:r w:rsidR="00B70240">
        <w:rPr>
          <w:rFonts w:ascii="Book Antiqua" w:hAnsi="Book Antiqua"/>
          <w:sz w:val="24"/>
          <w:szCs w:val="24"/>
        </w:rPr>
        <w:t>T</w:t>
      </w:r>
      <w:r>
        <w:rPr>
          <w:rFonts w:ascii="Book Antiqua" w:hAnsi="Book Antiqua"/>
          <w:sz w:val="24"/>
          <w:szCs w:val="24"/>
        </w:rPr>
        <w:t xml:space="preserve">he survey among the inert customers indicates </w:t>
      </w:r>
      <w:r w:rsidR="00B70240">
        <w:rPr>
          <w:rFonts w:ascii="Book Antiqua" w:hAnsi="Book Antiqua"/>
          <w:sz w:val="24"/>
          <w:szCs w:val="24"/>
        </w:rPr>
        <w:t xml:space="preserve">causes of inertia that are </w:t>
      </w:r>
      <w:r>
        <w:rPr>
          <w:rFonts w:ascii="Book Antiqua" w:hAnsi="Book Antiqua"/>
          <w:sz w:val="24"/>
          <w:szCs w:val="24"/>
        </w:rPr>
        <w:t>specific to wireless phone</w:t>
      </w:r>
      <w:r w:rsidR="005E6535">
        <w:rPr>
          <w:rFonts w:ascii="Book Antiqua" w:hAnsi="Book Antiqua"/>
          <w:sz w:val="24"/>
          <w:szCs w:val="24"/>
        </w:rPr>
        <w:t xml:space="preserve"> line</w:t>
      </w:r>
      <w:r>
        <w:rPr>
          <w:rFonts w:ascii="Book Antiqua" w:hAnsi="Book Antiqua"/>
          <w:sz w:val="24"/>
          <w:szCs w:val="24"/>
        </w:rPr>
        <w:t xml:space="preserve"> subscriptions</w:t>
      </w:r>
      <w:r w:rsidR="00B70240">
        <w:rPr>
          <w:rFonts w:ascii="Book Antiqua" w:hAnsi="Book Antiqua"/>
          <w:sz w:val="24"/>
          <w:szCs w:val="24"/>
        </w:rPr>
        <w:t>. For example, the</w:t>
      </w:r>
      <w:r>
        <w:rPr>
          <w:rFonts w:ascii="Book Antiqua" w:hAnsi="Book Antiqua"/>
          <w:sz w:val="24"/>
          <w:szCs w:val="24"/>
        </w:rPr>
        <w:t xml:space="preserve"> family plan structure </w:t>
      </w:r>
      <w:r w:rsidR="00B70240">
        <w:rPr>
          <w:rFonts w:ascii="Book Antiqua" w:hAnsi="Book Antiqua"/>
          <w:sz w:val="24"/>
          <w:szCs w:val="24"/>
        </w:rPr>
        <w:t xml:space="preserve">of wireless subscriptions </w:t>
      </w:r>
      <w:r w:rsidR="001410C4">
        <w:rPr>
          <w:rFonts w:ascii="Book Antiqua" w:hAnsi="Book Antiqua"/>
          <w:sz w:val="24"/>
          <w:szCs w:val="24"/>
        </w:rPr>
        <w:t>creates</w:t>
      </w:r>
      <w:r w:rsidR="00B70240">
        <w:rPr>
          <w:rFonts w:ascii="Book Antiqua" w:hAnsi="Book Antiqua"/>
          <w:sz w:val="24"/>
          <w:szCs w:val="24"/>
        </w:rPr>
        <w:t xml:space="preserve"> a diffusion of responsibility among the members</w:t>
      </w:r>
      <w:r w:rsidR="004E66C5">
        <w:rPr>
          <w:rFonts w:ascii="Book Antiqua" w:hAnsi="Book Antiqua"/>
          <w:sz w:val="24"/>
          <w:szCs w:val="24"/>
        </w:rPr>
        <w:t xml:space="preserve"> of the group</w:t>
      </w:r>
      <w:r>
        <w:rPr>
          <w:rFonts w:ascii="Book Antiqua" w:hAnsi="Book Antiqua"/>
          <w:sz w:val="24"/>
          <w:szCs w:val="24"/>
        </w:rPr>
        <w:t xml:space="preserve">. </w:t>
      </w:r>
    </w:p>
    <w:p w14:paraId="617D4A47" w14:textId="667C5553" w:rsidR="001746AF" w:rsidRDefault="001746AF" w:rsidP="001746AF">
      <w:pPr>
        <w:spacing w:line="480" w:lineRule="auto"/>
        <w:ind w:firstLine="708"/>
        <w:jc w:val="both"/>
        <w:rPr>
          <w:rFonts w:ascii="Book Antiqua" w:hAnsi="Book Antiqua"/>
          <w:sz w:val="24"/>
          <w:szCs w:val="24"/>
        </w:rPr>
      </w:pPr>
      <w:r>
        <w:rPr>
          <w:rFonts w:ascii="Book Antiqua" w:hAnsi="Book Antiqua"/>
          <w:sz w:val="24"/>
          <w:szCs w:val="24"/>
        </w:rPr>
        <w:t>Currently, states try to regulate</w:t>
      </w:r>
      <w:r w:rsidR="005E6535">
        <w:rPr>
          <w:rFonts w:ascii="Book Antiqua" w:hAnsi="Book Antiqua"/>
          <w:sz w:val="24"/>
          <w:szCs w:val="24"/>
        </w:rPr>
        <w:t xml:space="preserve"> inertia in</w:t>
      </w:r>
      <w:r>
        <w:rPr>
          <w:rFonts w:ascii="Book Antiqua" w:hAnsi="Book Antiqua"/>
          <w:sz w:val="24"/>
          <w:szCs w:val="24"/>
        </w:rPr>
        <w:t xml:space="preserve"> subscription</w:t>
      </w:r>
      <w:r w:rsidR="00E6374C">
        <w:rPr>
          <w:rFonts w:ascii="Book Antiqua" w:hAnsi="Book Antiqua"/>
          <w:sz w:val="24"/>
          <w:szCs w:val="24"/>
        </w:rPr>
        <w:t>-</w:t>
      </w:r>
      <w:r>
        <w:rPr>
          <w:rFonts w:ascii="Book Antiqua" w:hAnsi="Book Antiqua"/>
          <w:sz w:val="24"/>
          <w:szCs w:val="24"/>
        </w:rPr>
        <w:t xml:space="preserve">type contracts with automatic renewal laws. </w:t>
      </w:r>
      <w:r w:rsidRPr="001746AF">
        <w:rPr>
          <w:rFonts w:ascii="Book Antiqua" w:hAnsi="Book Antiqua"/>
          <w:sz w:val="24"/>
          <w:szCs w:val="24"/>
        </w:rPr>
        <w:t xml:space="preserve">As of </w:t>
      </w:r>
      <w:r>
        <w:rPr>
          <w:rFonts w:ascii="Book Antiqua" w:hAnsi="Book Antiqua"/>
          <w:sz w:val="24"/>
          <w:szCs w:val="24"/>
        </w:rPr>
        <w:t>March 2021</w:t>
      </w:r>
      <w:r w:rsidRPr="001746AF">
        <w:rPr>
          <w:rFonts w:ascii="Book Antiqua" w:hAnsi="Book Antiqua"/>
          <w:sz w:val="24"/>
          <w:szCs w:val="24"/>
        </w:rPr>
        <w:t xml:space="preserve">, 30 states and the District of Columbia have an </w:t>
      </w:r>
      <w:r>
        <w:rPr>
          <w:rFonts w:ascii="Book Antiqua" w:hAnsi="Book Antiqua"/>
          <w:sz w:val="24"/>
          <w:szCs w:val="24"/>
        </w:rPr>
        <w:t>automatic renewal law</w:t>
      </w:r>
      <w:r w:rsidRPr="001746AF">
        <w:rPr>
          <w:rFonts w:ascii="Book Antiqua" w:hAnsi="Book Antiqua"/>
          <w:sz w:val="24"/>
          <w:szCs w:val="24"/>
        </w:rPr>
        <w:t>.</w:t>
      </w:r>
      <w:r w:rsidR="004E66C5">
        <w:rPr>
          <w:rStyle w:val="DipnotBavurusu"/>
          <w:rFonts w:ascii="Book Antiqua" w:hAnsi="Book Antiqua"/>
          <w:sz w:val="24"/>
          <w:szCs w:val="24"/>
        </w:rPr>
        <w:footnoteReference w:id="9"/>
      </w:r>
      <w:r w:rsidRPr="001746AF">
        <w:rPr>
          <w:rFonts w:ascii="Book Antiqua" w:hAnsi="Book Antiqua"/>
          <w:sz w:val="24"/>
          <w:szCs w:val="24"/>
        </w:rPr>
        <w:t xml:space="preserve"> Moreover, a staggering 15 bills in 12 states would enact </w:t>
      </w:r>
      <w:r>
        <w:rPr>
          <w:rFonts w:ascii="Book Antiqua" w:hAnsi="Book Antiqua"/>
          <w:sz w:val="24"/>
          <w:szCs w:val="24"/>
        </w:rPr>
        <w:t xml:space="preserve">a new one </w:t>
      </w:r>
      <w:r w:rsidRPr="001746AF">
        <w:rPr>
          <w:rFonts w:ascii="Book Antiqua" w:hAnsi="Book Antiqua"/>
          <w:sz w:val="24"/>
          <w:szCs w:val="24"/>
        </w:rPr>
        <w:t>or expand an existing one.</w:t>
      </w:r>
      <w:r w:rsidR="004E66C5">
        <w:rPr>
          <w:rStyle w:val="DipnotBavurusu"/>
          <w:rFonts w:ascii="Book Antiqua" w:hAnsi="Book Antiqua"/>
          <w:sz w:val="24"/>
          <w:szCs w:val="24"/>
        </w:rPr>
        <w:footnoteReference w:id="10"/>
      </w:r>
      <w:r w:rsidRPr="001746AF">
        <w:rPr>
          <w:rFonts w:ascii="Book Antiqua" w:hAnsi="Book Antiqua"/>
          <w:sz w:val="24"/>
          <w:szCs w:val="24"/>
        </w:rPr>
        <w:t xml:space="preserve"> </w:t>
      </w:r>
      <w:r>
        <w:rPr>
          <w:rFonts w:ascii="Book Antiqua" w:hAnsi="Book Antiqua"/>
          <w:sz w:val="24"/>
          <w:szCs w:val="24"/>
        </w:rPr>
        <w:t xml:space="preserve">However, subscriptions fall under automatic renewal laws only </w:t>
      </w:r>
      <w:r w:rsidR="00100B18">
        <w:rPr>
          <w:rFonts w:ascii="Book Antiqua" w:hAnsi="Book Antiqua"/>
          <w:sz w:val="24"/>
          <w:szCs w:val="24"/>
        </w:rPr>
        <w:t xml:space="preserve">if </w:t>
      </w:r>
      <w:r>
        <w:rPr>
          <w:rFonts w:ascii="Book Antiqua" w:hAnsi="Book Antiqua"/>
          <w:sz w:val="24"/>
          <w:szCs w:val="24"/>
        </w:rPr>
        <w:t xml:space="preserve">they are designed </w:t>
      </w:r>
      <w:r w:rsidR="00E6374C">
        <w:rPr>
          <w:rFonts w:ascii="Book Antiqua" w:hAnsi="Book Antiqua"/>
          <w:sz w:val="24"/>
          <w:szCs w:val="24"/>
        </w:rPr>
        <w:t>for</w:t>
      </w:r>
      <w:r>
        <w:rPr>
          <w:rFonts w:ascii="Book Antiqua" w:hAnsi="Book Antiqua"/>
          <w:sz w:val="24"/>
          <w:szCs w:val="24"/>
        </w:rPr>
        <w:t xml:space="preserve"> more than six months.</w:t>
      </w:r>
      <w:r w:rsidR="004E66C5">
        <w:rPr>
          <w:rStyle w:val="DipnotBavurusu"/>
          <w:rFonts w:ascii="Book Antiqua" w:hAnsi="Book Antiqua"/>
          <w:sz w:val="24"/>
          <w:szCs w:val="24"/>
        </w:rPr>
        <w:footnoteReference w:id="11"/>
      </w:r>
      <w:r>
        <w:rPr>
          <w:rFonts w:ascii="Book Antiqua" w:hAnsi="Book Antiqua"/>
          <w:sz w:val="24"/>
          <w:szCs w:val="24"/>
        </w:rPr>
        <w:t xml:space="preserve"> Therefore, neither monthly </w:t>
      </w:r>
      <w:r>
        <w:rPr>
          <w:rFonts w:ascii="Book Antiqua" w:hAnsi="Book Antiqua"/>
          <w:sz w:val="24"/>
          <w:szCs w:val="24"/>
        </w:rPr>
        <w:lastRenderedPageBreak/>
        <w:t xml:space="preserve">subscriptions nor weekly subscriptions are regulated by automatic renewal laws. </w:t>
      </w:r>
    </w:p>
    <w:p w14:paraId="6240B5BF" w14:textId="2F7567FC" w:rsidR="001746AF" w:rsidRDefault="004E66C5" w:rsidP="001746AF">
      <w:pPr>
        <w:spacing w:line="480" w:lineRule="auto"/>
        <w:ind w:firstLine="708"/>
        <w:jc w:val="both"/>
        <w:rPr>
          <w:rFonts w:ascii="Book Antiqua" w:hAnsi="Book Antiqua"/>
          <w:sz w:val="24"/>
          <w:szCs w:val="24"/>
        </w:rPr>
      </w:pPr>
      <w:r>
        <w:rPr>
          <w:rFonts w:ascii="Book Antiqua" w:hAnsi="Book Antiqua"/>
          <w:sz w:val="24"/>
          <w:szCs w:val="24"/>
        </w:rPr>
        <w:t xml:space="preserve">Drawing on the </w:t>
      </w:r>
      <w:r w:rsidR="001B1C6F">
        <w:rPr>
          <w:rFonts w:ascii="Book Antiqua" w:hAnsi="Book Antiqua"/>
          <w:sz w:val="24"/>
          <w:szCs w:val="24"/>
        </w:rPr>
        <w:t xml:space="preserve">marketing </w:t>
      </w:r>
      <w:r>
        <w:rPr>
          <w:rFonts w:ascii="Book Antiqua" w:hAnsi="Book Antiqua"/>
          <w:sz w:val="24"/>
          <w:szCs w:val="24"/>
        </w:rPr>
        <w:t>literature</w:t>
      </w:r>
      <w:r w:rsidR="001B1C6F">
        <w:rPr>
          <w:rStyle w:val="DipnotBavurusu"/>
          <w:rFonts w:ascii="Book Antiqua" w:hAnsi="Book Antiqua"/>
          <w:sz w:val="24"/>
          <w:szCs w:val="24"/>
        </w:rPr>
        <w:footnoteReference w:id="12"/>
      </w:r>
      <w:r w:rsidR="001B1C6F">
        <w:rPr>
          <w:rFonts w:ascii="Book Antiqua" w:hAnsi="Book Antiqua"/>
          <w:sz w:val="24"/>
          <w:szCs w:val="24"/>
        </w:rPr>
        <w:t>,</w:t>
      </w:r>
      <w:r>
        <w:rPr>
          <w:rFonts w:ascii="Book Antiqua" w:hAnsi="Book Antiqua"/>
          <w:sz w:val="24"/>
          <w:szCs w:val="24"/>
        </w:rPr>
        <w:t xml:space="preserve"> </w:t>
      </w:r>
      <w:r w:rsidR="001746AF">
        <w:rPr>
          <w:rFonts w:ascii="Book Antiqua" w:hAnsi="Book Antiqua"/>
          <w:sz w:val="24"/>
          <w:szCs w:val="24"/>
        </w:rPr>
        <w:t>this study proposes a state</w:t>
      </w:r>
      <w:r w:rsidR="00E14417">
        <w:rPr>
          <w:rFonts w:ascii="Book Antiqua" w:hAnsi="Book Antiqua"/>
          <w:sz w:val="24"/>
          <w:szCs w:val="24"/>
        </w:rPr>
        <w:t xml:space="preserve"> </w:t>
      </w:r>
      <w:r w:rsidR="001746AF">
        <w:rPr>
          <w:rFonts w:ascii="Book Antiqua" w:hAnsi="Book Antiqua"/>
          <w:sz w:val="24"/>
          <w:szCs w:val="24"/>
        </w:rPr>
        <w:t xml:space="preserve">enforced </w:t>
      </w:r>
      <w:r w:rsidR="001B1C6F">
        <w:rPr>
          <w:rFonts w:ascii="Book Antiqua" w:hAnsi="Book Antiqua"/>
          <w:sz w:val="24"/>
          <w:szCs w:val="24"/>
        </w:rPr>
        <w:t>service provider</w:t>
      </w:r>
      <w:r w:rsidR="001746AF">
        <w:rPr>
          <w:rFonts w:ascii="Book Antiqua" w:hAnsi="Book Antiqua"/>
          <w:sz w:val="24"/>
          <w:szCs w:val="24"/>
        </w:rPr>
        <w:t xml:space="preserve"> conducted reminding mechanism</w:t>
      </w:r>
      <w:r w:rsidR="001B1C6F">
        <w:rPr>
          <w:rFonts w:ascii="Book Antiqua" w:hAnsi="Book Antiqua"/>
          <w:sz w:val="24"/>
          <w:szCs w:val="24"/>
        </w:rPr>
        <w:t xml:space="preserve"> to mobilize the inert customers in these subscriptions</w:t>
      </w:r>
      <w:r w:rsidR="001746AF">
        <w:rPr>
          <w:rFonts w:ascii="Book Antiqua" w:hAnsi="Book Antiqua"/>
          <w:sz w:val="24"/>
          <w:szCs w:val="24"/>
        </w:rPr>
        <w:t xml:space="preserve">. The reminders will not only </w:t>
      </w:r>
      <w:r w:rsidR="00E6374C">
        <w:rPr>
          <w:rFonts w:ascii="Book Antiqua" w:hAnsi="Book Antiqua"/>
          <w:sz w:val="24"/>
          <w:szCs w:val="24"/>
        </w:rPr>
        <w:t>push</w:t>
      </w:r>
      <w:r w:rsidR="001746AF">
        <w:rPr>
          <w:rFonts w:ascii="Book Antiqua" w:hAnsi="Book Antiqua"/>
          <w:sz w:val="24"/>
          <w:szCs w:val="24"/>
        </w:rPr>
        <w:t xml:space="preserve"> the customers out of inertia but will </w:t>
      </w:r>
      <w:r w:rsidR="00C30E33">
        <w:rPr>
          <w:rFonts w:ascii="Book Antiqua" w:hAnsi="Book Antiqua"/>
          <w:sz w:val="24"/>
          <w:szCs w:val="24"/>
        </w:rPr>
        <w:t xml:space="preserve">also </w:t>
      </w:r>
      <w:r w:rsidR="001746AF">
        <w:rPr>
          <w:rFonts w:ascii="Book Antiqua" w:hAnsi="Book Antiqua"/>
          <w:sz w:val="24"/>
          <w:szCs w:val="24"/>
        </w:rPr>
        <w:t>educate them to become better customers with the long-term effects of the reminders.</w:t>
      </w:r>
      <w:r w:rsidR="00C30E33">
        <w:rPr>
          <w:rStyle w:val="DipnotBavurusu"/>
          <w:rFonts w:ascii="Book Antiqua" w:hAnsi="Book Antiqua"/>
          <w:sz w:val="24"/>
          <w:szCs w:val="24"/>
        </w:rPr>
        <w:footnoteReference w:id="13"/>
      </w:r>
      <w:r w:rsidR="001746AF">
        <w:rPr>
          <w:rFonts w:ascii="Book Antiqua" w:hAnsi="Book Antiqua"/>
          <w:sz w:val="24"/>
          <w:szCs w:val="24"/>
        </w:rPr>
        <w:t xml:space="preserve"> </w:t>
      </w:r>
      <w:r w:rsidR="002A25DA">
        <w:rPr>
          <w:rFonts w:ascii="Book Antiqua" w:hAnsi="Book Antiqua"/>
          <w:sz w:val="24"/>
          <w:szCs w:val="24"/>
        </w:rPr>
        <w:t>Currently, a</w:t>
      </w:r>
      <w:r w:rsidR="001746AF">
        <w:rPr>
          <w:rFonts w:ascii="Book Antiqua" w:hAnsi="Book Antiqua"/>
          <w:sz w:val="24"/>
          <w:szCs w:val="24"/>
        </w:rPr>
        <w:t>utomatic renewal laws already use reminding mechanisms</w:t>
      </w:r>
      <w:r w:rsidR="001410C4">
        <w:rPr>
          <w:rStyle w:val="DipnotBavurusu"/>
          <w:rFonts w:ascii="Book Antiqua" w:hAnsi="Book Antiqua"/>
          <w:sz w:val="24"/>
          <w:szCs w:val="24"/>
        </w:rPr>
        <w:footnoteReference w:id="14"/>
      </w:r>
      <w:r w:rsidR="001746AF">
        <w:rPr>
          <w:rFonts w:ascii="Book Antiqua" w:hAnsi="Book Antiqua"/>
          <w:sz w:val="24"/>
          <w:szCs w:val="24"/>
        </w:rPr>
        <w:t xml:space="preserve"> to poke the inert customers in yearly subscriptions. </w:t>
      </w:r>
      <w:r w:rsidR="002A25DA">
        <w:rPr>
          <w:rFonts w:ascii="Book Antiqua" w:hAnsi="Book Antiqua"/>
          <w:sz w:val="24"/>
          <w:szCs w:val="24"/>
        </w:rPr>
        <w:t xml:space="preserve">But </w:t>
      </w:r>
      <w:r w:rsidR="00E14417">
        <w:rPr>
          <w:rFonts w:ascii="Book Antiqua" w:hAnsi="Book Antiqua"/>
          <w:sz w:val="24"/>
          <w:szCs w:val="24"/>
        </w:rPr>
        <w:t xml:space="preserve">many of </w:t>
      </w:r>
      <w:r w:rsidR="002A25DA">
        <w:rPr>
          <w:rFonts w:ascii="Book Antiqua" w:hAnsi="Book Antiqua"/>
          <w:sz w:val="24"/>
          <w:szCs w:val="24"/>
        </w:rPr>
        <w:t xml:space="preserve">these laws do not regulate subscriptions that </w:t>
      </w:r>
      <w:r w:rsidR="005A4574">
        <w:rPr>
          <w:rFonts w:ascii="Book Antiqua" w:hAnsi="Book Antiqua"/>
          <w:sz w:val="24"/>
          <w:szCs w:val="24"/>
        </w:rPr>
        <w:t>have a contract term shorter than a year.</w:t>
      </w:r>
      <w:r w:rsidR="005A4574">
        <w:rPr>
          <w:rStyle w:val="DipnotBavurusu"/>
          <w:rFonts w:ascii="Book Antiqua" w:hAnsi="Book Antiqua"/>
          <w:sz w:val="24"/>
          <w:szCs w:val="24"/>
        </w:rPr>
        <w:footnoteReference w:id="15"/>
      </w:r>
      <w:r w:rsidR="005A4574">
        <w:rPr>
          <w:rFonts w:ascii="Book Antiqua" w:hAnsi="Book Antiqua"/>
          <w:sz w:val="24"/>
          <w:szCs w:val="24"/>
        </w:rPr>
        <w:t xml:space="preserve"> </w:t>
      </w:r>
      <w:r w:rsidR="001746AF">
        <w:rPr>
          <w:rFonts w:ascii="Book Antiqua" w:hAnsi="Book Antiqua"/>
          <w:sz w:val="24"/>
          <w:szCs w:val="24"/>
        </w:rPr>
        <w:t>Expanding the scope of these laws to all subscriptions without a time limit will lessen the inertia problem in other subscriptions.</w:t>
      </w:r>
    </w:p>
    <w:p w14:paraId="5025F508" w14:textId="0208AE40" w:rsidR="001746AF" w:rsidRDefault="001746AF" w:rsidP="001746AF">
      <w:pPr>
        <w:spacing w:line="480" w:lineRule="auto"/>
        <w:ind w:firstLine="708"/>
        <w:jc w:val="both"/>
        <w:rPr>
          <w:rFonts w:ascii="Book Antiqua" w:hAnsi="Book Antiqua"/>
          <w:sz w:val="24"/>
          <w:szCs w:val="24"/>
        </w:rPr>
      </w:pPr>
      <w:r w:rsidRPr="00864FCD">
        <w:rPr>
          <w:rFonts w:ascii="Book Antiqua" w:hAnsi="Book Antiqua"/>
          <w:sz w:val="24"/>
          <w:szCs w:val="24"/>
        </w:rPr>
        <w:t xml:space="preserve">Part I </w:t>
      </w:r>
      <w:r>
        <w:rPr>
          <w:rFonts w:ascii="Book Antiqua" w:hAnsi="Book Antiqua"/>
          <w:sz w:val="24"/>
          <w:szCs w:val="24"/>
        </w:rPr>
        <w:t>briefly discusses subscription economy and economy customer inertia</w:t>
      </w:r>
      <w:r w:rsidRPr="00864FCD">
        <w:rPr>
          <w:rFonts w:ascii="Book Antiqua" w:hAnsi="Book Antiqua"/>
          <w:sz w:val="24"/>
          <w:szCs w:val="24"/>
        </w:rPr>
        <w:t>. Part</w:t>
      </w:r>
      <w:r>
        <w:rPr>
          <w:rFonts w:ascii="Book Antiqua" w:hAnsi="Book Antiqua"/>
          <w:sz w:val="24"/>
          <w:szCs w:val="24"/>
        </w:rPr>
        <w:t> </w:t>
      </w:r>
      <w:r w:rsidRPr="00864FCD">
        <w:rPr>
          <w:rFonts w:ascii="Book Antiqua" w:hAnsi="Book Antiqua"/>
          <w:sz w:val="24"/>
          <w:szCs w:val="24"/>
        </w:rPr>
        <w:t xml:space="preserve">II provides a </w:t>
      </w:r>
      <w:r>
        <w:rPr>
          <w:rFonts w:ascii="Book Antiqua" w:hAnsi="Book Antiqua"/>
          <w:sz w:val="24"/>
          <w:szCs w:val="24"/>
        </w:rPr>
        <w:t>clear definition of inertia and distinguishes it from other explanations in the literature</w:t>
      </w:r>
      <w:r w:rsidRPr="00864FCD">
        <w:rPr>
          <w:rFonts w:ascii="Book Antiqua" w:hAnsi="Book Antiqua"/>
          <w:sz w:val="24"/>
          <w:szCs w:val="24"/>
        </w:rPr>
        <w:t xml:space="preserve">. Part III explores </w:t>
      </w:r>
      <w:r>
        <w:rPr>
          <w:rFonts w:ascii="Book Antiqua" w:hAnsi="Book Antiqua"/>
          <w:sz w:val="24"/>
          <w:szCs w:val="24"/>
        </w:rPr>
        <w:t>the cost of inertia</w:t>
      </w:r>
      <w:r w:rsidRPr="00864FCD">
        <w:rPr>
          <w:rFonts w:ascii="Book Antiqua" w:hAnsi="Book Antiqua" w:cstheme="majorBidi"/>
          <w:sz w:val="24"/>
          <w:szCs w:val="24"/>
        </w:rPr>
        <w:t>.</w:t>
      </w:r>
      <w:r>
        <w:rPr>
          <w:rFonts w:ascii="Book Antiqua" w:hAnsi="Book Antiqua" w:cstheme="majorBidi"/>
          <w:sz w:val="24"/>
          <w:szCs w:val="24"/>
        </w:rPr>
        <w:t xml:space="preserve"> </w:t>
      </w:r>
      <w:r w:rsidRPr="00864FCD">
        <w:rPr>
          <w:rFonts w:ascii="Book Antiqua" w:hAnsi="Book Antiqua"/>
          <w:sz w:val="24"/>
          <w:szCs w:val="24"/>
        </w:rPr>
        <w:t>Part IV</w:t>
      </w:r>
      <w:r>
        <w:rPr>
          <w:rFonts w:ascii="Book Antiqua" w:hAnsi="Book Antiqua"/>
          <w:sz w:val="24"/>
          <w:szCs w:val="24"/>
        </w:rPr>
        <w:t xml:space="preserve"> explains the reasons why wireless phone </w:t>
      </w:r>
      <w:r>
        <w:rPr>
          <w:rFonts w:ascii="Book Antiqua" w:hAnsi="Book Antiqua"/>
          <w:sz w:val="24"/>
          <w:szCs w:val="24"/>
        </w:rPr>
        <w:lastRenderedPageBreak/>
        <w:t>subscriptions are selected as the target market of this study</w:t>
      </w:r>
      <w:r w:rsidRPr="00864FCD">
        <w:rPr>
          <w:rFonts w:ascii="Book Antiqua" w:hAnsi="Book Antiqua"/>
          <w:sz w:val="24"/>
          <w:szCs w:val="24"/>
        </w:rPr>
        <w:t>. Part</w:t>
      </w:r>
      <w:r>
        <w:rPr>
          <w:rFonts w:ascii="Book Antiqua" w:hAnsi="Book Antiqua"/>
          <w:sz w:val="24"/>
          <w:szCs w:val="24"/>
        </w:rPr>
        <w:t> </w:t>
      </w:r>
      <w:r w:rsidRPr="00864FCD">
        <w:rPr>
          <w:rFonts w:ascii="Book Antiqua" w:hAnsi="Book Antiqua"/>
          <w:sz w:val="24"/>
          <w:szCs w:val="24"/>
        </w:rPr>
        <w:t xml:space="preserve">V </w:t>
      </w:r>
      <w:r>
        <w:rPr>
          <w:rFonts w:ascii="Book Antiqua" w:hAnsi="Book Antiqua"/>
          <w:sz w:val="24"/>
          <w:szCs w:val="24"/>
        </w:rPr>
        <w:t xml:space="preserve">states the findings of the research. Part VI </w:t>
      </w:r>
      <w:r w:rsidRPr="00864FCD">
        <w:rPr>
          <w:rFonts w:ascii="Book Antiqua" w:hAnsi="Book Antiqua"/>
          <w:sz w:val="24"/>
          <w:szCs w:val="24"/>
        </w:rPr>
        <w:t xml:space="preserve">recommends </w:t>
      </w:r>
      <w:r>
        <w:rPr>
          <w:rFonts w:ascii="Book Antiqua" w:hAnsi="Book Antiqua"/>
          <w:sz w:val="24"/>
          <w:szCs w:val="24"/>
        </w:rPr>
        <w:t xml:space="preserve">the reminding mechanisms as the solution for customer’s inertia. </w:t>
      </w:r>
    </w:p>
    <w:sdt>
      <w:sdtPr>
        <w:rPr>
          <w:rFonts w:ascii="Book Antiqua" w:hAnsi="Book Antiqua"/>
          <w:lang w:val="tr-TR"/>
        </w:rPr>
        <w:id w:val="-1924641124"/>
        <w:docPartObj>
          <w:docPartGallery w:val="Table of Contents"/>
          <w:docPartUnique/>
        </w:docPartObj>
      </w:sdtPr>
      <w:sdtEndPr>
        <w:rPr>
          <w:b/>
          <w:bCs/>
        </w:rPr>
      </w:sdtEndPr>
      <w:sdtContent>
        <w:p w14:paraId="264BBF06" w14:textId="66E61470" w:rsidR="005D6019" w:rsidRDefault="005D6019" w:rsidP="005D6019">
          <w:pPr>
            <w:tabs>
              <w:tab w:val="left" w:pos="720"/>
            </w:tabs>
            <w:spacing w:before="120" w:after="120" w:line="480" w:lineRule="auto"/>
            <w:contextualSpacing/>
            <w:jc w:val="center"/>
            <w:rPr>
              <w:rFonts w:ascii="Book Antiqua" w:hAnsi="Book Antiqua" w:cstheme="majorBidi"/>
              <w:b/>
              <w:bCs/>
              <w:smallCaps/>
              <w:sz w:val="24"/>
              <w:szCs w:val="24"/>
            </w:rPr>
          </w:pPr>
          <w:r w:rsidRPr="00EB1938">
            <w:rPr>
              <w:rFonts w:ascii="Book Antiqua" w:hAnsi="Book Antiqua" w:cstheme="majorBidi"/>
              <w:b/>
              <w:bCs/>
              <w:smallCaps/>
              <w:sz w:val="24"/>
              <w:szCs w:val="24"/>
            </w:rPr>
            <w:t>Table of Contents</w:t>
          </w:r>
        </w:p>
        <w:p w14:paraId="23AAEC73" w14:textId="77777777" w:rsidR="005D6019" w:rsidRPr="00EB1938" w:rsidRDefault="005D6019" w:rsidP="005D6019">
          <w:pPr>
            <w:tabs>
              <w:tab w:val="left" w:pos="720"/>
            </w:tabs>
            <w:spacing w:before="120" w:after="120" w:line="480" w:lineRule="auto"/>
            <w:contextualSpacing/>
            <w:jc w:val="center"/>
            <w:rPr>
              <w:rFonts w:ascii="Book Antiqua" w:hAnsi="Book Antiqua" w:cstheme="majorBidi"/>
              <w:b/>
              <w:bCs/>
              <w:smallCaps/>
              <w:sz w:val="24"/>
              <w:szCs w:val="24"/>
            </w:rPr>
          </w:pPr>
        </w:p>
        <w:p w14:paraId="6E17EBC3" w14:textId="680434B4" w:rsidR="005D6019" w:rsidRPr="005D6019" w:rsidRDefault="005D6019" w:rsidP="005D6019">
          <w:pPr>
            <w:pStyle w:val="T1"/>
            <w:tabs>
              <w:tab w:val="left" w:pos="440"/>
              <w:tab w:val="left" w:pos="709"/>
              <w:tab w:val="right" w:leader="dot" w:pos="7876"/>
            </w:tabs>
            <w:spacing w:before="120" w:after="120" w:line="480" w:lineRule="auto"/>
            <w:rPr>
              <w:rFonts w:ascii="Book Antiqua" w:eastAsiaTheme="minorEastAsia" w:hAnsi="Book Antiqua"/>
              <w:noProof/>
              <w:sz w:val="24"/>
              <w:szCs w:val="24"/>
            </w:rPr>
          </w:pPr>
          <w:r w:rsidRPr="005D6019">
            <w:rPr>
              <w:rFonts w:ascii="Book Antiqua" w:hAnsi="Book Antiqua"/>
              <w:sz w:val="24"/>
              <w:szCs w:val="24"/>
            </w:rPr>
            <w:fldChar w:fldCharType="begin"/>
          </w:r>
          <w:r w:rsidRPr="005D6019">
            <w:rPr>
              <w:rFonts w:ascii="Book Antiqua" w:hAnsi="Book Antiqua"/>
              <w:sz w:val="24"/>
              <w:szCs w:val="24"/>
            </w:rPr>
            <w:instrText xml:space="preserve"> TOC \o "1-3" \h \z \u </w:instrText>
          </w:r>
          <w:r w:rsidRPr="005D6019">
            <w:rPr>
              <w:rFonts w:ascii="Book Antiqua" w:hAnsi="Book Antiqua"/>
              <w:sz w:val="24"/>
              <w:szCs w:val="24"/>
            </w:rPr>
            <w:fldChar w:fldCharType="separate"/>
          </w:r>
          <w:hyperlink w:anchor="_Toc71407366" w:history="1">
            <w:r w:rsidRPr="005D6019">
              <w:rPr>
                <w:rStyle w:val="Kpr"/>
                <w:rFonts w:ascii="Book Antiqua" w:hAnsi="Book Antiqua"/>
                <w:noProof/>
                <w:sz w:val="24"/>
                <w:szCs w:val="24"/>
              </w:rPr>
              <w:t>I.</w:t>
            </w:r>
            <w:r w:rsidRPr="005D6019">
              <w:rPr>
                <w:rFonts w:ascii="Book Antiqua" w:eastAsiaTheme="minorEastAsia" w:hAnsi="Book Antiqua"/>
                <w:noProof/>
                <w:sz w:val="24"/>
                <w:szCs w:val="24"/>
              </w:rPr>
              <w:tab/>
            </w:r>
            <w:r>
              <w:rPr>
                <w:rFonts w:ascii="Book Antiqua" w:eastAsiaTheme="minorEastAsia" w:hAnsi="Book Antiqua"/>
                <w:noProof/>
                <w:sz w:val="24"/>
                <w:szCs w:val="24"/>
              </w:rPr>
              <w:tab/>
            </w:r>
            <w:r w:rsidRPr="005D6019">
              <w:rPr>
                <w:rStyle w:val="Kpr"/>
                <w:rFonts w:ascii="Book Antiqua" w:hAnsi="Book Antiqua"/>
                <w:noProof/>
                <w:sz w:val="24"/>
                <w:szCs w:val="24"/>
              </w:rPr>
              <w:t>Subscription Economy and Customer’s Inertia</w:t>
            </w:r>
            <w:r w:rsidRPr="005D6019">
              <w:rPr>
                <w:rFonts w:ascii="Book Antiqua" w:hAnsi="Book Antiqua"/>
                <w:noProof/>
                <w:webHidden/>
                <w:sz w:val="24"/>
                <w:szCs w:val="24"/>
              </w:rPr>
              <w:tab/>
            </w:r>
            <w:r w:rsidRPr="005D6019">
              <w:rPr>
                <w:rFonts w:ascii="Book Antiqua" w:hAnsi="Book Antiqua"/>
                <w:noProof/>
                <w:webHidden/>
                <w:sz w:val="24"/>
                <w:szCs w:val="24"/>
              </w:rPr>
              <w:fldChar w:fldCharType="begin"/>
            </w:r>
            <w:r w:rsidRPr="005D6019">
              <w:rPr>
                <w:rFonts w:ascii="Book Antiqua" w:hAnsi="Book Antiqua"/>
                <w:noProof/>
                <w:webHidden/>
                <w:sz w:val="24"/>
                <w:szCs w:val="24"/>
              </w:rPr>
              <w:instrText xml:space="preserve"> PAGEREF _Toc71407366 \h </w:instrText>
            </w:r>
            <w:r w:rsidRPr="005D6019">
              <w:rPr>
                <w:rFonts w:ascii="Book Antiqua" w:hAnsi="Book Antiqua"/>
                <w:noProof/>
                <w:webHidden/>
                <w:sz w:val="24"/>
                <w:szCs w:val="24"/>
              </w:rPr>
            </w:r>
            <w:r w:rsidRPr="005D6019">
              <w:rPr>
                <w:rFonts w:ascii="Book Antiqua" w:hAnsi="Book Antiqua"/>
                <w:noProof/>
                <w:webHidden/>
                <w:sz w:val="24"/>
                <w:szCs w:val="24"/>
              </w:rPr>
              <w:fldChar w:fldCharType="separate"/>
            </w:r>
            <w:r w:rsidR="00950373">
              <w:rPr>
                <w:rFonts w:ascii="Book Antiqua" w:hAnsi="Book Antiqua"/>
                <w:noProof/>
                <w:webHidden/>
                <w:sz w:val="24"/>
                <w:szCs w:val="24"/>
              </w:rPr>
              <w:t>6</w:t>
            </w:r>
            <w:r w:rsidRPr="005D6019">
              <w:rPr>
                <w:rFonts w:ascii="Book Antiqua" w:hAnsi="Book Antiqua"/>
                <w:noProof/>
                <w:webHidden/>
                <w:sz w:val="24"/>
                <w:szCs w:val="24"/>
              </w:rPr>
              <w:fldChar w:fldCharType="end"/>
            </w:r>
          </w:hyperlink>
        </w:p>
        <w:p w14:paraId="26BC98DE" w14:textId="2E5128D2" w:rsidR="005D6019" w:rsidRPr="005D6019" w:rsidRDefault="00870300" w:rsidP="005D6019">
          <w:pPr>
            <w:pStyle w:val="T1"/>
            <w:tabs>
              <w:tab w:val="left" w:pos="440"/>
              <w:tab w:val="left" w:pos="709"/>
              <w:tab w:val="right" w:leader="dot" w:pos="7876"/>
            </w:tabs>
            <w:spacing w:before="120" w:after="120" w:line="480" w:lineRule="auto"/>
            <w:rPr>
              <w:rFonts w:ascii="Book Antiqua" w:eastAsiaTheme="minorEastAsia" w:hAnsi="Book Antiqua"/>
              <w:noProof/>
              <w:sz w:val="24"/>
              <w:szCs w:val="24"/>
            </w:rPr>
          </w:pPr>
          <w:hyperlink w:anchor="_Toc71407367" w:history="1">
            <w:r w:rsidR="005D6019" w:rsidRPr="005D6019">
              <w:rPr>
                <w:rStyle w:val="Kpr"/>
                <w:rFonts w:ascii="Book Antiqua" w:hAnsi="Book Antiqua"/>
                <w:noProof/>
                <w:sz w:val="24"/>
                <w:szCs w:val="24"/>
              </w:rPr>
              <w:t>II.</w:t>
            </w:r>
            <w:r w:rsidR="005D6019" w:rsidRPr="005D6019">
              <w:rPr>
                <w:rFonts w:ascii="Book Antiqua" w:eastAsiaTheme="minorEastAsia" w:hAnsi="Book Antiqua"/>
                <w:noProof/>
                <w:sz w:val="24"/>
                <w:szCs w:val="24"/>
              </w:rPr>
              <w:tab/>
            </w:r>
            <w:r w:rsidR="005D6019">
              <w:rPr>
                <w:rFonts w:ascii="Book Antiqua" w:eastAsiaTheme="minorEastAsia" w:hAnsi="Book Antiqua"/>
                <w:noProof/>
                <w:sz w:val="24"/>
                <w:szCs w:val="24"/>
              </w:rPr>
              <w:tab/>
            </w:r>
            <w:r w:rsidR="005D6019" w:rsidRPr="005D6019">
              <w:rPr>
                <w:rStyle w:val="Kpr"/>
                <w:rFonts w:ascii="Book Antiqua" w:hAnsi="Book Antiqua"/>
                <w:noProof/>
                <w:sz w:val="24"/>
                <w:szCs w:val="24"/>
              </w:rPr>
              <w:t>The Definition of Inertia</w:t>
            </w:r>
            <w:r w:rsidR="005D6019" w:rsidRPr="005D6019">
              <w:rPr>
                <w:rFonts w:ascii="Book Antiqua" w:hAnsi="Book Antiqua"/>
                <w:noProof/>
                <w:webHidden/>
                <w:sz w:val="24"/>
                <w:szCs w:val="24"/>
              </w:rPr>
              <w:tab/>
            </w:r>
            <w:r w:rsidR="005D6019" w:rsidRPr="005D6019">
              <w:rPr>
                <w:rFonts w:ascii="Book Antiqua" w:hAnsi="Book Antiqua"/>
                <w:noProof/>
                <w:webHidden/>
                <w:sz w:val="24"/>
                <w:szCs w:val="24"/>
              </w:rPr>
              <w:fldChar w:fldCharType="begin"/>
            </w:r>
            <w:r w:rsidR="005D6019" w:rsidRPr="005D6019">
              <w:rPr>
                <w:rFonts w:ascii="Book Antiqua" w:hAnsi="Book Antiqua"/>
                <w:noProof/>
                <w:webHidden/>
                <w:sz w:val="24"/>
                <w:szCs w:val="24"/>
              </w:rPr>
              <w:instrText xml:space="preserve"> PAGEREF _Toc71407367 \h </w:instrText>
            </w:r>
            <w:r w:rsidR="005D6019" w:rsidRPr="005D6019">
              <w:rPr>
                <w:rFonts w:ascii="Book Antiqua" w:hAnsi="Book Antiqua"/>
                <w:noProof/>
                <w:webHidden/>
                <w:sz w:val="24"/>
                <w:szCs w:val="24"/>
              </w:rPr>
            </w:r>
            <w:r w:rsidR="005D6019" w:rsidRPr="005D6019">
              <w:rPr>
                <w:rFonts w:ascii="Book Antiqua" w:hAnsi="Book Antiqua"/>
                <w:noProof/>
                <w:webHidden/>
                <w:sz w:val="24"/>
                <w:szCs w:val="24"/>
              </w:rPr>
              <w:fldChar w:fldCharType="separate"/>
            </w:r>
            <w:r w:rsidR="00950373">
              <w:rPr>
                <w:rFonts w:ascii="Book Antiqua" w:hAnsi="Book Antiqua"/>
                <w:noProof/>
                <w:webHidden/>
                <w:sz w:val="24"/>
                <w:szCs w:val="24"/>
              </w:rPr>
              <w:t>8</w:t>
            </w:r>
            <w:r w:rsidR="005D6019" w:rsidRPr="005D6019">
              <w:rPr>
                <w:rFonts w:ascii="Book Antiqua" w:hAnsi="Book Antiqua"/>
                <w:noProof/>
                <w:webHidden/>
                <w:sz w:val="24"/>
                <w:szCs w:val="24"/>
              </w:rPr>
              <w:fldChar w:fldCharType="end"/>
            </w:r>
          </w:hyperlink>
        </w:p>
        <w:p w14:paraId="2C414E66" w14:textId="2852A6F0" w:rsidR="005D6019" w:rsidRPr="005D6019" w:rsidRDefault="00870300" w:rsidP="005D6019">
          <w:pPr>
            <w:pStyle w:val="T1"/>
            <w:tabs>
              <w:tab w:val="left" w:pos="660"/>
              <w:tab w:val="left" w:pos="709"/>
              <w:tab w:val="right" w:leader="dot" w:pos="7876"/>
            </w:tabs>
            <w:spacing w:before="120" w:after="120" w:line="480" w:lineRule="auto"/>
            <w:rPr>
              <w:rFonts w:ascii="Book Antiqua" w:eastAsiaTheme="minorEastAsia" w:hAnsi="Book Antiqua"/>
              <w:noProof/>
              <w:sz w:val="24"/>
              <w:szCs w:val="24"/>
            </w:rPr>
          </w:pPr>
          <w:hyperlink w:anchor="_Toc71407368" w:history="1">
            <w:r w:rsidR="005D6019" w:rsidRPr="005D6019">
              <w:rPr>
                <w:rStyle w:val="Kpr"/>
                <w:rFonts w:ascii="Book Antiqua" w:hAnsi="Book Antiqua"/>
                <w:noProof/>
                <w:sz w:val="24"/>
                <w:szCs w:val="24"/>
              </w:rPr>
              <w:t>III.</w:t>
            </w:r>
            <w:r w:rsidR="005D6019">
              <w:rPr>
                <w:rFonts w:ascii="Book Antiqua" w:eastAsiaTheme="minorEastAsia" w:hAnsi="Book Antiqua"/>
                <w:noProof/>
                <w:sz w:val="24"/>
                <w:szCs w:val="24"/>
              </w:rPr>
              <w:t xml:space="preserve"> </w:t>
            </w:r>
            <w:r w:rsidR="005D6019">
              <w:rPr>
                <w:rFonts w:ascii="Book Antiqua" w:eastAsiaTheme="minorEastAsia" w:hAnsi="Book Antiqua"/>
                <w:noProof/>
                <w:sz w:val="24"/>
                <w:szCs w:val="24"/>
              </w:rPr>
              <w:tab/>
            </w:r>
            <w:r w:rsidR="005D6019">
              <w:rPr>
                <w:rFonts w:ascii="Book Antiqua" w:eastAsiaTheme="minorEastAsia" w:hAnsi="Book Antiqua"/>
                <w:noProof/>
                <w:sz w:val="24"/>
                <w:szCs w:val="24"/>
              </w:rPr>
              <w:tab/>
            </w:r>
            <w:r w:rsidR="005D6019" w:rsidRPr="005D6019">
              <w:rPr>
                <w:rStyle w:val="Kpr"/>
                <w:rFonts w:ascii="Book Antiqua" w:hAnsi="Book Antiqua"/>
                <w:noProof/>
                <w:sz w:val="24"/>
                <w:szCs w:val="24"/>
                <w:shd w:val="clear" w:color="auto" w:fill="FFFFFF"/>
              </w:rPr>
              <w:t>The Cost of Inertia</w:t>
            </w:r>
            <w:r w:rsidR="005D6019" w:rsidRPr="005D6019">
              <w:rPr>
                <w:rFonts w:ascii="Book Antiqua" w:hAnsi="Book Antiqua"/>
                <w:noProof/>
                <w:webHidden/>
                <w:sz w:val="24"/>
                <w:szCs w:val="24"/>
              </w:rPr>
              <w:tab/>
            </w:r>
            <w:r w:rsidR="005D6019" w:rsidRPr="005D6019">
              <w:rPr>
                <w:rFonts w:ascii="Book Antiqua" w:hAnsi="Book Antiqua"/>
                <w:noProof/>
                <w:webHidden/>
                <w:sz w:val="24"/>
                <w:szCs w:val="24"/>
              </w:rPr>
              <w:fldChar w:fldCharType="begin"/>
            </w:r>
            <w:r w:rsidR="005D6019" w:rsidRPr="005D6019">
              <w:rPr>
                <w:rFonts w:ascii="Book Antiqua" w:hAnsi="Book Antiqua"/>
                <w:noProof/>
                <w:webHidden/>
                <w:sz w:val="24"/>
                <w:szCs w:val="24"/>
              </w:rPr>
              <w:instrText xml:space="preserve"> PAGEREF _Toc71407368 \h </w:instrText>
            </w:r>
            <w:r w:rsidR="005D6019" w:rsidRPr="005D6019">
              <w:rPr>
                <w:rFonts w:ascii="Book Antiqua" w:hAnsi="Book Antiqua"/>
                <w:noProof/>
                <w:webHidden/>
                <w:sz w:val="24"/>
                <w:szCs w:val="24"/>
              </w:rPr>
            </w:r>
            <w:r w:rsidR="005D6019" w:rsidRPr="005D6019">
              <w:rPr>
                <w:rFonts w:ascii="Book Antiqua" w:hAnsi="Book Antiqua"/>
                <w:noProof/>
                <w:webHidden/>
                <w:sz w:val="24"/>
                <w:szCs w:val="24"/>
              </w:rPr>
              <w:fldChar w:fldCharType="separate"/>
            </w:r>
            <w:r w:rsidR="00950373">
              <w:rPr>
                <w:rFonts w:ascii="Book Antiqua" w:hAnsi="Book Antiqua"/>
                <w:noProof/>
                <w:webHidden/>
                <w:sz w:val="24"/>
                <w:szCs w:val="24"/>
              </w:rPr>
              <w:t>10</w:t>
            </w:r>
            <w:r w:rsidR="005D6019" w:rsidRPr="005D6019">
              <w:rPr>
                <w:rFonts w:ascii="Book Antiqua" w:hAnsi="Book Antiqua"/>
                <w:noProof/>
                <w:webHidden/>
                <w:sz w:val="24"/>
                <w:szCs w:val="24"/>
              </w:rPr>
              <w:fldChar w:fldCharType="end"/>
            </w:r>
          </w:hyperlink>
        </w:p>
        <w:p w14:paraId="6069590C" w14:textId="23B87BFA" w:rsidR="005D6019" w:rsidRPr="005D6019" w:rsidRDefault="00870300" w:rsidP="005D6019">
          <w:pPr>
            <w:pStyle w:val="T1"/>
            <w:tabs>
              <w:tab w:val="left" w:pos="660"/>
              <w:tab w:val="left" w:pos="709"/>
              <w:tab w:val="right" w:leader="dot" w:pos="7876"/>
            </w:tabs>
            <w:spacing w:before="120" w:after="120" w:line="480" w:lineRule="auto"/>
            <w:rPr>
              <w:rFonts w:ascii="Book Antiqua" w:eastAsiaTheme="minorEastAsia" w:hAnsi="Book Antiqua"/>
              <w:noProof/>
              <w:sz w:val="24"/>
              <w:szCs w:val="24"/>
            </w:rPr>
          </w:pPr>
          <w:hyperlink w:anchor="_Toc71407369" w:history="1">
            <w:r w:rsidR="005D6019" w:rsidRPr="005D6019">
              <w:rPr>
                <w:rStyle w:val="Kpr"/>
                <w:rFonts w:ascii="Book Antiqua" w:hAnsi="Book Antiqua"/>
                <w:noProof/>
                <w:sz w:val="24"/>
                <w:szCs w:val="24"/>
              </w:rPr>
              <w:t>IV.</w:t>
            </w:r>
            <w:r w:rsidR="005D6019" w:rsidRPr="005D6019">
              <w:rPr>
                <w:rFonts w:ascii="Book Antiqua" w:eastAsiaTheme="minorEastAsia" w:hAnsi="Book Antiqua"/>
                <w:noProof/>
                <w:sz w:val="24"/>
                <w:szCs w:val="24"/>
              </w:rPr>
              <w:tab/>
            </w:r>
            <w:r w:rsidR="005D6019">
              <w:rPr>
                <w:rFonts w:ascii="Book Antiqua" w:eastAsiaTheme="minorEastAsia" w:hAnsi="Book Antiqua"/>
                <w:noProof/>
                <w:sz w:val="24"/>
                <w:szCs w:val="24"/>
              </w:rPr>
              <w:tab/>
            </w:r>
            <w:r w:rsidR="005D6019" w:rsidRPr="005D6019">
              <w:rPr>
                <w:rStyle w:val="Kpr"/>
                <w:rFonts w:ascii="Book Antiqua" w:hAnsi="Book Antiqua"/>
                <w:noProof/>
                <w:sz w:val="24"/>
                <w:szCs w:val="24"/>
              </w:rPr>
              <w:t>The Ideal Market for Observing Inertia: Wireless Industry</w:t>
            </w:r>
            <w:r w:rsidR="005D6019" w:rsidRPr="005D6019">
              <w:rPr>
                <w:rFonts w:ascii="Book Antiqua" w:hAnsi="Book Antiqua"/>
                <w:noProof/>
                <w:webHidden/>
                <w:sz w:val="24"/>
                <w:szCs w:val="24"/>
              </w:rPr>
              <w:tab/>
            </w:r>
            <w:r w:rsidR="005D6019" w:rsidRPr="005D6019">
              <w:rPr>
                <w:rFonts w:ascii="Book Antiqua" w:hAnsi="Book Antiqua"/>
                <w:noProof/>
                <w:webHidden/>
                <w:sz w:val="24"/>
                <w:szCs w:val="24"/>
              </w:rPr>
              <w:fldChar w:fldCharType="begin"/>
            </w:r>
            <w:r w:rsidR="005D6019" w:rsidRPr="005D6019">
              <w:rPr>
                <w:rFonts w:ascii="Book Antiqua" w:hAnsi="Book Antiqua"/>
                <w:noProof/>
                <w:webHidden/>
                <w:sz w:val="24"/>
                <w:szCs w:val="24"/>
              </w:rPr>
              <w:instrText xml:space="preserve"> PAGEREF _Toc71407369 \h </w:instrText>
            </w:r>
            <w:r w:rsidR="005D6019" w:rsidRPr="005D6019">
              <w:rPr>
                <w:rFonts w:ascii="Book Antiqua" w:hAnsi="Book Antiqua"/>
                <w:noProof/>
                <w:webHidden/>
                <w:sz w:val="24"/>
                <w:szCs w:val="24"/>
              </w:rPr>
            </w:r>
            <w:r w:rsidR="005D6019" w:rsidRPr="005D6019">
              <w:rPr>
                <w:rFonts w:ascii="Book Antiqua" w:hAnsi="Book Antiqua"/>
                <w:noProof/>
                <w:webHidden/>
                <w:sz w:val="24"/>
                <w:szCs w:val="24"/>
              </w:rPr>
              <w:fldChar w:fldCharType="separate"/>
            </w:r>
            <w:r w:rsidR="00950373">
              <w:rPr>
                <w:rFonts w:ascii="Book Antiqua" w:hAnsi="Book Antiqua"/>
                <w:noProof/>
                <w:webHidden/>
                <w:sz w:val="24"/>
                <w:szCs w:val="24"/>
              </w:rPr>
              <w:t>11</w:t>
            </w:r>
            <w:r w:rsidR="005D6019" w:rsidRPr="005D6019">
              <w:rPr>
                <w:rFonts w:ascii="Book Antiqua" w:hAnsi="Book Antiqua"/>
                <w:noProof/>
                <w:webHidden/>
                <w:sz w:val="24"/>
                <w:szCs w:val="24"/>
              </w:rPr>
              <w:fldChar w:fldCharType="end"/>
            </w:r>
          </w:hyperlink>
        </w:p>
        <w:p w14:paraId="448A11D4" w14:textId="0972BEB4" w:rsidR="005D6019" w:rsidRPr="005D6019" w:rsidRDefault="00870300" w:rsidP="005D6019">
          <w:pPr>
            <w:pStyle w:val="T1"/>
            <w:tabs>
              <w:tab w:val="left" w:pos="440"/>
              <w:tab w:val="left" w:pos="709"/>
              <w:tab w:val="right" w:leader="dot" w:pos="7876"/>
            </w:tabs>
            <w:spacing w:before="120" w:after="120" w:line="480" w:lineRule="auto"/>
            <w:rPr>
              <w:rFonts w:ascii="Book Antiqua" w:eastAsiaTheme="minorEastAsia" w:hAnsi="Book Antiqua"/>
              <w:noProof/>
              <w:sz w:val="24"/>
              <w:szCs w:val="24"/>
            </w:rPr>
          </w:pPr>
          <w:hyperlink w:anchor="_Toc71407370" w:history="1">
            <w:r w:rsidR="005D6019" w:rsidRPr="005D6019">
              <w:rPr>
                <w:rStyle w:val="Kpr"/>
                <w:rFonts w:ascii="Book Antiqua" w:hAnsi="Book Antiqua"/>
                <w:noProof/>
                <w:sz w:val="24"/>
                <w:szCs w:val="24"/>
              </w:rPr>
              <w:t>V.</w:t>
            </w:r>
            <w:r w:rsidR="005D6019" w:rsidRPr="005D6019">
              <w:rPr>
                <w:rFonts w:ascii="Book Antiqua" w:eastAsiaTheme="minorEastAsia" w:hAnsi="Book Antiqua"/>
                <w:noProof/>
                <w:sz w:val="24"/>
                <w:szCs w:val="24"/>
              </w:rPr>
              <w:tab/>
            </w:r>
            <w:r w:rsidR="005D6019">
              <w:rPr>
                <w:rFonts w:ascii="Book Antiqua" w:eastAsiaTheme="minorEastAsia" w:hAnsi="Book Antiqua"/>
                <w:noProof/>
                <w:sz w:val="24"/>
                <w:szCs w:val="24"/>
              </w:rPr>
              <w:tab/>
              <w:t xml:space="preserve">Detecting </w:t>
            </w:r>
            <w:r w:rsidR="005D6019" w:rsidRPr="005D6019">
              <w:rPr>
                <w:rStyle w:val="Kpr"/>
                <w:rFonts w:ascii="Book Antiqua" w:hAnsi="Book Antiqua"/>
                <w:noProof/>
                <w:sz w:val="24"/>
                <w:szCs w:val="24"/>
              </w:rPr>
              <w:t>Inertia in Wireless Subscriptions</w:t>
            </w:r>
            <w:r w:rsidR="005D6019" w:rsidRPr="005D6019">
              <w:rPr>
                <w:rFonts w:ascii="Book Antiqua" w:hAnsi="Book Antiqua"/>
                <w:noProof/>
                <w:webHidden/>
                <w:sz w:val="24"/>
                <w:szCs w:val="24"/>
              </w:rPr>
              <w:tab/>
            </w:r>
            <w:r w:rsidR="005D6019" w:rsidRPr="005D6019">
              <w:rPr>
                <w:rFonts w:ascii="Book Antiqua" w:hAnsi="Book Antiqua"/>
                <w:noProof/>
                <w:webHidden/>
                <w:sz w:val="24"/>
                <w:szCs w:val="24"/>
              </w:rPr>
              <w:fldChar w:fldCharType="begin"/>
            </w:r>
            <w:r w:rsidR="005D6019" w:rsidRPr="005D6019">
              <w:rPr>
                <w:rFonts w:ascii="Book Antiqua" w:hAnsi="Book Antiqua"/>
                <w:noProof/>
                <w:webHidden/>
                <w:sz w:val="24"/>
                <w:szCs w:val="24"/>
              </w:rPr>
              <w:instrText xml:space="preserve"> PAGEREF _Toc71407370 \h </w:instrText>
            </w:r>
            <w:r w:rsidR="005D6019" w:rsidRPr="005D6019">
              <w:rPr>
                <w:rFonts w:ascii="Book Antiqua" w:hAnsi="Book Antiqua"/>
                <w:noProof/>
                <w:webHidden/>
                <w:sz w:val="24"/>
                <w:szCs w:val="24"/>
              </w:rPr>
            </w:r>
            <w:r w:rsidR="005D6019" w:rsidRPr="005D6019">
              <w:rPr>
                <w:rFonts w:ascii="Book Antiqua" w:hAnsi="Book Antiqua"/>
                <w:noProof/>
                <w:webHidden/>
                <w:sz w:val="24"/>
                <w:szCs w:val="24"/>
              </w:rPr>
              <w:fldChar w:fldCharType="separate"/>
            </w:r>
            <w:r w:rsidR="00950373">
              <w:rPr>
                <w:rFonts w:ascii="Book Antiqua" w:hAnsi="Book Antiqua"/>
                <w:noProof/>
                <w:webHidden/>
                <w:sz w:val="24"/>
                <w:szCs w:val="24"/>
              </w:rPr>
              <w:t>13</w:t>
            </w:r>
            <w:r w:rsidR="005D6019" w:rsidRPr="005D6019">
              <w:rPr>
                <w:rFonts w:ascii="Book Antiqua" w:hAnsi="Book Antiqua"/>
                <w:noProof/>
                <w:webHidden/>
                <w:sz w:val="24"/>
                <w:szCs w:val="24"/>
              </w:rPr>
              <w:fldChar w:fldCharType="end"/>
            </w:r>
          </w:hyperlink>
        </w:p>
        <w:p w14:paraId="7FDABE24" w14:textId="43E8B4AC" w:rsidR="005D6019" w:rsidRPr="005D6019" w:rsidRDefault="00870300" w:rsidP="005D6019">
          <w:pPr>
            <w:pStyle w:val="T1"/>
            <w:tabs>
              <w:tab w:val="left" w:pos="660"/>
              <w:tab w:val="left" w:pos="709"/>
              <w:tab w:val="right" w:leader="dot" w:pos="7876"/>
            </w:tabs>
            <w:spacing w:before="120" w:after="120" w:line="480" w:lineRule="auto"/>
            <w:rPr>
              <w:rFonts w:ascii="Book Antiqua" w:eastAsiaTheme="minorEastAsia" w:hAnsi="Book Antiqua"/>
              <w:noProof/>
              <w:sz w:val="24"/>
              <w:szCs w:val="24"/>
            </w:rPr>
          </w:pPr>
          <w:hyperlink w:anchor="_Toc71407371" w:history="1">
            <w:r w:rsidR="005D6019" w:rsidRPr="005D6019">
              <w:rPr>
                <w:rStyle w:val="Kpr"/>
                <w:rFonts w:ascii="Book Antiqua" w:hAnsi="Book Antiqua"/>
                <w:noProof/>
                <w:sz w:val="24"/>
                <w:szCs w:val="24"/>
              </w:rPr>
              <w:t>VI.</w:t>
            </w:r>
            <w:r w:rsidR="005D6019" w:rsidRPr="005D6019">
              <w:rPr>
                <w:rFonts w:ascii="Book Antiqua" w:eastAsiaTheme="minorEastAsia" w:hAnsi="Book Antiqua"/>
                <w:noProof/>
                <w:sz w:val="24"/>
                <w:szCs w:val="24"/>
              </w:rPr>
              <w:tab/>
            </w:r>
            <w:r w:rsidR="005D6019">
              <w:rPr>
                <w:rFonts w:ascii="Book Antiqua" w:eastAsiaTheme="minorEastAsia" w:hAnsi="Book Antiqua"/>
                <w:noProof/>
                <w:sz w:val="24"/>
                <w:szCs w:val="24"/>
              </w:rPr>
              <w:tab/>
            </w:r>
            <w:r w:rsidR="005D6019" w:rsidRPr="005D6019">
              <w:rPr>
                <w:rStyle w:val="Kpr"/>
                <w:rFonts w:ascii="Book Antiqua" w:hAnsi="Book Antiqua"/>
                <w:noProof/>
                <w:sz w:val="24"/>
                <w:szCs w:val="24"/>
              </w:rPr>
              <w:t>Pushing the Customer Out of Inertia</w:t>
            </w:r>
            <w:r w:rsidR="005D6019" w:rsidRPr="005D6019">
              <w:rPr>
                <w:rFonts w:ascii="Book Antiqua" w:hAnsi="Book Antiqua"/>
                <w:noProof/>
                <w:webHidden/>
                <w:sz w:val="24"/>
                <w:szCs w:val="24"/>
              </w:rPr>
              <w:tab/>
            </w:r>
            <w:r w:rsidR="005D6019" w:rsidRPr="005D6019">
              <w:rPr>
                <w:rFonts w:ascii="Book Antiqua" w:hAnsi="Book Antiqua"/>
                <w:noProof/>
                <w:webHidden/>
                <w:sz w:val="24"/>
                <w:szCs w:val="24"/>
              </w:rPr>
              <w:fldChar w:fldCharType="begin"/>
            </w:r>
            <w:r w:rsidR="005D6019" w:rsidRPr="005D6019">
              <w:rPr>
                <w:rFonts w:ascii="Book Antiqua" w:hAnsi="Book Antiqua"/>
                <w:noProof/>
                <w:webHidden/>
                <w:sz w:val="24"/>
                <w:szCs w:val="24"/>
              </w:rPr>
              <w:instrText xml:space="preserve"> PAGEREF _Toc71407371 \h </w:instrText>
            </w:r>
            <w:r w:rsidR="005D6019" w:rsidRPr="005D6019">
              <w:rPr>
                <w:rFonts w:ascii="Book Antiqua" w:hAnsi="Book Antiqua"/>
                <w:noProof/>
                <w:webHidden/>
                <w:sz w:val="24"/>
                <w:szCs w:val="24"/>
              </w:rPr>
            </w:r>
            <w:r w:rsidR="005D6019" w:rsidRPr="005D6019">
              <w:rPr>
                <w:rFonts w:ascii="Book Antiqua" w:hAnsi="Book Antiqua"/>
                <w:noProof/>
                <w:webHidden/>
                <w:sz w:val="24"/>
                <w:szCs w:val="24"/>
              </w:rPr>
              <w:fldChar w:fldCharType="separate"/>
            </w:r>
            <w:r w:rsidR="00950373">
              <w:rPr>
                <w:rFonts w:ascii="Book Antiqua" w:hAnsi="Book Antiqua"/>
                <w:noProof/>
                <w:webHidden/>
                <w:sz w:val="24"/>
                <w:szCs w:val="24"/>
              </w:rPr>
              <w:t>15</w:t>
            </w:r>
            <w:r w:rsidR="005D6019" w:rsidRPr="005D6019">
              <w:rPr>
                <w:rFonts w:ascii="Book Antiqua" w:hAnsi="Book Antiqua"/>
                <w:noProof/>
                <w:webHidden/>
                <w:sz w:val="24"/>
                <w:szCs w:val="24"/>
              </w:rPr>
              <w:fldChar w:fldCharType="end"/>
            </w:r>
          </w:hyperlink>
        </w:p>
        <w:p w14:paraId="05BD59E7" w14:textId="1D98C380" w:rsidR="005D6019" w:rsidRPr="005D6019" w:rsidRDefault="00870300" w:rsidP="005D6019">
          <w:pPr>
            <w:pStyle w:val="T1"/>
            <w:tabs>
              <w:tab w:val="left" w:pos="660"/>
              <w:tab w:val="left" w:pos="709"/>
              <w:tab w:val="right" w:leader="dot" w:pos="7876"/>
            </w:tabs>
            <w:spacing w:before="120" w:after="120" w:line="480" w:lineRule="auto"/>
            <w:rPr>
              <w:rFonts w:ascii="Book Antiqua" w:eastAsiaTheme="minorEastAsia" w:hAnsi="Book Antiqua"/>
              <w:noProof/>
              <w:sz w:val="24"/>
              <w:szCs w:val="24"/>
            </w:rPr>
          </w:pPr>
          <w:hyperlink w:anchor="_Toc71407372" w:history="1">
            <w:r w:rsidR="005D6019" w:rsidRPr="005D6019">
              <w:rPr>
                <w:rStyle w:val="Kpr"/>
                <w:rFonts w:ascii="Book Antiqua" w:hAnsi="Book Antiqua"/>
                <w:noProof/>
                <w:sz w:val="24"/>
                <w:szCs w:val="24"/>
              </w:rPr>
              <w:t>VII.</w:t>
            </w:r>
            <w:r w:rsidR="005D6019" w:rsidRPr="005D6019">
              <w:rPr>
                <w:rFonts w:ascii="Book Antiqua" w:eastAsiaTheme="minorEastAsia" w:hAnsi="Book Antiqua"/>
                <w:noProof/>
                <w:sz w:val="24"/>
                <w:szCs w:val="24"/>
              </w:rPr>
              <w:tab/>
            </w:r>
            <w:r w:rsidR="005D6019">
              <w:rPr>
                <w:rFonts w:ascii="Book Antiqua" w:eastAsiaTheme="minorEastAsia" w:hAnsi="Book Antiqua"/>
                <w:noProof/>
                <w:sz w:val="24"/>
                <w:szCs w:val="24"/>
              </w:rPr>
              <w:tab/>
            </w:r>
            <w:r w:rsidR="005D6019" w:rsidRPr="005D6019">
              <w:rPr>
                <w:rStyle w:val="Kpr"/>
                <w:rFonts w:ascii="Book Antiqua" w:hAnsi="Book Antiqua"/>
                <w:noProof/>
                <w:sz w:val="24"/>
                <w:szCs w:val="24"/>
              </w:rPr>
              <w:t>Conclusion</w:t>
            </w:r>
            <w:r w:rsidR="005D6019" w:rsidRPr="005D6019">
              <w:rPr>
                <w:rFonts w:ascii="Book Antiqua" w:hAnsi="Book Antiqua"/>
                <w:noProof/>
                <w:webHidden/>
                <w:sz w:val="24"/>
                <w:szCs w:val="24"/>
              </w:rPr>
              <w:tab/>
            </w:r>
            <w:r w:rsidR="005D6019" w:rsidRPr="005D6019">
              <w:rPr>
                <w:rFonts w:ascii="Book Antiqua" w:hAnsi="Book Antiqua"/>
                <w:noProof/>
                <w:webHidden/>
                <w:sz w:val="24"/>
                <w:szCs w:val="24"/>
              </w:rPr>
              <w:fldChar w:fldCharType="begin"/>
            </w:r>
            <w:r w:rsidR="005D6019" w:rsidRPr="005D6019">
              <w:rPr>
                <w:rFonts w:ascii="Book Antiqua" w:hAnsi="Book Antiqua"/>
                <w:noProof/>
                <w:webHidden/>
                <w:sz w:val="24"/>
                <w:szCs w:val="24"/>
              </w:rPr>
              <w:instrText xml:space="preserve"> PAGEREF _Toc71407372 \h </w:instrText>
            </w:r>
            <w:r w:rsidR="005D6019" w:rsidRPr="005D6019">
              <w:rPr>
                <w:rFonts w:ascii="Book Antiqua" w:hAnsi="Book Antiqua"/>
                <w:noProof/>
                <w:webHidden/>
                <w:sz w:val="24"/>
                <w:szCs w:val="24"/>
              </w:rPr>
            </w:r>
            <w:r w:rsidR="005D6019" w:rsidRPr="005D6019">
              <w:rPr>
                <w:rFonts w:ascii="Book Antiqua" w:hAnsi="Book Antiqua"/>
                <w:noProof/>
                <w:webHidden/>
                <w:sz w:val="24"/>
                <w:szCs w:val="24"/>
              </w:rPr>
              <w:fldChar w:fldCharType="separate"/>
            </w:r>
            <w:r w:rsidR="00950373">
              <w:rPr>
                <w:rFonts w:ascii="Book Antiqua" w:hAnsi="Book Antiqua"/>
                <w:noProof/>
                <w:webHidden/>
                <w:sz w:val="24"/>
                <w:szCs w:val="24"/>
              </w:rPr>
              <w:t>21</w:t>
            </w:r>
            <w:r w:rsidR="005D6019" w:rsidRPr="005D6019">
              <w:rPr>
                <w:rFonts w:ascii="Book Antiqua" w:hAnsi="Book Antiqua"/>
                <w:noProof/>
                <w:webHidden/>
                <w:sz w:val="24"/>
                <w:szCs w:val="24"/>
              </w:rPr>
              <w:fldChar w:fldCharType="end"/>
            </w:r>
          </w:hyperlink>
        </w:p>
        <w:p w14:paraId="5E8CFA31" w14:textId="4C2E98E8" w:rsidR="005D6019" w:rsidRPr="005D6019" w:rsidRDefault="005D6019" w:rsidP="005D6019">
          <w:pPr>
            <w:spacing w:before="120" w:after="120" w:line="480" w:lineRule="auto"/>
            <w:rPr>
              <w:rFonts w:ascii="Book Antiqua" w:hAnsi="Book Antiqua"/>
            </w:rPr>
          </w:pPr>
          <w:r w:rsidRPr="005D6019">
            <w:rPr>
              <w:rFonts w:ascii="Book Antiqua" w:hAnsi="Book Antiqua"/>
              <w:bCs/>
              <w:sz w:val="24"/>
              <w:szCs w:val="24"/>
              <w:lang w:val="tr-TR"/>
            </w:rPr>
            <w:fldChar w:fldCharType="end"/>
          </w:r>
        </w:p>
      </w:sdtContent>
    </w:sdt>
    <w:p w14:paraId="772B50A7" w14:textId="77777777" w:rsidR="005D6019" w:rsidRDefault="005D6019" w:rsidP="005D6019">
      <w:pPr>
        <w:pStyle w:val="Balk1"/>
      </w:pPr>
      <w:bookmarkStart w:id="0" w:name="_Toc71407366"/>
      <w:r>
        <w:br w:type="page"/>
      </w:r>
    </w:p>
    <w:p w14:paraId="20556400" w14:textId="7C7A340A" w:rsidR="00DF72A2" w:rsidRPr="005D6019" w:rsidRDefault="00877CD8" w:rsidP="005D6019">
      <w:pPr>
        <w:pStyle w:val="Balk1"/>
        <w:numPr>
          <w:ilvl w:val="0"/>
          <w:numId w:val="4"/>
        </w:numPr>
      </w:pPr>
      <w:r w:rsidRPr="005D6019">
        <w:lastRenderedPageBreak/>
        <w:t>Subscription Economy and Customer’s Inertia</w:t>
      </w:r>
      <w:bookmarkEnd w:id="0"/>
    </w:p>
    <w:p w14:paraId="06EA0BC0" w14:textId="352B1182" w:rsidR="00DF72A2" w:rsidRPr="005D6019" w:rsidRDefault="007A2191" w:rsidP="004970C5">
      <w:pPr>
        <w:autoSpaceDE w:val="0"/>
        <w:autoSpaceDN w:val="0"/>
        <w:adjustRightInd w:val="0"/>
        <w:spacing w:before="240" w:after="240" w:line="360" w:lineRule="auto"/>
        <w:ind w:firstLine="360"/>
        <w:jc w:val="both"/>
        <w:rPr>
          <w:rFonts w:ascii="Book Antiqua" w:hAnsi="Book Antiqua" w:cs="Times New Roman"/>
          <w:sz w:val="24"/>
          <w:szCs w:val="24"/>
        </w:rPr>
      </w:pPr>
      <w:r w:rsidRPr="005D6019">
        <w:rPr>
          <w:rFonts w:ascii="Book Antiqua" w:hAnsi="Book Antiqua"/>
          <w:sz w:val="24"/>
          <w:szCs w:val="24"/>
        </w:rPr>
        <w:t>Subscription-based consumption is increasing every day.</w:t>
      </w:r>
      <w:r w:rsidRPr="005D6019">
        <w:rPr>
          <w:rFonts w:ascii="Book Antiqua" w:hAnsi="Book Antiqua" w:cs="Times New Roman"/>
          <w:sz w:val="24"/>
          <w:szCs w:val="24"/>
        </w:rPr>
        <w:t xml:space="preserve"> From automobiles</w:t>
      </w:r>
      <w:r w:rsidRPr="005D6019">
        <w:rPr>
          <w:rStyle w:val="DipnotBavurusu"/>
          <w:rFonts w:ascii="Book Antiqua" w:hAnsi="Book Antiqua"/>
        </w:rPr>
        <w:footnoteReference w:id="16"/>
      </w:r>
      <w:r w:rsidRPr="005D6019">
        <w:rPr>
          <w:rFonts w:ascii="Book Antiqua" w:hAnsi="Book Antiqua" w:cs="Times New Roman"/>
          <w:sz w:val="24"/>
          <w:szCs w:val="24"/>
        </w:rPr>
        <w:t xml:space="preserve"> to groceries</w:t>
      </w:r>
      <w:r w:rsidRPr="005D6019">
        <w:rPr>
          <w:rStyle w:val="DipnotBavurusu"/>
          <w:rFonts w:ascii="Book Antiqua" w:hAnsi="Book Antiqua"/>
        </w:rPr>
        <w:footnoteReference w:id="17"/>
      </w:r>
      <w:r w:rsidRPr="005D6019">
        <w:rPr>
          <w:rFonts w:ascii="Book Antiqua" w:hAnsi="Book Antiqua" w:cs="Times New Roman"/>
          <w:sz w:val="24"/>
          <w:szCs w:val="24"/>
        </w:rPr>
        <w:t xml:space="preserve">, there has been a significant </w:t>
      </w:r>
      <w:r w:rsidR="00FB57EF" w:rsidRPr="005D6019">
        <w:rPr>
          <w:rFonts w:ascii="Book Antiqua" w:hAnsi="Book Antiqua" w:cs="Times New Roman"/>
          <w:sz w:val="24"/>
          <w:szCs w:val="24"/>
        </w:rPr>
        <w:t>rise</w:t>
      </w:r>
      <w:r w:rsidRPr="005D6019">
        <w:rPr>
          <w:rFonts w:ascii="Book Antiqua" w:hAnsi="Book Antiqua" w:cs="Times New Roman"/>
          <w:sz w:val="24"/>
          <w:szCs w:val="24"/>
        </w:rPr>
        <w:t xml:space="preserve"> in the number of industries and companies that use subscription services. The increasing numbers indicate the success that the subscription system brings to businesses. The companies operating with a subscription model have grown at an 18.1% compounded annual growth rate over the last 6 years. This is 5 times faster than US retail sales.</w:t>
      </w:r>
      <w:r w:rsidRPr="005D6019">
        <w:rPr>
          <w:rStyle w:val="DipnotBavurusu"/>
          <w:rFonts w:ascii="Book Antiqua" w:hAnsi="Book Antiqua"/>
        </w:rPr>
        <w:footnoteReference w:id="18"/>
      </w:r>
      <w:r w:rsidRPr="005D6019">
        <w:rPr>
          <w:rFonts w:ascii="Book Antiqua" w:hAnsi="Book Antiqua" w:cs="Times New Roman"/>
          <w:sz w:val="24"/>
          <w:szCs w:val="24"/>
        </w:rPr>
        <w:t xml:space="preserve"> </w:t>
      </w:r>
    </w:p>
    <w:p w14:paraId="0ECD116F" w14:textId="140A1706" w:rsidR="00DF72A2" w:rsidRPr="005D6019" w:rsidRDefault="007A2191" w:rsidP="004970C5">
      <w:pPr>
        <w:autoSpaceDE w:val="0"/>
        <w:autoSpaceDN w:val="0"/>
        <w:adjustRightInd w:val="0"/>
        <w:spacing w:before="240" w:after="240" w:line="360" w:lineRule="auto"/>
        <w:ind w:firstLine="360"/>
        <w:jc w:val="both"/>
        <w:rPr>
          <w:rFonts w:ascii="Book Antiqua" w:hAnsi="Book Antiqua" w:cs="Times New Roman"/>
          <w:sz w:val="24"/>
          <w:szCs w:val="24"/>
        </w:rPr>
      </w:pPr>
      <w:r w:rsidRPr="005D6019">
        <w:rPr>
          <w:rFonts w:ascii="Book Antiqua" w:hAnsi="Book Antiqua" w:cs="Times New Roman"/>
          <w:sz w:val="24"/>
          <w:szCs w:val="24"/>
        </w:rPr>
        <w:t>The main area that subscription services operate is business-to-customer (B2C) services. One consulting company found that US consumers spent $237 per month subscribing to different services in 2018.</w:t>
      </w:r>
      <w:r w:rsidRPr="005D6019">
        <w:rPr>
          <w:rStyle w:val="DipnotBavurusu"/>
          <w:rFonts w:ascii="Book Antiqua" w:hAnsi="Book Antiqua"/>
        </w:rPr>
        <w:footnoteReference w:id="19"/>
      </w:r>
      <w:r w:rsidRPr="005D6019">
        <w:rPr>
          <w:rFonts w:ascii="Book Antiqua" w:hAnsi="Book Antiqua" w:cs="Times New Roman"/>
          <w:sz w:val="24"/>
          <w:szCs w:val="24"/>
        </w:rPr>
        <w:t xml:space="preserve"> Another company states that people in the US spent $20.78 per month in 2020 on online applications only.</w:t>
      </w:r>
      <w:r w:rsidRPr="005D6019">
        <w:rPr>
          <w:rStyle w:val="DipnotBavurusu"/>
          <w:rFonts w:ascii="Book Antiqua" w:hAnsi="Book Antiqua"/>
        </w:rPr>
        <w:footnoteReference w:id="20"/>
      </w:r>
      <w:r w:rsidRPr="005D6019">
        <w:rPr>
          <w:rFonts w:ascii="Book Antiqua" w:hAnsi="Book Antiqua" w:cs="Times New Roman"/>
          <w:sz w:val="24"/>
          <w:szCs w:val="24"/>
        </w:rPr>
        <w:t xml:space="preserve"> </w:t>
      </w:r>
      <w:r w:rsidR="008F3233" w:rsidRPr="005D6019">
        <w:rPr>
          <w:rFonts w:ascii="Book Antiqua" w:hAnsi="Book Antiqua" w:cs="Times New Roman"/>
          <w:sz w:val="24"/>
          <w:szCs w:val="24"/>
        </w:rPr>
        <w:t>W</w:t>
      </w:r>
      <w:r w:rsidRPr="005D6019">
        <w:rPr>
          <w:rFonts w:ascii="Book Antiqua" w:hAnsi="Book Antiqua" w:cs="Times New Roman"/>
          <w:sz w:val="24"/>
          <w:szCs w:val="24"/>
        </w:rPr>
        <w:t>ith the Covid-19 pandemic, consumers started to use more subscription services.</w:t>
      </w:r>
      <w:r w:rsidRPr="005D6019">
        <w:rPr>
          <w:rStyle w:val="DipnotBavurusu"/>
          <w:rFonts w:ascii="Book Antiqua" w:hAnsi="Book Antiqua"/>
        </w:rPr>
        <w:footnoteReference w:id="21"/>
      </w:r>
      <w:r w:rsidRPr="005D6019">
        <w:rPr>
          <w:rFonts w:ascii="Book Antiqua" w:hAnsi="Book Antiqua" w:cs="Times New Roman"/>
          <w:sz w:val="24"/>
          <w:szCs w:val="24"/>
        </w:rPr>
        <w:t xml:space="preserve"> Another survey found that many Americans plan to keep their digital subscriptions even after the </w:t>
      </w:r>
      <w:r w:rsidRPr="005D6019">
        <w:rPr>
          <w:rFonts w:ascii="Book Antiqua" w:hAnsi="Book Antiqua" w:cs="Times New Roman"/>
          <w:sz w:val="24"/>
          <w:szCs w:val="24"/>
        </w:rPr>
        <w:lastRenderedPageBreak/>
        <w:t>pandemic.</w:t>
      </w:r>
      <w:r w:rsidRPr="005D6019">
        <w:rPr>
          <w:rStyle w:val="DipnotBavurusu"/>
          <w:rFonts w:ascii="Book Antiqua" w:hAnsi="Book Antiqua"/>
        </w:rPr>
        <w:footnoteReference w:id="22"/>
      </w:r>
      <w:r w:rsidRPr="005D6019">
        <w:rPr>
          <w:rFonts w:ascii="Book Antiqua" w:hAnsi="Book Antiqua" w:cs="Times New Roman"/>
          <w:sz w:val="24"/>
          <w:szCs w:val="24"/>
        </w:rPr>
        <w:t xml:space="preserve"> </w:t>
      </w:r>
      <w:r w:rsidR="00742BF7" w:rsidRPr="005D6019">
        <w:rPr>
          <w:rFonts w:ascii="Book Antiqua" w:hAnsi="Book Antiqua" w:cs="Times New Roman"/>
          <w:sz w:val="24"/>
          <w:szCs w:val="24"/>
        </w:rPr>
        <w:t>The p</w:t>
      </w:r>
      <w:r w:rsidRPr="005D6019">
        <w:rPr>
          <w:rFonts w:ascii="Book Antiqua" w:hAnsi="Book Antiqua" w:cs="Times New Roman"/>
          <w:sz w:val="24"/>
          <w:szCs w:val="24"/>
        </w:rPr>
        <w:t>andemic also increased B2B subscriptions and it is estimated that it will keep growing even after the pandemic.</w:t>
      </w:r>
      <w:r w:rsidRPr="005D6019">
        <w:rPr>
          <w:rStyle w:val="DipnotBavurusu"/>
          <w:rFonts w:ascii="Book Antiqua" w:hAnsi="Book Antiqua"/>
        </w:rPr>
        <w:footnoteReference w:id="23"/>
      </w:r>
      <w:r w:rsidRPr="005D6019">
        <w:rPr>
          <w:rFonts w:ascii="Book Antiqua" w:hAnsi="Book Antiqua" w:cs="Times New Roman"/>
          <w:sz w:val="24"/>
          <w:szCs w:val="24"/>
        </w:rPr>
        <w:t xml:space="preserve"> By 2024, </w:t>
      </w:r>
      <w:r w:rsidR="00742BF7" w:rsidRPr="005D6019">
        <w:rPr>
          <w:rFonts w:ascii="Book Antiqua" w:hAnsi="Book Antiqua" w:cs="Times New Roman"/>
          <w:sz w:val="24"/>
          <w:szCs w:val="24"/>
        </w:rPr>
        <w:t xml:space="preserve">the </w:t>
      </w:r>
      <w:r w:rsidRPr="005D6019">
        <w:rPr>
          <w:rFonts w:ascii="Book Antiqua" w:hAnsi="Book Antiqua" w:cs="Times New Roman"/>
          <w:sz w:val="24"/>
          <w:szCs w:val="24"/>
        </w:rPr>
        <w:t>B2B subscription market is set to reach $344.3 billion.</w:t>
      </w:r>
      <w:r w:rsidRPr="005D6019">
        <w:rPr>
          <w:rStyle w:val="DipnotBavurusu"/>
          <w:rFonts w:ascii="Book Antiqua" w:hAnsi="Book Antiqua"/>
        </w:rPr>
        <w:footnoteReference w:id="24"/>
      </w:r>
    </w:p>
    <w:p w14:paraId="6C228C8A" w14:textId="5B5C68BF" w:rsidR="00DF72A2" w:rsidRPr="005D6019" w:rsidRDefault="007A2191" w:rsidP="004970C5">
      <w:pPr>
        <w:spacing w:before="240" w:after="240" w:line="360" w:lineRule="auto"/>
        <w:ind w:firstLine="360"/>
        <w:jc w:val="both"/>
        <w:rPr>
          <w:rFonts w:ascii="Book Antiqua" w:hAnsi="Book Antiqua" w:cs="Times New Roman"/>
          <w:sz w:val="24"/>
          <w:szCs w:val="24"/>
        </w:rPr>
      </w:pPr>
      <w:r w:rsidRPr="005D6019">
        <w:rPr>
          <w:rFonts w:ascii="Book Antiqua" w:hAnsi="Book Antiqua" w:cs="Times New Roman"/>
          <w:sz w:val="24"/>
          <w:szCs w:val="24"/>
        </w:rPr>
        <w:t>The subscription-based business model creates an ongoing relationship between the customer and the provider. This change from the traditional one-time transactions to ongoing relations requires a</w:t>
      </w:r>
      <w:r w:rsidR="00FB57EF" w:rsidRPr="005D6019">
        <w:rPr>
          <w:rFonts w:ascii="Book Antiqua" w:hAnsi="Book Antiqua" w:cs="Times New Roman"/>
          <w:sz w:val="24"/>
          <w:szCs w:val="24"/>
        </w:rPr>
        <w:t xml:space="preserve"> re</w:t>
      </w:r>
      <w:r w:rsidRPr="005D6019">
        <w:rPr>
          <w:rFonts w:ascii="Book Antiqua" w:hAnsi="Book Antiqua" w:cs="Times New Roman"/>
          <w:sz w:val="24"/>
          <w:szCs w:val="24"/>
        </w:rPr>
        <w:t xml:space="preserve">evaluation of the </w:t>
      </w:r>
      <w:r w:rsidR="00FB57EF" w:rsidRPr="005D6019">
        <w:rPr>
          <w:rFonts w:ascii="Book Antiqua" w:hAnsi="Book Antiqua" w:cs="Times New Roman"/>
          <w:sz w:val="24"/>
          <w:szCs w:val="24"/>
        </w:rPr>
        <w:t>relationships between parties</w:t>
      </w:r>
      <w:r w:rsidRPr="005D6019">
        <w:rPr>
          <w:rFonts w:ascii="Book Antiqua" w:hAnsi="Book Antiqua" w:cs="Times New Roman"/>
          <w:sz w:val="24"/>
          <w:szCs w:val="24"/>
        </w:rPr>
        <w:t xml:space="preserve">.  </w:t>
      </w:r>
    </w:p>
    <w:p w14:paraId="04767356" w14:textId="519EFE60" w:rsidR="00DF72A2" w:rsidRPr="005D6019" w:rsidRDefault="007A2191" w:rsidP="004970C5">
      <w:pPr>
        <w:spacing w:before="240" w:after="240" w:line="360" w:lineRule="auto"/>
        <w:ind w:firstLine="360"/>
        <w:jc w:val="both"/>
        <w:rPr>
          <w:rFonts w:ascii="Book Antiqua" w:hAnsi="Book Antiqua" w:cs="Times New Roman"/>
          <w:sz w:val="24"/>
          <w:szCs w:val="24"/>
        </w:rPr>
      </w:pPr>
      <w:r w:rsidRPr="005D6019">
        <w:rPr>
          <w:rFonts w:ascii="Book Antiqua" w:hAnsi="Book Antiqua" w:cs="Times New Roman"/>
          <w:sz w:val="24"/>
          <w:szCs w:val="24"/>
        </w:rPr>
        <w:t xml:space="preserve">The subscription type relationship has two stages: subscription and cancellation. In the subscription stage, the customer subscribes to the service offered by the provider. A rational customer is assumed to pick the </w:t>
      </w:r>
      <w:r w:rsidR="00F503E3" w:rsidRPr="005D6019">
        <w:rPr>
          <w:rFonts w:ascii="Book Antiqua" w:hAnsi="Book Antiqua" w:cs="Times New Roman"/>
          <w:sz w:val="24"/>
          <w:szCs w:val="24"/>
        </w:rPr>
        <w:t>best</w:t>
      </w:r>
      <w:r w:rsidR="00E6374C">
        <w:rPr>
          <w:rFonts w:ascii="Book Antiqua" w:hAnsi="Book Antiqua" w:cs="Times New Roman"/>
          <w:sz w:val="24"/>
          <w:szCs w:val="24"/>
        </w:rPr>
        <w:t>-</w:t>
      </w:r>
      <w:r w:rsidR="00F503E3" w:rsidRPr="005D6019">
        <w:rPr>
          <w:rFonts w:ascii="Book Antiqua" w:hAnsi="Book Antiqua" w:cs="Times New Roman"/>
          <w:sz w:val="24"/>
          <w:szCs w:val="24"/>
        </w:rPr>
        <w:t xml:space="preserve">suited </w:t>
      </w:r>
      <w:r w:rsidRPr="005D6019">
        <w:rPr>
          <w:rFonts w:ascii="Book Antiqua" w:hAnsi="Book Antiqua" w:cs="Times New Roman"/>
          <w:sz w:val="24"/>
          <w:szCs w:val="24"/>
        </w:rPr>
        <w:t>service among the ones that are offered at the time</w:t>
      </w:r>
      <w:r w:rsidR="00693069" w:rsidRPr="005D6019">
        <w:rPr>
          <w:rFonts w:ascii="Book Antiqua" w:hAnsi="Book Antiqua" w:cs="Times New Roman"/>
          <w:sz w:val="24"/>
          <w:szCs w:val="24"/>
        </w:rPr>
        <w:t xml:space="preserve"> of registration</w:t>
      </w:r>
      <w:r w:rsidRPr="005D6019">
        <w:rPr>
          <w:rFonts w:ascii="Book Antiqua" w:hAnsi="Book Antiqua" w:cs="Times New Roman"/>
          <w:sz w:val="24"/>
          <w:szCs w:val="24"/>
        </w:rPr>
        <w:t>. Once subscribed, the relationship keeps going until the cancellation. Over time, the customer may lose interest in the service for various reasons and cancel the subscription.</w:t>
      </w:r>
    </w:p>
    <w:p w14:paraId="4F335E9E" w14:textId="5D78FF8E" w:rsidR="00DF72A2" w:rsidRPr="005D6019" w:rsidRDefault="007A2191" w:rsidP="004970C5">
      <w:pPr>
        <w:spacing w:before="240" w:after="240" w:line="360" w:lineRule="auto"/>
        <w:ind w:firstLine="360"/>
        <w:jc w:val="both"/>
        <w:rPr>
          <w:rFonts w:ascii="Book Antiqua" w:hAnsi="Book Antiqua" w:cs="Times New Roman"/>
          <w:sz w:val="24"/>
          <w:szCs w:val="24"/>
        </w:rPr>
      </w:pPr>
      <w:r w:rsidRPr="005D6019">
        <w:rPr>
          <w:rFonts w:ascii="Book Antiqua" w:hAnsi="Book Antiqua" w:cs="Times New Roman"/>
          <w:sz w:val="24"/>
          <w:szCs w:val="24"/>
        </w:rPr>
        <w:t>A</w:t>
      </w:r>
      <w:r w:rsidR="00615FB6">
        <w:rPr>
          <w:rFonts w:ascii="Book Antiqua" w:hAnsi="Book Antiqua" w:cs="Times New Roman"/>
          <w:sz w:val="24"/>
          <w:szCs w:val="24"/>
        </w:rPr>
        <w:t xml:space="preserve"> non-inert </w:t>
      </w:r>
      <w:r w:rsidRPr="005D6019">
        <w:rPr>
          <w:rFonts w:ascii="Book Antiqua" w:hAnsi="Book Antiqua" w:cs="Times New Roman"/>
          <w:sz w:val="24"/>
          <w:szCs w:val="24"/>
        </w:rPr>
        <w:t xml:space="preserve">customer </w:t>
      </w:r>
      <w:r w:rsidR="00F503E3" w:rsidRPr="005D6019">
        <w:rPr>
          <w:rFonts w:ascii="Book Antiqua" w:hAnsi="Book Antiqua" w:cs="Times New Roman"/>
          <w:sz w:val="24"/>
          <w:szCs w:val="24"/>
        </w:rPr>
        <w:t>would</w:t>
      </w:r>
      <w:r w:rsidRPr="005D6019">
        <w:rPr>
          <w:rFonts w:ascii="Book Antiqua" w:hAnsi="Book Antiqua" w:cs="Times New Roman"/>
          <w:sz w:val="24"/>
          <w:szCs w:val="24"/>
        </w:rPr>
        <w:t xml:space="preserve"> cancel the subscription </w:t>
      </w:r>
      <w:r w:rsidR="00FB57EF" w:rsidRPr="004970C5">
        <w:rPr>
          <w:rFonts w:ascii="Book Antiqua" w:hAnsi="Book Antiqua" w:cs="Times New Roman"/>
          <w:sz w:val="24"/>
          <w:szCs w:val="24"/>
        </w:rPr>
        <w:t xml:space="preserve">or switch </w:t>
      </w:r>
      <w:r w:rsidR="00E6374C">
        <w:rPr>
          <w:rFonts w:ascii="Book Antiqua" w:hAnsi="Book Antiqua" w:cs="Times New Roman"/>
          <w:sz w:val="24"/>
          <w:szCs w:val="24"/>
        </w:rPr>
        <w:t xml:space="preserve">to </w:t>
      </w:r>
      <w:r w:rsidR="00FB57EF" w:rsidRPr="004970C5">
        <w:rPr>
          <w:rFonts w:ascii="Book Antiqua" w:hAnsi="Book Antiqua" w:cs="Times New Roman"/>
          <w:sz w:val="24"/>
          <w:szCs w:val="24"/>
        </w:rPr>
        <w:t xml:space="preserve">an alternative </w:t>
      </w:r>
      <w:r w:rsidRPr="004970C5">
        <w:rPr>
          <w:rFonts w:ascii="Book Antiqua" w:hAnsi="Book Antiqua" w:cs="Times New Roman"/>
          <w:sz w:val="24"/>
          <w:szCs w:val="24"/>
        </w:rPr>
        <w:t>as soon as the expected benefit</w:t>
      </w:r>
      <w:r w:rsidR="00FB57EF" w:rsidRPr="004970C5">
        <w:rPr>
          <w:rFonts w:ascii="Book Antiqua" w:hAnsi="Book Antiqua" w:cs="Times New Roman"/>
          <w:sz w:val="24"/>
          <w:szCs w:val="24"/>
        </w:rPr>
        <w:t xml:space="preserve"> isn’t delivered</w:t>
      </w:r>
      <w:r w:rsidR="00F503E3" w:rsidRPr="004970C5">
        <w:rPr>
          <w:rFonts w:ascii="Book Antiqua" w:hAnsi="Book Antiqua" w:cs="Times New Roman"/>
          <w:sz w:val="24"/>
          <w:szCs w:val="24"/>
        </w:rPr>
        <w:t xml:space="preserve">, </w:t>
      </w:r>
      <w:r w:rsidR="004970C5" w:rsidRPr="004970C5">
        <w:rPr>
          <w:rFonts w:ascii="Book Antiqua" w:hAnsi="Book Antiqua" w:cs="Times New Roman"/>
          <w:sz w:val="24"/>
          <w:szCs w:val="24"/>
        </w:rPr>
        <w:t>or when a cheaper alternative of equivalent quality becomes available, yet customers are not perfectly rational.</w:t>
      </w:r>
      <w:r w:rsidRPr="004970C5">
        <w:rPr>
          <w:rFonts w:ascii="Book Antiqua" w:hAnsi="Book Antiqua" w:cs="Times New Roman"/>
          <w:sz w:val="24"/>
          <w:szCs w:val="24"/>
        </w:rPr>
        <w:t xml:space="preserve"> </w:t>
      </w:r>
      <w:r w:rsidRPr="005D6019">
        <w:rPr>
          <w:rFonts w:ascii="Book Antiqua" w:hAnsi="Book Antiqua" w:cs="Times New Roman"/>
          <w:sz w:val="24"/>
          <w:szCs w:val="24"/>
        </w:rPr>
        <w:t>It is well established in the economics literature that psychological effects such as present-biased preferences</w:t>
      </w:r>
      <w:r w:rsidRPr="005D6019">
        <w:rPr>
          <w:rStyle w:val="DipnotBavurusu"/>
          <w:rFonts w:ascii="Book Antiqua" w:hAnsi="Book Antiqua"/>
        </w:rPr>
        <w:footnoteReference w:id="25"/>
      </w:r>
      <w:r w:rsidRPr="005D6019">
        <w:rPr>
          <w:rFonts w:ascii="Book Antiqua" w:hAnsi="Book Antiqua" w:cs="Times New Roman"/>
          <w:sz w:val="24"/>
          <w:szCs w:val="24"/>
        </w:rPr>
        <w:t xml:space="preserve">, projection </w:t>
      </w:r>
      <w:r w:rsidRPr="005D6019">
        <w:rPr>
          <w:rFonts w:ascii="Book Antiqua" w:hAnsi="Book Antiqua" w:cs="Times New Roman"/>
          <w:sz w:val="24"/>
          <w:szCs w:val="24"/>
        </w:rPr>
        <w:lastRenderedPageBreak/>
        <w:t>bias</w:t>
      </w:r>
      <w:r w:rsidRPr="005D6019">
        <w:rPr>
          <w:rStyle w:val="DipnotBavurusu"/>
          <w:rFonts w:ascii="Book Antiqua" w:hAnsi="Book Antiqua"/>
        </w:rPr>
        <w:footnoteReference w:id="26"/>
      </w:r>
      <w:r w:rsidRPr="005D6019">
        <w:rPr>
          <w:rFonts w:ascii="Book Antiqua" w:hAnsi="Book Antiqua" w:cs="Times New Roman"/>
          <w:sz w:val="24"/>
          <w:szCs w:val="24"/>
        </w:rPr>
        <w:t>, salience</w:t>
      </w:r>
      <w:r w:rsidRPr="005D6019">
        <w:rPr>
          <w:rStyle w:val="DipnotBavurusu"/>
          <w:rFonts w:ascii="Book Antiqua" w:hAnsi="Book Antiqua"/>
        </w:rPr>
        <w:footnoteReference w:id="27"/>
      </w:r>
      <w:r w:rsidRPr="005D6019">
        <w:rPr>
          <w:rFonts w:ascii="Book Antiqua" w:hAnsi="Book Antiqua" w:cs="Times New Roman"/>
          <w:sz w:val="24"/>
          <w:szCs w:val="24"/>
        </w:rPr>
        <w:t>, and heuristic thinking</w:t>
      </w:r>
      <w:r w:rsidRPr="005D6019">
        <w:rPr>
          <w:rStyle w:val="DipnotBavurusu"/>
          <w:rFonts w:ascii="Book Antiqua" w:hAnsi="Book Antiqua"/>
        </w:rPr>
        <w:footnoteReference w:id="28"/>
      </w:r>
      <w:r w:rsidRPr="005D6019">
        <w:rPr>
          <w:rFonts w:ascii="Book Antiqua" w:hAnsi="Book Antiqua" w:cs="Times New Roman"/>
          <w:sz w:val="24"/>
          <w:szCs w:val="24"/>
          <w:vertAlign w:val="superscript"/>
        </w:rPr>
        <w:t xml:space="preserve"> </w:t>
      </w:r>
      <w:r w:rsidRPr="005D6019">
        <w:rPr>
          <w:rFonts w:ascii="Book Antiqua" w:hAnsi="Book Antiqua" w:cs="Times New Roman"/>
          <w:sz w:val="24"/>
          <w:szCs w:val="24"/>
        </w:rPr>
        <w:t>influence customers’ decision-making processes. Furthermore, customers can also suffer from asymmetrical information.</w:t>
      </w:r>
      <w:r w:rsidRPr="005D6019">
        <w:rPr>
          <w:rStyle w:val="DipnotBavurusu"/>
          <w:rFonts w:ascii="Book Antiqua" w:hAnsi="Book Antiqua"/>
        </w:rPr>
        <w:footnoteReference w:id="29"/>
      </w:r>
      <w:r w:rsidRPr="005D6019">
        <w:rPr>
          <w:rFonts w:ascii="Book Antiqua" w:hAnsi="Book Antiqua" w:cs="Times New Roman"/>
          <w:sz w:val="24"/>
          <w:szCs w:val="24"/>
        </w:rPr>
        <w:t xml:space="preserve"> There might be many other reasons that result </w:t>
      </w:r>
      <w:r w:rsidR="00F503E3" w:rsidRPr="005D6019">
        <w:rPr>
          <w:rFonts w:ascii="Book Antiqua" w:hAnsi="Book Antiqua" w:cs="Times New Roman"/>
          <w:sz w:val="24"/>
          <w:szCs w:val="24"/>
        </w:rPr>
        <w:t>from</w:t>
      </w:r>
      <w:r w:rsidRPr="005D6019">
        <w:rPr>
          <w:rFonts w:ascii="Book Antiqua" w:hAnsi="Book Antiqua" w:cs="Times New Roman"/>
          <w:sz w:val="24"/>
          <w:szCs w:val="24"/>
        </w:rPr>
        <w:t xml:space="preserve"> imperfect customer shopping subscriptions in the market. Because of these defects, a</w:t>
      </w:r>
      <w:r w:rsidR="004970C5">
        <w:rPr>
          <w:rFonts w:ascii="Book Antiqua" w:hAnsi="Book Antiqua" w:cs="Times New Roman"/>
          <w:sz w:val="24"/>
          <w:szCs w:val="24"/>
        </w:rPr>
        <w:t>n inert</w:t>
      </w:r>
      <w:r w:rsidRPr="005D6019">
        <w:rPr>
          <w:rFonts w:ascii="Book Antiqua" w:hAnsi="Book Antiqua" w:cs="Times New Roman"/>
          <w:sz w:val="24"/>
          <w:szCs w:val="24"/>
        </w:rPr>
        <w:t xml:space="preserve"> customer may fail to cancel the subscription that </w:t>
      </w:r>
      <w:r w:rsidR="004970C5">
        <w:rPr>
          <w:rFonts w:ascii="Book Antiqua" w:hAnsi="Book Antiqua" w:cs="Times New Roman"/>
          <w:sz w:val="24"/>
          <w:szCs w:val="24"/>
        </w:rPr>
        <w:t xml:space="preserve">a non-inert </w:t>
      </w:r>
      <w:r w:rsidRPr="005D6019">
        <w:rPr>
          <w:rFonts w:ascii="Book Antiqua" w:hAnsi="Book Antiqua" w:cs="Times New Roman"/>
          <w:sz w:val="24"/>
          <w:szCs w:val="24"/>
        </w:rPr>
        <w:t xml:space="preserve">customer would cancel.   </w:t>
      </w:r>
    </w:p>
    <w:p w14:paraId="178E0EA9" w14:textId="686F3891" w:rsidR="00CB4DF4" w:rsidRPr="005D6019" w:rsidRDefault="007A2191" w:rsidP="004970C5">
      <w:pPr>
        <w:autoSpaceDE w:val="0"/>
        <w:autoSpaceDN w:val="0"/>
        <w:adjustRightInd w:val="0"/>
        <w:spacing w:before="240" w:after="240" w:line="360" w:lineRule="auto"/>
        <w:ind w:firstLine="360"/>
        <w:jc w:val="both"/>
        <w:rPr>
          <w:rFonts w:ascii="Book Antiqua" w:hAnsi="Book Antiqua" w:cs="Times New Roman"/>
          <w:sz w:val="24"/>
          <w:szCs w:val="24"/>
        </w:rPr>
      </w:pPr>
      <w:r w:rsidRPr="005D6019">
        <w:rPr>
          <w:rFonts w:ascii="Book Antiqua" w:hAnsi="Book Antiqua" w:cs="Times New Roman"/>
          <w:sz w:val="24"/>
          <w:szCs w:val="24"/>
        </w:rPr>
        <w:t xml:space="preserve">The failure of cancellation </w:t>
      </w:r>
      <w:r w:rsidR="00A345B1" w:rsidRPr="005D6019">
        <w:rPr>
          <w:rFonts w:ascii="Book Antiqua" w:hAnsi="Book Antiqua" w:cs="Times New Roman"/>
          <w:sz w:val="24"/>
          <w:szCs w:val="24"/>
        </w:rPr>
        <w:t xml:space="preserve">or switching </w:t>
      </w:r>
      <w:r w:rsidRPr="005D6019">
        <w:rPr>
          <w:rFonts w:ascii="Book Antiqua" w:hAnsi="Book Antiqua" w:cs="Times New Roman"/>
          <w:sz w:val="24"/>
          <w:szCs w:val="24"/>
        </w:rPr>
        <w:t>in a subscription set</w:t>
      </w:r>
      <w:r w:rsidR="00CB4DF4" w:rsidRPr="005D6019">
        <w:rPr>
          <w:rFonts w:ascii="Book Antiqua" w:hAnsi="Book Antiqua" w:cs="Times New Roman"/>
          <w:sz w:val="24"/>
          <w:szCs w:val="24"/>
        </w:rPr>
        <w:t>ting</w:t>
      </w:r>
      <w:r w:rsidRPr="005D6019">
        <w:rPr>
          <w:rFonts w:ascii="Book Antiqua" w:hAnsi="Book Antiqua" w:cs="Times New Roman"/>
          <w:sz w:val="24"/>
          <w:szCs w:val="24"/>
        </w:rPr>
        <w:t xml:space="preserve"> is identified as customer’s inertia in the literature.</w:t>
      </w:r>
      <w:r w:rsidR="00E6374C">
        <w:rPr>
          <w:rStyle w:val="DipnotBavurusu"/>
          <w:rFonts w:ascii="Book Antiqua" w:hAnsi="Book Antiqua" w:cs="Times New Roman"/>
          <w:sz w:val="24"/>
          <w:szCs w:val="24"/>
        </w:rPr>
        <w:footnoteReference w:id="30"/>
      </w:r>
      <w:r w:rsidRPr="005D6019">
        <w:rPr>
          <w:rFonts w:ascii="Book Antiqua" w:hAnsi="Book Antiqua" w:cs="Times New Roman"/>
          <w:sz w:val="24"/>
          <w:szCs w:val="24"/>
        </w:rPr>
        <w:t xml:space="preserve">  </w:t>
      </w:r>
    </w:p>
    <w:p w14:paraId="20EEF108" w14:textId="3FE331BB" w:rsidR="00DF72A2" w:rsidRPr="005D6019" w:rsidRDefault="00FB57EF" w:rsidP="005D6019">
      <w:pPr>
        <w:pStyle w:val="Balk1"/>
      </w:pPr>
      <w:bookmarkStart w:id="1" w:name="_Toc71407367"/>
      <w:r w:rsidRPr="005D6019">
        <w:t>The Definition of</w:t>
      </w:r>
      <w:r w:rsidR="007A2191" w:rsidRPr="005D6019">
        <w:t xml:space="preserve"> Inertia</w:t>
      </w:r>
      <w:bookmarkEnd w:id="1"/>
      <w:r w:rsidR="007A2191" w:rsidRPr="005D6019">
        <w:t xml:space="preserve"> </w:t>
      </w:r>
    </w:p>
    <w:p w14:paraId="09A192A2" w14:textId="7AAEFCDC" w:rsidR="00DF72A2" w:rsidRPr="005D6019" w:rsidRDefault="007A2191" w:rsidP="004970C5">
      <w:pPr>
        <w:spacing w:before="240" w:after="240" w:line="360" w:lineRule="auto"/>
        <w:ind w:firstLine="360"/>
        <w:jc w:val="both"/>
        <w:rPr>
          <w:rFonts w:ascii="Book Antiqua" w:hAnsi="Book Antiqua"/>
          <w:sz w:val="24"/>
          <w:szCs w:val="24"/>
        </w:rPr>
      </w:pPr>
      <w:r w:rsidRPr="005D6019">
        <w:rPr>
          <w:rFonts w:ascii="Book Antiqua" w:hAnsi="Book Antiqua"/>
          <w:sz w:val="24"/>
          <w:szCs w:val="24"/>
        </w:rPr>
        <w:t>First identified in physics by Sir Isaac Newton</w:t>
      </w:r>
      <w:r w:rsidRPr="005D6019">
        <w:rPr>
          <w:rStyle w:val="DipnotBavurusu"/>
          <w:rFonts w:ascii="Book Antiqua" w:hAnsi="Book Antiqua"/>
        </w:rPr>
        <w:footnoteReference w:id="31"/>
      </w:r>
      <w:r w:rsidRPr="005D6019">
        <w:rPr>
          <w:rFonts w:ascii="Book Antiqua" w:hAnsi="Book Antiqua"/>
          <w:sz w:val="24"/>
          <w:szCs w:val="24"/>
        </w:rPr>
        <w:t>, inertia also exists in human behavior.</w:t>
      </w:r>
      <w:r w:rsidRPr="005D6019">
        <w:rPr>
          <w:rStyle w:val="DipnotBavurusu"/>
          <w:rFonts w:ascii="Book Antiqua" w:hAnsi="Book Antiqua"/>
        </w:rPr>
        <w:footnoteReference w:id="32"/>
      </w:r>
      <w:r w:rsidRPr="005D6019">
        <w:rPr>
          <w:rFonts w:ascii="Book Antiqua" w:hAnsi="Book Antiqua"/>
          <w:sz w:val="24"/>
          <w:szCs w:val="24"/>
        </w:rPr>
        <w:t xml:space="preserve"> </w:t>
      </w:r>
      <w:r w:rsidR="00693069" w:rsidRPr="005D6019">
        <w:rPr>
          <w:rFonts w:ascii="Book Antiqua" w:hAnsi="Book Antiqua"/>
          <w:sz w:val="24"/>
          <w:szCs w:val="24"/>
        </w:rPr>
        <w:t>While l</w:t>
      </w:r>
      <w:r w:rsidRPr="005D6019">
        <w:rPr>
          <w:rFonts w:ascii="Book Antiqua" w:hAnsi="Book Antiqua"/>
          <w:sz w:val="24"/>
          <w:szCs w:val="24"/>
        </w:rPr>
        <w:t>egal scholars mainly disregarded inertia, business scholars didn’t.</w:t>
      </w:r>
      <w:r w:rsidRPr="005D6019">
        <w:rPr>
          <w:rStyle w:val="DipnotBavurusu"/>
          <w:rFonts w:ascii="Book Antiqua" w:hAnsi="Book Antiqua"/>
        </w:rPr>
        <w:footnoteReference w:id="33"/>
      </w:r>
      <w:r w:rsidRPr="005D6019">
        <w:rPr>
          <w:rFonts w:ascii="Book Antiqua" w:hAnsi="Book Antiqua"/>
          <w:sz w:val="24"/>
          <w:szCs w:val="24"/>
        </w:rPr>
        <w:t xml:space="preserve"> There are many pieces of research in the business </w:t>
      </w:r>
      <w:r w:rsidRPr="005D6019">
        <w:rPr>
          <w:rFonts w:ascii="Book Antiqua" w:hAnsi="Book Antiqua"/>
          <w:sz w:val="24"/>
          <w:szCs w:val="24"/>
        </w:rPr>
        <w:lastRenderedPageBreak/>
        <w:t xml:space="preserve">literature regarding how </w:t>
      </w:r>
      <w:r w:rsidR="00615FB6">
        <w:rPr>
          <w:rFonts w:ascii="Book Antiqua" w:hAnsi="Book Antiqua"/>
          <w:sz w:val="24"/>
          <w:szCs w:val="24"/>
        </w:rPr>
        <w:t>businesses</w:t>
      </w:r>
      <w:r w:rsidRPr="005D6019">
        <w:rPr>
          <w:rFonts w:ascii="Book Antiqua" w:hAnsi="Book Antiqua"/>
          <w:sz w:val="24"/>
          <w:szCs w:val="24"/>
        </w:rPr>
        <w:t xml:space="preserve"> benefit from inertia.</w:t>
      </w:r>
      <w:r w:rsidRPr="005D6019">
        <w:rPr>
          <w:rStyle w:val="DipnotBavurusu"/>
          <w:rFonts w:ascii="Book Antiqua" w:hAnsi="Book Antiqua"/>
        </w:rPr>
        <w:footnoteReference w:id="34"/>
      </w:r>
      <w:r w:rsidRPr="005D6019">
        <w:rPr>
          <w:rFonts w:ascii="Book Antiqua" w:hAnsi="Book Antiqua"/>
          <w:sz w:val="24"/>
          <w:szCs w:val="24"/>
        </w:rPr>
        <w:t xml:space="preserve"> </w:t>
      </w:r>
      <w:r w:rsidR="007C7D9F" w:rsidRPr="005D6019">
        <w:rPr>
          <w:rFonts w:ascii="Book Antiqua" w:hAnsi="Book Antiqua"/>
          <w:sz w:val="24"/>
          <w:szCs w:val="24"/>
        </w:rPr>
        <w:t>S</w:t>
      </w:r>
      <w:r w:rsidRPr="005D6019">
        <w:rPr>
          <w:rFonts w:ascii="Book Antiqua" w:hAnsi="Book Antiqua"/>
          <w:sz w:val="24"/>
          <w:szCs w:val="24"/>
        </w:rPr>
        <w:t>ome scholars</w:t>
      </w:r>
      <w:r w:rsidR="007C7D9F" w:rsidRPr="005D6019">
        <w:rPr>
          <w:rFonts w:ascii="Book Antiqua" w:hAnsi="Book Antiqua"/>
          <w:sz w:val="24"/>
          <w:szCs w:val="24"/>
        </w:rPr>
        <w:t xml:space="preserve"> even</w:t>
      </w:r>
      <w:r w:rsidRPr="005D6019">
        <w:rPr>
          <w:rFonts w:ascii="Book Antiqua" w:hAnsi="Book Antiqua"/>
          <w:sz w:val="24"/>
          <w:szCs w:val="24"/>
        </w:rPr>
        <w:t xml:space="preserve"> termed it</w:t>
      </w:r>
      <w:r w:rsidR="00FB57EF" w:rsidRPr="005D6019">
        <w:rPr>
          <w:rFonts w:ascii="Book Antiqua" w:hAnsi="Book Antiqua"/>
          <w:sz w:val="24"/>
          <w:szCs w:val="24"/>
        </w:rPr>
        <w:t xml:space="preserve"> </w:t>
      </w:r>
      <w:r w:rsidRPr="005D6019">
        <w:rPr>
          <w:rFonts w:ascii="Book Antiqua" w:hAnsi="Book Antiqua"/>
          <w:sz w:val="24"/>
          <w:szCs w:val="24"/>
        </w:rPr>
        <w:t>“inertia marketing”.</w:t>
      </w:r>
      <w:r w:rsidRPr="005D6019">
        <w:rPr>
          <w:rStyle w:val="DipnotBavurusu"/>
          <w:rFonts w:ascii="Book Antiqua" w:hAnsi="Book Antiqua"/>
        </w:rPr>
        <w:footnoteReference w:id="35"/>
      </w:r>
    </w:p>
    <w:p w14:paraId="3A2535E3" w14:textId="05F0CF12" w:rsidR="00FB57EF" w:rsidRPr="005D6019" w:rsidRDefault="007A2191" w:rsidP="00E14417">
      <w:pPr>
        <w:autoSpaceDE w:val="0"/>
        <w:autoSpaceDN w:val="0"/>
        <w:adjustRightInd w:val="0"/>
        <w:spacing w:before="240" w:after="240" w:line="360" w:lineRule="auto"/>
        <w:ind w:firstLine="360"/>
        <w:jc w:val="both"/>
        <w:rPr>
          <w:rFonts w:ascii="Book Antiqua" w:hAnsi="Book Antiqua"/>
          <w:sz w:val="24"/>
          <w:szCs w:val="24"/>
          <w:shd w:val="clear" w:color="auto" w:fill="FFFFFF"/>
        </w:rPr>
      </w:pPr>
      <w:r w:rsidRPr="005D6019">
        <w:rPr>
          <w:rFonts w:ascii="Book Antiqua" w:hAnsi="Book Antiqua"/>
          <w:sz w:val="24"/>
          <w:szCs w:val="24"/>
        </w:rPr>
        <w:t xml:space="preserve">However, there isn’t an agreed-upon definition for inertia in </w:t>
      </w:r>
      <w:r w:rsidR="00FB57EF" w:rsidRPr="005D6019">
        <w:rPr>
          <w:rFonts w:ascii="Book Antiqua" w:hAnsi="Book Antiqua"/>
          <w:sz w:val="24"/>
          <w:szCs w:val="24"/>
        </w:rPr>
        <w:t xml:space="preserve">the </w:t>
      </w:r>
      <w:r w:rsidRPr="005D6019">
        <w:rPr>
          <w:rFonts w:ascii="Book Antiqua" w:hAnsi="Book Antiqua"/>
          <w:sz w:val="24"/>
          <w:szCs w:val="24"/>
        </w:rPr>
        <w:t xml:space="preserve">business literature. </w:t>
      </w:r>
      <w:r w:rsidRPr="005D6019">
        <w:rPr>
          <w:rFonts w:ascii="Book Antiqua" w:hAnsi="Book Antiqua" w:cs="AdvTTa9c1b374"/>
          <w:sz w:val="24"/>
          <w:szCs w:val="24"/>
        </w:rPr>
        <w:t xml:space="preserve">The concept has been used to mean </w:t>
      </w:r>
      <w:r w:rsidRPr="005D6019">
        <w:rPr>
          <w:rFonts w:ascii="Book Antiqua" w:hAnsi="Book Antiqua" w:cs="AdvTTa9c1b374+20"/>
          <w:sz w:val="24"/>
          <w:szCs w:val="24"/>
        </w:rPr>
        <w:t>“</w:t>
      </w:r>
      <w:r w:rsidRPr="005D6019">
        <w:rPr>
          <w:rFonts w:ascii="Book Antiqua" w:hAnsi="Book Antiqua" w:cs="AdvTTa9c1b374"/>
          <w:sz w:val="24"/>
          <w:szCs w:val="24"/>
        </w:rPr>
        <w:t>habit</w:t>
      </w:r>
      <w:r w:rsidRPr="005D6019">
        <w:rPr>
          <w:rFonts w:ascii="Book Antiqua" w:hAnsi="Book Antiqua" w:cs="AdvTTa9c1b374+20"/>
          <w:sz w:val="24"/>
          <w:szCs w:val="24"/>
        </w:rPr>
        <w:t>”</w:t>
      </w:r>
      <w:r w:rsidRPr="005D6019">
        <w:rPr>
          <w:rStyle w:val="DipnotBavurusu"/>
          <w:rFonts w:ascii="Book Antiqua" w:hAnsi="Book Antiqua"/>
        </w:rPr>
        <w:footnoteReference w:id="36"/>
      </w:r>
      <w:r w:rsidRPr="005D6019">
        <w:rPr>
          <w:rFonts w:ascii="Book Antiqua" w:hAnsi="Book Antiqua" w:cs="AdvTTa9c1b374"/>
          <w:sz w:val="24"/>
          <w:szCs w:val="24"/>
        </w:rPr>
        <w:t xml:space="preserve">, </w:t>
      </w:r>
      <w:r w:rsidRPr="005D6019">
        <w:rPr>
          <w:rFonts w:ascii="Book Antiqua" w:hAnsi="Book Antiqua" w:cs="AdvTTa9c1b374+20"/>
          <w:sz w:val="24"/>
          <w:szCs w:val="24"/>
        </w:rPr>
        <w:t>“</w:t>
      </w:r>
      <w:r w:rsidRPr="005D6019">
        <w:rPr>
          <w:rFonts w:ascii="Book Antiqua" w:hAnsi="Book Antiqua" w:cs="AdvTTa9c1b374"/>
          <w:sz w:val="24"/>
          <w:szCs w:val="24"/>
        </w:rPr>
        <w:t>loyalty</w:t>
      </w:r>
      <w:r w:rsidRPr="005D6019">
        <w:rPr>
          <w:rFonts w:ascii="Book Antiqua" w:hAnsi="Book Antiqua" w:cs="AdvTTa9c1b374+20"/>
          <w:sz w:val="24"/>
          <w:szCs w:val="24"/>
        </w:rPr>
        <w:t>”</w:t>
      </w:r>
      <w:r w:rsidRPr="005D6019">
        <w:rPr>
          <w:rStyle w:val="DipnotBavurusu"/>
          <w:rFonts w:ascii="Book Antiqua" w:hAnsi="Book Antiqua"/>
        </w:rPr>
        <w:footnoteReference w:id="37"/>
      </w:r>
      <w:r w:rsidRPr="005D6019">
        <w:rPr>
          <w:rFonts w:ascii="Book Antiqua" w:hAnsi="Book Antiqua" w:cs="AdvTTa9c1b374+20"/>
          <w:sz w:val="24"/>
          <w:szCs w:val="24"/>
        </w:rPr>
        <w:t>, “</w:t>
      </w:r>
      <w:r w:rsidRPr="005D6019">
        <w:rPr>
          <w:rFonts w:ascii="Book Antiqua" w:hAnsi="Book Antiqua" w:cs="AdvTTa9c1b374"/>
          <w:sz w:val="24"/>
          <w:szCs w:val="24"/>
        </w:rPr>
        <w:t>status quo bias</w:t>
      </w:r>
      <w:r w:rsidRPr="005D6019">
        <w:rPr>
          <w:rFonts w:ascii="Book Antiqua" w:hAnsi="Book Antiqua" w:cs="AdvTTa9c1b374+20"/>
          <w:sz w:val="24"/>
          <w:szCs w:val="24"/>
        </w:rPr>
        <w:t>”</w:t>
      </w:r>
      <w:r w:rsidRPr="005D6019">
        <w:rPr>
          <w:rStyle w:val="DipnotBavurusu"/>
          <w:rFonts w:ascii="Book Antiqua" w:hAnsi="Book Antiqua"/>
        </w:rPr>
        <w:footnoteReference w:id="38"/>
      </w:r>
      <w:r w:rsidRPr="005D6019">
        <w:rPr>
          <w:rFonts w:ascii="Book Antiqua" w:hAnsi="Book Antiqua" w:cs="AdvTTa9c1b374"/>
          <w:sz w:val="24"/>
          <w:szCs w:val="24"/>
        </w:rPr>
        <w:t xml:space="preserve">, </w:t>
      </w:r>
      <w:r w:rsidRPr="005D6019">
        <w:rPr>
          <w:rFonts w:ascii="Book Antiqua" w:hAnsi="Book Antiqua" w:cs="AdvTTa9c1b374+20"/>
          <w:sz w:val="24"/>
          <w:szCs w:val="24"/>
        </w:rPr>
        <w:t>“</w:t>
      </w:r>
      <w:r w:rsidRPr="005D6019">
        <w:rPr>
          <w:rFonts w:ascii="Book Antiqua" w:hAnsi="Book Antiqua" w:cs="AdvTTa9c1b374"/>
          <w:sz w:val="24"/>
          <w:szCs w:val="24"/>
        </w:rPr>
        <w:t>state dependence</w:t>
      </w:r>
      <w:r w:rsidRPr="005D6019">
        <w:rPr>
          <w:rFonts w:ascii="Book Antiqua" w:hAnsi="Book Antiqua" w:cs="AdvTTa9c1b374+20"/>
          <w:sz w:val="24"/>
          <w:szCs w:val="24"/>
        </w:rPr>
        <w:t>”</w:t>
      </w:r>
      <w:r w:rsidRPr="005D6019">
        <w:rPr>
          <w:rStyle w:val="DipnotBavurusu"/>
          <w:rFonts w:ascii="Book Antiqua" w:hAnsi="Book Antiqua"/>
        </w:rPr>
        <w:footnoteReference w:id="39"/>
      </w:r>
      <w:r w:rsidRPr="005D6019">
        <w:rPr>
          <w:rFonts w:ascii="Book Antiqua" w:hAnsi="Book Antiqua" w:cs="AdvTTa9c1b374"/>
          <w:sz w:val="24"/>
          <w:szCs w:val="24"/>
        </w:rPr>
        <w:t xml:space="preserve">, </w:t>
      </w:r>
      <w:r w:rsidRPr="005D6019">
        <w:rPr>
          <w:rFonts w:ascii="Book Antiqua" w:hAnsi="Book Antiqua" w:cs="AdvTTa9c1b374+20"/>
          <w:sz w:val="24"/>
          <w:szCs w:val="24"/>
        </w:rPr>
        <w:t>“</w:t>
      </w:r>
      <w:r w:rsidRPr="005D6019">
        <w:rPr>
          <w:rFonts w:ascii="Book Antiqua" w:hAnsi="Book Antiqua" w:cs="AdvTTa9c1b374"/>
          <w:sz w:val="24"/>
          <w:szCs w:val="24"/>
        </w:rPr>
        <w:t>doing nothing</w:t>
      </w:r>
      <w:r w:rsidRPr="005D6019">
        <w:rPr>
          <w:rFonts w:ascii="Book Antiqua" w:hAnsi="Book Antiqua" w:cs="AdvTTa9c1b374+20"/>
          <w:sz w:val="24"/>
          <w:szCs w:val="24"/>
        </w:rPr>
        <w:t>”</w:t>
      </w:r>
      <w:r w:rsidRPr="005D6019">
        <w:rPr>
          <w:rStyle w:val="DipnotBavurusu"/>
          <w:rFonts w:ascii="Book Antiqua" w:hAnsi="Book Antiqua"/>
        </w:rPr>
        <w:footnoteReference w:id="40"/>
      </w:r>
      <w:r w:rsidRPr="005D6019">
        <w:rPr>
          <w:rFonts w:ascii="Book Antiqua" w:hAnsi="Book Antiqua" w:cs="AdvTTa9c1b374"/>
          <w:sz w:val="24"/>
          <w:szCs w:val="24"/>
        </w:rPr>
        <w:t xml:space="preserve">, </w:t>
      </w:r>
      <w:r w:rsidRPr="005D6019">
        <w:rPr>
          <w:rFonts w:ascii="Book Antiqua" w:hAnsi="Book Antiqua" w:cs="AdvTTa9c1b374+20"/>
          <w:sz w:val="24"/>
          <w:szCs w:val="24"/>
        </w:rPr>
        <w:t>“</w:t>
      </w:r>
      <w:r w:rsidRPr="005D6019">
        <w:rPr>
          <w:rFonts w:ascii="Book Antiqua" w:hAnsi="Book Antiqua" w:cs="AdvTTa9c1b374"/>
          <w:sz w:val="24"/>
          <w:szCs w:val="24"/>
        </w:rPr>
        <w:t>dissatisfaction but stay</w:t>
      </w:r>
      <w:r w:rsidRPr="005D6019">
        <w:rPr>
          <w:rFonts w:ascii="Book Antiqua" w:hAnsi="Book Antiqua" w:cs="AdvTTa9c1b374+20"/>
          <w:sz w:val="24"/>
          <w:szCs w:val="24"/>
        </w:rPr>
        <w:t>”</w:t>
      </w:r>
      <w:r w:rsidRPr="005D6019">
        <w:rPr>
          <w:rStyle w:val="DipnotBavurusu"/>
          <w:rFonts w:ascii="Book Antiqua" w:hAnsi="Book Antiqua"/>
        </w:rPr>
        <w:footnoteReference w:id="41"/>
      </w:r>
      <w:r w:rsidRPr="005D6019">
        <w:rPr>
          <w:rFonts w:ascii="Book Antiqua" w:hAnsi="Book Antiqua" w:cs="AdvTTa9c1b374"/>
          <w:sz w:val="24"/>
          <w:szCs w:val="24"/>
        </w:rPr>
        <w:t xml:space="preserve">, and </w:t>
      </w:r>
      <w:r w:rsidRPr="005D6019">
        <w:rPr>
          <w:rFonts w:ascii="Book Antiqua" w:hAnsi="Book Antiqua" w:cs="AdvTTa9c1b374+20"/>
          <w:sz w:val="24"/>
          <w:szCs w:val="24"/>
        </w:rPr>
        <w:t>“</w:t>
      </w:r>
      <w:r w:rsidRPr="005D6019">
        <w:rPr>
          <w:rFonts w:ascii="Book Antiqua" w:hAnsi="Book Antiqua" w:cs="AdvTTa9c1b374"/>
          <w:sz w:val="24"/>
          <w:szCs w:val="24"/>
        </w:rPr>
        <w:t>resistance to change</w:t>
      </w:r>
      <w:r w:rsidRPr="005D6019">
        <w:rPr>
          <w:rFonts w:ascii="Book Antiqua" w:hAnsi="Book Antiqua" w:cs="AdvTTa9c1b374+20"/>
          <w:sz w:val="24"/>
          <w:szCs w:val="24"/>
        </w:rPr>
        <w:t>”</w:t>
      </w:r>
      <w:r w:rsidRPr="005D6019">
        <w:rPr>
          <w:rStyle w:val="DipnotBavurusu"/>
          <w:rFonts w:ascii="Book Antiqua" w:hAnsi="Book Antiqua"/>
        </w:rPr>
        <w:footnoteReference w:id="42"/>
      </w:r>
      <w:r w:rsidRPr="005D6019">
        <w:rPr>
          <w:rFonts w:ascii="Book Antiqua" w:hAnsi="Book Antiqua" w:cs="AdvTTa9c1b374"/>
          <w:sz w:val="24"/>
          <w:szCs w:val="24"/>
        </w:rPr>
        <w:t>.</w:t>
      </w:r>
      <w:r w:rsidRPr="005D6019">
        <w:rPr>
          <w:rFonts w:ascii="Book Antiqua" w:hAnsi="Book Antiqua"/>
          <w:sz w:val="24"/>
          <w:szCs w:val="24"/>
          <w:shd w:val="clear" w:color="auto" w:fill="FFFFFF"/>
        </w:rPr>
        <w:t xml:space="preserve"> To distinguish </w:t>
      </w:r>
      <w:r w:rsidR="00152C8E">
        <w:rPr>
          <w:rFonts w:ascii="Book Antiqua" w:hAnsi="Book Antiqua"/>
          <w:sz w:val="24"/>
          <w:szCs w:val="24"/>
          <w:shd w:val="clear" w:color="auto" w:fill="FFFFFF"/>
        </w:rPr>
        <w:t>among</w:t>
      </w:r>
      <w:r w:rsidRPr="005D6019">
        <w:rPr>
          <w:rFonts w:ascii="Book Antiqua" w:hAnsi="Book Antiqua"/>
          <w:sz w:val="24"/>
          <w:szCs w:val="24"/>
          <w:shd w:val="clear" w:color="auto" w:fill="FFFFFF"/>
        </w:rPr>
        <w:t xml:space="preserve"> other no</w:t>
      </w:r>
      <w:r w:rsidR="00F3779F">
        <w:rPr>
          <w:rFonts w:ascii="Book Antiqua" w:hAnsi="Book Antiqua"/>
          <w:sz w:val="24"/>
          <w:szCs w:val="24"/>
          <w:shd w:val="clear" w:color="auto" w:fill="FFFFFF"/>
        </w:rPr>
        <w:t>n</w:t>
      </w:r>
      <w:r w:rsidRPr="005D6019">
        <w:rPr>
          <w:rFonts w:ascii="Book Antiqua" w:hAnsi="Book Antiqua"/>
          <w:sz w:val="24"/>
          <w:szCs w:val="24"/>
          <w:shd w:val="clear" w:color="auto" w:fill="FFFFFF"/>
        </w:rPr>
        <w:t xml:space="preserve">-action behaviors, </w:t>
      </w:r>
      <w:r w:rsidRPr="005D6019">
        <w:rPr>
          <w:rFonts w:ascii="Book Antiqua" w:hAnsi="Book Antiqua"/>
          <w:sz w:val="24"/>
          <w:szCs w:val="24"/>
        </w:rPr>
        <w:t>in terms of this study</w:t>
      </w:r>
      <w:r w:rsidR="007C7D9F" w:rsidRPr="005D6019">
        <w:rPr>
          <w:rFonts w:ascii="Book Antiqua" w:hAnsi="Book Antiqua"/>
          <w:sz w:val="24"/>
          <w:szCs w:val="24"/>
        </w:rPr>
        <w:t>,</w:t>
      </w:r>
      <w:r w:rsidRPr="005D6019">
        <w:rPr>
          <w:rFonts w:ascii="Book Antiqua" w:hAnsi="Book Antiqua"/>
          <w:sz w:val="24"/>
          <w:szCs w:val="24"/>
        </w:rPr>
        <w:t xml:space="preserve"> inertia means </w:t>
      </w:r>
      <w:r w:rsidR="00507667">
        <w:rPr>
          <w:rFonts w:ascii="Book Antiqua" w:hAnsi="Book Antiqua"/>
          <w:sz w:val="24"/>
          <w:szCs w:val="24"/>
        </w:rPr>
        <w:t xml:space="preserve">a </w:t>
      </w:r>
      <w:r w:rsidRPr="005D6019">
        <w:rPr>
          <w:rFonts w:ascii="Book Antiqua" w:hAnsi="Book Antiqua"/>
          <w:sz w:val="24"/>
          <w:szCs w:val="24"/>
        </w:rPr>
        <w:t xml:space="preserve">customer’s failure to cancel the subscription or switch to another provider when the subscription either loses its value to the customer or there is a better alternative on the market with little or no switching costs. Therefore, if the customer stays </w:t>
      </w:r>
      <w:r w:rsidR="00A15CC0" w:rsidRPr="005D6019">
        <w:rPr>
          <w:rFonts w:ascii="Book Antiqua" w:hAnsi="Book Antiqua"/>
          <w:sz w:val="24"/>
          <w:szCs w:val="24"/>
        </w:rPr>
        <w:t>on</w:t>
      </w:r>
      <w:r w:rsidRPr="005D6019">
        <w:rPr>
          <w:rFonts w:ascii="Book Antiqua" w:hAnsi="Book Antiqua"/>
          <w:sz w:val="24"/>
          <w:szCs w:val="24"/>
        </w:rPr>
        <w:t xml:space="preserve"> the plan for any other reason, it doesn’t count as inertia. If an annual contract, for example, prevents the customer from </w:t>
      </w:r>
      <w:r w:rsidRPr="005D6019">
        <w:rPr>
          <w:rFonts w:ascii="Book Antiqua" w:hAnsi="Book Antiqua"/>
          <w:sz w:val="24"/>
          <w:szCs w:val="24"/>
        </w:rPr>
        <w:lastRenderedPageBreak/>
        <w:t>switching to other firms, this isn’t an issue that will be discussed in this study.</w:t>
      </w:r>
      <w:r w:rsidRPr="005D6019">
        <w:rPr>
          <w:rStyle w:val="DipnotBavurusu"/>
          <w:rFonts w:ascii="Book Antiqua" w:hAnsi="Book Antiqua"/>
        </w:rPr>
        <w:footnoteReference w:id="43"/>
      </w:r>
      <w:r w:rsidRPr="005D6019">
        <w:rPr>
          <w:rFonts w:ascii="Book Antiqua" w:hAnsi="Book Antiqua"/>
          <w:sz w:val="24"/>
          <w:szCs w:val="24"/>
        </w:rPr>
        <w:t xml:space="preserve"> </w:t>
      </w:r>
    </w:p>
    <w:p w14:paraId="27A6947A" w14:textId="26B7B684" w:rsidR="00FB57EF" w:rsidRPr="005D6019" w:rsidRDefault="00877CD8" w:rsidP="005D6019">
      <w:pPr>
        <w:pStyle w:val="Balk1"/>
        <w:rPr>
          <w:shd w:val="clear" w:color="auto" w:fill="FFFFFF"/>
        </w:rPr>
      </w:pPr>
      <w:bookmarkStart w:id="2" w:name="_Toc71407368"/>
      <w:r w:rsidRPr="005D6019">
        <w:rPr>
          <w:shd w:val="clear" w:color="auto" w:fill="FFFFFF"/>
        </w:rPr>
        <w:t>The Cost of Inertia</w:t>
      </w:r>
      <w:bookmarkEnd w:id="2"/>
    </w:p>
    <w:p w14:paraId="3A513760" w14:textId="593E13BC" w:rsidR="00DF72A2" w:rsidRPr="005D6019" w:rsidRDefault="007A2191" w:rsidP="004970C5">
      <w:pPr>
        <w:spacing w:before="240" w:after="240" w:line="360" w:lineRule="auto"/>
        <w:ind w:firstLine="360"/>
        <w:jc w:val="both"/>
        <w:rPr>
          <w:rFonts w:ascii="Book Antiqua" w:hAnsi="Book Antiqua"/>
          <w:sz w:val="24"/>
          <w:szCs w:val="24"/>
        </w:rPr>
      </w:pPr>
      <w:r w:rsidRPr="005D6019">
        <w:rPr>
          <w:rFonts w:ascii="Book Antiqua" w:hAnsi="Book Antiqua"/>
          <w:sz w:val="24"/>
          <w:szCs w:val="24"/>
        </w:rPr>
        <w:t xml:space="preserve">To highlight the importance of this study, the consequences of inertia should also be mentioned. Inert customers do not switch or cancel their subscriptions and suffer costs. One study estimates that </w:t>
      </w:r>
      <w:r w:rsidRPr="005D6019">
        <w:rPr>
          <w:rFonts w:ascii="Book Antiqua" w:hAnsi="Book Antiqua"/>
          <w:sz w:val="24"/>
          <w:szCs w:val="24"/>
          <w:shd w:val="clear" w:color="auto" w:fill="FFFFFF"/>
        </w:rPr>
        <w:t>inertia cost over a billion dollars to the customers in California’s health insurance market only in 2018.</w:t>
      </w:r>
      <w:r w:rsidRPr="005D6019">
        <w:rPr>
          <w:rStyle w:val="DipnotBavurusu"/>
          <w:rFonts w:ascii="Book Antiqua" w:hAnsi="Book Antiqua"/>
        </w:rPr>
        <w:footnoteReference w:id="44"/>
      </w:r>
      <w:r w:rsidRPr="005D6019">
        <w:rPr>
          <w:rFonts w:ascii="Book Antiqua" w:hAnsi="Book Antiqua"/>
          <w:sz w:val="24"/>
          <w:szCs w:val="24"/>
          <w:shd w:val="clear" w:color="auto" w:fill="FFFFFF"/>
        </w:rPr>
        <w:t xml:space="preserve"> Another study</w:t>
      </w:r>
      <w:r w:rsidRPr="005D6019">
        <w:rPr>
          <w:rFonts w:ascii="Book Antiqua" w:hAnsi="Book Antiqua"/>
          <w:sz w:val="24"/>
          <w:szCs w:val="24"/>
        </w:rPr>
        <w:t xml:space="preserve"> finds that individuals in a health insurance plan paid $2000 more to stay in their current plan, even though the alternative option was offered by the same firm, had identical networks, and could be switched easily.</w:t>
      </w:r>
      <w:r w:rsidRPr="005D6019">
        <w:rPr>
          <w:rStyle w:val="DipnotBavurusu"/>
          <w:rFonts w:ascii="Book Antiqua" w:hAnsi="Book Antiqua"/>
        </w:rPr>
        <w:footnoteReference w:id="45"/>
      </w:r>
      <w:r w:rsidRPr="005D6019">
        <w:rPr>
          <w:rFonts w:ascii="Book Antiqua" w:hAnsi="Book Antiqua"/>
          <w:sz w:val="24"/>
          <w:szCs w:val="24"/>
        </w:rPr>
        <w:t xml:space="preserve"> </w:t>
      </w:r>
    </w:p>
    <w:p w14:paraId="0ECB8B31" w14:textId="6381B686" w:rsidR="00FB57EF" w:rsidRPr="005D6019" w:rsidRDefault="007A2191" w:rsidP="00E6374C">
      <w:pPr>
        <w:shd w:val="clear" w:color="auto" w:fill="FEFEFE"/>
        <w:spacing w:before="240" w:after="240" w:line="360" w:lineRule="auto"/>
        <w:ind w:firstLine="360"/>
        <w:jc w:val="both"/>
        <w:rPr>
          <w:rFonts w:ascii="Book Antiqua" w:hAnsi="Book Antiqua"/>
          <w:sz w:val="24"/>
          <w:szCs w:val="24"/>
        </w:rPr>
      </w:pPr>
      <w:r w:rsidRPr="005D6019">
        <w:rPr>
          <w:rFonts w:ascii="Book Antiqua" w:hAnsi="Book Antiqua" w:cs="Times New Roman"/>
          <w:sz w:val="24"/>
          <w:szCs w:val="24"/>
        </w:rPr>
        <w:t xml:space="preserve">It gets worse with the newly emerged </w:t>
      </w:r>
      <w:r w:rsidR="00FB57EF" w:rsidRPr="005D6019">
        <w:rPr>
          <w:rFonts w:ascii="Book Antiqua" w:hAnsi="Book Antiqua" w:cs="Times New Roman"/>
          <w:sz w:val="24"/>
          <w:szCs w:val="24"/>
        </w:rPr>
        <w:t xml:space="preserve">digital </w:t>
      </w:r>
      <w:r w:rsidRPr="005D6019">
        <w:rPr>
          <w:rFonts w:ascii="Book Antiqua" w:hAnsi="Book Antiqua" w:cs="Times New Roman"/>
          <w:sz w:val="24"/>
          <w:szCs w:val="24"/>
        </w:rPr>
        <w:t>subscription</w:t>
      </w:r>
      <w:r w:rsidR="00FB57EF" w:rsidRPr="005D6019">
        <w:rPr>
          <w:rFonts w:ascii="Book Antiqua" w:hAnsi="Book Antiqua" w:cs="Times New Roman"/>
          <w:sz w:val="24"/>
          <w:szCs w:val="24"/>
        </w:rPr>
        <w:t>s</w:t>
      </w:r>
      <w:r w:rsidRPr="005D6019">
        <w:rPr>
          <w:rFonts w:ascii="Book Antiqua" w:hAnsi="Book Antiqua" w:cs="Times New Roman"/>
          <w:sz w:val="24"/>
          <w:szCs w:val="24"/>
        </w:rPr>
        <w:t xml:space="preserve">. People do not </w:t>
      </w:r>
      <w:r w:rsidR="007C7D9F" w:rsidRPr="005D6019">
        <w:rPr>
          <w:rFonts w:ascii="Book Antiqua" w:hAnsi="Book Antiqua" w:cs="Times New Roman"/>
          <w:sz w:val="24"/>
          <w:szCs w:val="24"/>
        </w:rPr>
        <w:t xml:space="preserve">even </w:t>
      </w:r>
      <w:r w:rsidRPr="005D6019">
        <w:rPr>
          <w:rFonts w:ascii="Book Antiqua" w:hAnsi="Book Antiqua" w:cs="Times New Roman"/>
          <w:sz w:val="24"/>
          <w:szCs w:val="24"/>
        </w:rPr>
        <w:t>remember what they have subscribed</w:t>
      </w:r>
      <w:r w:rsidR="00507667">
        <w:rPr>
          <w:rFonts w:ascii="Book Antiqua" w:hAnsi="Book Antiqua" w:cs="Times New Roman"/>
          <w:sz w:val="24"/>
          <w:szCs w:val="24"/>
        </w:rPr>
        <w:t xml:space="preserve"> to</w:t>
      </w:r>
      <w:r w:rsidRPr="005D6019">
        <w:rPr>
          <w:rFonts w:ascii="Book Antiqua" w:hAnsi="Book Antiqua" w:cs="Times New Roman"/>
          <w:sz w:val="24"/>
          <w:szCs w:val="24"/>
        </w:rPr>
        <w:t>. One consulting company asked people to think about their subscriptions and gave them ten seconds to guess how much they spend. After getting the initial answer, the researcher prompted them with specific examples of services and gave them an additional thirty seconds to think. The average of the first guess was $79.74/month and the second was $111.61/month, whereas the actual spending was $237.33/month.</w:t>
      </w:r>
      <w:r w:rsidRPr="005D6019">
        <w:rPr>
          <w:rStyle w:val="DipnotBavurusu"/>
          <w:rFonts w:ascii="Book Antiqua" w:hAnsi="Book Antiqua"/>
        </w:rPr>
        <w:footnoteReference w:id="46"/>
      </w:r>
      <w:r w:rsidRPr="005D6019">
        <w:rPr>
          <w:rFonts w:ascii="Book Antiqua" w:hAnsi="Book Antiqua" w:cs="Times New Roman"/>
          <w:sz w:val="24"/>
          <w:szCs w:val="24"/>
          <w:vertAlign w:val="superscript"/>
        </w:rPr>
        <w:t> </w:t>
      </w:r>
      <w:r w:rsidRPr="005D6019">
        <w:rPr>
          <w:rFonts w:ascii="Book Antiqua" w:hAnsi="Book Antiqua" w:cs="Times New Roman"/>
          <w:sz w:val="24"/>
          <w:szCs w:val="24"/>
        </w:rPr>
        <w:t xml:space="preserve">Moreover, an important part of customers </w:t>
      </w:r>
      <w:r w:rsidRPr="005D6019">
        <w:rPr>
          <w:rFonts w:ascii="Book Antiqua" w:hAnsi="Book Antiqua" w:cs="Times New Roman"/>
          <w:sz w:val="24"/>
          <w:szCs w:val="24"/>
        </w:rPr>
        <w:lastRenderedPageBreak/>
        <w:t>stay</w:t>
      </w:r>
      <w:r w:rsidR="00507667">
        <w:rPr>
          <w:rFonts w:ascii="Book Antiqua" w:hAnsi="Book Antiqua" w:cs="Times New Roman"/>
          <w:sz w:val="24"/>
          <w:szCs w:val="24"/>
        </w:rPr>
        <w:t>s</w:t>
      </w:r>
      <w:r w:rsidRPr="005D6019">
        <w:rPr>
          <w:rFonts w:ascii="Book Antiqua" w:hAnsi="Book Antiqua" w:cs="Times New Roman"/>
          <w:sz w:val="24"/>
          <w:szCs w:val="24"/>
        </w:rPr>
        <w:t xml:space="preserve"> in subscriptions even though they aren’t happy with the service and aren’t “</w:t>
      </w:r>
      <w:r w:rsidR="007C7D9F" w:rsidRPr="005D6019">
        <w:rPr>
          <w:rFonts w:ascii="Book Antiqua" w:hAnsi="Book Antiqua" w:cs="Times New Roman"/>
          <w:sz w:val="24"/>
          <w:szCs w:val="24"/>
        </w:rPr>
        <w:t>tied down</w:t>
      </w:r>
      <w:r w:rsidRPr="005D6019">
        <w:rPr>
          <w:rFonts w:ascii="Book Antiqua" w:hAnsi="Book Antiqua" w:cs="Times New Roman"/>
          <w:sz w:val="24"/>
          <w:szCs w:val="24"/>
        </w:rPr>
        <w:t>” with a contract.</w:t>
      </w:r>
      <w:r w:rsidRPr="005D6019">
        <w:rPr>
          <w:rStyle w:val="DipnotBavurusu"/>
          <w:rFonts w:ascii="Book Antiqua" w:hAnsi="Book Antiqua"/>
        </w:rPr>
        <w:footnoteReference w:id="47"/>
      </w:r>
    </w:p>
    <w:p w14:paraId="76D9D31D" w14:textId="77777777" w:rsidR="00DF72A2" w:rsidRPr="005D6019" w:rsidRDefault="007A2191" w:rsidP="005D6019">
      <w:pPr>
        <w:pStyle w:val="Balk1"/>
      </w:pPr>
      <w:bookmarkStart w:id="3" w:name="_Toc71407369"/>
      <w:r w:rsidRPr="005D6019">
        <w:t>The Ideal Market for Observing Inertia: Wireless Industry</w:t>
      </w:r>
      <w:bookmarkEnd w:id="3"/>
    </w:p>
    <w:p w14:paraId="17C94341" w14:textId="31231CE9" w:rsidR="00581BDC" w:rsidRPr="005D6019" w:rsidRDefault="007A2191" w:rsidP="004970C5">
      <w:pPr>
        <w:autoSpaceDE w:val="0"/>
        <w:autoSpaceDN w:val="0"/>
        <w:adjustRightInd w:val="0"/>
        <w:spacing w:before="240" w:after="240" w:line="360" w:lineRule="auto"/>
        <w:ind w:firstLine="360"/>
        <w:jc w:val="both"/>
        <w:rPr>
          <w:rFonts w:ascii="Book Antiqua" w:hAnsi="Book Antiqua"/>
          <w:sz w:val="24"/>
          <w:szCs w:val="24"/>
        </w:rPr>
      </w:pPr>
      <w:r w:rsidRPr="005D6019">
        <w:rPr>
          <w:rFonts w:ascii="Book Antiqua" w:hAnsi="Book Antiqua"/>
          <w:sz w:val="24"/>
          <w:szCs w:val="24"/>
        </w:rPr>
        <w:t>Customer misperceptions in the telecommunications sector that result in staying in the wrong plan and paying more for getting less have been established in legal scholarship.</w:t>
      </w:r>
      <w:r w:rsidRPr="005D6019">
        <w:rPr>
          <w:rStyle w:val="DipnotBavurusu"/>
          <w:rFonts w:ascii="Book Antiqua" w:hAnsi="Book Antiqua"/>
        </w:rPr>
        <w:footnoteReference w:id="48"/>
      </w:r>
      <w:r w:rsidRPr="005D6019">
        <w:rPr>
          <w:rFonts w:ascii="Book Antiqua" w:hAnsi="Book Antiqua"/>
          <w:sz w:val="24"/>
          <w:szCs w:val="24"/>
        </w:rPr>
        <w:t xml:space="preserve"> Since then, technology has advanced and a lot has changed, except for one thing: customer’s failure to</w:t>
      </w:r>
      <w:r w:rsidR="00581BDC" w:rsidRPr="005D6019">
        <w:rPr>
          <w:rFonts w:ascii="Book Antiqua" w:hAnsi="Book Antiqua"/>
          <w:sz w:val="24"/>
          <w:szCs w:val="24"/>
        </w:rPr>
        <w:t xml:space="preserve"> purchase</w:t>
      </w:r>
      <w:r w:rsidRPr="005D6019">
        <w:rPr>
          <w:rFonts w:ascii="Book Antiqua" w:hAnsi="Book Antiqua"/>
          <w:sz w:val="24"/>
          <w:szCs w:val="24"/>
        </w:rPr>
        <w:t xml:space="preserve"> the right</w:t>
      </w:r>
      <w:r w:rsidR="00581BDC" w:rsidRPr="005D6019">
        <w:rPr>
          <w:rFonts w:ascii="Book Antiqua" w:hAnsi="Book Antiqua"/>
          <w:sz w:val="24"/>
          <w:szCs w:val="24"/>
        </w:rPr>
        <w:t xml:space="preserve"> wireless</w:t>
      </w:r>
      <w:r w:rsidRPr="005D6019">
        <w:rPr>
          <w:rFonts w:ascii="Book Antiqua" w:hAnsi="Book Antiqua"/>
          <w:sz w:val="24"/>
          <w:szCs w:val="24"/>
        </w:rPr>
        <w:t xml:space="preserve"> service.</w:t>
      </w:r>
      <w:r w:rsidR="00581BDC" w:rsidRPr="005D6019">
        <w:rPr>
          <w:rFonts w:ascii="Book Antiqua" w:hAnsi="Book Antiqua"/>
          <w:sz w:val="24"/>
          <w:szCs w:val="24"/>
        </w:rPr>
        <w:t xml:space="preserve"> </w:t>
      </w:r>
    </w:p>
    <w:p w14:paraId="0BD4D786" w14:textId="2C4CC25D" w:rsidR="00CB4DF4" w:rsidRPr="005D6019" w:rsidRDefault="007A2191" w:rsidP="004970C5">
      <w:pPr>
        <w:autoSpaceDE w:val="0"/>
        <w:autoSpaceDN w:val="0"/>
        <w:adjustRightInd w:val="0"/>
        <w:spacing w:before="240" w:after="240" w:line="360" w:lineRule="auto"/>
        <w:ind w:firstLine="360"/>
        <w:jc w:val="both"/>
        <w:rPr>
          <w:rFonts w:ascii="Book Antiqua" w:hAnsi="Book Antiqua"/>
          <w:sz w:val="24"/>
          <w:szCs w:val="24"/>
        </w:rPr>
      </w:pPr>
      <w:r w:rsidRPr="005D6019">
        <w:rPr>
          <w:rFonts w:ascii="Book Antiqua" w:hAnsi="Book Antiqua"/>
          <w:sz w:val="24"/>
          <w:szCs w:val="24"/>
        </w:rPr>
        <w:t xml:space="preserve">Many reasons make the wireless industry an ideal sector to identify customer inertia. First, subscription services are offered in the wireless industry all around the world and there is a great deal of business literature. Keeping the customer in the firm is crucial for any wireless firm. </w:t>
      </w:r>
      <w:r w:rsidR="00CB4DF4" w:rsidRPr="005D6019">
        <w:rPr>
          <w:rFonts w:ascii="Book Antiqua" w:hAnsi="Book Antiqua"/>
          <w:sz w:val="24"/>
          <w:szCs w:val="24"/>
        </w:rPr>
        <w:t xml:space="preserve">Both </w:t>
      </w:r>
      <w:r w:rsidRPr="005D6019">
        <w:rPr>
          <w:rFonts w:ascii="Book Antiqua" w:hAnsi="Book Antiqua"/>
          <w:sz w:val="24"/>
          <w:szCs w:val="24"/>
        </w:rPr>
        <w:t>industry and business scholars try to discover</w:t>
      </w:r>
      <w:r w:rsidR="00CB4DF4" w:rsidRPr="005D6019">
        <w:rPr>
          <w:rFonts w:ascii="Book Antiqua" w:hAnsi="Book Antiqua"/>
          <w:sz w:val="24"/>
          <w:szCs w:val="24"/>
        </w:rPr>
        <w:t xml:space="preserve"> new ways </w:t>
      </w:r>
      <w:r w:rsidRPr="005D6019">
        <w:rPr>
          <w:rFonts w:ascii="Book Antiqua" w:hAnsi="Book Antiqua"/>
          <w:sz w:val="24"/>
          <w:szCs w:val="24"/>
        </w:rPr>
        <w:t xml:space="preserve">to keep the customers in the firm. </w:t>
      </w:r>
      <w:r w:rsidR="00606B8E" w:rsidRPr="005D6019">
        <w:rPr>
          <w:rFonts w:ascii="Book Antiqua" w:hAnsi="Book Antiqua"/>
          <w:sz w:val="24"/>
          <w:szCs w:val="24"/>
        </w:rPr>
        <w:t>R</w:t>
      </w:r>
      <w:r w:rsidRPr="005D6019">
        <w:rPr>
          <w:rFonts w:ascii="Book Antiqua" w:hAnsi="Book Antiqua"/>
          <w:sz w:val="24"/>
          <w:szCs w:val="24"/>
        </w:rPr>
        <w:t xml:space="preserve">ecent business scholarship specifically focuses on the customer’s inertia in </w:t>
      </w:r>
      <w:r w:rsidR="00CB4DF4" w:rsidRPr="005D6019">
        <w:rPr>
          <w:rFonts w:ascii="Book Antiqua" w:hAnsi="Book Antiqua"/>
          <w:sz w:val="24"/>
          <w:szCs w:val="24"/>
        </w:rPr>
        <w:t xml:space="preserve">the </w:t>
      </w:r>
      <w:r w:rsidRPr="005D6019">
        <w:rPr>
          <w:rFonts w:ascii="Book Antiqua" w:hAnsi="Book Antiqua"/>
          <w:sz w:val="24"/>
          <w:szCs w:val="24"/>
        </w:rPr>
        <w:t>wireless firms.</w:t>
      </w:r>
    </w:p>
    <w:p w14:paraId="5ADF9131" w14:textId="1878F679" w:rsidR="00CB4DF4" w:rsidRPr="005D6019" w:rsidRDefault="007A2191" w:rsidP="004970C5">
      <w:pPr>
        <w:autoSpaceDE w:val="0"/>
        <w:autoSpaceDN w:val="0"/>
        <w:adjustRightInd w:val="0"/>
        <w:spacing w:before="240" w:after="240" w:line="360" w:lineRule="auto"/>
        <w:ind w:firstLine="360"/>
        <w:jc w:val="both"/>
        <w:rPr>
          <w:rFonts w:ascii="Book Antiqua" w:hAnsi="Book Antiqua"/>
          <w:sz w:val="24"/>
          <w:szCs w:val="24"/>
        </w:rPr>
      </w:pPr>
      <w:r w:rsidRPr="005D6019">
        <w:rPr>
          <w:rFonts w:ascii="Book Antiqua" w:hAnsi="Book Antiqua"/>
          <w:sz w:val="24"/>
          <w:szCs w:val="24"/>
        </w:rPr>
        <w:t xml:space="preserve">In one study, a wireless service company called the customers paying more in a wrong plan and offered them better plans that would minimize the cost according to the customer’s past usage. This suggestion resulted in </w:t>
      </w:r>
      <w:r w:rsidR="00CB4DF4" w:rsidRPr="005D6019">
        <w:rPr>
          <w:rFonts w:ascii="Book Antiqua" w:hAnsi="Book Antiqua"/>
          <w:sz w:val="24"/>
          <w:szCs w:val="24"/>
        </w:rPr>
        <w:t xml:space="preserve">a </w:t>
      </w:r>
      <w:r w:rsidRPr="005D6019">
        <w:rPr>
          <w:rFonts w:ascii="Book Antiqua" w:hAnsi="Book Antiqua"/>
          <w:sz w:val="24"/>
          <w:szCs w:val="24"/>
        </w:rPr>
        <w:t>4% increase in the churn rate</w:t>
      </w:r>
      <w:r w:rsidR="00CB4DF4" w:rsidRPr="005D6019">
        <w:rPr>
          <w:rStyle w:val="DipnotBavurusu"/>
          <w:rFonts w:ascii="Book Antiqua" w:hAnsi="Book Antiqua"/>
        </w:rPr>
        <w:footnoteReference w:id="49"/>
      </w:r>
      <w:r w:rsidRPr="005D6019">
        <w:rPr>
          <w:rFonts w:ascii="Book Antiqua" w:hAnsi="Book Antiqua"/>
          <w:sz w:val="24"/>
          <w:szCs w:val="24"/>
        </w:rPr>
        <w:t xml:space="preserve"> in the testing group compared to the control group.</w:t>
      </w:r>
      <w:r w:rsidRPr="005D6019">
        <w:rPr>
          <w:rStyle w:val="DipnotBavurusu"/>
          <w:rFonts w:ascii="Book Antiqua" w:hAnsi="Book Antiqua"/>
        </w:rPr>
        <w:footnoteReference w:id="50"/>
      </w:r>
      <w:r w:rsidRPr="005D6019">
        <w:rPr>
          <w:rFonts w:ascii="Book Antiqua" w:hAnsi="Book Antiqua"/>
          <w:sz w:val="24"/>
          <w:szCs w:val="24"/>
        </w:rPr>
        <w:t xml:space="preserve"> The authors suggest that it may stem from lowered customer inertia or enhanced sensitivity to past consumption.</w:t>
      </w:r>
      <w:r w:rsidRPr="005D6019">
        <w:rPr>
          <w:rStyle w:val="DipnotBavurusu"/>
          <w:rFonts w:ascii="Book Antiqua" w:hAnsi="Book Antiqua"/>
        </w:rPr>
        <w:footnoteReference w:id="51"/>
      </w:r>
      <w:r w:rsidRPr="005D6019">
        <w:rPr>
          <w:rFonts w:ascii="Book Antiqua" w:hAnsi="Book Antiqua"/>
          <w:sz w:val="24"/>
          <w:szCs w:val="24"/>
        </w:rPr>
        <w:t xml:space="preserve"> In another study, wireless service customers were texted by the company about a price </w:t>
      </w:r>
      <w:r w:rsidRPr="005D6019">
        <w:rPr>
          <w:rFonts w:ascii="Book Antiqua" w:hAnsi="Book Antiqua"/>
          <w:sz w:val="24"/>
          <w:szCs w:val="24"/>
        </w:rPr>
        <w:lastRenderedPageBreak/>
        <w:t xml:space="preserve">change in the future for their plan. Even the ones that </w:t>
      </w:r>
      <w:r w:rsidR="00F3779F">
        <w:rPr>
          <w:rFonts w:ascii="Book Antiqua" w:hAnsi="Book Antiqua"/>
          <w:sz w:val="24"/>
          <w:szCs w:val="24"/>
        </w:rPr>
        <w:t>received</w:t>
      </w:r>
      <w:r w:rsidRPr="005D6019">
        <w:rPr>
          <w:rFonts w:ascii="Book Antiqua" w:hAnsi="Book Antiqua"/>
          <w:sz w:val="24"/>
          <w:szCs w:val="24"/>
        </w:rPr>
        <w:t xml:space="preserve"> a message for a price decrease switched to other firms.</w:t>
      </w:r>
      <w:r w:rsidRPr="005D6019">
        <w:rPr>
          <w:rStyle w:val="DipnotBavurusu"/>
          <w:rFonts w:ascii="Book Antiqua" w:hAnsi="Book Antiqua"/>
        </w:rPr>
        <w:footnoteReference w:id="52"/>
      </w:r>
      <w:r w:rsidRPr="005D6019">
        <w:rPr>
          <w:rFonts w:ascii="Book Antiqua" w:hAnsi="Book Antiqua"/>
          <w:sz w:val="24"/>
          <w:szCs w:val="24"/>
        </w:rPr>
        <w:t xml:space="preserve"> The authors named it</w:t>
      </w:r>
      <w:r w:rsidR="00A534C3" w:rsidRPr="005D6019">
        <w:rPr>
          <w:rFonts w:ascii="Book Antiqua" w:hAnsi="Book Antiqua"/>
          <w:sz w:val="24"/>
          <w:szCs w:val="24"/>
        </w:rPr>
        <w:t xml:space="preserve"> the</w:t>
      </w:r>
      <w:r w:rsidR="00CB4DF4" w:rsidRPr="005D6019">
        <w:rPr>
          <w:rFonts w:ascii="Book Antiqua" w:hAnsi="Book Antiqua"/>
          <w:sz w:val="24"/>
          <w:szCs w:val="24"/>
        </w:rPr>
        <w:t xml:space="preserve"> </w:t>
      </w:r>
      <w:r w:rsidRPr="005D6019">
        <w:rPr>
          <w:rFonts w:ascii="Book Antiqua" w:hAnsi="Book Antiqua"/>
          <w:sz w:val="24"/>
          <w:szCs w:val="24"/>
        </w:rPr>
        <w:t xml:space="preserve">“poking effect” and advised the decision-makers in the industry not </w:t>
      </w:r>
      <w:r w:rsidR="00606B8E" w:rsidRPr="005D6019">
        <w:rPr>
          <w:rFonts w:ascii="Book Antiqua" w:hAnsi="Book Antiqua"/>
          <w:sz w:val="24"/>
          <w:szCs w:val="24"/>
        </w:rPr>
        <w:t xml:space="preserve">to </w:t>
      </w:r>
      <w:r w:rsidRPr="005D6019">
        <w:rPr>
          <w:rFonts w:ascii="Book Antiqua" w:hAnsi="Book Antiqua"/>
          <w:sz w:val="24"/>
          <w:szCs w:val="24"/>
        </w:rPr>
        <w:t>disturb the customer even for a discount.</w:t>
      </w:r>
      <w:r w:rsidRPr="005D6019">
        <w:rPr>
          <w:rStyle w:val="DipnotBavurusu"/>
          <w:rFonts w:ascii="Book Antiqua" w:hAnsi="Book Antiqua"/>
        </w:rPr>
        <w:footnoteReference w:id="53"/>
      </w:r>
      <w:r w:rsidRPr="005D6019">
        <w:rPr>
          <w:rFonts w:ascii="Book Antiqua" w:hAnsi="Book Antiqua"/>
          <w:sz w:val="24"/>
          <w:szCs w:val="24"/>
        </w:rPr>
        <w:t xml:space="preserve"> </w:t>
      </w:r>
    </w:p>
    <w:p w14:paraId="2138F4EE" w14:textId="198B5066" w:rsidR="00DF72A2" w:rsidRPr="005D6019" w:rsidRDefault="007A2191" w:rsidP="004970C5">
      <w:pPr>
        <w:autoSpaceDE w:val="0"/>
        <w:autoSpaceDN w:val="0"/>
        <w:adjustRightInd w:val="0"/>
        <w:spacing w:before="240" w:after="240" w:line="360" w:lineRule="auto"/>
        <w:ind w:firstLine="360"/>
        <w:jc w:val="both"/>
        <w:rPr>
          <w:rFonts w:ascii="Book Antiqua" w:hAnsi="Book Antiqua"/>
          <w:sz w:val="24"/>
          <w:szCs w:val="24"/>
        </w:rPr>
      </w:pPr>
      <w:r w:rsidRPr="005D6019">
        <w:rPr>
          <w:rFonts w:ascii="Book Antiqua" w:hAnsi="Book Antiqua"/>
          <w:sz w:val="24"/>
          <w:szCs w:val="24"/>
        </w:rPr>
        <w:t>On the other hand, technology is advancing every year and to keep their plans competitive for new and no</w:t>
      </w:r>
      <w:r w:rsidR="0019326A" w:rsidRPr="005D6019">
        <w:rPr>
          <w:rFonts w:ascii="Book Antiqua" w:hAnsi="Book Antiqua"/>
          <w:sz w:val="24"/>
          <w:szCs w:val="24"/>
        </w:rPr>
        <w:t>n</w:t>
      </w:r>
      <w:r w:rsidRPr="005D6019">
        <w:rPr>
          <w:rFonts w:ascii="Book Antiqua" w:hAnsi="Book Antiqua"/>
          <w:sz w:val="24"/>
          <w:szCs w:val="24"/>
        </w:rPr>
        <w:t>-inert customers, the firms are offering new plans almost every year. For example, a</w:t>
      </w:r>
      <w:r w:rsidR="00CB4DF4" w:rsidRPr="005D6019">
        <w:rPr>
          <w:rFonts w:ascii="Book Antiqua" w:hAnsi="Book Antiqua"/>
          <w:sz w:val="24"/>
          <w:szCs w:val="24"/>
        </w:rPr>
        <w:t xml:space="preserve"> new</w:t>
      </w:r>
      <w:r w:rsidRPr="005D6019">
        <w:rPr>
          <w:rFonts w:ascii="Book Antiqua" w:hAnsi="Book Antiqua"/>
          <w:sz w:val="24"/>
          <w:szCs w:val="24"/>
        </w:rPr>
        <w:t xml:space="preserve"> customer who paid $100 to Verizon, bought an internet plan of 20 GB in 2016, 30 GB in 2017, 75 GB in 2019, 75 GB in 2020.</w:t>
      </w:r>
      <w:r w:rsidRPr="005D6019">
        <w:rPr>
          <w:rStyle w:val="DipnotBavurusu"/>
          <w:rFonts w:ascii="Book Antiqua" w:hAnsi="Book Antiqua"/>
        </w:rPr>
        <w:footnoteReference w:id="54"/>
      </w:r>
      <w:r w:rsidRPr="005D6019">
        <w:rPr>
          <w:rFonts w:ascii="Book Antiqua" w:hAnsi="Book Antiqua"/>
          <w:sz w:val="24"/>
          <w:szCs w:val="24"/>
        </w:rPr>
        <w:t xml:space="preserve"> </w:t>
      </w:r>
      <w:r w:rsidR="00581BDC" w:rsidRPr="005D6019">
        <w:rPr>
          <w:rFonts w:ascii="Book Antiqua" w:hAnsi="Book Antiqua"/>
          <w:sz w:val="24"/>
          <w:szCs w:val="24"/>
        </w:rPr>
        <w:t xml:space="preserve">If customer A gets into </w:t>
      </w:r>
      <w:r w:rsidR="00877CD8" w:rsidRPr="005D6019">
        <w:rPr>
          <w:rFonts w:ascii="Book Antiqua" w:hAnsi="Book Antiqua"/>
          <w:sz w:val="24"/>
          <w:szCs w:val="24"/>
        </w:rPr>
        <w:t xml:space="preserve">the </w:t>
      </w:r>
      <w:r w:rsidR="00581BDC" w:rsidRPr="005D6019">
        <w:rPr>
          <w:rFonts w:ascii="Book Antiqua" w:hAnsi="Book Antiqua"/>
          <w:sz w:val="24"/>
          <w:szCs w:val="24"/>
        </w:rPr>
        <w:t>20</w:t>
      </w:r>
      <w:r w:rsidR="001E23B5">
        <w:rPr>
          <w:rFonts w:ascii="Book Antiqua" w:hAnsi="Book Antiqua"/>
          <w:sz w:val="24"/>
          <w:szCs w:val="24"/>
        </w:rPr>
        <w:t xml:space="preserve"> </w:t>
      </w:r>
      <w:r w:rsidR="00581BDC" w:rsidRPr="005D6019">
        <w:rPr>
          <w:rFonts w:ascii="Book Antiqua" w:hAnsi="Book Antiqua"/>
          <w:sz w:val="24"/>
          <w:szCs w:val="24"/>
        </w:rPr>
        <w:t xml:space="preserve">GB plan in 2016 and sticks with the same plan until 2020, A would have been in </w:t>
      </w:r>
      <w:r w:rsidR="00877CD8" w:rsidRPr="005D6019">
        <w:rPr>
          <w:rFonts w:ascii="Book Antiqua" w:hAnsi="Book Antiqua"/>
          <w:sz w:val="24"/>
          <w:szCs w:val="24"/>
        </w:rPr>
        <w:t xml:space="preserve">the </w:t>
      </w:r>
      <w:r w:rsidR="00581BDC" w:rsidRPr="005D6019">
        <w:rPr>
          <w:rFonts w:ascii="Book Antiqua" w:hAnsi="Book Antiqua"/>
          <w:sz w:val="24"/>
          <w:szCs w:val="24"/>
        </w:rPr>
        <w:t>subprime plan for 3 years. The constant updates</w:t>
      </w:r>
      <w:r w:rsidRPr="005D6019">
        <w:rPr>
          <w:rFonts w:ascii="Book Antiqua" w:hAnsi="Book Antiqua"/>
          <w:sz w:val="24"/>
          <w:szCs w:val="24"/>
        </w:rPr>
        <w:t xml:space="preserve"> in the offered plans make the wireless industry an ideal place to spot sub-prime plan subscribers and observe inertia.</w:t>
      </w:r>
    </w:p>
    <w:p w14:paraId="4667C28C" w14:textId="680D3E3A" w:rsidR="00E01203" w:rsidRPr="005D6019" w:rsidRDefault="00E01203" w:rsidP="004970C5">
      <w:pPr>
        <w:autoSpaceDE w:val="0"/>
        <w:autoSpaceDN w:val="0"/>
        <w:adjustRightInd w:val="0"/>
        <w:spacing w:before="240" w:after="240" w:line="360" w:lineRule="auto"/>
        <w:ind w:firstLine="360"/>
        <w:jc w:val="both"/>
        <w:rPr>
          <w:rFonts w:ascii="Book Antiqua" w:hAnsi="Book Antiqua"/>
          <w:sz w:val="24"/>
          <w:szCs w:val="24"/>
        </w:rPr>
      </w:pPr>
      <w:r w:rsidRPr="005D6019">
        <w:rPr>
          <w:rFonts w:ascii="Book Antiqua" w:hAnsi="Book Antiqua"/>
          <w:sz w:val="24"/>
          <w:szCs w:val="24"/>
        </w:rPr>
        <w:t>The final reason that makes wireless subscriptions an ideal location to examine inertia is the unforgettable nature of wireless service subscriptions. Mobile phones are the most used devices today.</w:t>
      </w:r>
      <w:r w:rsidRPr="005D6019">
        <w:rPr>
          <w:rStyle w:val="DipnotBavurusu"/>
          <w:rFonts w:ascii="Book Antiqua" w:hAnsi="Book Antiqua"/>
        </w:rPr>
        <w:footnoteReference w:id="55"/>
      </w:r>
      <w:r w:rsidRPr="005D6019">
        <w:rPr>
          <w:rFonts w:ascii="Book Antiqua" w:hAnsi="Book Antiqua"/>
          <w:sz w:val="24"/>
          <w:szCs w:val="24"/>
        </w:rPr>
        <w:t xml:space="preserve"> This situation distinguishes wireless subscriptions from any other less salient subscriptions</w:t>
      </w:r>
      <w:r w:rsidRPr="005D6019">
        <w:rPr>
          <w:rStyle w:val="DipnotBavurusu"/>
          <w:rFonts w:ascii="Book Antiqua" w:hAnsi="Book Antiqua"/>
        </w:rPr>
        <w:footnoteReference w:id="56"/>
      </w:r>
      <w:r w:rsidRPr="005D6019">
        <w:rPr>
          <w:rFonts w:ascii="Book Antiqua" w:hAnsi="Book Antiqua"/>
          <w:sz w:val="24"/>
          <w:szCs w:val="24"/>
        </w:rPr>
        <w:t xml:space="preserve"> and makes it almost impossible to forget about the service. For this reason, if there is inertia in the wireless industry, there could be </w:t>
      </w:r>
      <w:r w:rsidR="00581BDC" w:rsidRPr="005D6019">
        <w:rPr>
          <w:rFonts w:ascii="Book Antiqua" w:hAnsi="Book Antiqua"/>
          <w:sz w:val="24"/>
          <w:szCs w:val="24"/>
        </w:rPr>
        <w:t xml:space="preserve">more </w:t>
      </w:r>
      <w:r w:rsidRPr="005D6019">
        <w:rPr>
          <w:rFonts w:ascii="Book Antiqua" w:hAnsi="Book Antiqua"/>
          <w:sz w:val="24"/>
          <w:szCs w:val="24"/>
        </w:rPr>
        <w:t>inertia in any other subscription.</w:t>
      </w:r>
    </w:p>
    <w:p w14:paraId="42EFA95A" w14:textId="77777777" w:rsidR="0022340B" w:rsidRPr="005D6019" w:rsidRDefault="007A2191" w:rsidP="004970C5">
      <w:pPr>
        <w:autoSpaceDE w:val="0"/>
        <w:autoSpaceDN w:val="0"/>
        <w:adjustRightInd w:val="0"/>
        <w:spacing w:before="240" w:after="240" w:line="360" w:lineRule="auto"/>
        <w:ind w:firstLine="360"/>
        <w:jc w:val="both"/>
        <w:rPr>
          <w:rFonts w:ascii="Book Antiqua" w:hAnsi="Book Antiqua"/>
          <w:sz w:val="24"/>
          <w:szCs w:val="24"/>
        </w:rPr>
      </w:pPr>
      <w:r w:rsidRPr="005D6019">
        <w:rPr>
          <w:rFonts w:ascii="Book Antiqua" w:hAnsi="Book Antiqua"/>
          <w:sz w:val="24"/>
          <w:szCs w:val="24"/>
        </w:rPr>
        <w:lastRenderedPageBreak/>
        <w:t xml:space="preserve">Looking through the research above, </w:t>
      </w:r>
      <w:r w:rsidR="00581BDC" w:rsidRPr="005D6019">
        <w:rPr>
          <w:rFonts w:ascii="Book Antiqua" w:hAnsi="Book Antiqua"/>
          <w:sz w:val="24"/>
          <w:szCs w:val="24"/>
        </w:rPr>
        <w:t>it would be</w:t>
      </w:r>
      <w:r w:rsidRPr="005D6019">
        <w:rPr>
          <w:rFonts w:ascii="Book Antiqua" w:hAnsi="Book Antiqua"/>
          <w:sz w:val="24"/>
          <w:szCs w:val="24"/>
        </w:rPr>
        <w:t xml:space="preserve"> expect</w:t>
      </w:r>
      <w:r w:rsidR="00581BDC" w:rsidRPr="005D6019">
        <w:rPr>
          <w:rFonts w:ascii="Book Antiqua" w:hAnsi="Book Antiqua"/>
          <w:sz w:val="24"/>
          <w:szCs w:val="24"/>
        </w:rPr>
        <w:t>ed that</w:t>
      </w:r>
      <w:r w:rsidRPr="005D6019">
        <w:rPr>
          <w:rFonts w:ascii="Book Antiqua" w:hAnsi="Book Antiqua"/>
          <w:sz w:val="24"/>
          <w:szCs w:val="24"/>
        </w:rPr>
        <w:t xml:space="preserve"> the wireless companies avoid initiating an interaction with the customers to keep them in inertia.</w:t>
      </w:r>
      <w:r w:rsidRPr="005D6019">
        <w:rPr>
          <w:rStyle w:val="DipnotBavurusu"/>
          <w:rFonts w:ascii="Book Antiqua" w:hAnsi="Book Antiqua"/>
        </w:rPr>
        <w:footnoteReference w:id="57"/>
      </w:r>
      <w:r w:rsidRPr="005D6019">
        <w:rPr>
          <w:rFonts w:ascii="Book Antiqua" w:hAnsi="Book Antiqua"/>
          <w:sz w:val="24"/>
          <w:szCs w:val="24"/>
        </w:rPr>
        <w:t xml:space="preserve"> The companies will not alert the customer about the new plans. But they also cannot update the customers’ plan without</w:t>
      </w:r>
      <w:r w:rsidR="0019326A" w:rsidRPr="005D6019">
        <w:rPr>
          <w:rFonts w:ascii="Book Antiqua" w:hAnsi="Book Antiqua"/>
          <w:sz w:val="24"/>
          <w:szCs w:val="24"/>
        </w:rPr>
        <w:t xml:space="preserve"> informing them</w:t>
      </w:r>
      <w:r w:rsidRPr="005D6019">
        <w:rPr>
          <w:rFonts w:ascii="Book Antiqua" w:hAnsi="Book Antiqua"/>
          <w:sz w:val="24"/>
          <w:szCs w:val="24"/>
        </w:rPr>
        <w:t xml:space="preserve"> since any material change of terms requires notification.</w:t>
      </w:r>
      <w:r w:rsidRPr="005D6019">
        <w:rPr>
          <w:rStyle w:val="DipnotBavurusu"/>
          <w:rFonts w:ascii="Book Antiqua" w:hAnsi="Book Antiqua"/>
        </w:rPr>
        <w:footnoteReference w:id="58"/>
      </w:r>
      <w:r w:rsidRPr="005D6019">
        <w:rPr>
          <w:rFonts w:ascii="Book Antiqua" w:hAnsi="Book Antiqua"/>
          <w:sz w:val="24"/>
          <w:szCs w:val="24"/>
        </w:rPr>
        <w:t xml:space="preserve"> Therefore, the company will not offer the existing customers new plans unless the customers realize on their own and ask the company to do so. </w:t>
      </w:r>
      <w:r w:rsidR="00877CD8" w:rsidRPr="005D6019">
        <w:rPr>
          <w:rFonts w:ascii="Book Antiqua" w:hAnsi="Book Antiqua"/>
          <w:sz w:val="24"/>
          <w:szCs w:val="24"/>
        </w:rPr>
        <w:t>For this reason, as the hypothesis of the study, there should be inert customers in the US wireless sector.</w:t>
      </w:r>
    </w:p>
    <w:p w14:paraId="211912CC" w14:textId="113C4899" w:rsidR="00DF72A2" w:rsidRPr="005D6019" w:rsidRDefault="00581BDC" w:rsidP="005D6019">
      <w:pPr>
        <w:pStyle w:val="Balk1"/>
      </w:pPr>
      <w:bookmarkStart w:id="4" w:name="_Toc71407370"/>
      <w:r w:rsidRPr="005D6019">
        <w:t>Inertia in Wireless Subscriptions</w:t>
      </w:r>
      <w:bookmarkEnd w:id="4"/>
    </w:p>
    <w:p w14:paraId="1341B947" w14:textId="08C36EEE" w:rsidR="00581BDC" w:rsidRPr="005D6019" w:rsidRDefault="007A2191" w:rsidP="004970C5">
      <w:pPr>
        <w:autoSpaceDE w:val="0"/>
        <w:autoSpaceDN w:val="0"/>
        <w:adjustRightInd w:val="0"/>
        <w:spacing w:before="240" w:after="240" w:line="360" w:lineRule="auto"/>
        <w:ind w:firstLine="360"/>
        <w:jc w:val="both"/>
        <w:rPr>
          <w:rFonts w:ascii="Book Antiqua" w:hAnsi="Book Antiqua"/>
          <w:sz w:val="24"/>
          <w:szCs w:val="24"/>
        </w:rPr>
      </w:pPr>
      <w:r w:rsidRPr="005D6019">
        <w:rPr>
          <w:rFonts w:ascii="Book Antiqua" w:hAnsi="Book Antiqua"/>
          <w:sz w:val="24"/>
          <w:szCs w:val="24"/>
        </w:rPr>
        <w:t xml:space="preserve">To </w:t>
      </w:r>
      <w:r w:rsidR="00581BDC" w:rsidRPr="005D6019">
        <w:rPr>
          <w:rFonts w:ascii="Book Antiqua" w:hAnsi="Book Antiqua"/>
          <w:sz w:val="24"/>
          <w:szCs w:val="24"/>
        </w:rPr>
        <w:t>observe the inert customer</w:t>
      </w:r>
      <w:r w:rsidR="00877CD8" w:rsidRPr="005D6019">
        <w:rPr>
          <w:rFonts w:ascii="Book Antiqua" w:hAnsi="Book Antiqua"/>
          <w:sz w:val="24"/>
          <w:szCs w:val="24"/>
        </w:rPr>
        <w:t xml:space="preserve"> behavior</w:t>
      </w:r>
      <w:r w:rsidR="00581BDC" w:rsidRPr="005D6019">
        <w:rPr>
          <w:rFonts w:ascii="Book Antiqua" w:hAnsi="Book Antiqua"/>
          <w:sz w:val="24"/>
          <w:szCs w:val="24"/>
        </w:rPr>
        <w:t xml:space="preserve"> in</w:t>
      </w:r>
      <w:r w:rsidR="00877CD8" w:rsidRPr="005D6019">
        <w:rPr>
          <w:rFonts w:ascii="Book Antiqua" w:hAnsi="Book Antiqua"/>
          <w:sz w:val="24"/>
          <w:szCs w:val="24"/>
        </w:rPr>
        <w:t xml:space="preserve"> the</w:t>
      </w:r>
      <w:r w:rsidR="00581BDC" w:rsidRPr="005D6019">
        <w:rPr>
          <w:rFonts w:ascii="Book Antiqua" w:hAnsi="Book Antiqua"/>
          <w:sz w:val="24"/>
          <w:szCs w:val="24"/>
        </w:rPr>
        <w:t xml:space="preserve"> wireless subscriptions</w:t>
      </w:r>
      <w:r w:rsidRPr="005D6019">
        <w:rPr>
          <w:rFonts w:ascii="Book Antiqua" w:hAnsi="Book Antiqua"/>
          <w:sz w:val="24"/>
          <w:szCs w:val="24"/>
        </w:rPr>
        <w:t xml:space="preserve">, </w:t>
      </w:r>
      <w:r w:rsidR="00581BDC" w:rsidRPr="005D6019">
        <w:rPr>
          <w:rFonts w:ascii="Book Antiqua" w:hAnsi="Book Antiqua"/>
          <w:sz w:val="24"/>
          <w:szCs w:val="24"/>
        </w:rPr>
        <w:t xml:space="preserve">several field and online surveys </w:t>
      </w:r>
      <w:r w:rsidR="00F3779F">
        <w:rPr>
          <w:rFonts w:ascii="Book Antiqua" w:hAnsi="Book Antiqua"/>
          <w:sz w:val="24"/>
          <w:szCs w:val="24"/>
        </w:rPr>
        <w:t>were</w:t>
      </w:r>
      <w:r w:rsidR="00581BDC" w:rsidRPr="005D6019">
        <w:rPr>
          <w:rFonts w:ascii="Book Antiqua" w:hAnsi="Book Antiqua"/>
          <w:sz w:val="24"/>
          <w:szCs w:val="24"/>
        </w:rPr>
        <w:t xml:space="preserve"> conducted between April 2021 and May 2021.</w:t>
      </w:r>
      <w:r w:rsidRPr="005D6019">
        <w:rPr>
          <w:rStyle w:val="DipnotBavurusu"/>
          <w:rFonts w:ascii="Book Antiqua" w:hAnsi="Book Antiqua"/>
        </w:rPr>
        <w:footnoteReference w:id="59"/>
      </w:r>
      <w:r w:rsidR="00877CD8" w:rsidRPr="005D6019">
        <w:rPr>
          <w:rFonts w:ascii="Book Antiqua" w:hAnsi="Book Antiqua"/>
          <w:sz w:val="24"/>
          <w:szCs w:val="24"/>
        </w:rPr>
        <w:t xml:space="preserve"> </w:t>
      </w:r>
      <w:r w:rsidR="00507667">
        <w:rPr>
          <w:rFonts w:ascii="Book Antiqua" w:hAnsi="Book Antiqua"/>
          <w:sz w:val="24"/>
          <w:szCs w:val="24"/>
        </w:rPr>
        <w:t>T</w:t>
      </w:r>
      <w:r w:rsidR="00877CD8" w:rsidRPr="005D6019">
        <w:rPr>
          <w:rFonts w:ascii="Book Antiqua" w:hAnsi="Book Antiqua"/>
          <w:sz w:val="24"/>
          <w:szCs w:val="24"/>
        </w:rPr>
        <w:t>o abstain from the</w:t>
      </w:r>
      <w:r w:rsidR="00581BDC" w:rsidRPr="005D6019">
        <w:rPr>
          <w:rFonts w:ascii="Book Antiqua" w:hAnsi="Book Antiqua"/>
          <w:sz w:val="24"/>
          <w:szCs w:val="24"/>
        </w:rPr>
        <w:t xml:space="preserve"> false information of the customers, only the information that is </w:t>
      </w:r>
      <w:r w:rsidR="00B631CA" w:rsidRPr="005D6019">
        <w:rPr>
          <w:rFonts w:ascii="Book Antiqua" w:hAnsi="Book Antiqua"/>
          <w:sz w:val="24"/>
          <w:szCs w:val="24"/>
        </w:rPr>
        <w:t>considered</w:t>
      </w:r>
      <w:r w:rsidR="00581BDC" w:rsidRPr="005D6019">
        <w:rPr>
          <w:rFonts w:ascii="Book Antiqua" w:hAnsi="Book Antiqua"/>
          <w:sz w:val="24"/>
          <w:szCs w:val="24"/>
        </w:rPr>
        <w:t xml:space="preserve"> is from the customers that are willing to share their itemized wireless statements.</w:t>
      </w:r>
      <w:r w:rsidR="00877CD8" w:rsidRPr="005D6019">
        <w:rPr>
          <w:rStyle w:val="DipnotBavurusu"/>
          <w:rFonts w:ascii="Book Antiqua" w:hAnsi="Book Antiqua"/>
          <w:sz w:val="24"/>
          <w:szCs w:val="24"/>
        </w:rPr>
        <w:footnoteReference w:id="60"/>
      </w:r>
      <w:r w:rsidR="00581BDC" w:rsidRPr="005D6019">
        <w:rPr>
          <w:rFonts w:ascii="Book Antiqua" w:hAnsi="Book Antiqua"/>
          <w:sz w:val="24"/>
          <w:szCs w:val="24"/>
        </w:rPr>
        <w:t xml:space="preserve"> </w:t>
      </w:r>
    </w:p>
    <w:p w14:paraId="1A930752" w14:textId="4C835942" w:rsidR="00581BDC" w:rsidRPr="005D6019" w:rsidRDefault="00581BDC" w:rsidP="004970C5">
      <w:pPr>
        <w:autoSpaceDE w:val="0"/>
        <w:autoSpaceDN w:val="0"/>
        <w:adjustRightInd w:val="0"/>
        <w:spacing w:before="240" w:after="240" w:line="360" w:lineRule="auto"/>
        <w:ind w:firstLine="360"/>
        <w:jc w:val="both"/>
        <w:rPr>
          <w:rFonts w:ascii="Book Antiqua" w:hAnsi="Book Antiqua"/>
          <w:sz w:val="24"/>
          <w:szCs w:val="24"/>
        </w:rPr>
      </w:pPr>
      <w:r w:rsidRPr="005D6019">
        <w:rPr>
          <w:rFonts w:ascii="Book Antiqua" w:hAnsi="Book Antiqua"/>
          <w:sz w:val="24"/>
          <w:szCs w:val="24"/>
        </w:rPr>
        <w:t xml:space="preserve">Of the </w:t>
      </w:r>
      <w:r w:rsidR="001E23B5">
        <w:rPr>
          <w:rFonts w:ascii="Book Antiqua" w:hAnsi="Book Antiqua"/>
          <w:sz w:val="24"/>
          <w:szCs w:val="24"/>
        </w:rPr>
        <w:t>290</w:t>
      </w:r>
      <w:r w:rsidRPr="005D6019">
        <w:rPr>
          <w:rFonts w:ascii="Book Antiqua" w:hAnsi="Book Antiqua"/>
          <w:sz w:val="24"/>
          <w:szCs w:val="24"/>
        </w:rPr>
        <w:t xml:space="preserve"> customers, </w:t>
      </w:r>
      <w:r w:rsidR="001E23B5">
        <w:rPr>
          <w:rFonts w:ascii="Book Antiqua" w:hAnsi="Book Antiqua"/>
          <w:sz w:val="24"/>
          <w:szCs w:val="24"/>
        </w:rPr>
        <w:t>198</w:t>
      </w:r>
      <w:r w:rsidRPr="005D6019">
        <w:rPr>
          <w:rFonts w:ascii="Book Antiqua" w:hAnsi="Book Antiqua"/>
          <w:sz w:val="24"/>
          <w:szCs w:val="24"/>
        </w:rPr>
        <w:t xml:space="preserve"> of them were in a subprime</w:t>
      </w:r>
      <w:r w:rsidR="001E23B5">
        <w:rPr>
          <w:rStyle w:val="DipnotBavurusu"/>
          <w:rFonts w:ascii="Book Antiqua" w:hAnsi="Book Antiqua"/>
          <w:sz w:val="24"/>
          <w:szCs w:val="24"/>
        </w:rPr>
        <w:footnoteReference w:id="61"/>
      </w:r>
      <w:r w:rsidRPr="005D6019">
        <w:rPr>
          <w:rFonts w:ascii="Book Antiqua" w:hAnsi="Book Antiqua"/>
          <w:sz w:val="24"/>
          <w:szCs w:val="24"/>
        </w:rPr>
        <w:t xml:space="preserve"> plan.</w:t>
      </w:r>
      <w:r w:rsidR="007A2191" w:rsidRPr="005D6019">
        <w:rPr>
          <w:rFonts w:ascii="Book Antiqua" w:hAnsi="Book Antiqua"/>
          <w:sz w:val="24"/>
          <w:szCs w:val="24"/>
        </w:rPr>
        <w:t xml:space="preserve"> </w:t>
      </w:r>
      <w:r w:rsidRPr="005D6019">
        <w:rPr>
          <w:rFonts w:ascii="Book Antiqua" w:hAnsi="Book Antiqua"/>
          <w:sz w:val="24"/>
          <w:szCs w:val="24"/>
        </w:rPr>
        <w:t>This m</w:t>
      </w:r>
      <w:r w:rsidR="00F3779F">
        <w:rPr>
          <w:rFonts w:ascii="Book Antiqua" w:hAnsi="Book Antiqua"/>
          <w:sz w:val="24"/>
          <w:szCs w:val="24"/>
        </w:rPr>
        <w:t>eans</w:t>
      </w:r>
      <w:r w:rsidRPr="005D6019">
        <w:rPr>
          <w:rFonts w:ascii="Book Antiqua" w:hAnsi="Book Antiqua"/>
          <w:sz w:val="24"/>
          <w:szCs w:val="24"/>
        </w:rPr>
        <w:t xml:space="preserve"> </w:t>
      </w:r>
      <w:r w:rsidR="001E23B5">
        <w:rPr>
          <w:rFonts w:ascii="Book Antiqua" w:hAnsi="Book Antiqua"/>
          <w:sz w:val="24"/>
          <w:szCs w:val="24"/>
        </w:rPr>
        <w:t>68</w:t>
      </w:r>
      <w:r w:rsidR="00F3779F">
        <w:rPr>
          <w:rFonts w:ascii="Book Antiqua" w:hAnsi="Book Antiqua"/>
          <w:sz w:val="24"/>
          <w:szCs w:val="24"/>
        </w:rPr>
        <w:t>%</w:t>
      </w:r>
      <w:r w:rsidRPr="005D6019">
        <w:rPr>
          <w:rFonts w:ascii="Book Antiqua" w:hAnsi="Book Antiqua"/>
          <w:sz w:val="24"/>
          <w:szCs w:val="24"/>
        </w:rPr>
        <w:t xml:space="preserve"> of the </w:t>
      </w:r>
      <w:r w:rsidR="00877CD8" w:rsidRPr="005D6019">
        <w:rPr>
          <w:rFonts w:ascii="Book Antiqua" w:hAnsi="Book Antiqua"/>
          <w:sz w:val="24"/>
          <w:szCs w:val="24"/>
        </w:rPr>
        <w:t xml:space="preserve">sample </w:t>
      </w:r>
      <w:r w:rsidRPr="005D6019">
        <w:rPr>
          <w:rFonts w:ascii="Book Antiqua" w:hAnsi="Book Antiqua"/>
          <w:sz w:val="24"/>
          <w:szCs w:val="24"/>
        </w:rPr>
        <w:t xml:space="preserve">group was suffering from inertia. Although this group may not be a representative sample of all wireless users in the </w:t>
      </w:r>
      <w:r w:rsidR="00877CD8" w:rsidRPr="005D6019">
        <w:rPr>
          <w:rFonts w:ascii="Book Antiqua" w:hAnsi="Book Antiqua"/>
          <w:sz w:val="24"/>
          <w:szCs w:val="24"/>
        </w:rPr>
        <w:t xml:space="preserve">US wireless </w:t>
      </w:r>
      <w:r w:rsidRPr="005D6019">
        <w:rPr>
          <w:rFonts w:ascii="Book Antiqua" w:hAnsi="Book Antiqua"/>
          <w:sz w:val="24"/>
          <w:szCs w:val="24"/>
        </w:rPr>
        <w:lastRenderedPageBreak/>
        <w:t xml:space="preserve">market, this study </w:t>
      </w:r>
      <w:r w:rsidR="00877CD8" w:rsidRPr="005D6019">
        <w:rPr>
          <w:rFonts w:ascii="Book Antiqua" w:hAnsi="Book Antiqua"/>
          <w:sz w:val="24"/>
          <w:szCs w:val="24"/>
        </w:rPr>
        <w:t>claims</w:t>
      </w:r>
      <w:r w:rsidRPr="005D6019">
        <w:rPr>
          <w:rFonts w:ascii="Book Antiqua" w:hAnsi="Book Antiqua"/>
          <w:sz w:val="24"/>
          <w:szCs w:val="24"/>
        </w:rPr>
        <w:t xml:space="preserve"> the existence of the problem </w:t>
      </w:r>
      <w:r w:rsidR="00F3779F">
        <w:rPr>
          <w:rFonts w:ascii="Book Antiqua" w:hAnsi="Book Antiqua"/>
          <w:sz w:val="24"/>
          <w:szCs w:val="24"/>
        </w:rPr>
        <w:t xml:space="preserve">but </w:t>
      </w:r>
      <w:r w:rsidRPr="005D6019">
        <w:rPr>
          <w:rFonts w:ascii="Book Antiqua" w:hAnsi="Book Antiqua"/>
          <w:sz w:val="24"/>
          <w:szCs w:val="24"/>
        </w:rPr>
        <w:t xml:space="preserve">does not offer any </w:t>
      </w:r>
      <w:r w:rsidR="00877CD8" w:rsidRPr="005D6019">
        <w:rPr>
          <w:rFonts w:ascii="Book Antiqua" w:hAnsi="Book Antiqua"/>
          <w:sz w:val="24"/>
          <w:szCs w:val="24"/>
        </w:rPr>
        <w:t>suggestions</w:t>
      </w:r>
      <w:r w:rsidRPr="005D6019">
        <w:rPr>
          <w:rFonts w:ascii="Book Antiqua" w:hAnsi="Book Antiqua"/>
          <w:sz w:val="24"/>
          <w:szCs w:val="24"/>
        </w:rPr>
        <w:t xml:space="preserve"> about the size.</w:t>
      </w:r>
    </w:p>
    <w:p w14:paraId="06394A66" w14:textId="1ADE4493" w:rsidR="00581BDC" w:rsidRPr="005D6019" w:rsidRDefault="00877CD8" w:rsidP="004970C5">
      <w:pPr>
        <w:autoSpaceDE w:val="0"/>
        <w:autoSpaceDN w:val="0"/>
        <w:adjustRightInd w:val="0"/>
        <w:spacing w:before="240" w:after="240" w:line="360" w:lineRule="auto"/>
        <w:ind w:firstLine="360"/>
        <w:jc w:val="both"/>
        <w:rPr>
          <w:rFonts w:ascii="Book Antiqua" w:hAnsi="Book Antiqua"/>
          <w:sz w:val="24"/>
          <w:szCs w:val="24"/>
        </w:rPr>
      </w:pPr>
      <w:r w:rsidRPr="005D6019">
        <w:rPr>
          <w:rFonts w:ascii="Book Antiqua" w:hAnsi="Book Antiqua"/>
          <w:sz w:val="24"/>
          <w:szCs w:val="24"/>
        </w:rPr>
        <w:t>The customers in the sample</w:t>
      </w:r>
      <w:r w:rsidR="00581BDC" w:rsidRPr="005D6019">
        <w:rPr>
          <w:rFonts w:ascii="Book Antiqua" w:hAnsi="Book Antiqua"/>
          <w:sz w:val="24"/>
          <w:szCs w:val="24"/>
        </w:rPr>
        <w:t xml:space="preserve"> </w:t>
      </w:r>
      <w:r w:rsidRPr="005D6019">
        <w:rPr>
          <w:rFonts w:ascii="Book Antiqua" w:hAnsi="Book Antiqua"/>
          <w:sz w:val="24"/>
          <w:szCs w:val="24"/>
        </w:rPr>
        <w:t xml:space="preserve">not only suffer from inertia but also </w:t>
      </w:r>
      <w:r w:rsidR="00581BDC" w:rsidRPr="005D6019">
        <w:rPr>
          <w:rFonts w:ascii="Book Antiqua" w:hAnsi="Book Antiqua"/>
          <w:sz w:val="24"/>
          <w:szCs w:val="24"/>
        </w:rPr>
        <w:t xml:space="preserve">have misinformation </w:t>
      </w:r>
      <w:r w:rsidRPr="005D6019">
        <w:rPr>
          <w:rFonts w:ascii="Book Antiqua" w:hAnsi="Book Antiqua"/>
          <w:sz w:val="24"/>
          <w:szCs w:val="24"/>
        </w:rPr>
        <w:t>about</w:t>
      </w:r>
      <w:r w:rsidR="00581BDC" w:rsidRPr="005D6019">
        <w:rPr>
          <w:rFonts w:ascii="Book Antiqua" w:hAnsi="Book Antiqua"/>
          <w:sz w:val="24"/>
          <w:szCs w:val="24"/>
        </w:rPr>
        <w:t xml:space="preserve"> their current plans. None of the participants including the ones in the prime plans could accurately name their plan without looking </w:t>
      </w:r>
      <w:r w:rsidRPr="005D6019">
        <w:rPr>
          <w:rFonts w:ascii="Book Antiqua" w:hAnsi="Book Antiqua"/>
          <w:sz w:val="24"/>
          <w:szCs w:val="24"/>
        </w:rPr>
        <w:t xml:space="preserve">at </w:t>
      </w:r>
      <w:r w:rsidR="00581BDC" w:rsidRPr="005D6019">
        <w:rPr>
          <w:rFonts w:ascii="Book Antiqua" w:hAnsi="Book Antiqua"/>
          <w:sz w:val="24"/>
          <w:szCs w:val="24"/>
        </w:rPr>
        <w:t>their statements or state correctly what their plan offers. 30 customers were assuming their plan offers less than the actual plan</w:t>
      </w:r>
      <w:r w:rsidR="00F3779F">
        <w:rPr>
          <w:rFonts w:ascii="Book Antiqua" w:hAnsi="Book Antiqua"/>
          <w:sz w:val="24"/>
          <w:szCs w:val="24"/>
        </w:rPr>
        <w:t>,</w:t>
      </w:r>
      <w:r w:rsidR="00581BDC" w:rsidRPr="005D6019">
        <w:rPr>
          <w:rFonts w:ascii="Book Antiqua" w:hAnsi="Book Antiqua"/>
          <w:sz w:val="24"/>
          <w:szCs w:val="24"/>
        </w:rPr>
        <w:t xml:space="preserve"> while the rest </w:t>
      </w:r>
      <w:r w:rsidRPr="005D6019">
        <w:rPr>
          <w:rFonts w:ascii="Book Antiqua" w:hAnsi="Book Antiqua"/>
          <w:sz w:val="24"/>
          <w:szCs w:val="24"/>
        </w:rPr>
        <w:t xml:space="preserve">of the customers </w:t>
      </w:r>
      <w:r w:rsidR="00581BDC" w:rsidRPr="005D6019">
        <w:rPr>
          <w:rFonts w:ascii="Book Antiqua" w:hAnsi="Book Antiqua"/>
          <w:sz w:val="24"/>
          <w:szCs w:val="24"/>
        </w:rPr>
        <w:t>stated they didn’t know</w:t>
      </w:r>
      <w:r w:rsidRPr="005D6019">
        <w:rPr>
          <w:rFonts w:ascii="Book Antiqua" w:hAnsi="Book Antiqua"/>
          <w:sz w:val="24"/>
          <w:szCs w:val="24"/>
        </w:rPr>
        <w:t xml:space="preserve"> what their plan offers</w:t>
      </w:r>
      <w:r w:rsidR="00581BDC" w:rsidRPr="005D6019">
        <w:rPr>
          <w:rFonts w:ascii="Book Antiqua" w:hAnsi="Book Antiqua"/>
          <w:sz w:val="24"/>
          <w:szCs w:val="24"/>
        </w:rPr>
        <w:t>.</w:t>
      </w:r>
    </w:p>
    <w:p w14:paraId="59F2E8C2" w14:textId="0EC9530F" w:rsidR="00DF72A2" w:rsidRPr="005D6019" w:rsidRDefault="00581BDC" w:rsidP="004970C5">
      <w:pPr>
        <w:autoSpaceDE w:val="0"/>
        <w:autoSpaceDN w:val="0"/>
        <w:adjustRightInd w:val="0"/>
        <w:spacing w:before="240" w:after="240" w:line="360" w:lineRule="auto"/>
        <w:ind w:firstLine="360"/>
        <w:jc w:val="both"/>
        <w:rPr>
          <w:rFonts w:ascii="Book Antiqua" w:hAnsi="Book Antiqua"/>
          <w:sz w:val="24"/>
          <w:szCs w:val="24"/>
        </w:rPr>
      </w:pPr>
      <w:r w:rsidRPr="005D6019">
        <w:rPr>
          <w:rFonts w:ascii="Book Antiqua" w:hAnsi="Book Antiqua"/>
          <w:sz w:val="24"/>
          <w:szCs w:val="24"/>
        </w:rPr>
        <w:t>Al</w:t>
      </w:r>
      <w:r w:rsidR="00E6374C">
        <w:rPr>
          <w:rFonts w:ascii="Book Antiqua" w:hAnsi="Book Antiqua"/>
          <w:sz w:val="24"/>
          <w:szCs w:val="24"/>
        </w:rPr>
        <w:t>most all</w:t>
      </w:r>
      <w:r w:rsidRPr="005D6019">
        <w:rPr>
          <w:rFonts w:ascii="Book Antiqua" w:hAnsi="Book Antiqua"/>
          <w:sz w:val="24"/>
          <w:szCs w:val="24"/>
        </w:rPr>
        <w:t xml:space="preserve"> of them</w:t>
      </w:r>
      <w:r w:rsidR="007A2191" w:rsidRPr="005D6019">
        <w:rPr>
          <w:rFonts w:ascii="Book Antiqua" w:hAnsi="Book Antiqua"/>
          <w:sz w:val="24"/>
          <w:szCs w:val="24"/>
        </w:rPr>
        <w:t xml:space="preserve"> stated </w:t>
      </w:r>
      <w:r w:rsidRPr="005D6019">
        <w:rPr>
          <w:rFonts w:ascii="Book Antiqua" w:hAnsi="Book Antiqua"/>
          <w:sz w:val="24"/>
          <w:szCs w:val="24"/>
        </w:rPr>
        <w:t xml:space="preserve">that </w:t>
      </w:r>
      <w:r w:rsidR="007A2191" w:rsidRPr="005D6019">
        <w:rPr>
          <w:rFonts w:ascii="Book Antiqua" w:hAnsi="Book Antiqua"/>
          <w:sz w:val="24"/>
          <w:szCs w:val="24"/>
        </w:rPr>
        <w:t xml:space="preserve">they weren’t aware that there was an update in the plans. </w:t>
      </w:r>
      <w:r w:rsidR="00877CD8" w:rsidRPr="005D6019">
        <w:rPr>
          <w:rFonts w:ascii="Book Antiqua" w:hAnsi="Book Antiqua"/>
          <w:sz w:val="24"/>
          <w:szCs w:val="24"/>
        </w:rPr>
        <w:t xml:space="preserve">Furthermore, </w:t>
      </w:r>
      <w:r w:rsidRPr="005D6019">
        <w:rPr>
          <w:rFonts w:ascii="Book Antiqua" w:hAnsi="Book Antiqua"/>
          <w:sz w:val="24"/>
          <w:szCs w:val="24"/>
        </w:rPr>
        <w:t xml:space="preserve">2 of the subprime users didn’t want to believe that their plans cannot be subprime since they </w:t>
      </w:r>
      <w:r w:rsidR="00877CD8" w:rsidRPr="005D6019">
        <w:rPr>
          <w:rFonts w:ascii="Book Antiqua" w:hAnsi="Book Antiqua"/>
          <w:sz w:val="24"/>
          <w:szCs w:val="24"/>
        </w:rPr>
        <w:t xml:space="preserve">claim they recently switched and </w:t>
      </w:r>
      <w:r w:rsidRPr="005D6019">
        <w:rPr>
          <w:rFonts w:ascii="Book Antiqua" w:hAnsi="Book Antiqua"/>
          <w:sz w:val="24"/>
          <w:szCs w:val="24"/>
        </w:rPr>
        <w:t>check the statements frequently.</w:t>
      </w:r>
      <w:r w:rsidR="00877CD8" w:rsidRPr="005D6019">
        <w:rPr>
          <w:rFonts w:ascii="Book Antiqua" w:hAnsi="Book Antiqua"/>
          <w:sz w:val="24"/>
          <w:szCs w:val="24"/>
        </w:rPr>
        <w:t xml:space="preserve"> One claiming she switched 9 months ago, realized that she switched 19 months ago after checking her statements.</w:t>
      </w:r>
    </w:p>
    <w:p w14:paraId="19C13C42" w14:textId="6AE515E4" w:rsidR="00877CD8" w:rsidRPr="005D6019" w:rsidRDefault="00877CD8" w:rsidP="004970C5">
      <w:pPr>
        <w:autoSpaceDE w:val="0"/>
        <w:autoSpaceDN w:val="0"/>
        <w:adjustRightInd w:val="0"/>
        <w:spacing w:before="120" w:after="120" w:line="360" w:lineRule="auto"/>
        <w:ind w:firstLine="360"/>
        <w:jc w:val="both"/>
        <w:rPr>
          <w:rFonts w:ascii="Book Antiqua" w:hAnsi="Book Antiqua"/>
          <w:sz w:val="24"/>
          <w:szCs w:val="24"/>
        </w:rPr>
      </w:pPr>
      <w:r w:rsidRPr="005D6019">
        <w:rPr>
          <w:rFonts w:ascii="Book Antiqua" w:hAnsi="Book Antiqua"/>
          <w:sz w:val="24"/>
          <w:szCs w:val="24"/>
        </w:rPr>
        <w:t>Apart from the reasons that cause inertia stated above</w:t>
      </w:r>
      <w:r w:rsidRPr="005D6019">
        <w:rPr>
          <w:rStyle w:val="DipnotBavurusu"/>
          <w:rFonts w:ascii="Book Antiqua" w:hAnsi="Book Antiqua"/>
          <w:sz w:val="24"/>
          <w:szCs w:val="24"/>
        </w:rPr>
        <w:footnoteReference w:id="62"/>
      </w:r>
      <w:r w:rsidRPr="005D6019">
        <w:rPr>
          <w:rFonts w:ascii="Book Antiqua" w:hAnsi="Book Antiqua"/>
          <w:sz w:val="24"/>
          <w:szCs w:val="24"/>
        </w:rPr>
        <w:t xml:space="preserve">,  the survey indicated a few other reasons that are unique to the US wireless sector </w:t>
      </w:r>
      <w:r w:rsidR="00932F24">
        <w:rPr>
          <w:rFonts w:ascii="Book Antiqua" w:hAnsi="Book Antiqua"/>
          <w:sz w:val="24"/>
          <w:szCs w:val="24"/>
        </w:rPr>
        <w:t xml:space="preserve">that </w:t>
      </w:r>
      <w:r w:rsidRPr="005D6019">
        <w:rPr>
          <w:rFonts w:ascii="Book Antiqua" w:hAnsi="Book Antiqua"/>
          <w:sz w:val="24"/>
          <w:szCs w:val="24"/>
        </w:rPr>
        <w:t xml:space="preserve">also contributes to inert customer behavior.  One reason is the family plan structure where one account can have many users on it. The structure boasts inertia in many ways. First, it creates a diffusion of responsibility. Many participants in the study group stated that they believed that their friends or family were checking the plan, although they were paying for </w:t>
      </w:r>
      <w:r w:rsidR="00932F24">
        <w:rPr>
          <w:rFonts w:ascii="Book Antiqua" w:hAnsi="Book Antiqua"/>
          <w:sz w:val="24"/>
          <w:szCs w:val="24"/>
        </w:rPr>
        <w:t xml:space="preserve">it </w:t>
      </w:r>
      <w:r w:rsidRPr="005D6019">
        <w:rPr>
          <w:rFonts w:ascii="Book Antiqua" w:hAnsi="Book Antiqua"/>
          <w:sz w:val="24"/>
          <w:szCs w:val="24"/>
        </w:rPr>
        <w:t xml:space="preserve">themselves. Second, family plans make it harder to switch to other plans especially if there isn’t a hierarchy among the users in the account. One participant stated that he wants to switch to Verizon, but his friends </w:t>
      </w:r>
      <w:r w:rsidR="00615FB6">
        <w:rPr>
          <w:rFonts w:ascii="Book Antiqua" w:hAnsi="Book Antiqua"/>
          <w:sz w:val="24"/>
          <w:szCs w:val="24"/>
        </w:rPr>
        <w:t xml:space="preserve">who are on the same family plan with him </w:t>
      </w:r>
      <w:r w:rsidRPr="005D6019">
        <w:rPr>
          <w:rFonts w:ascii="Book Antiqua" w:hAnsi="Book Antiqua"/>
          <w:sz w:val="24"/>
          <w:szCs w:val="24"/>
        </w:rPr>
        <w:t xml:space="preserve">insisted on staying in AT&amp;T. Finally, </w:t>
      </w:r>
      <w:r w:rsidRPr="005D6019">
        <w:rPr>
          <w:rFonts w:ascii="Book Antiqua" w:hAnsi="Book Antiqua"/>
          <w:sz w:val="24"/>
          <w:szCs w:val="24"/>
        </w:rPr>
        <w:lastRenderedPageBreak/>
        <w:t>family plans create free riders in the group. The free</w:t>
      </w:r>
      <w:r w:rsidR="004970C5">
        <w:rPr>
          <w:rFonts w:ascii="Book Antiqua" w:hAnsi="Book Antiqua"/>
          <w:sz w:val="24"/>
          <w:szCs w:val="24"/>
        </w:rPr>
        <w:t>-</w:t>
      </w:r>
      <w:r w:rsidRPr="005D6019">
        <w:rPr>
          <w:rFonts w:ascii="Book Antiqua" w:hAnsi="Book Antiqua"/>
          <w:sz w:val="24"/>
          <w:szCs w:val="24"/>
        </w:rPr>
        <w:t xml:space="preserve">riders don’t want to alert the account owner about their usage and keep using the service </w:t>
      </w:r>
      <w:r w:rsidR="00B631CA">
        <w:rPr>
          <w:rFonts w:ascii="Book Antiqua" w:hAnsi="Book Antiqua"/>
          <w:sz w:val="24"/>
          <w:szCs w:val="24"/>
        </w:rPr>
        <w:t xml:space="preserve">for </w:t>
      </w:r>
      <w:r w:rsidRPr="005D6019">
        <w:rPr>
          <w:rFonts w:ascii="Book Antiqua" w:hAnsi="Book Antiqua"/>
          <w:sz w:val="24"/>
          <w:szCs w:val="24"/>
        </w:rPr>
        <w:t>free.</w:t>
      </w:r>
      <w:r w:rsidRPr="005D6019">
        <w:rPr>
          <w:rStyle w:val="DipnotBavurusu"/>
          <w:rFonts w:ascii="Book Antiqua" w:hAnsi="Book Antiqua"/>
          <w:sz w:val="24"/>
          <w:szCs w:val="24"/>
        </w:rPr>
        <w:footnoteReference w:id="63"/>
      </w:r>
    </w:p>
    <w:p w14:paraId="2AD5D560" w14:textId="46F31ED5" w:rsidR="0022340B" w:rsidRPr="005D6019" w:rsidRDefault="00877CD8" w:rsidP="00E14417">
      <w:pPr>
        <w:spacing w:before="120" w:after="120" w:line="360" w:lineRule="auto"/>
        <w:ind w:firstLine="360"/>
        <w:jc w:val="both"/>
        <w:rPr>
          <w:rFonts w:ascii="Book Antiqua" w:hAnsi="Book Antiqua"/>
          <w:sz w:val="24"/>
          <w:szCs w:val="24"/>
        </w:rPr>
      </w:pPr>
      <w:r w:rsidRPr="005D6019">
        <w:rPr>
          <w:rFonts w:ascii="Book Antiqua" w:hAnsi="Book Antiqua"/>
          <w:sz w:val="24"/>
          <w:szCs w:val="24"/>
        </w:rPr>
        <w:t xml:space="preserve">Another factor that contributes to the inertia </w:t>
      </w:r>
      <w:r w:rsidR="00507667">
        <w:rPr>
          <w:rFonts w:ascii="Book Antiqua" w:hAnsi="Book Antiqua"/>
          <w:sz w:val="24"/>
          <w:szCs w:val="24"/>
        </w:rPr>
        <w:t>is</w:t>
      </w:r>
      <w:r w:rsidRPr="005D6019">
        <w:rPr>
          <w:rFonts w:ascii="Book Antiqua" w:hAnsi="Book Antiqua"/>
          <w:sz w:val="24"/>
          <w:szCs w:val="24"/>
        </w:rPr>
        <w:t xml:space="preserve"> the plan names. The new plan names and old plan names are significantly similar.</w:t>
      </w:r>
      <w:r w:rsidRPr="005D6019">
        <w:rPr>
          <w:rStyle w:val="DipnotBavurusu"/>
          <w:rFonts w:ascii="Book Antiqua" w:hAnsi="Book Antiqua"/>
          <w:sz w:val="24"/>
          <w:szCs w:val="24"/>
        </w:rPr>
        <w:footnoteReference w:id="64"/>
      </w:r>
      <w:r w:rsidRPr="005D6019">
        <w:rPr>
          <w:rFonts w:ascii="Book Antiqua" w:hAnsi="Book Antiqua"/>
          <w:sz w:val="24"/>
          <w:szCs w:val="24"/>
        </w:rPr>
        <w:t xml:space="preserve"> This may be designed this way intentionally </w:t>
      </w:r>
      <w:r w:rsidR="00932F24">
        <w:rPr>
          <w:rFonts w:ascii="Book Antiqua" w:hAnsi="Book Antiqua"/>
          <w:sz w:val="24"/>
          <w:szCs w:val="24"/>
        </w:rPr>
        <w:t>to</w:t>
      </w:r>
      <w:r w:rsidRPr="005D6019">
        <w:rPr>
          <w:rFonts w:ascii="Book Antiqua" w:hAnsi="Book Antiqua"/>
          <w:sz w:val="24"/>
          <w:szCs w:val="24"/>
        </w:rPr>
        <w:t xml:space="preserve"> not alert customers. During the survey, some participants with sub-prime plans struggled to understand the difference between the name of </w:t>
      </w:r>
      <w:r w:rsidR="00932F24">
        <w:rPr>
          <w:rFonts w:ascii="Book Antiqua" w:hAnsi="Book Antiqua"/>
          <w:sz w:val="24"/>
          <w:szCs w:val="24"/>
        </w:rPr>
        <w:t xml:space="preserve">the </w:t>
      </w:r>
      <w:r w:rsidRPr="005D6019">
        <w:rPr>
          <w:rFonts w:ascii="Book Antiqua" w:hAnsi="Book Antiqua"/>
          <w:sz w:val="24"/>
          <w:szCs w:val="24"/>
        </w:rPr>
        <w:t>new plan and the name of their plan, even though the difference was show</w:t>
      </w:r>
      <w:r w:rsidR="00932F24">
        <w:rPr>
          <w:rFonts w:ascii="Book Antiqua" w:hAnsi="Book Antiqua"/>
          <w:sz w:val="24"/>
          <w:szCs w:val="24"/>
        </w:rPr>
        <w:t>n</w:t>
      </w:r>
      <w:r w:rsidRPr="005D6019">
        <w:rPr>
          <w:rFonts w:ascii="Book Antiqua" w:hAnsi="Book Antiqua"/>
          <w:sz w:val="24"/>
          <w:szCs w:val="24"/>
        </w:rPr>
        <w:t xml:space="preserve"> in writing.</w:t>
      </w:r>
    </w:p>
    <w:p w14:paraId="09A9FDAD" w14:textId="52AE5922" w:rsidR="00877CD8" w:rsidRPr="005D6019" w:rsidRDefault="00877CD8" w:rsidP="005D6019">
      <w:pPr>
        <w:pStyle w:val="Balk1"/>
      </w:pPr>
      <w:bookmarkStart w:id="5" w:name="_Toc71407371"/>
      <w:r w:rsidRPr="005D6019">
        <w:t>Pushing the Customer Out of Inertia</w:t>
      </w:r>
      <w:bookmarkEnd w:id="5"/>
      <w:r w:rsidRPr="005D6019">
        <w:t xml:space="preserve"> </w:t>
      </w:r>
    </w:p>
    <w:p w14:paraId="59758D71" w14:textId="77777777" w:rsidR="00877CD8" w:rsidRPr="005D6019" w:rsidRDefault="00877CD8" w:rsidP="004970C5">
      <w:pPr>
        <w:spacing w:before="240" w:after="240" w:line="360" w:lineRule="auto"/>
        <w:ind w:firstLine="360"/>
        <w:jc w:val="both"/>
        <w:rPr>
          <w:rFonts w:ascii="Book Antiqua" w:hAnsi="Book Antiqua"/>
          <w:sz w:val="24"/>
          <w:szCs w:val="24"/>
        </w:rPr>
      </w:pPr>
      <w:r w:rsidRPr="005D6019">
        <w:rPr>
          <w:rFonts w:ascii="Book Antiqua" w:hAnsi="Book Antiqua"/>
          <w:sz w:val="24"/>
          <w:szCs w:val="24"/>
        </w:rPr>
        <w:t>Libertarian paternalism is the idea that institutions can influence behavior while respecting the freedom of choice.</w:t>
      </w:r>
      <w:r w:rsidRPr="005D6019">
        <w:rPr>
          <w:rStyle w:val="DipnotBavurusu"/>
          <w:rFonts w:ascii="Book Antiqua" w:hAnsi="Book Antiqua"/>
        </w:rPr>
        <w:footnoteReference w:id="65"/>
      </w:r>
      <w:r w:rsidRPr="005D6019">
        <w:rPr>
          <w:rFonts w:ascii="Book Antiqua" w:hAnsi="Book Antiqua"/>
          <w:sz w:val="24"/>
          <w:szCs w:val="24"/>
        </w:rPr>
        <w:t xml:space="preserve"> In a free market, people can choose whatever subscription they want. However, some of them may suffer from inertia as stated above. So how can the regulators push the inert customers out of inertia while respecting happy subscribers?</w:t>
      </w:r>
    </w:p>
    <w:p w14:paraId="0DC01FB7" w14:textId="00774BC5" w:rsidR="00877CD8" w:rsidRPr="005D6019" w:rsidRDefault="00877CD8" w:rsidP="004970C5">
      <w:pPr>
        <w:spacing w:before="240" w:after="240" w:line="360" w:lineRule="auto"/>
        <w:ind w:firstLine="360"/>
        <w:jc w:val="both"/>
        <w:rPr>
          <w:rFonts w:ascii="Book Antiqua" w:hAnsi="Book Antiqua"/>
          <w:sz w:val="24"/>
          <w:szCs w:val="24"/>
        </w:rPr>
      </w:pPr>
      <w:r w:rsidRPr="005D6019">
        <w:rPr>
          <w:rFonts w:ascii="Book Antiqua" w:hAnsi="Book Antiqua"/>
          <w:sz w:val="24"/>
          <w:szCs w:val="24"/>
        </w:rPr>
        <w:t>Some legal scholars propose a change in the default rules of subscription service contracts. According to them, at the end of each term, the customer should be required to make an active move to stay in the subscription.</w:t>
      </w:r>
      <w:r w:rsidRPr="005D6019">
        <w:rPr>
          <w:rStyle w:val="DipnotBavurusu"/>
          <w:rFonts w:ascii="Book Antiqua" w:hAnsi="Book Antiqua"/>
        </w:rPr>
        <w:footnoteReference w:id="66"/>
      </w:r>
      <w:r w:rsidRPr="005D6019">
        <w:rPr>
          <w:rFonts w:ascii="Book Antiqua" w:hAnsi="Book Antiqua"/>
          <w:sz w:val="24"/>
          <w:szCs w:val="24"/>
        </w:rPr>
        <w:t xml:space="preserve"> A couple of states also apply that method by either forbidding contracts longer than a certain period or requiring businesses to get the customer’s consent before renewing the contract.</w:t>
      </w:r>
      <w:r w:rsidRPr="005D6019">
        <w:rPr>
          <w:rStyle w:val="DipnotBavurusu"/>
          <w:rFonts w:ascii="Book Antiqua" w:hAnsi="Book Antiqua"/>
        </w:rPr>
        <w:footnoteReference w:id="67"/>
      </w:r>
      <w:r w:rsidRPr="005D6019">
        <w:rPr>
          <w:rFonts w:ascii="Book Antiqua" w:hAnsi="Book Antiqua"/>
          <w:sz w:val="24"/>
          <w:szCs w:val="24"/>
        </w:rPr>
        <w:t xml:space="preserve"> However, these </w:t>
      </w:r>
      <w:r w:rsidRPr="005D6019">
        <w:rPr>
          <w:rFonts w:ascii="Book Antiqua" w:hAnsi="Book Antiqua"/>
          <w:sz w:val="24"/>
          <w:szCs w:val="24"/>
        </w:rPr>
        <w:lastRenderedPageBreak/>
        <w:t xml:space="preserve">policies may turn out to be both inefficient and narrow in scope. </w:t>
      </w:r>
      <w:r w:rsidR="004970C5">
        <w:rPr>
          <w:rFonts w:ascii="Book Antiqua" w:hAnsi="Book Antiqua"/>
          <w:sz w:val="24"/>
          <w:szCs w:val="24"/>
        </w:rPr>
        <w:t>To see how</w:t>
      </w:r>
      <w:r w:rsidR="00E14417">
        <w:rPr>
          <w:rFonts w:ascii="Book Antiqua" w:hAnsi="Book Antiqua"/>
          <w:sz w:val="24"/>
          <w:szCs w:val="24"/>
        </w:rPr>
        <w:t>,</w:t>
      </w:r>
      <w:r w:rsidR="004970C5">
        <w:rPr>
          <w:rFonts w:ascii="Book Antiqua" w:hAnsi="Book Antiqua"/>
          <w:sz w:val="24"/>
          <w:szCs w:val="24"/>
        </w:rPr>
        <w:t xml:space="preserve"> consider the following example.</w:t>
      </w:r>
    </w:p>
    <w:p w14:paraId="1E8D6608" w14:textId="77777777" w:rsidR="00877CD8" w:rsidRPr="005D6019" w:rsidRDefault="00877CD8" w:rsidP="004970C5">
      <w:pPr>
        <w:spacing w:before="240" w:after="240" w:line="360" w:lineRule="auto"/>
        <w:ind w:firstLine="360"/>
        <w:jc w:val="both"/>
        <w:rPr>
          <w:rFonts w:ascii="Book Antiqua" w:hAnsi="Book Antiqua"/>
          <w:sz w:val="24"/>
          <w:szCs w:val="24"/>
        </w:rPr>
      </w:pPr>
      <w:r w:rsidRPr="005D6019">
        <w:rPr>
          <w:rFonts w:ascii="Book Antiqua" w:hAnsi="Book Antiqua"/>
          <w:sz w:val="24"/>
          <w:szCs w:val="24"/>
        </w:rPr>
        <w:t xml:space="preserve">Let’s assume the customers suffering from inertia in a subscription service are 5% of the total customers, the service costs $10 per year, and the cost of making an opt-in action is $1. To save the inert customers, new default rules will force all the happy subscribers to act to stay subscribed to the service which will cost $95, whereas the total savings for inert customers is only $50. Therefore, the default opt-in rules may not be an efficient solution. </w:t>
      </w:r>
    </w:p>
    <w:p w14:paraId="318FFD60" w14:textId="77777777" w:rsidR="00877CD8" w:rsidRPr="005D6019" w:rsidRDefault="00877CD8" w:rsidP="004970C5">
      <w:pPr>
        <w:spacing w:before="240" w:after="240" w:line="360" w:lineRule="auto"/>
        <w:ind w:firstLine="360"/>
        <w:jc w:val="both"/>
        <w:rPr>
          <w:rFonts w:ascii="Book Antiqua" w:hAnsi="Book Antiqua"/>
          <w:sz w:val="24"/>
          <w:szCs w:val="24"/>
        </w:rPr>
      </w:pPr>
      <w:r w:rsidRPr="005D6019">
        <w:rPr>
          <w:rFonts w:ascii="Book Antiqua" w:hAnsi="Book Antiqua"/>
          <w:sz w:val="24"/>
          <w:szCs w:val="24"/>
        </w:rPr>
        <w:t>There are subscriptions with limited terms such as one year</w:t>
      </w:r>
      <w:r w:rsidRPr="005D6019">
        <w:rPr>
          <w:rStyle w:val="DipnotBavurusu"/>
          <w:rFonts w:ascii="Book Antiqua" w:hAnsi="Book Antiqua"/>
        </w:rPr>
        <w:footnoteReference w:id="68"/>
      </w:r>
      <w:r w:rsidRPr="005D6019">
        <w:rPr>
          <w:rFonts w:ascii="Book Antiqua" w:hAnsi="Book Antiqua"/>
          <w:sz w:val="24"/>
          <w:szCs w:val="24"/>
        </w:rPr>
        <w:t xml:space="preserve"> or six months, but there are also subscriptions with no contractual terms that are designed as a continuing service.</w:t>
      </w:r>
      <w:r w:rsidRPr="005D6019">
        <w:rPr>
          <w:rStyle w:val="DipnotBavurusu"/>
          <w:rFonts w:ascii="Book Antiqua" w:hAnsi="Book Antiqua"/>
        </w:rPr>
        <w:footnoteReference w:id="69"/>
      </w:r>
      <w:r w:rsidRPr="005D6019">
        <w:rPr>
          <w:rFonts w:ascii="Book Antiqua" w:hAnsi="Book Antiqua"/>
          <w:sz w:val="24"/>
          <w:szCs w:val="24"/>
        </w:rPr>
        <w:t xml:space="preserve"> The opt-in rules will force subscribers to make an affirmative action every week or month to continue services. It’ll create more cost than renewing a one-year contract and hence regulators may exclude continuing services from the default opt-in rules. Therefore, the default opt-in rules may also be narrowly scoped by applying only to yearly subscriptions. </w:t>
      </w:r>
    </w:p>
    <w:p w14:paraId="7BF815C0" w14:textId="5D0D16FF" w:rsidR="00877CD8" w:rsidRPr="005D6019" w:rsidRDefault="00877CD8" w:rsidP="004970C5">
      <w:pPr>
        <w:autoSpaceDE w:val="0"/>
        <w:autoSpaceDN w:val="0"/>
        <w:adjustRightInd w:val="0"/>
        <w:spacing w:before="240" w:after="240" w:line="360" w:lineRule="auto"/>
        <w:ind w:firstLine="360"/>
        <w:jc w:val="both"/>
        <w:rPr>
          <w:rFonts w:ascii="Book Antiqua" w:hAnsi="Book Antiqua" w:cs="Utopia-Regular"/>
          <w:sz w:val="24"/>
          <w:szCs w:val="24"/>
        </w:rPr>
      </w:pPr>
      <w:r w:rsidRPr="005D6019">
        <w:rPr>
          <w:rFonts w:ascii="Book Antiqua" w:hAnsi="Book Antiqua" w:cs="Utopia-Regular"/>
          <w:sz w:val="24"/>
          <w:szCs w:val="24"/>
        </w:rPr>
        <w:t xml:space="preserve">This paper proposes a possible solution: reminding the customers about their subscription. From a theoretical perspective, reminders may help in cases of limited attention, by refocusing attention on a decision problem or task, by making specific choices or actions more salient, or by providing </w:t>
      </w:r>
      <w:r w:rsidRPr="005D6019">
        <w:rPr>
          <w:rFonts w:ascii="Book Antiqua" w:hAnsi="Book Antiqua" w:cs="Utopia-Regular"/>
          <w:sz w:val="24"/>
          <w:szCs w:val="24"/>
        </w:rPr>
        <w:lastRenderedPageBreak/>
        <w:t>previously unknown information.</w:t>
      </w:r>
      <w:r w:rsidRPr="005D6019">
        <w:rPr>
          <w:rStyle w:val="DipnotBavurusu"/>
          <w:rFonts w:ascii="Book Antiqua" w:hAnsi="Book Antiqua"/>
        </w:rPr>
        <w:footnoteReference w:id="70"/>
      </w:r>
      <w:r w:rsidRPr="005D6019">
        <w:rPr>
          <w:rFonts w:ascii="Book Antiqua" w:hAnsi="Book Antiqua" w:cs="Utopia-Regular"/>
          <w:sz w:val="24"/>
          <w:szCs w:val="24"/>
        </w:rPr>
        <w:t xml:space="preserve"> The efficiency of reminders is widely tested in the business, psychology, and education literature. </w:t>
      </w:r>
    </w:p>
    <w:p w14:paraId="77676AB2" w14:textId="77777777" w:rsidR="00877CD8" w:rsidRPr="005D6019" w:rsidRDefault="00877CD8" w:rsidP="004970C5">
      <w:pPr>
        <w:autoSpaceDE w:val="0"/>
        <w:autoSpaceDN w:val="0"/>
        <w:adjustRightInd w:val="0"/>
        <w:spacing w:before="240" w:after="240" w:line="360" w:lineRule="auto"/>
        <w:ind w:firstLine="360"/>
        <w:jc w:val="both"/>
        <w:rPr>
          <w:rFonts w:ascii="Book Antiqua" w:hAnsi="Book Antiqua" w:cs="Utopia-Regular"/>
          <w:sz w:val="24"/>
          <w:szCs w:val="24"/>
        </w:rPr>
      </w:pPr>
      <w:r w:rsidRPr="005D6019">
        <w:rPr>
          <w:rFonts w:ascii="Book Antiqua" w:hAnsi="Book Antiqua"/>
          <w:sz w:val="24"/>
          <w:szCs w:val="24"/>
        </w:rPr>
        <w:t>In an experiment, where patients were reminded of their checkup dates, their show-up rate increased.</w:t>
      </w:r>
      <w:r w:rsidRPr="005D6019">
        <w:rPr>
          <w:rStyle w:val="DipnotBavurusu"/>
          <w:rFonts w:ascii="Book Antiqua" w:hAnsi="Book Antiqua"/>
          <w:sz w:val="24"/>
          <w:szCs w:val="24"/>
        </w:rPr>
        <w:t xml:space="preserve"> </w:t>
      </w:r>
      <w:r w:rsidRPr="005D6019">
        <w:rPr>
          <w:rStyle w:val="DipnotBavurusu"/>
          <w:rFonts w:ascii="Book Antiqua" w:hAnsi="Book Antiqua"/>
        </w:rPr>
        <w:footnoteReference w:id="71"/>
      </w:r>
      <w:r w:rsidRPr="005D6019">
        <w:rPr>
          <w:rFonts w:ascii="Book Antiqua" w:hAnsi="Book Antiqua"/>
          <w:sz w:val="24"/>
          <w:szCs w:val="24"/>
        </w:rPr>
        <w:t xml:space="preserve"> In another study, when the penalty for not paying the speeding ticket was reminded, more drivers complied with the payment.</w:t>
      </w:r>
      <w:r w:rsidRPr="005D6019">
        <w:rPr>
          <w:rStyle w:val="DipnotBavurusu"/>
          <w:rFonts w:ascii="Book Antiqua" w:hAnsi="Book Antiqua"/>
        </w:rPr>
        <w:footnoteReference w:id="72"/>
      </w:r>
      <w:r w:rsidRPr="005D6019">
        <w:rPr>
          <w:rFonts w:ascii="Book Antiqua" w:hAnsi="Book Antiqua"/>
          <w:sz w:val="24"/>
          <w:szCs w:val="24"/>
        </w:rPr>
        <w:t xml:space="preserve"> There are many other proven examples of the effect of reminders such as increasing savings</w:t>
      </w:r>
      <w:r w:rsidRPr="005D6019">
        <w:rPr>
          <w:rStyle w:val="DipnotBavurusu"/>
          <w:rFonts w:ascii="Book Antiqua" w:hAnsi="Book Antiqua"/>
        </w:rPr>
        <w:footnoteReference w:id="73"/>
      </w:r>
      <w:r w:rsidRPr="005D6019">
        <w:rPr>
          <w:rFonts w:ascii="Book Antiqua" w:hAnsi="Book Antiqua"/>
          <w:sz w:val="24"/>
          <w:szCs w:val="24"/>
        </w:rPr>
        <w:t>, keeping up with loan repayments</w:t>
      </w:r>
      <w:r w:rsidRPr="005D6019">
        <w:rPr>
          <w:rStyle w:val="DipnotBavurusu"/>
          <w:rFonts w:ascii="Book Antiqua" w:hAnsi="Book Antiqua"/>
        </w:rPr>
        <w:footnoteReference w:id="74"/>
      </w:r>
      <w:r w:rsidRPr="005D6019">
        <w:rPr>
          <w:rFonts w:ascii="Book Antiqua" w:hAnsi="Book Antiqua"/>
          <w:sz w:val="24"/>
          <w:szCs w:val="24"/>
        </w:rPr>
        <w:t>, adherence to prescribed medications</w:t>
      </w:r>
      <w:r w:rsidRPr="005D6019">
        <w:rPr>
          <w:rStyle w:val="DipnotBavurusu"/>
          <w:rFonts w:ascii="Book Antiqua" w:hAnsi="Book Antiqua"/>
        </w:rPr>
        <w:footnoteReference w:id="75"/>
      </w:r>
      <w:r w:rsidRPr="005D6019">
        <w:rPr>
          <w:rFonts w:ascii="Book Antiqua" w:hAnsi="Book Antiqua"/>
          <w:sz w:val="24"/>
          <w:szCs w:val="24"/>
        </w:rPr>
        <w:t>, maintaining gym attendance</w:t>
      </w:r>
      <w:r w:rsidRPr="005D6019">
        <w:rPr>
          <w:rStyle w:val="DipnotBavurusu"/>
          <w:rFonts w:ascii="Book Antiqua" w:hAnsi="Book Antiqua"/>
        </w:rPr>
        <w:footnoteReference w:id="76"/>
      </w:r>
      <w:r w:rsidRPr="005D6019">
        <w:rPr>
          <w:rFonts w:ascii="Book Antiqua" w:hAnsi="Book Antiqua"/>
          <w:sz w:val="24"/>
          <w:szCs w:val="24"/>
        </w:rPr>
        <w:t>, quitting smoking</w:t>
      </w:r>
      <w:r w:rsidRPr="005D6019">
        <w:rPr>
          <w:rStyle w:val="DipnotBavurusu"/>
          <w:rFonts w:ascii="Book Antiqua" w:hAnsi="Book Antiqua"/>
        </w:rPr>
        <w:footnoteReference w:id="77"/>
      </w:r>
      <w:r w:rsidRPr="005D6019">
        <w:rPr>
          <w:rFonts w:ascii="Book Antiqua" w:hAnsi="Book Antiqua"/>
          <w:sz w:val="24"/>
          <w:szCs w:val="24"/>
        </w:rPr>
        <w:t>, returning books to the library</w:t>
      </w:r>
      <w:r w:rsidRPr="005D6019">
        <w:rPr>
          <w:rStyle w:val="DipnotBavurusu"/>
          <w:rFonts w:ascii="Book Antiqua" w:hAnsi="Book Antiqua"/>
        </w:rPr>
        <w:footnoteReference w:id="78"/>
      </w:r>
      <w:r w:rsidRPr="005D6019">
        <w:rPr>
          <w:rFonts w:ascii="Book Antiqua" w:hAnsi="Book Antiqua"/>
          <w:sz w:val="24"/>
          <w:szCs w:val="24"/>
        </w:rPr>
        <w:t>, and paying taxes</w:t>
      </w:r>
      <w:r w:rsidRPr="005D6019">
        <w:rPr>
          <w:rStyle w:val="DipnotBavurusu"/>
          <w:rFonts w:ascii="Book Antiqua" w:hAnsi="Book Antiqua"/>
        </w:rPr>
        <w:footnoteReference w:id="79"/>
      </w:r>
      <w:r w:rsidRPr="005D6019">
        <w:rPr>
          <w:rFonts w:ascii="Book Antiqua" w:hAnsi="Book Antiqua"/>
          <w:sz w:val="24"/>
          <w:szCs w:val="24"/>
        </w:rPr>
        <w:t xml:space="preserve">. </w:t>
      </w:r>
      <w:r w:rsidRPr="005D6019">
        <w:rPr>
          <w:rFonts w:ascii="Book Antiqua" w:hAnsi="Book Antiqua"/>
          <w:sz w:val="24"/>
          <w:szCs w:val="24"/>
        </w:rPr>
        <w:lastRenderedPageBreak/>
        <w:t>Reminders don’t have to be explicit. S</w:t>
      </w:r>
      <w:r w:rsidRPr="005D6019">
        <w:rPr>
          <w:rFonts w:ascii="Book Antiqua" w:hAnsi="Book Antiqua" w:cs="Utopia-Regular"/>
          <w:sz w:val="24"/>
          <w:szCs w:val="24"/>
        </w:rPr>
        <w:t>urveys can also affect behavior by reminding of an actual task.</w:t>
      </w:r>
      <w:r w:rsidRPr="005D6019">
        <w:rPr>
          <w:rStyle w:val="DipnotBavurusu"/>
          <w:rFonts w:ascii="Book Antiqua" w:hAnsi="Book Antiqua"/>
        </w:rPr>
        <w:footnoteReference w:id="80"/>
      </w:r>
    </w:p>
    <w:p w14:paraId="557529EC" w14:textId="5B8AC8AA" w:rsidR="00877CD8" w:rsidRPr="005D6019" w:rsidRDefault="00877CD8" w:rsidP="004970C5">
      <w:pPr>
        <w:autoSpaceDE w:val="0"/>
        <w:autoSpaceDN w:val="0"/>
        <w:adjustRightInd w:val="0"/>
        <w:spacing w:before="240" w:after="240" w:line="360" w:lineRule="auto"/>
        <w:ind w:firstLine="360"/>
        <w:jc w:val="both"/>
        <w:rPr>
          <w:rFonts w:ascii="Book Antiqua" w:hAnsi="Book Antiqua" w:cs="Utopia-Regular"/>
          <w:sz w:val="24"/>
          <w:szCs w:val="24"/>
        </w:rPr>
      </w:pPr>
      <w:r w:rsidRPr="005D6019">
        <w:rPr>
          <w:rFonts w:ascii="Book Antiqua" w:hAnsi="Book Antiqua" w:cs="Utopia-Regular"/>
          <w:sz w:val="24"/>
          <w:szCs w:val="24"/>
        </w:rPr>
        <w:t>This study proposes that the expected outcome of reminders will be a more efficient market. Once inert customers are pushed out of inertia by reminders, they will either cancel or switch. The providers will know that ex-ante and they will update their plans to the most competitive offer before the customer is pushed</w:t>
      </w:r>
      <w:r w:rsidR="0022340B" w:rsidRPr="005D6019">
        <w:rPr>
          <w:rFonts w:ascii="Book Antiqua" w:hAnsi="Book Antiqua" w:cs="Utopia-Regular"/>
          <w:sz w:val="24"/>
          <w:szCs w:val="24"/>
        </w:rPr>
        <w:t xml:space="preserve"> out</w:t>
      </w:r>
      <w:r w:rsidRPr="005D6019">
        <w:rPr>
          <w:rFonts w:ascii="Book Antiqua" w:hAnsi="Book Antiqua" w:cs="Utopia-Regular"/>
          <w:sz w:val="24"/>
          <w:szCs w:val="24"/>
        </w:rPr>
        <w:t xml:space="preserve"> by reminders. In this way, the number of sub-prime subscribers will be reduced.</w:t>
      </w:r>
    </w:p>
    <w:p w14:paraId="0AD614EF" w14:textId="77777777" w:rsidR="00877CD8" w:rsidRPr="005D6019" w:rsidRDefault="00877CD8" w:rsidP="004970C5">
      <w:pPr>
        <w:spacing w:before="240" w:after="240" w:line="360" w:lineRule="auto"/>
        <w:ind w:firstLine="360"/>
        <w:jc w:val="both"/>
        <w:rPr>
          <w:rFonts w:ascii="Book Antiqua" w:hAnsi="Book Antiqua"/>
          <w:sz w:val="24"/>
          <w:szCs w:val="24"/>
        </w:rPr>
      </w:pPr>
      <w:r w:rsidRPr="005D6019">
        <w:rPr>
          <w:rFonts w:ascii="Book Antiqua" w:hAnsi="Book Antiqua" w:cs="Utopia-Regular"/>
          <w:sz w:val="24"/>
          <w:szCs w:val="24"/>
        </w:rPr>
        <w:t>One may wonder why individuals aren’t setting the reminders themselves if they are both easy and effective. A potential explanation for this is that individuals are overconfident in their ability to remember tasks that they planned to complete or they are naive about their limited attention.</w:t>
      </w:r>
      <w:r w:rsidRPr="005D6019">
        <w:rPr>
          <w:rStyle w:val="DipnotBavurusu"/>
          <w:rFonts w:ascii="Book Antiqua" w:hAnsi="Book Antiqua"/>
        </w:rPr>
        <w:footnoteReference w:id="81"/>
      </w:r>
      <w:r w:rsidRPr="005D6019">
        <w:rPr>
          <w:rFonts w:ascii="Book Antiqua" w:hAnsi="Book Antiqua" w:cs="Utopia-Regular"/>
          <w:sz w:val="24"/>
          <w:szCs w:val="24"/>
        </w:rPr>
        <w:t xml:space="preserve"> Besides, individuals may be present-biased and postpone the task of setting up a reminder. Interactions between limited self-control and limited attention might therefore explain why individuals do not set up reminders.</w:t>
      </w:r>
      <w:r w:rsidRPr="005D6019">
        <w:rPr>
          <w:rStyle w:val="DipnotBavurusu"/>
          <w:rFonts w:ascii="Book Antiqua" w:hAnsi="Book Antiqua"/>
        </w:rPr>
        <w:footnoteReference w:id="82"/>
      </w:r>
      <w:r w:rsidRPr="005D6019">
        <w:rPr>
          <w:rFonts w:ascii="Book Antiqua" w:hAnsi="Book Antiqua" w:cs="Utopia-Regular"/>
          <w:sz w:val="24"/>
          <w:szCs w:val="24"/>
        </w:rPr>
        <w:t xml:space="preserve"> Moreover, user-made anticipated reminders may have reduced efficiency</w:t>
      </w:r>
      <w:r w:rsidRPr="005D6019">
        <w:rPr>
          <w:rFonts w:ascii="Book Antiqua" w:hAnsi="Book Antiqua"/>
          <w:sz w:val="24"/>
          <w:szCs w:val="24"/>
        </w:rPr>
        <w:t>.</w:t>
      </w:r>
      <w:r w:rsidRPr="005D6019">
        <w:rPr>
          <w:rStyle w:val="DipnotBavurusu"/>
          <w:rFonts w:ascii="Book Antiqua" w:hAnsi="Book Antiqua"/>
        </w:rPr>
        <w:footnoteReference w:id="83"/>
      </w:r>
    </w:p>
    <w:p w14:paraId="51EDD244" w14:textId="19CB1555" w:rsidR="00877CD8" w:rsidRPr="005D6019" w:rsidRDefault="00877CD8" w:rsidP="004970C5">
      <w:pPr>
        <w:spacing w:before="240" w:after="240" w:line="360" w:lineRule="auto"/>
        <w:ind w:firstLine="360"/>
        <w:jc w:val="both"/>
        <w:rPr>
          <w:rFonts w:ascii="Book Antiqua" w:eastAsia="Times New Roman" w:hAnsi="Book Antiqua" w:cs="Arial"/>
          <w:sz w:val="24"/>
          <w:szCs w:val="24"/>
        </w:rPr>
      </w:pPr>
      <w:r w:rsidRPr="005D6019">
        <w:rPr>
          <w:rFonts w:ascii="Book Antiqua" w:hAnsi="Book Antiqua"/>
          <w:sz w:val="24"/>
          <w:szCs w:val="24"/>
        </w:rPr>
        <w:t xml:space="preserve">Another question may be why private businesses don’t create a reminder system. </w:t>
      </w:r>
      <w:r w:rsidRPr="005D6019">
        <w:rPr>
          <w:rFonts w:ascii="Book Antiqua" w:hAnsi="Book Antiqua"/>
          <w:sz w:val="24"/>
          <w:szCs w:val="24"/>
          <w:shd w:val="clear" w:color="auto" w:fill="FFFFFF"/>
        </w:rPr>
        <w:t>There are private initiatives to control and reduce subscription spending.</w:t>
      </w:r>
      <w:r w:rsidRPr="005D6019">
        <w:rPr>
          <w:rStyle w:val="DipnotBavurusu"/>
          <w:rFonts w:ascii="Book Antiqua" w:hAnsi="Book Antiqua"/>
        </w:rPr>
        <w:footnoteReference w:id="84"/>
      </w:r>
      <w:r w:rsidRPr="005D6019">
        <w:rPr>
          <w:rFonts w:ascii="Book Antiqua" w:hAnsi="Book Antiqua"/>
          <w:sz w:val="24"/>
          <w:szCs w:val="24"/>
          <w:shd w:val="clear" w:color="auto" w:fill="FFFFFF"/>
        </w:rPr>
        <w:t xml:space="preserve"> But private initiatives may not work for three </w:t>
      </w:r>
      <w:r w:rsidRPr="005D6019">
        <w:rPr>
          <w:rFonts w:ascii="Book Antiqua" w:hAnsi="Book Antiqua"/>
          <w:sz w:val="24"/>
          <w:szCs w:val="24"/>
          <w:shd w:val="clear" w:color="auto" w:fill="FFFFFF"/>
        </w:rPr>
        <w:lastRenderedPageBreak/>
        <w:t xml:space="preserve">reasons. First, customers may not want to give their private spending data to other parties. Financial information may be kept secret for many reasons. For example, a user </w:t>
      </w:r>
      <w:r w:rsidRPr="005D6019">
        <w:rPr>
          <w:rFonts w:ascii="Book Antiqua" w:eastAsia="Times New Roman" w:hAnsi="Book Antiqua" w:cs="Arial"/>
          <w:spacing w:val="11"/>
          <w:sz w:val="24"/>
          <w:szCs w:val="24"/>
        </w:rPr>
        <w:t>made this comment about one private initiative: “I</w:t>
      </w:r>
      <w:r w:rsidRPr="005D6019">
        <w:rPr>
          <w:rFonts w:ascii="Book Antiqua" w:eastAsia="Times New Roman" w:hAnsi="Book Antiqua" w:cs="Arial"/>
          <w:sz w:val="24"/>
          <w:szCs w:val="24"/>
        </w:rPr>
        <w:t xml:space="preserve"> appreciate the value of a company trying to save you money but I do not like the way they do it, by linking to your bank account to see how and where you are spending your money. WAY too intrusive into my personal financial information…”</w:t>
      </w:r>
      <w:r w:rsidRPr="005D6019">
        <w:rPr>
          <w:rStyle w:val="DipnotBavurusu"/>
          <w:rFonts w:ascii="Book Antiqua" w:hAnsi="Book Antiqua"/>
        </w:rPr>
        <w:footnoteReference w:id="85"/>
      </w:r>
    </w:p>
    <w:p w14:paraId="2BA85272" w14:textId="77777777" w:rsidR="00877CD8" w:rsidRPr="005D6019" w:rsidRDefault="00877CD8" w:rsidP="004970C5">
      <w:pPr>
        <w:spacing w:before="240" w:after="240" w:line="360" w:lineRule="auto"/>
        <w:ind w:firstLine="360"/>
        <w:jc w:val="both"/>
        <w:rPr>
          <w:rFonts w:ascii="Book Antiqua" w:hAnsi="Book Antiqua"/>
          <w:sz w:val="24"/>
          <w:szCs w:val="24"/>
          <w:shd w:val="clear" w:color="auto" w:fill="FFFFFF"/>
        </w:rPr>
      </w:pPr>
      <w:r w:rsidRPr="005D6019">
        <w:rPr>
          <w:rFonts w:ascii="Book Antiqua" w:hAnsi="Book Antiqua"/>
          <w:sz w:val="24"/>
          <w:szCs w:val="24"/>
          <w:shd w:val="clear" w:color="auto" w:fill="FFFFFF"/>
        </w:rPr>
        <w:t>Second, private initiatives also create a cost and burden for the customers. The customers may overestimate their ability to control their subscription spending</w:t>
      </w:r>
      <w:r w:rsidRPr="005D6019">
        <w:rPr>
          <w:rStyle w:val="DipnotBavurusu"/>
          <w:rFonts w:ascii="Book Antiqua" w:hAnsi="Book Antiqua"/>
        </w:rPr>
        <w:footnoteReference w:id="86"/>
      </w:r>
      <w:r w:rsidRPr="005D6019">
        <w:rPr>
          <w:rFonts w:ascii="Book Antiqua" w:hAnsi="Book Antiqua"/>
          <w:sz w:val="24"/>
          <w:szCs w:val="24"/>
          <w:shd w:val="clear" w:color="auto" w:fill="FFFFFF"/>
        </w:rPr>
        <w:t xml:space="preserve"> and therefore don’t want to pay the fee for the private initiatives. Furthermore, the private initiatives may create more cost than the benefit they provide. For instance, another user left this comment about a private initiative on another review website: “They switched my phone plan to a more expensive one and charged me a “success fee” of over $600…”</w:t>
      </w:r>
      <w:r w:rsidRPr="005D6019">
        <w:rPr>
          <w:rStyle w:val="DipnotBavurusu"/>
          <w:rFonts w:ascii="Book Antiqua" w:hAnsi="Book Antiqua"/>
        </w:rPr>
        <w:footnoteReference w:id="87"/>
      </w:r>
      <w:r w:rsidRPr="005D6019">
        <w:rPr>
          <w:rFonts w:ascii="Book Antiqua" w:hAnsi="Book Antiqua"/>
          <w:sz w:val="24"/>
          <w:szCs w:val="24"/>
          <w:shd w:val="clear" w:color="auto" w:fill="FFFFFF"/>
        </w:rPr>
        <w:t xml:space="preserve"> </w:t>
      </w:r>
    </w:p>
    <w:p w14:paraId="736FADC9" w14:textId="77777777" w:rsidR="00877CD8" w:rsidRPr="005D6019" w:rsidRDefault="00877CD8" w:rsidP="004970C5">
      <w:pPr>
        <w:spacing w:before="240" w:after="240" w:line="360" w:lineRule="auto"/>
        <w:ind w:firstLine="360"/>
        <w:jc w:val="both"/>
        <w:rPr>
          <w:rFonts w:ascii="Book Antiqua" w:hAnsi="Book Antiqua"/>
          <w:sz w:val="24"/>
          <w:szCs w:val="24"/>
          <w:shd w:val="clear" w:color="auto" w:fill="FFFFFF"/>
        </w:rPr>
      </w:pPr>
      <w:r w:rsidRPr="005D6019">
        <w:rPr>
          <w:rFonts w:ascii="Book Antiqua" w:hAnsi="Book Antiqua"/>
          <w:sz w:val="24"/>
          <w:szCs w:val="24"/>
          <w:shd w:val="clear" w:color="auto" w:fill="FFFFFF"/>
        </w:rPr>
        <w:t xml:space="preserve">Finally, these services may not reach all customers. If they don’t invest heavily in advertising, a small fraction of the customers may learn about them. If they do invest, they must increase their fees to make up for advertisements which in turn creates more cost to the customers. Therefore, the market may not create a cost-efficient reminder service on its own.  </w:t>
      </w:r>
    </w:p>
    <w:p w14:paraId="1E6AF813" w14:textId="45089AD4" w:rsidR="00877CD8" w:rsidRPr="005D6019" w:rsidRDefault="00877CD8" w:rsidP="004970C5">
      <w:pPr>
        <w:spacing w:before="240" w:after="240" w:line="360" w:lineRule="auto"/>
        <w:ind w:firstLine="360"/>
        <w:jc w:val="both"/>
        <w:rPr>
          <w:rFonts w:ascii="Book Antiqua" w:hAnsi="Book Antiqua"/>
          <w:sz w:val="24"/>
          <w:szCs w:val="24"/>
        </w:rPr>
      </w:pPr>
      <w:r w:rsidRPr="005D6019">
        <w:rPr>
          <w:rFonts w:ascii="Book Antiqua" w:hAnsi="Book Antiqua"/>
          <w:sz w:val="24"/>
          <w:szCs w:val="24"/>
        </w:rPr>
        <w:t xml:space="preserve">Another possible question might be why the competitor firms don’t remind the customers about their inefficient subscriptions. Other firms that </w:t>
      </w:r>
      <w:r w:rsidRPr="005D6019">
        <w:rPr>
          <w:rFonts w:ascii="Book Antiqua" w:hAnsi="Book Antiqua"/>
          <w:sz w:val="24"/>
          <w:szCs w:val="24"/>
        </w:rPr>
        <w:lastRenderedPageBreak/>
        <w:t>offer similar subscription services can poke the customers out of inertia. But they either don’t do it at all or don</w:t>
      </w:r>
      <w:r w:rsidR="00D71E2B">
        <w:rPr>
          <w:rFonts w:ascii="Book Antiqua" w:hAnsi="Book Antiqua"/>
          <w:sz w:val="24"/>
          <w:szCs w:val="24"/>
        </w:rPr>
        <w:t>’</w:t>
      </w:r>
      <w:r w:rsidRPr="005D6019">
        <w:rPr>
          <w:rFonts w:ascii="Book Antiqua" w:hAnsi="Book Antiqua"/>
          <w:sz w:val="24"/>
          <w:szCs w:val="24"/>
        </w:rPr>
        <w:t xml:space="preserve">t </w:t>
      </w:r>
      <w:r w:rsidR="00D71E2B">
        <w:rPr>
          <w:rFonts w:ascii="Book Antiqua" w:hAnsi="Book Antiqua"/>
          <w:sz w:val="24"/>
          <w:szCs w:val="24"/>
        </w:rPr>
        <w:t xml:space="preserve">do it </w:t>
      </w:r>
      <w:r w:rsidRPr="005D6019">
        <w:rPr>
          <w:rFonts w:ascii="Book Antiqua" w:hAnsi="Book Antiqua"/>
          <w:sz w:val="24"/>
          <w:szCs w:val="24"/>
        </w:rPr>
        <w:t>enough so there are still inert customers. One reason may be the “curse of debiasing”.</w:t>
      </w:r>
      <w:r w:rsidRPr="005D6019">
        <w:rPr>
          <w:rStyle w:val="DipnotBavurusu"/>
          <w:rFonts w:ascii="Book Antiqua" w:hAnsi="Book Antiqua"/>
        </w:rPr>
        <w:footnoteReference w:id="88"/>
      </w:r>
      <w:r w:rsidRPr="005D6019">
        <w:rPr>
          <w:rFonts w:ascii="Book Antiqua" w:hAnsi="Book Antiqua"/>
          <w:sz w:val="24"/>
          <w:szCs w:val="24"/>
        </w:rPr>
        <w:t xml:space="preserve"> Customers may learn to control their subscriptions or start a habit of checking the subscriptions through repetitive reminders.</w:t>
      </w:r>
      <w:r w:rsidRPr="005D6019">
        <w:rPr>
          <w:rStyle w:val="DipnotBavurusu"/>
          <w:rFonts w:ascii="Book Antiqua" w:hAnsi="Book Antiqua"/>
        </w:rPr>
        <w:footnoteReference w:id="89"/>
      </w:r>
      <w:r w:rsidRPr="005D6019">
        <w:rPr>
          <w:rFonts w:ascii="Book Antiqua" w:hAnsi="Book Antiqua"/>
          <w:sz w:val="24"/>
          <w:szCs w:val="24"/>
        </w:rPr>
        <w:t xml:space="preserve"> Once they learn, they will not want to stay with the competitor company and leave for the optimal subscription. The competitor company may not collect the benefits or suffer from its reminding activities even though it suffers the reminding costs.</w:t>
      </w:r>
      <w:r w:rsidRPr="005D6019">
        <w:rPr>
          <w:rStyle w:val="DipnotBavurusu"/>
          <w:rFonts w:ascii="Book Antiqua" w:hAnsi="Book Antiqua"/>
        </w:rPr>
        <w:footnoteReference w:id="90"/>
      </w:r>
      <w:r w:rsidRPr="005D6019">
        <w:rPr>
          <w:rFonts w:ascii="Book Antiqua" w:hAnsi="Book Antiqua"/>
          <w:sz w:val="24"/>
          <w:szCs w:val="24"/>
        </w:rPr>
        <w:t xml:space="preserve"> </w:t>
      </w:r>
    </w:p>
    <w:p w14:paraId="08BBB4B7" w14:textId="77777777" w:rsidR="00877CD8" w:rsidRPr="005D6019" w:rsidRDefault="00877CD8" w:rsidP="004970C5">
      <w:pPr>
        <w:spacing w:before="240" w:after="240" w:line="360" w:lineRule="auto"/>
        <w:ind w:firstLine="360"/>
        <w:jc w:val="both"/>
        <w:rPr>
          <w:rFonts w:ascii="Book Antiqua" w:hAnsi="Book Antiqua"/>
          <w:sz w:val="24"/>
          <w:szCs w:val="24"/>
        </w:rPr>
      </w:pPr>
      <w:r w:rsidRPr="005D6019">
        <w:rPr>
          <w:rFonts w:ascii="Book Antiqua" w:hAnsi="Book Antiqua"/>
          <w:sz w:val="24"/>
          <w:szCs w:val="24"/>
        </w:rPr>
        <w:t>Another reason is that it may be hard and costly to reach the target customer. With more and more content to pay attention to, people tend to pay less and less attention to any content.</w:t>
      </w:r>
      <w:r w:rsidRPr="005D6019">
        <w:rPr>
          <w:rStyle w:val="DipnotBavurusu"/>
          <w:rFonts w:ascii="Book Antiqua" w:hAnsi="Book Antiqua"/>
          <w:sz w:val="24"/>
          <w:szCs w:val="24"/>
        </w:rPr>
        <w:footnoteReference w:id="91"/>
      </w:r>
      <w:r w:rsidRPr="005D6019">
        <w:rPr>
          <w:rFonts w:ascii="Book Antiqua" w:hAnsi="Book Antiqua"/>
          <w:sz w:val="24"/>
          <w:szCs w:val="24"/>
        </w:rPr>
        <w:t xml:space="preserve"> In milliseconds, competitors may not poke the customer out of inertia.  Also, customers may be biased against other firms’ advertisements and overlook the ads with selective perception.</w:t>
      </w:r>
      <w:r w:rsidRPr="005D6019">
        <w:rPr>
          <w:rStyle w:val="DipnotBavurusu"/>
          <w:rFonts w:ascii="Book Antiqua" w:hAnsi="Book Antiqua"/>
          <w:sz w:val="24"/>
          <w:szCs w:val="24"/>
        </w:rPr>
        <w:footnoteReference w:id="92"/>
      </w:r>
    </w:p>
    <w:p w14:paraId="241092B8" w14:textId="77777777" w:rsidR="00877CD8" w:rsidRPr="005D6019" w:rsidRDefault="00877CD8" w:rsidP="004970C5">
      <w:pPr>
        <w:autoSpaceDE w:val="0"/>
        <w:autoSpaceDN w:val="0"/>
        <w:adjustRightInd w:val="0"/>
        <w:spacing w:before="240" w:after="240" w:line="360" w:lineRule="auto"/>
        <w:ind w:firstLine="360"/>
        <w:jc w:val="both"/>
        <w:rPr>
          <w:rFonts w:ascii="Book Antiqua" w:hAnsi="Book Antiqua"/>
          <w:sz w:val="24"/>
          <w:szCs w:val="24"/>
        </w:rPr>
      </w:pPr>
      <w:r w:rsidRPr="005D6019">
        <w:rPr>
          <w:rFonts w:ascii="Book Antiqua" w:hAnsi="Book Antiqua"/>
          <w:sz w:val="24"/>
          <w:szCs w:val="24"/>
        </w:rPr>
        <w:t xml:space="preserve">Finally, the number of firms increasing, and the intensification of marketing activities may increase the offers from other firms. But that </w:t>
      </w:r>
      <w:r w:rsidRPr="005D6019">
        <w:rPr>
          <w:rFonts w:ascii="Book Antiqua" w:hAnsi="Book Antiqua"/>
          <w:sz w:val="24"/>
          <w:szCs w:val="24"/>
        </w:rPr>
        <w:lastRenderedPageBreak/>
        <w:t>doesn’t necessarily reduce inertia. On the contrary, more offers can increase inertia by facilitating customer procrastination.</w:t>
      </w:r>
      <w:r w:rsidRPr="005D6019">
        <w:rPr>
          <w:rStyle w:val="DipnotBavurusu"/>
          <w:rFonts w:ascii="Book Antiqua" w:hAnsi="Book Antiqua"/>
        </w:rPr>
        <w:footnoteReference w:id="93"/>
      </w:r>
      <w:r w:rsidRPr="005D6019">
        <w:rPr>
          <w:rFonts w:ascii="Book Antiqua" w:hAnsi="Book Antiqua"/>
          <w:sz w:val="24"/>
          <w:szCs w:val="24"/>
        </w:rPr>
        <w:t xml:space="preserve"> </w:t>
      </w:r>
    </w:p>
    <w:p w14:paraId="27C41B70" w14:textId="2F702A7B" w:rsidR="00DF72A2" w:rsidRPr="005D6019" w:rsidRDefault="007A2191" w:rsidP="005D6019">
      <w:pPr>
        <w:pStyle w:val="Balk1"/>
      </w:pPr>
      <w:bookmarkStart w:id="6" w:name="_Toc71407372"/>
      <w:r w:rsidRPr="005D6019">
        <w:t>Conclusion</w:t>
      </w:r>
      <w:bookmarkEnd w:id="6"/>
    </w:p>
    <w:p w14:paraId="0FA00BC3" w14:textId="26ABEC7F" w:rsidR="00E14417" w:rsidRDefault="004970C5" w:rsidP="00E14417">
      <w:pPr>
        <w:pStyle w:val="HTMLncedenBiimlendirilmi"/>
        <w:shd w:val="clear" w:color="auto" w:fill="FFFFFF"/>
        <w:tabs>
          <w:tab w:val="clear" w:pos="916"/>
          <w:tab w:val="left" w:pos="709"/>
        </w:tabs>
        <w:spacing w:before="240" w:after="240" w:line="360" w:lineRule="auto"/>
        <w:jc w:val="both"/>
        <w:rPr>
          <w:rFonts w:ascii="Book Antiqua" w:hAnsi="Book Antiqua"/>
          <w:spacing w:val="3"/>
          <w:sz w:val="24"/>
          <w:szCs w:val="24"/>
          <w:shd w:val="clear" w:color="auto" w:fill="FFFFFF"/>
        </w:rPr>
      </w:pPr>
      <w:r>
        <w:rPr>
          <w:rFonts w:ascii="Book Antiqua" w:hAnsi="Book Antiqua"/>
          <w:sz w:val="24"/>
          <w:szCs w:val="24"/>
        </w:rPr>
        <w:tab/>
      </w:r>
      <w:r w:rsidR="00DC008A" w:rsidRPr="005D6019">
        <w:rPr>
          <w:rFonts w:ascii="Book Antiqua" w:hAnsi="Book Antiqua"/>
          <w:sz w:val="24"/>
          <w:szCs w:val="24"/>
        </w:rPr>
        <w:t xml:space="preserve">This study aims to point out inertia in </w:t>
      </w:r>
      <w:r w:rsidR="00507667">
        <w:rPr>
          <w:rFonts w:ascii="Book Antiqua" w:hAnsi="Book Antiqua"/>
          <w:sz w:val="24"/>
          <w:szCs w:val="24"/>
        </w:rPr>
        <w:t>monthly</w:t>
      </w:r>
      <w:r w:rsidR="00E6374C">
        <w:rPr>
          <w:rFonts w:ascii="Book Antiqua" w:hAnsi="Book Antiqua"/>
          <w:sz w:val="24"/>
          <w:szCs w:val="24"/>
        </w:rPr>
        <w:t xml:space="preserve"> subscriptions </w:t>
      </w:r>
      <w:r w:rsidR="00DC008A" w:rsidRPr="005D6019">
        <w:rPr>
          <w:rFonts w:ascii="Book Antiqua" w:hAnsi="Book Antiqua"/>
          <w:sz w:val="24"/>
          <w:szCs w:val="24"/>
        </w:rPr>
        <w:t>and provide a</w:t>
      </w:r>
      <w:r w:rsidR="00E6374C">
        <w:rPr>
          <w:rFonts w:ascii="Book Antiqua" w:hAnsi="Book Antiqua"/>
          <w:sz w:val="24"/>
          <w:szCs w:val="24"/>
        </w:rPr>
        <w:t xml:space="preserve"> state</w:t>
      </w:r>
      <w:r w:rsidR="00507667">
        <w:rPr>
          <w:rFonts w:ascii="Book Antiqua" w:hAnsi="Book Antiqua"/>
          <w:sz w:val="24"/>
          <w:szCs w:val="24"/>
        </w:rPr>
        <w:t>-</w:t>
      </w:r>
      <w:r w:rsidR="00E6374C">
        <w:rPr>
          <w:rFonts w:ascii="Book Antiqua" w:hAnsi="Book Antiqua"/>
          <w:sz w:val="24"/>
          <w:szCs w:val="24"/>
        </w:rPr>
        <w:t>enforced service provider conducted reminder mechanism as a solution</w:t>
      </w:r>
      <w:r w:rsidR="00DC008A" w:rsidRPr="005D6019">
        <w:rPr>
          <w:rFonts w:ascii="Book Antiqua" w:hAnsi="Book Antiqua"/>
          <w:sz w:val="24"/>
          <w:szCs w:val="24"/>
        </w:rPr>
        <w:t xml:space="preserve">. Currently, regulators are trying to address the </w:t>
      </w:r>
      <w:r w:rsidR="00E6374C">
        <w:rPr>
          <w:rFonts w:ascii="Book Antiqua" w:hAnsi="Book Antiqua"/>
          <w:sz w:val="24"/>
          <w:szCs w:val="24"/>
        </w:rPr>
        <w:t>inertia problem</w:t>
      </w:r>
      <w:r w:rsidR="00DC008A" w:rsidRPr="005D6019">
        <w:rPr>
          <w:rFonts w:ascii="Book Antiqua" w:hAnsi="Book Antiqua"/>
          <w:sz w:val="24"/>
          <w:szCs w:val="24"/>
        </w:rPr>
        <w:t xml:space="preserve"> with Automatic Renewal Laws (ARL).</w:t>
      </w:r>
      <w:r w:rsidR="00DC008A" w:rsidRPr="005D6019">
        <w:rPr>
          <w:rStyle w:val="DipnotBavurusu"/>
          <w:rFonts w:ascii="Book Antiqua" w:hAnsi="Book Antiqua"/>
        </w:rPr>
        <w:footnoteReference w:id="94"/>
      </w:r>
      <w:r w:rsidR="00DC008A" w:rsidRPr="005D6019">
        <w:rPr>
          <w:rFonts w:ascii="Book Antiqua" w:hAnsi="Book Antiqua"/>
          <w:sz w:val="24"/>
          <w:szCs w:val="24"/>
        </w:rPr>
        <w:t xml:space="preserve"> </w:t>
      </w:r>
      <w:r w:rsidR="00DC008A" w:rsidRPr="005D6019">
        <w:rPr>
          <w:rFonts w:ascii="Book Antiqua" w:hAnsi="Book Antiqua"/>
          <w:spacing w:val="3"/>
          <w:sz w:val="24"/>
          <w:szCs w:val="24"/>
          <w:shd w:val="clear" w:color="auto" w:fill="FFFFFF"/>
        </w:rPr>
        <w:t xml:space="preserve">But none of them </w:t>
      </w:r>
      <w:r w:rsidR="00E6374C">
        <w:rPr>
          <w:rFonts w:ascii="Book Antiqua" w:hAnsi="Book Antiqua"/>
          <w:spacing w:val="3"/>
          <w:sz w:val="24"/>
          <w:szCs w:val="24"/>
          <w:shd w:val="clear" w:color="auto" w:fill="FFFFFF"/>
        </w:rPr>
        <w:t xml:space="preserve">regulates subscription contracts </w:t>
      </w:r>
      <w:r w:rsidR="00507667">
        <w:rPr>
          <w:rFonts w:ascii="Book Antiqua" w:hAnsi="Book Antiqua"/>
          <w:spacing w:val="3"/>
          <w:sz w:val="24"/>
          <w:szCs w:val="24"/>
          <w:shd w:val="clear" w:color="auto" w:fill="FFFFFF"/>
        </w:rPr>
        <w:t>that have a contract period shorter than</w:t>
      </w:r>
      <w:r w:rsidR="00E6374C">
        <w:rPr>
          <w:rFonts w:ascii="Book Antiqua" w:hAnsi="Book Antiqua"/>
          <w:spacing w:val="3"/>
          <w:sz w:val="24"/>
          <w:szCs w:val="24"/>
          <w:shd w:val="clear" w:color="auto" w:fill="FFFFFF"/>
        </w:rPr>
        <w:t xml:space="preserve"> six months</w:t>
      </w:r>
      <w:r w:rsidR="00507667">
        <w:rPr>
          <w:rFonts w:ascii="Book Antiqua" w:hAnsi="Book Antiqua"/>
          <w:spacing w:val="3"/>
          <w:sz w:val="24"/>
          <w:szCs w:val="24"/>
          <w:shd w:val="clear" w:color="auto" w:fill="FFFFFF"/>
        </w:rPr>
        <w:t>.</w:t>
      </w:r>
      <w:r w:rsidR="00E6374C">
        <w:rPr>
          <w:rStyle w:val="DipnotBavurusu"/>
          <w:rFonts w:ascii="Book Antiqua" w:hAnsi="Book Antiqua"/>
          <w:spacing w:val="3"/>
          <w:sz w:val="24"/>
          <w:szCs w:val="24"/>
          <w:shd w:val="clear" w:color="auto" w:fill="FFFFFF"/>
        </w:rPr>
        <w:footnoteReference w:id="95"/>
      </w:r>
      <w:r w:rsidR="00507667">
        <w:rPr>
          <w:rFonts w:ascii="Book Antiqua" w:hAnsi="Book Antiqua"/>
          <w:spacing w:val="3"/>
          <w:sz w:val="24"/>
          <w:szCs w:val="24"/>
          <w:shd w:val="clear" w:color="auto" w:fill="FFFFFF"/>
        </w:rPr>
        <w:t xml:space="preserve"> </w:t>
      </w:r>
      <w:r w:rsidR="00DC008A">
        <w:rPr>
          <w:rFonts w:ascii="Book Antiqua" w:hAnsi="Book Antiqua"/>
          <w:spacing w:val="3"/>
          <w:sz w:val="24"/>
          <w:szCs w:val="24"/>
          <w:shd w:val="clear" w:color="auto" w:fill="FFFFFF"/>
        </w:rPr>
        <w:t xml:space="preserve">To identify the inert customer behavior in </w:t>
      </w:r>
      <w:r w:rsidR="00507667">
        <w:rPr>
          <w:rFonts w:ascii="Book Antiqua" w:hAnsi="Book Antiqua"/>
          <w:spacing w:val="3"/>
          <w:sz w:val="24"/>
          <w:szCs w:val="24"/>
          <w:shd w:val="clear" w:color="auto" w:fill="FFFFFF"/>
        </w:rPr>
        <w:t>monthly subscription contracts</w:t>
      </w:r>
      <w:r w:rsidR="00DC008A">
        <w:rPr>
          <w:rFonts w:ascii="Book Antiqua" w:hAnsi="Book Antiqua"/>
          <w:spacing w:val="3"/>
          <w:sz w:val="24"/>
          <w:szCs w:val="24"/>
          <w:shd w:val="clear" w:color="auto" w:fill="FFFFFF"/>
        </w:rPr>
        <w:t>, t</w:t>
      </w:r>
      <w:r w:rsidR="00507667">
        <w:rPr>
          <w:rFonts w:ascii="Book Antiqua" w:hAnsi="Book Antiqua"/>
          <w:spacing w:val="3"/>
          <w:sz w:val="24"/>
          <w:szCs w:val="24"/>
          <w:shd w:val="clear" w:color="auto" w:fill="FFFFFF"/>
        </w:rPr>
        <w:t xml:space="preserve">his study examines </w:t>
      </w:r>
      <w:r w:rsidR="00E14417">
        <w:rPr>
          <w:rFonts w:ascii="Book Antiqua" w:hAnsi="Book Antiqua"/>
          <w:spacing w:val="3"/>
          <w:sz w:val="24"/>
          <w:szCs w:val="24"/>
          <w:shd w:val="clear" w:color="auto" w:fill="FFFFFF"/>
        </w:rPr>
        <w:t xml:space="preserve">the </w:t>
      </w:r>
      <w:r w:rsidR="00DC008A">
        <w:rPr>
          <w:rFonts w:ascii="Book Antiqua" w:hAnsi="Book Antiqua"/>
          <w:spacing w:val="3"/>
          <w:sz w:val="24"/>
          <w:szCs w:val="24"/>
          <w:shd w:val="clear" w:color="auto" w:fill="FFFFFF"/>
        </w:rPr>
        <w:t xml:space="preserve">wireless </w:t>
      </w:r>
      <w:r w:rsidR="00507667">
        <w:rPr>
          <w:rFonts w:ascii="Book Antiqua" w:hAnsi="Book Antiqua"/>
          <w:spacing w:val="3"/>
          <w:sz w:val="24"/>
          <w:szCs w:val="24"/>
          <w:shd w:val="clear" w:color="auto" w:fill="FFFFFF"/>
        </w:rPr>
        <w:t xml:space="preserve">phone line </w:t>
      </w:r>
      <w:r w:rsidR="00DC008A">
        <w:rPr>
          <w:rFonts w:ascii="Book Antiqua" w:hAnsi="Book Antiqua"/>
          <w:spacing w:val="3"/>
          <w:sz w:val="24"/>
          <w:szCs w:val="24"/>
          <w:shd w:val="clear" w:color="auto" w:fill="FFFFFF"/>
        </w:rPr>
        <w:t>service industry</w:t>
      </w:r>
      <w:r w:rsidR="00E14417">
        <w:rPr>
          <w:rFonts w:ascii="Book Antiqua" w:hAnsi="Book Antiqua"/>
          <w:spacing w:val="3"/>
          <w:sz w:val="24"/>
          <w:szCs w:val="24"/>
          <w:shd w:val="clear" w:color="auto" w:fill="FFFFFF"/>
        </w:rPr>
        <w:t xml:space="preserve"> and</w:t>
      </w:r>
      <w:r w:rsidR="00507667">
        <w:rPr>
          <w:rFonts w:ascii="Book Antiqua" w:hAnsi="Book Antiqua"/>
          <w:spacing w:val="3"/>
          <w:sz w:val="24"/>
          <w:szCs w:val="24"/>
          <w:shd w:val="clear" w:color="auto" w:fill="FFFFFF"/>
        </w:rPr>
        <w:t xml:space="preserve"> finds around seventy percent </w:t>
      </w:r>
      <w:r w:rsidR="00DC008A">
        <w:rPr>
          <w:rFonts w:ascii="Book Antiqua" w:hAnsi="Book Antiqua"/>
          <w:spacing w:val="3"/>
          <w:sz w:val="24"/>
          <w:szCs w:val="24"/>
          <w:shd w:val="clear" w:color="auto" w:fill="FFFFFF"/>
        </w:rPr>
        <w:t xml:space="preserve">of the participants were </w:t>
      </w:r>
      <w:r w:rsidR="00507667">
        <w:rPr>
          <w:rFonts w:ascii="Book Antiqua" w:hAnsi="Book Antiqua"/>
          <w:spacing w:val="3"/>
          <w:sz w:val="24"/>
          <w:szCs w:val="24"/>
          <w:shd w:val="clear" w:color="auto" w:fill="FFFFFF"/>
        </w:rPr>
        <w:t xml:space="preserve">in </w:t>
      </w:r>
      <w:r w:rsidR="00E14417">
        <w:rPr>
          <w:rFonts w:ascii="Book Antiqua" w:hAnsi="Book Antiqua"/>
          <w:spacing w:val="3"/>
          <w:sz w:val="24"/>
          <w:szCs w:val="24"/>
          <w:shd w:val="clear" w:color="auto" w:fill="FFFFFF"/>
        </w:rPr>
        <w:t>inertia</w:t>
      </w:r>
      <w:r w:rsidR="00DC008A">
        <w:rPr>
          <w:rFonts w:ascii="Book Antiqua" w:hAnsi="Book Antiqua"/>
          <w:spacing w:val="3"/>
          <w:sz w:val="24"/>
          <w:szCs w:val="24"/>
          <w:shd w:val="clear" w:color="auto" w:fill="FFFFFF"/>
        </w:rPr>
        <w:t xml:space="preserve">. </w:t>
      </w:r>
    </w:p>
    <w:p w14:paraId="53700A7C" w14:textId="63763495" w:rsidR="005D6019" w:rsidRPr="005D6019" w:rsidRDefault="00E14417" w:rsidP="00DC008A">
      <w:pPr>
        <w:pStyle w:val="HTMLncedenBiimlendirilmi"/>
        <w:shd w:val="clear" w:color="auto" w:fill="FFFFFF"/>
        <w:tabs>
          <w:tab w:val="clear" w:pos="916"/>
          <w:tab w:val="left" w:pos="709"/>
        </w:tabs>
        <w:spacing w:before="240" w:after="240" w:line="360" w:lineRule="auto"/>
        <w:jc w:val="both"/>
        <w:rPr>
          <w:rFonts w:ascii="Book Antiqua" w:hAnsi="Book Antiqua"/>
          <w:spacing w:val="3"/>
          <w:sz w:val="24"/>
          <w:szCs w:val="24"/>
          <w:shd w:val="clear" w:color="auto" w:fill="FFFFFF"/>
        </w:rPr>
      </w:pPr>
      <w:r>
        <w:rPr>
          <w:rFonts w:ascii="Book Antiqua" w:hAnsi="Book Antiqua"/>
          <w:spacing w:val="3"/>
          <w:sz w:val="24"/>
          <w:szCs w:val="24"/>
          <w:shd w:val="clear" w:color="auto" w:fill="FFFFFF"/>
        </w:rPr>
        <w:tab/>
      </w:r>
      <w:r>
        <w:rPr>
          <w:rFonts w:ascii="Book Antiqua" w:hAnsi="Book Antiqua"/>
          <w:sz w:val="24"/>
          <w:szCs w:val="24"/>
        </w:rPr>
        <w:t>Drawing on the marketing literature</w:t>
      </w:r>
      <w:r>
        <w:rPr>
          <w:rStyle w:val="DipnotBavurusu"/>
          <w:rFonts w:ascii="Book Antiqua" w:hAnsi="Book Antiqua"/>
          <w:sz w:val="24"/>
          <w:szCs w:val="24"/>
        </w:rPr>
        <w:footnoteReference w:id="96"/>
      </w:r>
      <w:r>
        <w:rPr>
          <w:rFonts w:ascii="Book Antiqua" w:hAnsi="Book Antiqua"/>
          <w:sz w:val="24"/>
          <w:szCs w:val="24"/>
        </w:rPr>
        <w:t xml:space="preserve">, this study proposes a reminding mechanism to mobilize the inert customers </w:t>
      </w:r>
      <w:r>
        <w:rPr>
          <w:rFonts w:ascii="Book Antiqua" w:hAnsi="Book Antiqua"/>
          <w:sz w:val="24"/>
          <w:szCs w:val="24"/>
        </w:rPr>
        <w:t>but doesn’t answer the following questions</w:t>
      </w:r>
      <w:r>
        <w:rPr>
          <w:rFonts w:ascii="Book Antiqua" w:hAnsi="Book Antiqua"/>
          <w:sz w:val="24"/>
          <w:szCs w:val="24"/>
        </w:rPr>
        <w:t>.</w:t>
      </w:r>
      <w:r>
        <w:rPr>
          <w:rFonts w:ascii="Book Antiqua" w:hAnsi="Book Antiqua"/>
          <w:sz w:val="24"/>
          <w:szCs w:val="24"/>
        </w:rPr>
        <w:t xml:space="preserve"> </w:t>
      </w:r>
      <w:r>
        <w:rPr>
          <w:rFonts w:ascii="Book Antiqua" w:hAnsi="Book Antiqua"/>
          <w:spacing w:val="3"/>
          <w:sz w:val="24"/>
          <w:szCs w:val="24"/>
          <w:shd w:val="clear" w:color="auto" w:fill="FFFFFF"/>
        </w:rPr>
        <w:t xml:space="preserve">What type of reminders does work best? Should they be text messages or physical mails? What should the reminder message include? Does the monthly cost enough or should it also include yearly cost and total cost? Should it mention other alternatives on the market? When is the ideal time for a reminder in an ongoing monthly subscription? Is it every month or every six months? Although the literature suggests reminders work, it doesn’t give clear information </w:t>
      </w:r>
      <w:r>
        <w:rPr>
          <w:rFonts w:ascii="Book Antiqua" w:hAnsi="Book Antiqua"/>
          <w:spacing w:val="3"/>
          <w:sz w:val="24"/>
          <w:szCs w:val="24"/>
          <w:shd w:val="clear" w:color="auto" w:fill="FFFFFF"/>
        </w:rPr>
        <w:lastRenderedPageBreak/>
        <w:t>about the optimal design of them in a subscription setting. Therefore, these questions are highlighted for future researchers to unravel.</w:t>
      </w:r>
    </w:p>
    <w:sectPr w:rsidR="005D6019" w:rsidRPr="005D6019" w:rsidSect="00FB57EF">
      <w:headerReference w:type="default" r:id="rId9"/>
      <w:footerReference w:type="default" r:id="rId10"/>
      <w:pgSz w:w="12240" w:h="15840" w:code="1"/>
      <w:pgMar w:top="1440" w:right="2177" w:bottom="1440" w:left="217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182FA" w14:textId="77777777" w:rsidR="00870300" w:rsidRDefault="00870300">
      <w:pPr>
        <w:spacing w:line="240" w:lineRule="auto"/>
      </w:pPr>
      <w:r>
        <w:separator/>
      </w:r>
    </w:p>
  </w:endnote>
  <w:endnote w:type="continuationSeparator" w:id="0">
    <w:p w14:paraId="70D40F15" w14:textId="77777777" w:rsidR="00870300" w:rsidRDefault="008703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Book Antiqua">
    <w:panose1 w:val="02040602050305030304"/>
    <w:charset w:val="A2"/>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ourier New">
    <w:panose1 w:val="02070309020205020404"/>
    <w:charset w:val="A2"/>
    <w:family w:val="modern"/>
    <w:pitch w:val="fixed"/>
    <w:sig w:usb0="E0002EFF" w:usb1="C0007843" w:usb2="00000009" w:usb3="00000000" w:csb0="000001FF" w:csb1="00000000"/>
  </w:font>
  <w:font w:name="HOOCB J+ Gulliver">
    <w:altName w:val="Cambria"/>
    <w:charset w:val="00"/>
    <w:family w:val="roman"/>
    <w:pitch w:val="default"/>
    <w:sig w:usb0="00000000"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Knowledge-Light">
    <w:altName w:val="Calibri"/>
    <w:panose1 w:val="00000000000000000000"/>
    <w:charset w:val="A2"/>
    <w:family w:val="swiss"/>
    <w:notTrueType/>
    <w:pitch w:val="default"/>
    <w:sig w:usb0="00000005" w:usb1="00000000" w:usb2="00000000" w:usb3="00000000" w:csb0="00000010" w:csb1="00000000"/>
  </w:font>
  <w:font w:name="DengXian">
    <w:altName w:val="等线"/>
    <w:panose1 w:val="02010600030101010101"/>
    <w:charset w:val="86"/>
    <w:family w:val="auto"/>
    <w:pitch w:val="variable"/>
    <w:sig w:usb0="A00002BF" w:usb1="38CF7CFA" w:usb2="00000016" w:usb3="00000000" w:csb0="0004000F" w:csb1="00000000"/>
  </w:font>
  <w:font w:name="AdvTTa9c1b374">
    <w:altName w:val="Calibri"/>
    <w:charset w:val="00"/>
    <w:family w:val="swiss"/>
    <w:pitch w:val="default"/>
    <w:sig w:usb0="00000000" w:usb1="00000000" w:usb2="00000000" w:usb3="00000000" w:csb0="00000001" w:csb1="00000000"/>
  </w:font>
  <w:font w:name="AdvTTa9c1b374+20">
    <w:altName w:val="Calibri"/>
    <w:charset w:val="00"/>
    <w:family w:val="swiss"/>
    <w:pitch w:val="default"/>
    <w:sig w:usb0="00000000" w:usb1="00000000" w:usb2="00000000" w:usb3="00000000" w:csb0="00000001" w:csb1="00000000"/>
  </w:font>
  <w:font w:name="TimesNewRoman">
    <w:altName w:val="Times New Roman"/>
    <w:charset w:val="00"/>
    <w:family w:val="auto"/>
    <w:pitch w:val="default"/>
    <w:sig w:usb0="00000000" w:usb1="00000000" w:usb2="00000000" w:usb3="00000000" w:csb0="00000001" w:csb1="00000000"/>
  </w:font>
  <w:font w:name="Utopia-Regular">
    <w:altName w:val="Calibri"/>
    <w:charset w:val="00"/>
    <w:family w:val="auto"/>
    <w:pitch w:val="default"/>
    <w:sig w:usb0="00000000"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3626845"/>
      <w:docPartObj>
        <w:docPartGallery w:val="Page Numbers (Bottom of Page)"/>
        <w:docPartUnique/>
      </w:docPartObj>
    </w:sdtPr>
    <w:sdtEndPr/>
    <w:sdtContent>
      <w:p w14:paraId="60434154" w14:textId="764A1C24" w:rsidR="00EA18B1" w:rsidRDefault="00EA18B1">
        <w:pPr>
          <w:pStyle w:val="AltBilgi"/>
          <w:jc w:val="center"/>
        </w:pPr>
        <w:r>
          <w:fldChar w:fldCharType="begin"/>
        </w:r>
        <w:r>
          <w:instrText>PAGE   \* MERGEFORMAT</w:instrText>
        </w:r>
        <w:r>
          <w:fldChar w:fldCharType="separate"/>
        </w:r>
        <w:r>
          <w:rPr>
            <w:lang w:val="tr-TR"/>
          </w:rPr>
          <w:t>2</w:t>
        </w:r>
        <w:r>
          <w:fldChar w:fldCharType="end"/>
        </w:r>
      </w:p>
    </w:sdtContent>
  </w:sdt>
  <w:p w14:paraId="5D35C707" w14:textId="77777777" w:rsidR="00EA18B1" w:rsidRDefault="00EA18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8D602" w14:textId="77777777" w:rsidR="00870300" w:rsidRDefault="00870300">
      <w:pPr>
        <w:spacing w:after="0" w:line="240" w:lineRule="auto"/>
      </w:pPr>
      <w:r>
        <w:separator/>
      </w:r>
    </w:p>
  </w:footnote>
  <w:footnote w:type="continuationSeparator" w:id="0">
    <w:p w14:paraId="16FEAE3E" w14:textId="77777777" w:rsidR="00870300" w:rsidRDefault="00870300">
      <w:pPr>
        <w:spacing w:after="0" w:line="240" w:lineRule="auto"/>
      </w:pPr>
      <w:r>
        <w:continuationSeparator/>
      </w:r>
    </w:p>
  </w:footnote>
  <w:footnote w:id="1">
    <w:p w14:paraId="30276BB7" w14:textId="434D82CC"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For example, a consumer may assume that he would exercise regularly in the gym while signing up. However, he may end up not attending at all. At that point, a rational customer is expected to cancel the subscription.</w:t>
      </w:r>
    </w:p>
  </w:footnote>
  <w:footnote w:id="2">
    <w:p w14:paraId="2E086221" w14:textId="4F36E3EF"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There are other definitions in the literature for customer’s inertia. But in terms of this study, the definition is adapted from following work with minor changes: </w:t>
      </w:r>
      <w:r w:rsidRPr="00507667">
        <w:rPr>
          <w:rFonts w:ascii="Book Antiqua" w:hAnsi="Book Antiqua"/>
        </w:rPr>
        <w:fldChar w:fldCharType="begin"/>
      </w:r>
      <w:r w:rsidRPr="00507667">
        <w:rPr>
          <w:rFonts w:ascii="Book Antiqua" w:hAnsi="Book Antiqua"/>
        </w:rPr>
        <w:instrText xml:space="preserve"> ADDIN ZOTERO_ITEM CSL_CITATION {"citationID":"Ri12q3zY","properties":{"formattedCitation":"David M. Gray et al., \\uc0\\u8220{}Inertia in Services: Causes and Consequences for Switching,\\uc0\\u8221{} {\\i{}Journal of Services Marketing} 31, no. 6 (January 1, 2017): 485\\uc0\\u8211{}98, https://doi.org/10.1108/JSM-12-2014-0408.","plainCitation":"David M. Gray et al., “Inertia in Services: Causes and Consequences for Switching,” Journal of Services Marketing 31, no. 6 (January 1, 2017): 485–98, https://doi.org/10.1108/JSM-12-2014-0408.","noteIndex":2},"citationItems":[{"id":521,"uris":["http://zotero.org/users/local/1X64eMx4/items/4QTPYKIR"],"uri":["http://zotero.org/users/local/1X64eMx4/items/4QTPYKIR"],"itemData":{"id":521,"type":"article-journal","abstract":"Purpose This paper aims to examine the antecedents of customer inertia (i.e. knowledge, confusion, perceptions of competitor similarity and switching costs) and their relationship to customer satisfaction, service providers’ switching intentions and actual switching behavior. Customer inertia is said to reduce the incidence of service provider switching; however, little is known about the antecedent drivers of inertia. Design/methodology/approach The conceptual model was tested by a longitudinal/discontinuous panel design using an online survey research of 1055 adult (i.e. +18 years old) subscribers to cell phone services. Partial least squares (PLS) path modeling was used to simultaneously estimate both the measurement and structural components of the model to determine the nature of the relationships between the variables. Findings Findings of the PLS structural model provide support for the direct relationship between customer inertia and its antecedents (i.e. knowledge, confusion, perceptions of competitor similarity and switching costs). The results show that customer inertia has a moderate negative effect on the intention to change service providers but had no measurable effect on the actual behavior of changing service providers, other than indirectly, by influencing the perception of difficulty in switching some 11 months later. Further results from an analysis of indirect pathways of the antecedents to inertia show that switching costs are the only variable which indirectly reduce intentions to change service providers. The results also show that the effect of satisfaction on switching service providers is partially moderated by inertia. Importantly, these relationships are reasonably robust given past switching behavior and contract status of consumers. Research limitations/implications The authors find evidence which explains some of the causes of inertia, and show that it has both direct and moderating effects on service provider switching intentions, though not necessarily the behavior of changing service providers. However, support was found for its indirect role through intent as an influence on switching behavior. Importantly, the authors find that inertia has lingering effects, in that it influences the perception of switching difficulties and, hence, behavior up to 11 months in the future. Practical implications Managerial implications are that service firms can profit from customer inertia through a reduction in churn. However, high levels of customer inertia over the longer term may increase the level of customer vulnerability to competitor offers and marketing activities, as satisfaction with the provider does not in itself explain switching intentions or behavior. Originality/value This study is the first study to contribute to an understanding of the antecedent drivers of customer inertia with respect to service provider switching and to empirically evaluate a variety of antecedent factors that potentially affect switching intentions. Importantly, the long lasting latent effect of inertia in indirectly influencing service switching behavior was found to persist some 11 months later.","container-title":"Journal of Services Marketing","DOI":"10.1108/JSM-12-2014-0408","ISSN":"0887-6045","issue":"6","note":"publisher: Emerald Publishing Limited","page":"485-498","source":"Emerald Insight","title":"Inertia in services: causes and consequences for switching","title-short":"Inertia in services","volume":"31","author":[{"family":"Gray","given":"David M."},{"family":"D’Alessandro","given":"Steven"},{"family":"Johnson","given":"Lester W."},{"family":"Carter","given":"Leanne"}],"issued":{"date-parts":[["2017",1,1]]}}}],"schema":"https://github.com/citation-style-language/schema/raw/master/csl-citation.json"}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David M. Gray et al., “Inertia in Services: Causes and Consequences for Switching,” </w:t>
      </w:r>
      <w:r w:rsidRPr="00507667">
        <w:rPr>
          <w:rFonts w:ascii="Book Antiqua" w:hAnsi="Book Antiqua" w:cs="Calibri"/>
          <w:i/>
          <w:iCs/>
        </w:rPr>
        <w:t>Journal of Services Marketing</w:t>
      </w:r>
      <w:r w:rsidRPr="00507667">
        <w:rPr>
          <w:rFonts w:ascii="Book Antiqua" w:hAnsi="Book Antiqua" w:cs="Calibri"/>
        </w:rPr>
        <w:t xml:space="preserve"> 31, no. 6 (January 1, 2017): 485–98, https://doi.org/10.1108/JSM-12-2014-0408.</w:t>
      </w:r>
      <w:r w:rsidRPr="00507667">
        <w:rPr>
          <w:rFonts w:ascii="Book Antiqua" w:hAnsi="Book Antiqua"/>
        </w:rPr>
        <w:fldChar w:fldCharType="end"/>
      </w:r>
      <w:r w:rsidRPr="00507667">
        <w:rPr>
          <w:rFonts w:ascii="Book Antiqua" w:hAnsi="Book Antiqua"/>
        </w:rPr>
        <w:t xml:space="preserve"> For a more comprehensive explanation, see Part II.  </w:t>
      </w:r>
    </w:p>
  </w:footnote>
  <w:footnote w:id="3">
    <w:p w14:paraId="654492C3" w14:textId="3872CC24" w:rsidR="00EA18B1" w:rsidRPr="00507667" w:rsidRDefault="00EA18B1">
      <w:pPr>
        <w:pStyle w:val="DipnotMetni"/>
        <w:rPr>
          <w:rFonts w:ascii="Book Antiqua" w:hAnsi="Book Antiqua"/>
          <w:lang w:val="tr-TR"/>
        </w:rPr>
      </w:pPr>
      <w:r w:rsidRPr="00507667">
        <w:rPr>
          <w:rStyle w:val="DipnotBavurusu"/>
          <w:rFonts w:ascii="Book Antiqua" w:hAnsi="Book Antiqua"/>
        </w:rPr>
        <w:footnoteRef/>
      </w:r>
      <w:r w:rsidRPr="00507667">
        <w:rPr>
          <w:rFonts w:ascii="Book Antiqua" w:hAnsi="Book Antiqua"/>
        </w:rPr>
        <w:t xml:space="preserve"> See, e.g., </w:t>
      </w:r>
      <w:r w:rsidRPr="00507667">
        <w:rPr>
          <w:rFonts w:ascii="Book Antiqua" w:hAnsi="Book Antiqua"/>
        </w:rPr>
        <w:fldChar w:fldCharType="begin"/>
      </w:r>
      <w:r w:rsidRPr="00507667">
        <w:rPr>
          <w:rFonts w:ascii="Book Antiqua" w:hAnsi="Book Antiqua"/>
        </w:rPr>
        <w:instrText xml:space="preserve"> ADDIN ZOTERO_ITEM CSL_CITATION {"citationID":"gE55JjQM","properties":{"formattedCitation":"Benjamin R. Handel, \\uc0\\u8220{}Adverse Selection and Inertia in Health Insurance Markets: When Nudging Hurts,\\uc0\\u8221{} {\\i{}American Economic Review} 103, no. 7 (December 2013): 2643\\uc0\\u8211{}82, https://doi.org/10.1257/aer.103.7.2643.","plainCitation":"Benjamin R. Handel, “Adverse Selection and Inertia in Health Insurance Markets: When Nudging Hurts,” American Economic Review 103, no. 7 (December 2013): 2643–82, https://doi.org/10.1257/aer.103.7.2643.","noteIndex":3},"citationItems":[{"id":289,"uris":["http://zotero.org/users/local/1X64eMx4/items/H4UBAMCH"],"uri":["http://zotero.org/users/local/1X64eMx4/items/H4UBAMCH"],"itemData":{"id":289,"type":"article-journal","abstract":"This paper investigates consumer inertia in health insurance markets,\nwhere adverse selection is a potential concern. We leverage a major\nchange to insurance provision that occurred at a large firm to\nidentify substantial inertia, and develop and estimate a choice model\nthat also quantifies risk preferences and ex ante health risk. We use\nthese estimates to study the impact of policies that nudge consumers\ntoward better decisions by reducing inertia. When aggregated,\nthese improved individual-level choices substantially exacerbate\nadverse selection in our setting, leading to an overall reduction in\nwelfare that doubles the existing welfare loss from adverse selection.","container-title":"American Economic Review","DOI":"10.1257/aer.103.7.2643","ISSN":"0002-8282","issue":"7","language":"en","page":"2643-2682","source":"www.aeaweb.org","title":"Adverse Selection and Inertia in Health Insurance Markets: When Nudging Hurts","title-short":"Adverse Selection and Inertia in Health Insurance Markets","volume":"103","author":[{"family":"Handel","given":"Benjamin R."}],"issued":{"date-parts":[["2013",12]]}}}],"schema":"https://github.com/citation-style-language/schema/raw/master/csl-citation.json"}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Benjamin R. Handel, “Adverse Selection and Inertia in Health Insurance Markets: When Nudging Hurts,” </w:t>
      </w:r>
      <w:r w:rsidRPr="00507667">
        <w:rPr>
          <w:rFonts w:ascii="Book Antiqua" w:hAnsi="Book Antiqua" w:cs="Calibri"/>
          <w:i/>
          <w:iCs/>
        </w:rPr>
        <w:t>American Economic Review</w:t>
      </w:r>
      <w:r w:rsidRPr="00507667">
        <w:rPr>
          <w:rFonts w:ascii="Book Antiqua" w:hAnsi="Book Antiqua" w:cs="Calibri"/>
        </w:rPr>
        <w:t xml:space="preserve"> 103, no. 7 (December 2013): 2643–82, https://doi.org/10.1257/aer.103.7.2643.</w:t>
      </w:r>
      <w:r w:rsidRPr="00507667">
        <w:rPr>
          <w:rFonts w:ascii="Book Antiqua" w:hAnsi="Book Antiqua"/>
        </w:rPr>
        <w:fldChar w:fldCharType="end"/>
      </w:r>
    </w:p>
  </w:footnote>
  <w:footnote w:id="4">
    <w:p w14:paraId="48F10CB8" w14:textId="627E2944" w:rsidR="005E6535" w:rsidRPr="005E6535" w:rsidRDefault="005E6535">
      <w:pPr>
        <w:pStyle w:val="DipnotMetni"/>
        <w:rPr>
          <w:lang w:val="tr-TR"/>
        </w:rPr>
      </w:pPr>
      <w:r>
        <w:rPr>
          <w:rStyle w:val="DipnotBavurusu"/>
        </w:rPr>
        <w:footnoteRef/>
      </w:r>
      <w:r>
        <w:t xml:space="preserve"> See, e.g., </w:t>
      </w:r>
      <w:r>
        <w:fldChar w:fldCharType="begin"/>
      </w:r>
      <w:r>
        <w:instrText xml:space="preserve"> ADDIN ZOTERO_ITEM CSL_CITATION {"citationID":"vQMEgdpT","properties":{"formattedCitation":"\\uc0\\u8220{}The Three Human Barriers To Digital Transformation,\\uc0\\u8221{} accessed May 23, 2021, https://www.forbes.com/sites/tendayiviki/2018/09/23/the-three-human-barriers-to-digital-transformation/?sh=33316036164b.","plainCitation":"“The Three Human Barriers To Digital Transformation,” accessed May 23, 2021, https://www.forbes.com/sites/tendayiviki/2018/09/23/the-three-human-barriers-to-digital-transformation/?sh=33316036164b.","noteIndex":4},"citationItems":[{"id":534,"uris":["http://zotero.org/users/local/1X64eMx4/items/4D22ZT43"],"uri":["http://zotero.org/users/local/1X64eMx4/items/4D22ZT43"],"itemData":{"id":534,"type":"webpage","title":"The Three Human Barriers To Digital Transformation","URL":"https://www.forbes.com/sites/tendayiviki/2018/09/23/the-three-human-barriers-to-digital-transformation/?sh=33316036164b","accessed":{"date-parts":[["2021",5,23]]}}}],"schema":"https://github.com/citation-style-language/schema/raw/master/csl-citation.json"} </w:instrText>
      </w:r>
      <w:r>
        <w:fldChar w:fldCharType="separate"/>
      </w:r>
      <w:r w:rsidRPr="005E6535">
        <w:rPr>
          <w:rFonts w:ascii="Calibri" w:hAnsi="Calibri" w:cs="Calibri"/>
          <w:szCs w:val="24"/>
        </w:rPr>
        <w:t>“The Three Human Barriers To Digital Transformation,” accessed May 23, 2021, https://www.forbes.com/sites/tendayiviki/2018/09/23/the-three-human-barriers-to-digital-transformation/?sh=33316036164b.</w:t>
      </w:r>
      <w:r>
        <w:fldChar w:fldCharType="end"/>
      </w:r>
    </w:p>
  </w:footnote>
  <w:footnote w:id="5">
    <w:p w14:paraId="6ACA4452" w14:textId="6D930DDD"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For example, in 2017, AT&amp;T was offering 10 GB data for $90 per month. See </w:t>
      </w:r>
      <w:r w:rsidRPr="00507667">
        <w:rPr>
          <w:rFonts w:ascii="Book Antiqua" w:hAnsi="Book Antiqua"/>
        </w:rPr>
        <w:fldChar w:fldCharType="begin"/>
      </w:r>
      <w:r w:rsidR="005E6535">
        <w:rPr>
          <w:rFonts w:ascii="Book Antiqua" w:hAnsi="Book Antiqua"/>
        </w:rPr>
        <w:instrText xml:space="preserve"> ADDIN ZOTERO_ITEM CSL_CITATION {"citationID":"BFXkjv4z","properties":{"formattedCitation":"Jordan Golson, \\uc0\\u8220{}AT&amp;T Is Making Its Unlimited Plan Way More Competitive,\\uc0\\u8221{} The Verge, February 27, 2017, https://www.theverge.com/2017/2/27/14747420/att-new-unlimited-plan-tethering-competitive.","plainCitation":"Jordan Golson, “AT&amp;T Is Making Its Unlimited Plan Way More Competitive,” The Verge, February 27, 2017, https://www.theverge.com/2017/2/27/14747420/att-new-unlimited-plan-tethering-competitive.","noteIndex":5},"citationItems":[{"id":527,"uris":["http://zotero.org/users/local/1X64eMx4/items/ULZGZZUG"],"uri":["http://zotero.org/users/local/1X64eMx4/items/ULZGZZUG"],"itemData":{"id":527,"type":"webpage","abstract":"AT&amp;T is rolling out a new unlimited plan this week that addresses some of its competitive deficiencies against Verizon, T-Mobile, and Sprint. A few weeks ago, AT&amp;T joined the unlimited data party...","container-title":"The Verge","language":"en","title":"AT&amp;T is making its unlimited plan way more competitive","URL":"https://www.theverge.com/2017/2/27/14747420/att-new-unlimited-plan-tethering-competitive","author":[{"family":"Golson","given":"Jordan"}],"accessed":{"date-parts":[["2021",5,20]]},"issued":{"date-parts":[["2017",2,27]]}}}],"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Jordan Golson, “AT&amp;T Is Making Its Unlimited Plan Way More Competitive,” The Verge, February 27, 2017, https://www.theverge.com/2017/2/27/14747420/att-new-unlimited-plan-tethering-competitive.</w:t>
      </w:r>
      <w:r w:rsidRPr="00507667">
        <w:rPr>
          <w:rFonts w:ascii="Book Antiqua" w:hAnsi="Book Antiqua"/>
        </w:rPr>
        <w:fldChar w:fldCharType="end"/>
      </w:r>
      <w:r w:rsidRPr="00507667">
        <w:rPr>
          <w:rFonts w:ascii="Book Antiqua" w:hAnsi="Book Antiqua"/>
        </w:rPr>
        <w:t xml:space="preserve"> However, in May 2021, AT&amp;T offers 100 GB data for $85 per month. See </w:t>
      </w:r>
      <w:r w:rsidRPr="00507667">
        <w:rPr>
          <w:rFonts w:ascii="Book Antiqua" w:hAnsi="Book Antiqua"/>
        </w:rPr>
        <w:fldChar w:fldCharType="begin"/>
      </w:r>
      <w:r w:rsidR="005E6535">
        <w:rPr>
          <w:rFonts w:ascii="Book Antiqua" w:hAnsi="Book Antiqua"/>
        </w:rPr>
        <w:instrText xml:space="preserve"> ADDIN ZOTERO_ITEM CSL_CITATION {"citationID":"6I7NNN61","properties":{"formattedCitation":"\\uc0\\u8220{}AT&amp;T Wireless \\uc0\\u8211{} Latest Phones &amp; Best Wireless Plans,\\uc0\\u8221{} accessed May 20, 2021, https://www.att.com/plans/wireless/.","plainCitation":"“AT&amp;T Wireless – Latest Phones &amp; Best Wireless Plans,” accessed May 20, 2021, https://www.att.com/plans/wireless/.","noteIndex":5},"citationItems":[{"id":531,"uris":["http://zotero.org/users/local/1X64eMx4/items/46TSVJUK"],"uri":["http://zotero.org/users/local/1X64eMx4/items/46TSVJUK"],"itemData":{"id":531,"type":"webpage","title":"AT&amp;T Wireless – Latest Phones &amp; Best Wireless Plans","URL":"https://www.att.com/plans/wireless/","accessed":{"date-parts":[["2021",5,20]]}}}],"schema":"https://github.com/citation-style-language/schema/raw/master/csl-citation.json"}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“AT&amp;T Wireless – Latest Phones &amp; Best Wireless Plans,” accessed May 20, 2021, https://www.att.com/plans/wireless/.</w:t>
      </w:r>
      <w:r w:rsidRPr="00507667">
        <w:rPr>
          <w:rFonts w:ascii="Book Antiqua" w:hAnsi="Book Antiqua"/>
        </w:rPr>
        <w:fldChar w:fldCharType="end"/>
      </w:r>
    </w:p>
  </w:footnote>
  <w:footnote w:id="6">
    <w:p w14:paraId="08A3C262" w14:textId="6A754FB3"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According to a research company, 97% of Americans own a mobile phone. See </w:t>
      </w:r>
      <w:r w:rsidRPr="00507667">
        <w:rPr>
          <w:rFonts w:ascii="Book Antiqua" w:hAnsi="Book Antiqua"/>
        </w:rPr>
        <w:fldChar w:fldCharType="begin"/>
      </w:r>
      <w:r w:rsidR="005E6535">
        <w:rPr>
          <w:rFonts w:ascii="Book Antiqua" w:hAnsi="Book Antiqua"/>
        </w:rPr>
        <w:instrText xml:space="preserve"> ADDIN ZOTERO_ITEM CSL_CITATION {"citationID":"52TyqZff","properties":{"formattedCitation":"1615 L. St NW, Suite 800Washington, and DC 20036USA202-419-4300 | Main202-857-8562 | Fax202-419-4372 | Media Inquiries, \\uc0\\u8220{}Demographics of Mobile Device Ownership and Adoption in the United States,\\uc0\\u8221{} {\\i{}Pew Research Center: Internet, Science &amp; Tech} (blog), accessed February 25, 2021, https://www.pewresearch.org/internet/fact-sheet/mobile/.","plainCitation":"1615 L. St NW, Suite 800Washington, and DC 20036USA202-419-4300 | Main202-857-8562 | Fax202-419-4372 | Media Inquiries, “Demographics of Mobile Device Ownership and Adoption in the United States,” Pew Research Center: Internet, Science &amp; Tech (blog), accessed February 25, 2021, https://www.pewresearch.org/internet/fact-sheet/mobile/.","dontUpdate":true,"noteIndex":6},"citationItems":[{"id":145,"uris":["http://zotero.org/users/local/1X64eMx4/items/LVT267SN"],"uri":["http://zotero.org/users/local/1X64eMx4/items/LVT267SN"],"itemData":{"id":145,"type":"post-weblog","abstract":"Americans today are increasingly connected to the world of digital information while “on the go” via smartphones, tablets and other mobile devices. Explore the latest patterns, trends and statistics that have shaped the mobile revolution.","container-title":"Pew Research Center: Internet, Science &amp; Tech","language":"en-US","title":"Demographics of Mobile Device Ownership and Adoption in the United States","URL":"https://www.pewresearch.org/internet/fact-sheet/mobile/","author":[{"family":"NW","given":"1615 L. St"},{"family":"Suite 800Washington","given":""},{"family":"Inquiries","given":"DC 20036USA202-419-4300 | Main202-857-8562 | Fax202-419-4372 | Media"}],"accessed":{"date-parts":[["2021",2,25]]}}}],"schema":"https://github.com/citation-style-language/schema/raw/master/csl-citation.json"}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Media Inquiries, “Demographics of Mobile Device Ownership and Adoption in the United States,” </w:t>
      </w:r>
      <w:r w:rsidRPr="00507667">
        <w:rPr>
          <w:rFonts w:ascii="Book Antiqua" w:hAnsi="Book Antiqua" w:cs="Calibri"/>
          <w:i/>
          <w:iCs/>
        </w:rPr>
        <w:t>Pew Research Center: Internet, Science &amp; Tech</w:t>
      </w:r>
      <w:r w:rsidRPr="00507667">
        <w:rPr>
          <w:rFonts w:ascii="Book Antiqua" w:hAnsi="Book Antiqua" w:cs="Calibri"/>
        </w:rPr>
        <w:t xml:space="preserve"> (blog), accessed February 25, 2021, https://www.pewresearch.org/internet/fact-sheet/mobile/.</w:t>
      </w:r>
      <w:r w:rsidRPr="00507667">
        <w:rPr>
          <w:rFonts w:ascii="Book Antiqua" w:hAnsi="Book Antiqua"/>
        </w:rPr>
        <w:fldChar w:fldCharType="end"/>
      </w:r>
    </w:p>
  </w:footnote>
  <w:footnote w:id="7">
    <w:p w14:paraId="52DDBC19" w14:textId="3454B01D"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Due to family plan structure of the wireless phone line subscriptions, a statement may represent more than one user.</w:t>
      </w:r>
    </w:p>
  </w:footnote>
  <w:footnote w:id="8">
    <w:p w14:paraId="611A6CBC" w14:textId="525C55C2"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This method eliminated any switching costs except a phone call to the service provider.</w:t>
      </w:r>
    </w:p>
  </w:footnote>
  <w:footnote w:id="9">
    <w:p w14:paraId="7EBA3AEA" w14:textId="2FFA0AD1"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w:t>
      </w:r>
      <w:r w:rsidRPr="00507667">
        <w:rPr>
          <w:rFonts w:ascii="Book Antiqua" w:hAnsi="Book Antiqua"/>
        </w:rPr>
        <w:fldChar w:fldCharType="begin"/>
      </w:r>
      <w:r w:rsidR="005E6535">
        <w:rPr>
          <w:rFonts w:ascii="Book Antiqua" w:hAnsi="Book Antiqua"/>
        </w:rPr>
        <w:instrText xml:space="preserve"> ADDIN ZOTERO_ITEM CSL_CITATION {"citationID":"S9YQhSpf","properties":{"formattedCitation":"\\uc0\\u8220{}Automatic Renewal Laws: Legislation to Watch in 2021,\\uc0\\u8221{} JD Supra, accessed April 10, 2021, https://www.jdsupra.com/legalnews/automatic-renewal-laws-legislation-to-5675258/.","plainCitation":"“Automatic Renewal Laws: Legislation to Watch in 2021,” JD Supra, accessed April 10, 2021, https://www.jdsupra.com/legalnews/automatic-renewal-laws-legislation-to-5675258/.","noteIndex":9},"citationItems":[{"id":411,"uris":["http://zotero.org/users/local/1X64eMx4/items/L5K32RGL"],"uri":["http://zotero.org/users/local/1X64eMx4/items/L5K32RGL"],"itemData":{"id":411,"type":"webpage","abstract":"Several state legislatures are currently considering bills that would enact or expand an automatic renewal law (ARL). ARLs regulate the form and...","container-title":"JD Supra","language":"en","title":"Automatic Renewal Laws: Legislation to Watch in 2021","title-short":"Automatic Renewal Laws","URL":"https://www.jdsupra.com/legalnews/automatic-renewal-laws-legislation-to-5675258/","accessed":{"date-parts":[["2021",4,10]]}}}],"schema":"https://github.com/citation-style-language/schema/raw/master/csl-citation.json"}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“Automatic Renewal Laws: Legislation to Watch in 2021,” JD Supra, accessed April 10, 2021, https://www.jdsupra.com/legalnews/automatic-renewal-laws-legislation-to-5675258/.</w:t>
      </w:r>
      <w:r w:rsidRPr="00507667">
        <w:rPr>
          <w:rFonts w:ascii="Book Antiqua" w:hAnsi="Book Antiqua"/>
        </w:rPr>
        <w:fldChar w:fldCharType="end"/>
      </w:r>
    </w:p>
  </w:footnote>
  <w:footnote w:id="10">
    <w:p w14:paraId="493B6929" w14:textId="73E6D00E"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w:t>
      </w:r>
      <w:r w:rsidRPr="00507667">
        <w:rPr>
          <w:rFonts w:ascii="Book Antiqua" w:hAnsi="Book Antiqua"/>
          <w:i/>
          <w:iCs/>
        </w:rPr>
        <w:t>supra</w:t>
      </w:r>
      <w:r w:rsidRPr="00507667">
        <w:rPr>
          <w:rFonts w:ascii="Book Antiqua" w:hAnsi="Book Antiqua"/>
        </w:rPr>
        <w:t xml:space="preserve"> n6.</w:t>
      </w:r>
    </w:p>
  </w:footnote>
  <w:footnote w:id="11">
    <w:p w14:paraId="6BF26BC2" w14:textId="75C3D152"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w:t>
      </w:r>
      <w:r w:rsidRPr="00507667">
        <w:rPr>
          <w:rFonts w:ascii="Book Antiqua" w:hAnsi="Book Antiqua"/>
          <w:i/>
          <w:iCs/>
        </w:rPr>
        <w:t>supra</w:t>
      </w:r>
      <w:r w:rsidRPr="00507667">
        <w:rPr>
          <w:rFonts w:ascii="Book Antiqua" w:hAnsi="Book Antiqua"/>
        </w:rPr>
        <w:t xml:space="preserve"> n6.</w:t>
      </w:r>
    </w:p>
  </w:footnote>
  <w:footnote w:id="12">
    <w:p w14:paraId="7E8F1A29" w14:textId="044A4E46"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e.g., </w:t>
      </w:r>
      <w:r w:rsidRPr="00507667">
        <w:rPr>
          <w:rFonts w:ascii="Book Antiqua" w:hAnsi="Book Antiqua"/>
        </w:rPr>
        <w:fldChar w:fldCharType="begin"/>
      </w:r>
      <w:r w:rsidR="005E6535">
        <w:rPr>
          <w:rFonts w:ascii="Book Antiqua" w:hAnsi="Book Antiqua"/>
        </w:rPr>
        <w:instrText xml:space="preserve"> ADDIN ZOTERO_ITEM CSL_CITATION {"citationID":"WojrtAEV","properties":{"formattedCitation":"Eva Ascarza, Raghuram Iyengar, and Martin Schleicher, \\uc0\\u8220{}The Perils of Proactive Churn Prevention Using Plan Recommendations: Evidence from a Field Experiment,\\uc0\\u8221{} {\\i{}Journal of Marketing Research} 53, no. 1 (2016): 46\\uc0\\u8211{}60.","plainCitation":"Eva Ascarza, Raghuram Iyengar, and Martin Schleicher, “The Perils of Proactive Churn Prevention Using Plan Recommendations: Evidence from a Field Experiment,” Journal of Marketing Research 53, no. 1 (2016): 46–60.","noteIndex":12},"citationItems":[{"id":272,"uris":["http://zotero.org/users/local/1X64eMx4/items/79RLLTCL"],"uri":["http://zotero.org/users/local/1X64eMx4/items/79RLLTCL"],"itemData":{"id":272,"type":"article-journal","container-title":"Journal of Marketing Research","issue":"1","note":"ISBN: 0022-2437\npublisher: SAGE Publications Sage CA: Los Angeles, CA","page":"46-60","title":"The perils of proactive churn prevention using plan recommendations: Evidence from a field experiment","volume":"53","author":[{"family":"Ascarza","given":"Eva"},{"family":"Iyengar","given":"Raghuram"},{"family":"Schleicher","given":"Martin"}],"issued":{"date-parts":[["2016"]]}}}],"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Eva Ascarza, Raghuram Iyengar, and Martin Schleicher, “The Perils of Proactive Churn Prevention Using Plan Recommendations: Evidence from a Field Experiment,” </w:t>
      </w:r>
      <w:r w:rsidRPr="00507667">
        <w:rPr>
          <w:rFonts w:ascii="Book Antiqua" w:hAnsi="Book Antiqua" w:cs="Calibri"/>
          <w:i/>
          <w:iCs/>
        </w:rPr>
        <w:t>Journal of Marketing Research</w:t>
      </w:r>
      <w:r w:rsidRPr="00507667">
        <w:rPr>
          <w:rFonts w:ascii="Book Antiqua" w:hAnsi="Book Antiqua" w:cs="Calibri"/>
        </w:rPr>
        <w:t xml:space="preserve"> 53, no. 1 (2016): 46–60.</w:t>
      </w:r>
      <w:r w:rsidRPr="00507667">
        <w:rPr>
          <w:rFonts w:ascii="Book Antiqua" w:hAnsi="Book Antiqua"/>
        </w:rPr>
        <w:fldChar w:fldCharType="end"/>
      </w:r>
    </w:p>
  </w:footnote>
  <w:footnote w:id="13">
    <w:p w14:paraId="402DD91A" w14:textId="4F585619"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e.g., </w:t>
      </w:r>
      <w:r w:rsidRPr="00507667">
        <w:rPr>
          <w:rFonts w:ascii="Book Antiqua" w:hAnsi="Book Antiqua"/>
        </w:rPr>
        <w:fldChar w:fldCharType="begin"/>
      </w:r>
      <w:r w:rsidR="005E6535">
        <w:rPr>
          <w:rFonts w:ascii="Book Antiqua" w:hAnsi="Book Antiqua"/>
        </w:rPr>
        <w:instrText xml:space="preserve"> ADDIN ZOTERO_ITEM CSL_CITATION {"citationID":"F32uJsZ3","properties":{"formattedCitation":"Alix Peterson Zwane et al., \\uc0\\u8220{}Being Surveyed Can Change Later Behavior and Related Parameter Estimates,\\uc0\\u8221{} {\\i{}Proceedings of the National Academy of Sciences}, 2011.","plainCitation":"Alix Peterson Zwane et al., “Being Surveyed Can Change Later Behavior and Related Parameter Estimates,” Proceedings of the National Academy of Sciences, 2011.","noteIndex":13},"citationItems":[{"id":370,"uris":["http://zotero.org/users/local/1X64eMx4/items/MQSPSKNJ"],"uri":["http://zotero.org/users/local/1X64eMx4/items/MQSPSKNJ"],"itemData":{"id":370,"type":"article-journal","abstract":"Does completing a household survey change the later behavior of those surveyed? In three field studies of health and two of microlending, we randomly assigned subjects to be surveyed about health and/or household finances and then measured subsequent use of a related product with data that does not rely on subjects' self-reports. In the three health experiments, we find that being surveyed increases use of water treatment products and take-up of medical insurance. Frequent surveys on reported diarrhea also led to biased estimates of the impact of improved source water quality. In two microlending studies, we do not find an effect of being surveyed on borrowing behavior. The results suggest that limited attention could play an important but context-dependent role in consumer choice, with the implication that researchers should reconsider whether, how, and how much to survey their subjects.","container-title":"Proceedings of the National Academy of Sciences","issue":"5","note":"type: 10.1073/pnas.1000776108","page":"1821-1826","title":"Being surveyed can change later behavior and related parameter estimates","volume":"108","author":[{"family":"Zwane","given":"Alix Peterson"},{"family":"Zinman","given":"Jonathan"},{"family":"Van Dusen","given":"Eric"},{"family":"Pariente","given":"William"},{"family":"Null","given":"Clair"},{"family":"Miguel","given":"Edward"},{"family":"Kremer","given":"Michael"},{"family":"Karlan","given":"Dean S."},{"family":"Hornbeck","given":"Richard"},{"family":"Giné","given":"Xavier"},{"family":"Duflo","given":"Esther"},{"family":"Devoto","given":"Florencia"},{"family":"Crepon","given":"Bruno"},{"family":"Banerjee","given":"Abhijit"}],"issued":{"date-parts":[["2011"]]}}}],"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Alix Peterson Zwane et al., “Being Surveyed Can Change Later Behavior and Related Parameter Estimates,” </w:t>
      </w:r>
      <w:r w:rsidRPr="00507667">
        <w:rPr>
          <w:rFonts w:ascii="Book Antiqua" w:hAnsi="Book Antiqua" w:cs="Calibri"/>
          <w:i/>
          <w:iCs/>
        </w:rPr>
        <w:t>Proceedings of the National Academy of Sciences</w:t>
      </w:r>
      <w:r w:rsidRPr="00507667">
        <w:rPr>
          <w:rFonts w:ascii="Book Antiqua" w:hAnsi="Book Antiqua" w:cs="Calibri"/>
        </w:rPr>
        <w:t>, 2011.</w:t>
      </w:r>
      <w:r w:rsidRPr="00507667">
        <w:rPr>
          <w:rFonts w:ascii="Book Antiqua" w:hAnsi="Book Antiqua"/>
        </w:rPr>
        <w:fldChar w:fldCharType="end"/>
      </w:r>
    </w:p>
  </w:footnote>
  <w:footnote w:id="14">
    <w:p w14:paraId="7C34CCA3" w14:textId="645A0A19"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e.g., </w:t>
      </w:r>
      <w:r w:rsidRPr="00507667">
        <w:rPr>
          <w:rFonts w:ascii="Book Antiqua" w:hAnsi="Book Antiqua" w:cs="Knowledge-Light"/>
        </w:rPr>
        <w:t>D.C. Code § 28A-203.</w:t>
      </w:r>
    </w:p>
  </w:footnote>
  <w:footnote w:id="15">
    <w:p w14:paraId="63EFD3D8" w14:textId="7311AED7" w:rsidR="00EA18B1" w:rsidRPr="00507667" w:rsidRDefault="00EA18B1">
      <w:pPr>
        <w:pStyle w:val="DipnotMetni"/>
        <w:rPr>
          <w:rFonts w:ascii="Book Antiqua" w:hAnsi="Book Antiqua"/>
          <w:lang w:val="tr-TR"/>
        </w:rPr>
      </w:pPr>
      <w:r w:rsidRPr="00507667">
        <w:rPr>
          <w:rStyle w:val="DipnotBavurusu"/>
          <w:rFonts w:ascii="Book Antiqua" w:hAnsi="Book Antiqua"/>
        </w:rPr>
        <w:footnoteRef/>
      </w:r>
      <w:r w:rsidRPr="00507667">
        <w:rPr>
          <w:rFonts w:ascii="Book Antiqua" w:hAnsi="Book Antiqua"/>
        </w:rPr>
        <w:t xml:space="preserve"> For a </w:t>
      </w:r>
      <w:r w:rsidR="00507667" w:rsidRPr="00507667">
        <w:rPr>
          <w:rFonts w:ascii="Book Antiqua" w:hAnsi="Book Antiqua"/>
        </w:rPr>
        <w:t>comprehensive</w:t>
      </w:r>
      <w:r w:rsidRPr="00507667">
        <w:rPr>
          <w:rFonts w:ascii="Book Antiqua" w:hAnsi="Book Antiqua"/>
        </w:rPr>
        <w:t xml:space="preserve"> review, See </w:t>
      </w:r>
      <w:r w:rsidRPr="00507667">
        <w:rPr>
          <w:rFonts w:ascii="Book Antiqua" w:hAnsi="Book Antiqua"/>
        </w:rPr>
        <w:fldChar w:fldCharType="begin"/>
      </w:r>
      <w:r w:rsidR="005E6535">
        <w:rPr>
          <w:rFonts w:ascii="Book Antiqua" w:hAnsi="Book Antiqua"/>
        </w:rPr>
        <w:instrText xml:space="preserve"> ADDIN ZOTERO_ITEM CSL_CITATION {"citationID":"4sRsUllo","properties":{"formattedCitation":"Koren Grinshpoon, \\uc0\\u8220{}License to Bill: The Validity of Coupling Automatic Subscription Renewals with Free Trial Offers by Online Services,\\uc0\\u8221{} {\\i{}Fordham Intellectual Property, Media and Entertainment Law Journal} 28, no. 2 (January 1, 2018): 301.","plainCitation":"Koren Grinshpoon, “License to Bill: The Validity of Coupling Automatic Subscription Renewals with Free Trial Offers by Online Services,” Fordham Intellectual Property, Media and Entertainment Law Journal 28, no. 2 (January 1, 2018): 301.","noteIndex":15},"citationItems":[{"id":532,"uris":["http://zotero.org/users/local/1X64eMx4/items/Z8E9H6S2"],"uri":["http://zotero.org/users/local/1X64eMx4/items/Z8E9H6S2"],"itemData":{"id":532,"type":"article-journal","container-title":"Fordham Intellectual Property, Media and Entertainment Law Journal","issue":"2","page":"301","title":"License to Bill: The Validity of Coupling Automatic Subscription Renewals with Free Trial Offers by Online Services","title-short":"License to Bill","volume":"28","author":[{"family":"Grinshpoon","given":"Koren"}],"issued":{"date-parts":[["2018",1,1]]}}}],"schema":"https://github.com/citation-style-language/schema/raw/master/csl-citation.json"}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Koren Grinshpoon, “License to Bill: The Validity of Coupling Automatic Subscription Renewals with Free Trial Offers by Online Services,” </w:t>
      </w:r>
      <w:r w:rsidRPr="00507667">
        <w:rPr>
          <w:rFonts w:ascii="Book Antiqua" w:hAnsi="Book Antiqua" w:cs="Calibri"/>
          <w:i/>
          <w:iCs/>
        </w:rPr>
        <w:t>Fordham Intellectual Property, Media and Entertainment Law Journal</w:t>
      </w:r>
      <w:r w:rsidRPr="00507667">
        <w:rPr>
          <w:rFonts w:ascii="Book Antiqua" w:hAnsi="Book Antiqua" w:cs="Calibri"/>
        </w:rPr>
        <w:t xml:space="preserve"> 28, no. 2 (January 1, 2018): 301.</w:t>
      </w:r>
      <w:r w:rsidRPr="00507667">
        <w:rPr>
          <w:rFonts w:ascii="Book Antiqua" w:hAnsi="Book Antiqua"/>
        </w:rPr>
        <w:fldChar w:fldCharType="end"/>
      </w:r>
    </w:p>
  </w:footnote>
  <w:footnote w:id="16">
    <w:p w14:paraId="2DE07E96" w14:textId="42138744"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e.g., </w:t>
      </w:r>
      <w:r w:rsidRPr="00507667">
        <w:rPr>
          <w:rFonts w:ascii="Book Antiqua" w:hAnsi="Book Antiqua"/>
        </w:rPr>
        <w:fldChar w:fldCharType="begin"/>
      </w:r>
      <w:r w:rsidR="005E6535">
        <w:rPr>
          <w:rFonts w:ascii="Book Antiqua" w:hAnsi="Book Antiqua"/>
        </w:rPr>
        <w:instrText xml:space="preserve"> ADDIN ZOTERO_ITEM CSL_CITATION {"citationID":"CWTPvypH","properties":{"formattedCitation":"Marcin Szamatowicz and Joshua Paundra, \\uc0\\u8220{}Access or Ownership? The Effect of Car Attributes and Collective Psychological Ownership on the Preference for Car Subscription Services,\\uc0\\u8221{} {\\i{}Psychological Research on Urban Society} 2, no. 1 (2019): 44\\uc0\\u8211{}58.","plainCitation":"Marcin Szamatowicz and Joshua Paundra, “Access or Ownership? The Effect of Car Attributes and Collective Psychological Ownership on the Preference for Car Subscription Services,” Psychological Research on Urban Society 2, no. 1 (2019): 44–58.","noteIndex":16},"citationItems":[{"id":486,"uris":["http://zotero.org/users/local/1X64eMx4/items/H7HBMUVS"],"uri":["http://zotero.org/users/local/1X64eMx4/items/H7HBMUVS"],"itemData":{"id":486,"type":"article-journal","container-title":"Psychological Research on Urban Society","issue":"1","note":"ISBN: 2615-8582","page":"44-58","title":"Access or Ownership? The effect of car attributes and collective psychological ownership on the preference for car subscription services","volume":"2","author":[{"family":"Szamatowicz","given":"Marcin"},{"family":"Paundra","given":"Joshua"}],"issued":{"date-parts":[["2019"]]}}}],"schema":"https://github.com/citation-style-language/schema/raw/master/csl-citation.json"}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Marcin Szamatowicz and Joshua Paundra, “Access or Ownership? The Effect of Car Attributes and Collective Psychological Ownership on the Preference for Car Subscription Services,” </w:t>
      </w:r>
      <w:r w:rsidRPr="00507667">
        <w:rPr>
          <w:rFonts w:ascii="Book Antiqua" w:hAnsi="Book Antiqua" w:cs="Calibri"/>
          <w:i/>
          <w:iCs/>
        </w:rPr>
        <w:t>Psychological Research on Urban Society</w:t>
      </w:r>
      <w:r w:rsidRPr="00507667">
        <w:rPr>
          <w:rFonts w:ascii="Book Antiqua" w:hAnsi="Book Antiqua" w:cs="Calibri"/>
        </w:rPr>
        <w:t xml:space="preserve"> 2, no. 1 (2019): 44–58.</w:t>
      </w:r>
      <w:r w:rsidRPr="00507667">
        <w:rPr>
          <w:rFonts w:ascii="Book Antiqua" w:hAnsi="Book Antiqua"/>
        </w:rPr>
        <w:fldChar w:fldCharType="end"/>
      </w:r>
    </w:p>
  </w:footnote>
  <w:footnote w:id="17">
    <w:p w14:paraId="1864F971" w14:textId="298C3AED"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e.g., </w:t>
      </w:r>
      <w:r w:rsidRPr="00507667">
        <w:rPr>
          <w:rFonts w:ascii="Book Antiqua" w:hAnsi="Book Antiqua"/>
        </w:rPr>
        <w:fldChar w:fldCharType="begin"/>
      </w:r>
      <w:r w:rsidR="005E6535">
        <w:rPr>
          <w:rFonts w:ascii="Book Antiqua" w:hAnsi="Book Antiqua"/>
        </w:rPr>
        <w:instrText xml:space="preserve"> ADDIN ZOTERO_ITEM CSL_CITATION {"citationID":"YFMU8BL9","properties":{"formattedCitation":"Elena Belavina, Karan Girotra, and Ashish Kabra, \\uc0\\u8220{}Online Grocery Retail: Revenue Models and Environmental Impact,\\uc0\\u8221{} {\\i{}Management Science} 63, no. 6 (2017): 1781\\uc0\\u8211{}99.","plainCitation":"Elena Belavina, Karan Girotra, and Ashish Kabra, “Online Grocery Retail: Revenue Models and Environmental Impact,” Management Science 63, no. 6 (2017): 1781–99.","noteIndex":17},"citationItems":[{"id":487,"uris":["http://zotero.org/users/local/1X64eMx4/items/5UMBXV2Z"],"uri":["http://zotero.org/users/local/1X64eMx4/items/5UMBXV2Z"],"itemData":{"id":487,"type":"article-journal","container-title":"Management Science","issue":"6","note":"ISBN: 0025-1909\npublisher: INFORMS","page":"1781-1799","title":"Online grocery retail: Revenue models and environmental impact","volume":"63","author":[{"family":"Belavina","given":"Elena"},{"family":"Girotra","given":"Karan"},{"family":"Kabra","given":"Ashish"}],"issued":{"date-parts":[["2017"]]}}}],"schema":"https://github.com/citation-style-language/schema/raw/master/csl-citation.json"}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Elena Belavina, Karan Girotra, and Ashish Kabra, “Online Grocery Retail: Revenue Models and Environmental Impact,” </w:t>
      </w:r>
      <w:r w:rsidRPr="00507667">
        <w:rPr>
          <w:rFonts w:ascii="Book Antiqua" w:hAnsi="Book Antiqua" w:cs="Calibri"/>
          <w:i/>
          <w:iCs/>
        </w:rPr>
        <w:t>Management Science</w:t>
      </w:r>
      <w:r w:rsidRPr="00507667">
        <w:rPr>
          <w:rFonts w:ascii="Book Antiqua" w:hAnsi="Book Antiqua" w:cs="Calibri"/>
        </w:rPr>
        <w:t xml:space="preserve"> 63, no. 6 (2017): 1781–99.</w:t>
      </w:r>
      <w:r w:rsidRPr="00507667">
        <w:rPr>
          <w:rFonts w:ascii="Book Antiqua" w:hAnsi="Book Antiqua"/>
        </w:rPr>
        <w:fldChar w:fldCharType="end"/>
      </w:r>
    </w:p>
  </w:footnote>
  <w:footnote w:id="18">
    <w:p w14:paraId="74C21952" w14:textId="4383AB7E"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w:t>
      </w:r>
      <w:r w:rsidRPr="00507667">
        <w:rPr>
          <w:rFonts w:ascii="Book Antiqua" w:hAnsi="Book Antiqua"/>
        </w:rPr>
        <w:fldChar w:fldCharType="begin"/>
      </w:r>
      <w:r w:rsidR="005E6535">
        <w:rPr>
          <w:rFonts w:ascii="Book Antiqua" w:hAnsi="Book Antiqua"/>
        </w:rPr>
        <w:instrText xml:space="preserve"> ADDIN ZOTERO_ITEM CSL_CITATION {"citationID":"1ykcx1zT","properties":{"formattedCitation":"\\uc0\\u8220{}The Subscription Economy Grows More Than 300% In The Last Seven Years,\\uc0\\u8221{} March 21, 2019, https://www.businesswire.com/news/home/20190321005245/en/The-Subscription-Economy-Grows-More-Than-300-In-The-Last-Seven-Years.","plainCitation":"“The Subscription Economy Grows More Than 300% In The Last Seven Years,” March 21, 2019, https://www.businesswire.com/news/home/20190321005245/en/The-Subscription-Economy-Grows-More-Than-300-In-The-Last-Seven-Years.","noteIndex":18},"citationItems":[{"id":134,"uris":["http://zotero.org/users/local/1X64eMx4/items/KRGWX6TR"],"uri":["http://zotero.org/users/local/1X64eMx4/items/KRGWX6TR"],"itemData":{"id":134,"type":"webpage","abstract":"Over the past 7 years the companies featured in the Zuora SEI across North America, Europe and Asia Pacific, have seen their sales grow by an 18% CAGR","language":"en","title":"The Subscription Economy Grows More Than 300% In The Last Seven Years","URL":"https://www.businesswire.com/news/home/20190321005245/en/The-Subscription-Economy-Grows-More-Than-300-In-The-Last-Seven-Years","accessed":{"date-parts":[["2021",2,24]]},"issued":{"date-parts":[["2019",3,21]]}}}],"schema":"https://github.com/citation-style-language/schema/raw/master/csl-citation.json"} </w:instrText>
      </w:r>
      <w:r w:rsidRPr="00507667">
        <w:rPr>
          <w:rFonts w:ascii="Book Antiqua" w:hAnsi="Book Antiqua"/>
        </w:rPr>
        <w:fldChar w:fldCharType="separate"/>
      </w:r>
      <w:r w:rsidRPr="00507667">
        <w:rPr>
          <w:rFonts w:ascii="Book Antiqua" w:hAnsi="Book Antiqua" w:cs="Times New Roman"/>
        </w:rPr>
        <w:t>“The Subscription Economy Grows More Than 300% In The Last Seven Years,” March 21, 2019, https://www.businesswire.com/news/home/20190321005245/en/The-Subscription-Economy-Grows-More-Than-300-In-The-Last-Seven-Years.</w:t>
      </w:r>
      <w:r w:rsidRPr="00507667">
        <w:rPr>
          <w:rFonts w:ascii="Book Antiqua" w:hAnsi="Book Antiqua"/>
        </w:rPr>
        <w:fldChar w:fldCharType="end"/>
      </w:r>
    </w:p>
  </w:footnote>
  <w:footnote w:id="19">
    <w:p w14:paraId="5552649C" w14:textId="3298D976"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w:t>
      </w:r>
      <w:r w:rsidRPr="00507667">
        <w:rPr>
          <w:rFonts w:ascii="Book Antiqua" w:hAnsi="Book Antiqua"/>
        </w:rPr>
        <w:fldChar w:fldCharType="begin"/>
      </w:r>
      <w:r w:rsidR="005E6535">
        <w:rPr>
          <w:rFonts w:ascii="Book Antiqua" w:hAnsi="Book Antiqua"/>
        </w:rPr>
        <w:instrText xml:space="preserve"> ADDIN ZOTERO_ITEM CSL_CITATION {"citationID":"Dn5MGpw5","properties":{"formattedCitation":"\\uc0\\u8220{}America\\uc0\\u8217{}s Relationship with Subscription Services | West Monroe,\\uc0\\u8221{} accessed February 24, 2021, https://www.westmonroe.com/perspectives/point-of-view/americas-relationship-with-subscription-services.","plainCitation":"“America’s Relationship with Subscription Services | West Monroe,” accessed February 24, 2021, https://www.westmonroe.com/perspectives/point-of-view/americas-relationship-with-subscription-services.","noteIndex":19},"citationItems":[{"id":132,"uris":["http://zotero.org/users/local/1X64eMx4/items/3LQ8D8HR"],"uri":["http://zotero.org/users/local/1X64eMx4/items/3LQ8D8HR"],"itemData":{"id":132,"type":"webpage","abstract":"Budgets have evolved with a swarm of new services with recurring monthly fees emerging, ranging from foundational elements of life to niche offerings.","language":"en","title":"America’s relationship with subscription services | West Monroe","URL":"https://www.westmonroe.com/perspectives/point-of-view/americas-relationship-with-subscription-services","accessed":{"date-parts":[["2021",2,24]]}}}],"schema":"https://github.com/citation-style-language/schema/raw/master/csl-citation.json"} </w:instrText>
      </w:r>
      <w:r w:rsidRPr="00507667">
        <w:rPr>
          <w:rFonts w:ascii="Book Antiqua" w:hAnsi="Book Antiqua"/>
        </w:rPr>
        <w:fldChar w:fldCharType="separate"/>
      </w:r>
      <w:r w:rsidRPr="00507667">
        <w:rPr>
          <w:rFonts w:ascii="Book Antiqua" w:hAnsi="Book Antiqua" w:cs="Times New Roman"/>
        </w:rPr>
        <w:t>“America’s Relationship with Subscription Services | West Monroe,” accessed February 24, 2021, https://www.westmonroe.com/perspectives/point-of-view/americas-relationship-with-subscription-services.</w:t>
      </w:r>
      <w:r w:rsidRPr="00507667">
        <w:rPr>
          <w:rFonts w:ascii="Book Antiqua" w:hAnsi="Book Antiqua"/>
        </w:rPr>
        <w:fldChar w:fldCharType="end"/>
      </w:r>
    </w:p>
  </w:footnote>
  <w:footnote w:id="20">
    <w:p w14:paraId="54EA9E65" w14:textId="6C2D9FA1"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{"citationID":"rl5HpI1B","properties":{"formattedCitation":"Share on Facebook, Share on Twitter, and Share on LinkedIn, \\uc0\\u8220{}Adjust: Americans Spend $20.78 a Month on App Subscriptions,\\uc0\\u8221{} {\\i{}VentureBeat} (blog), October 14, 2020, https://venturebeat.com/2020/10/14/adjust-americans-spend-20-78-a-month-on-app-subscriptions/.","plainCitation":"Share on Facebook, Share on Twitter, and Share on LinkedIn, “Adjust: Americans Spend $20.78 a Month on App Subscriptions,” VentureBeat (blog), October 14, 2020, https://venturebeat.com/2020/10/14/adjust-americans-spend-20-78-a-month-on-app-subscriptions/.","noteIndex":20},"citationItems":[{"id":488,"uris":["http://zotero.org/users/local/1X64eMx4/items/M2NPB2VE"],"uri":["http://zotero.org/users/local/1X64eMx4/items/M2NPB2VE"],"itemData":{"id":488,"type":"post-weblog","abstract":"Adjust has launched a subscription-tracking service and found that people in the U.S. spend around $20.78 a month on app subscriptions.","container-title":"VentureBeat","language":"en-US","title":"Adjust: Americans spend $20.78 a month on app subscriptions","title-short":"Adjust","URL":"https://venturebeat.com/2020/10/14/adjust-americans-spend-20-78-a-month-on-app-subscriptions/","author":[{"family":"Facebook","given":"Share","dropping-particle":"on"},{"family":"Twitter","given":"Share","dropping-particle":"on"},{"family":"LinkedIn","given":"Share","dropping-particle":"on"}],"accessed":{"date-parts":[["2021",4,11]]},"issued":{"date-parts":[["2020",10,14]]}}}],"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Share on Facebook, Share on Twitter, and Share on LinkedIn, “Adjust: Americans Spend $20.78 a Month on App Subscriptions,” </w:t>
      </w:r>
      <w:r w:rsidRPr="00507667">
        <w:rPr>
          <w:rFonts w:ascii="Book Antiqua" w:hAnsi="Book Antiqua" w:cs="Calibri"/>
          <w:i/>
          <w:iCs/>
        </w:rPr>
        <w:t>VentureBeat</w:t>
      </w:r>
      <w:r w:rsidRPr="00507667">
        <w:rPr>
          <w:rFonts w:ascii="Book Antiqua" w:hAnsi="Book Antiqua" w:cs="Calibri"/>
        </w:rPr>
        <w:t xml:space="preserve"> (blog), October 14, 2020, https://venturebeat.com/2020/10/14/adjust-americans-spend-20-78-a-month-on-app-subscriptions/.</w:t>
      </w:r>
      <w:r w:rsidRPr="00507667">
        <w:rPr>
          <w:rFonts w:ascii="Book Antiqua" w:hAnsi="Book Antiqua"/>
        </w:rPr>
        <w:fldChar w:fldCharType="end"/>
      </w:r>
    </w:p>
  </w:footnote>
  <w:footnote w:id="21">
    <w:p w14:paraId="47CB6DD8" w14:textId="2D239F7F"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e.g., </w:t>
      </w:r>
      <w:r w:rsidRPr="00507667">
        <w:rPr>
          <w:rFonts w:ascii="Book Antiqua" w:hAnsi="Book Antiqua"/>
        </w:rPr>
        <w:fldChar w:fldCharType="begin"/>
      </w:r>
      <w:r w:rsidR="005E6535">
        <w:rPr>
          <w:rFonts w:ascii="Book Antiqua" w:hAnsi="Book Antiqua"/>
        </w:rPr>
        <w:instrText xml:space="preserve"> ADDIN ZOTERO_ITEM CSL_CITATION {"citationID":"NreqIeX7","properties":{"formattedCitation":"\\uc0\\u8220{}Many Americans More Than Tripled Subscription Service Spending Amid Social Distancing | CompareCards,\\uc0\\u8221{} {\\i{}CompareCards News &amp; Advice} (blog), May 11, 2020, https://www.comparecards.com/blog/subscription-service-spending-triples-amid-social-distancing/.","plainCitation":"“Many Americans More Than Tripled Subscription Service Spending Amid Social Distancing | CompareCards,” CompareCards News &amp; Advice (blog), May 11, 2020, https://www.comparecards.com/blog/subscription-service-spending-triples-amid-social-distancing/.","noteIndex":21},"citationItems":[{"id":490,"uris":["http://zotero.org/users/local/1X64eMx4/items/YEHRRCH4"],"uri":["http://zotero.org/users/local/1X64eMx4/items/YEHRRCH4"],"itemData":{"id":490,"type":"post-weblog","abstract":"A recent CompareCards survey found that 1 in 3 respondents had purchased a new online subscription due to coronavirus-related circumstances.","container-title":"CompareCards News &amp; Advice","language":"en-US","note":"section: Studies","title":"Many Americans More Than Tripled Subscription Service Spending Amid Social Distancing | CompareCards","URL":"https://www.comparecards.com/blog/subscription-service-spending-triples-amid-social-distancing/","accessed":{"date-parts":[["2021",4,11]]},"issued":{"date-parts":[["2020",5,11]]}}}],"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“Many Americans More Than Tripled Subscription Service Spending Amid Social Distancing | CompareCards,” </w:t>
      </w:r>
      <w:r w:rsidRPr="00507667">
        <w:rPr>
          <w:rFonts w:ascii="Book Antiqua" w:hAnsi="Book Antiqua" w:cs="Calibri"/>
          <w:i/>
          <w:iCs/>
        </w:rPr>
        <w:t>CompareCards News &amp; Advice</w:t>
      </w:r>
      <w:r w:rsidRPr="00507667">
        <w:rPr>
          <w:rFonts w:ascii="Book Antiqua" w:hAnsi="Book Antiqua" w:cs="Calibri"/>
        </w:rPr>
        <w:t xml:space="preserve"> (blog), May 11, 2020, https://www.comparecards.com/blog/subscription-service-spending-triples-amid-social-distancing/.</w:t>
      </w:r>
      <w:r w:rsidRPr="00507667">
        <w:rPr>
          <w:rFonts w:ascii="Book Antiqua" w:hAnsi="Book Antiqua"/>
        </w:rPr>
        <w:fldChar w:fldCharType="end"/>
      </w:r>
    </w:p>
  </w:footnote>
  <w:footnote w:id="22">
    <w:p w14:paraId="6241D98C" w14:textId="2C01CEC2"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w:t>
      </w:r>
      <w:r w:rsidRPr="00507667">
        <w:rPr>
          <w:rFonts w:ascii="Book Antiqua" w:hAnsi="Book Antiqua"/>
        </w:rPr>
        <w:fldChar w:fldCharType="begin"/>
      </w:r>
      <w:r w:rsidR="005E6535">
        <w:rPr>
          <w:rFonts w:ascii="Book Antiqua" w:hAnsi="Book Antiqua"/>
        </w:rPr>
        <w:instrText xml:space="preserve"> ADDIN ZOTERO_ITEM CSL_CITATION {"citationID":"etbRbYzZ","properties":{"formattedCitation":"\\uc0\\u8220{}Many US Adults Plan to Keep Digital Subscriptions They Started in March,\\uc0\\u8221{} Insider Intelligence, accessed April 11, 2021, https://www.emarketer.com/content/more-than-half-us-adults-plan-keep-subscriptions-post-pandemic.","plainCitation":"“Many US Adults Plan to Keep Digital Subscriptions They Started in March,” Insider Intelligence, accessed April 11, 2021, https://www.emarketer.com/content/more-than-half-us-adults-plan-keep-subscriptions-post-pandemic.","noteIndex":22},"citationItems":[{"id":492,"uris":["http://zotero.org/users/local/1X64eMx4/items/8S4PRTZK"],"uri":["http://zotero.org/users/local/1X64eMx4/items/8S4PRTZK"],"itemData":{"id":492,"type":"webpage","abstract":"Many US adults said they plan to keep their music subscriptions (72%), exercise/fitness/wellness subscriptions (64%), and digital learning subscriptions (54%) post-pandemic.","container-title":"Insider Intelligence","title":"Many US Adults Plan to Keep Digital Subscriptions They Started in March","URL":"https://www.emarketer.com/content/more-than-half-us-adults-plan-keep-subscriptions-post-pandemic","accessed":{"date-parts":[["2021",4,11]]}}}],"schema":"https://github.com/citation-style-language/schema/raw/master/csl-citation.json"}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“Many US Adults Plan to Keep Digital Subscriptions They Started in March,” Insider Intelligence, accessed April 11, 2021, https://www.emarketer.com/content/more-than-half-us-adults-plan-keep-subscriptions-post-pandemic.</w:t>
      </w:r>
      <w:r w:rsidRPr="00507667">
        <w:rPr>
          <w:rFonts w:ascii="Book Antiqua" w:hAnsi="Book Antiqua"/>
        </w:rPr>
        <w:fldChar w:fldCharType="end"/>
      </w:r>
    </w:p>
  </w:footnote>
  <w:footnote w:id="23">
    <w:p w14:paraId="1343C726" w14:textId="03183F78"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00507667">
        <w:rPr>
          <w:rFonts w:ascii="Book Antiqua" w:hAnsi="Book Antiqua"/>
        </w:rPr>
        <w:t xml:space="preserve">See </w:t>
      </w:r>
      <w:r w:rsidRPr="00507667">
        <w:rPr>
          <w:rFonts w:ascii="Book Antiqua" w:hAnsi="Book Antiqua"/>
        </w:rPr>
        <w:fldChar w:fldCharType="begin"/>
      </w:r>
      <w:r w:rsidR="005E6535">
        <w:rPr>
          <w:rFonts w:ascii="Book Antiqua" w:hAnsi="Book Antiqua"/>
        </w:rPr>
        <w:instrText xml:space="preserve"> ADDIN ZOTERO_ITEM CSL_CITATION {"citationID":"5Zmlb165","properties":{"formattedCitation":"Daniel Saks, \\uc0\\u8220{}Council Post: B2B Subscriptions Will Grow In 2021, But Is Your Business Ready?,\\uc0\\u8221{} Forbes, accessed April 12, 2021, https://www.forbes.com/sites/forbestechcouncil/2021/02/09/b2b-subscriptions-will-grow-in-2021-but-is-your-business-ready/.","plainCitation":"Daniel Saks, “Council Post: B2B Subscriptions Will Grow In 2021, But Is Your Business Ready?,” Forbes, accessed April 12, 2021, https://www.forbes.com/sites/forbestechcouncil/2021/02/09/b2b-subscriptions-will-grow-in-2021-but-is-your-business-ready/.","noteIndex":23},"citationItems":[{"id":496,"uris":["http://zotero.org/users/local/1X64eMx4/items/5AF4MPYP"],"uri":["http://zotero.org/users/local/1X64eMx4/items/5AF4MPYP"],"itemData":{"id":496,"type":"webpage","abstract":"Just like consumers, business customers want subscription solutions to offer ease of use and simplicity.","container-title":"Forbes","language":"en","note":"section: Innovation","title":"Council Post: B2B Subscriptions Will Grow In 2021, But Is Your Business Ready?","title-short":"Council Post","URL":"https://www.forbes.com/sites/forbestechcouncil/2021/02/09/b2b-subscriptions-will-grow-in-2021-but-is-your-business-ready/","author":[{"family":"Saks","given":"Daniel"}],"accessed":{"date-parts":[["2021",4,12]]}}}],"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Daniel Saks, “Council Post: B2B Subscriptions Will Grow In 2021, But Is Your Business Ready?,” Forbes, accessed April 12, 2021, https://www.forbes.com/sites/forbestechcouncil/2021/02/09/b2b-subscriptions-will-grow-in-2021-but-is-your-business-ready/.</w:t>
      </w:r>
      <w:r w:rsidRPr="00507667">
        <w:rPr>
          <w:rFonts w:ascii="Book Antiqua" w:hAnsi="Book Antiqua"/>
        </w:rPr>
        <w:fldChar w:fldCharType="end"/>
      </w:r>
    </w:p>
  </w:footnote>
  <w:footnote w:id="24">
    <w:p w14:paraId="2A3BB6E0" w14:textId="0E732B3C"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{"citationID":"6TrLmT5X","properties":{"formattedCitation":"\\uc0\\u8220{}B2B Subscription Commerce Is on the Rise. Here\\uc0\\u8217{}s the One Thing You\\uc0\\u8230{},\\uc0\\u8221{} AppDirect, accessed April 12, 2021, https://www.appdirect.com/blog/b2b-subscription-commerce-is-on-the-rise-heres-the-one-thing-you-need-to-know.","plainCitation":"“B2B Subscription Commerce Is on the Rise. Here’s the One Thing You…,” AppDirect, accessed April 12, 2021, https://www.appdirect.com/blog/b2b-subscription-commerce-is-on-the-rise-heres-the-one-thing-you-need-to-know.","noteIndex":24},"citationItems":[{"id":494,"uris":["http://zotero.org/users/local/1X64eMx4/items/L9NVHH57"],"uri":["http://zotero.org/users/local/1X64eMx4/items/L9NVHH57"],"itemData":{"id":494,"type":"webpage","abstract":"B2B subscription commerce is evolving in today's digital economy. Read about where the B2B market is heading and why b2b subscription commerce is essential for success.","container-title":"AppDirect","language":"en-US","title":"B2B Subscription Commerce Is on the Rise. Here's the One Thing You…","URL":"https://www.appdirect.com/blog/b2b-subscription-commerce-is-on-the-rise-heres-the-one-thing-you-need-to-know","accessed":{"date-parts":[["2021",4,12]]}}}],"schema":"https://github.com/citation-style-language/schema/raw/master/csl-citation.json"}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“B2B Subscription Commerce Is on the Rise. Here’s the One Thing You…,” AppDirect, accessed April 12, 2021, https://www.appdirect.com/blog/b2b-subscription-commerce-is-on-the-rise-heres-the-one-thing-you-need-to-know.</w:t>
      </w:r>
      <w:r w:rsidRPr="00507667">
        <w:rPr>
          <w:rFonts w:ascii="Book Antiqua" w:hAnsi="Book Antiqua"/>
        </w:rPr>
        <w:fldChar w:fldCharType="end"/>
      </w:r>
    </w:p>
  </w:footnote>
  <w:footnote w:id="25">
    <w:p w14:paraId="65C383C8" w14:textId="2DEBF98E"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00507667">
        <w:rPr>
          <w:rFonts w:ascii="Book Antiqua" w:hAnsi="Book Antiqua"/>
        </w:rPr>
        <w:t xml:space="preserve">See </w:t>
      </w:r>
      <w:r w:rsidRPr="00507667">
        <w:rPr>
          <w:rFonts w:ascii="Book Antiqua" w:hAnsi="Book Antiqua"/>
        </w:rPr>
        <w:fldChar w:fldCharType="begin"/>
      </w:r>
      <w:r w:rsidR="005E6535">
        <w:rPr>
          <w:rFonts w:ascii="Book Antiqua" w:hAnsi="Book Antiqua"/>
        </w:rPr>
        <w:instrText xml:space="preserve"> ADDIN ZOTERO_ITEM CSL_CITATION {"citationID":"Bg7tof5I","properties":{"formattedCitation":"David Laibson, \\uc0\\u8220{}Golden Eggs and Hyperbolic Discounting*,\\uc0\\u8221{} {\\i{}The Quarterly Journal of Economics} 112, no. 2 (May 1, 1997): 443\\uc0\\u8211{}78, https://doi.org/10.1162/003355397555253.","plainCitation":"David Laibson, “Golden Eggs and Hyperbolic Discounting*,” The Quarterly Journal of Economics 112, no. 2 (May 1, 1997): 443–78, https://doi.org/10.1162/003355397555253.","noteIndex":25},"citationItems":[{"id":359,"uris":["http://zotero.org/users/local/1X64eMx4/items/MEGKCBUW"],"uri":["http://zotero.org/users/local/1X64eMx4/items/MEGKCBUW"],"itemData":{"id":359,"type":"article-journal","abstract":"Hyperbolic discount functions induce dynamically inconsistent preferences, implying a motive for consumers to constrain their own future choices. This paper analyzes the decisions of a hyperbolic consumer who has access to an imperfect commitment technology: an illiquid asset whose sale must be initiated one period before the sale proceeds are received. The model predicts that consumption tracks income, and the model explains why consumers have asset-specific marginal propensities to consume. The model suggests that financial innovation may have caused the ongoing decline in U. S. savings rates, since financial innovation increases liquidity, eliminating commitment opportunities. Finally, the model implies that financial market innovation may reduce welfare by providing “too much” liquidity.","container-title":"The Quarterly Journal of Economics","DOI":"10.1162/003355397555253","ISSN":"0033-5533","issue":"2","journalAbbreviation":"The Quarterly Journal of Economics","page":"443-478","source":"Silverchair","title":"Golden Eggs and Hyperbolic Discounting*","volume":"112","author":[{"family":"Laibson","given":"David"}],"issued":{"date-parts":[["1997",5,1]]}}}],"schema":"https://github.com/citation-style-language/schema/raw/master/csl-citation.json"}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David Laibson, “Golden Eggs and</w:t>
      </w:r>
      <w:r w:rsidRPr="00507667">
        <w:rPr>
          <w:rFonts w:ascii="Book Antiqua" w:hAnsi="Book Antiqua"/>
        </w:rPr>
        <w:t xml:space="preserve"> </w:t>
      </w:r>
      <w:r w:rsidRPr="00507667">
        <w:rPr>
          <w:rFonts w:ascii="Book Antiqua" w:hAnsi="Book Antiqua" w:cs="Calibri"/>
        </w:rPr>
        <w:t xml:space="preserve">Hyperbolic Discounting*,” </w:t>
      </w:r>
      <w:r w:rsidRPr="00507667">
        <w:rPr>
          <w:rFonts w:ascii="Book Antiqua" w:hAnsi="Book Antiqua" w:cs="Calibri"/>
          <w:i/>
          <w:iCs/>
        </w:rPr>
        <w:t>The Quarterly Journal of Economics</w:t>
      </w:r>
      <w:r w:rsidRPr="00507667">
        <w:rPr>
          <w:rFonts w:ascii="Book Antiqua" w:hAnsi="Book Antiqua" w:cs="Calibri"/>
        </w:rPr>
        <w:t xml:space="preserve"> 112, no. 2 (May 1, 1997): 443–78, https://doi.org/10.1162/003355397555253.</w:t>
      </w:r>
      <w:r w:rsidRPr="00507667">
        <w:rPr>
          <w:rFonts w:ascii="Book Antiqua" w:hAnsi="Book Antiqua"/>
        </w:rPr>
        <w:fldChar w:fldCharType="end"/>
      </w:r>
    </w:p>
  </w:footnote>
  <w:footnote w:id="26">
    <w:p w14:paraId="18A37EDA" w14:textId="27BB779B"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00507667">
        <w:rPr>
          <w:rFonts w:ascii="Book Antiqua" w:hAnsi="Book Antiqua"/>
        </w:rPr>
        <w:t xml:space="preserve">See </w:t>
      </w:r>
      <w:r w:rsidRPr="00507667">
        <w:rPr>
          <w:rFonts w:ascii="Book Antiqua" w:hAnsi="Book Antiqua"/>
        </w:rPr>
        <w:fldChar w:fldCharType="begin"/>
      </w:r>
      <w:r w:rsidR="005E6535">
        <w:rPr>
          <w:rFonts w:ascii="Book Antiqua" w:hAnsi="Book Antiqua"/>
        </w:rPr>
        <w:instrText xml:space="preserve"> ADDIN ZOTERO_ITEM CSL_CITATION {"citationID":"u5icWb2P","properties":{"formattedCitation":"George Loewenstein, Ted O\\uc0\\u8217{}Donoghue, and Matthew Rabin, \\uc0\\u8220{}Projection Bias in Predicting Future Utility*,\\uc0\\u8221{} {\\i{}The Quarterly Journal of Economics} 118, no. 4 (November 1, 2003): 1209\\uc0\\u8211{}48, https://doi.org/10.1162/003355303322552784.","plainCitation":"George Loewenstein, Ted O’Donoghue, and Matthew Rabin, “Projection Bias in Predicting Future Utility*,” The Quarterly Journal of Economics 118, no. 4 (November 1, 2003): 1209–48, https://doi.org/10.1162/003355303322552784.","noteIndex":26},"citationItems":[{"id":363,"uris":["http://zotero.org/users/local/1X64eMx4/items/J7GSKDTU"],"uri":["http://zotero.org/users/local/1X64eMx4/items/J7GSKDTU"],"itemData":{"id":363,"type":"article-journal","abstract":"People exaggerate the degree to which their future tastes will resemble their current tastes. We present evidence from a variety of domains which demonstrates the prevalence of such projection bias, develop a formal model of it, and use this model to demonstrate its importance in economic environments. We show that, when people exhibit habit formation, projection bias leads people to consume too much early in life, and to decide, as time passes, to consume more—and save less—than originally planned. Projection bias can also lead to misguided purchases of durable goods. We discuss a number of additional applications and implications.","container-title":"The Quarterly Journal of Economics","DOI":"10.1162/003355303322552784","ISSN":"0033-5533","issue":"4","journalAbbreviation":"The Quarterly Journal of Economics","page":"1209-1248","source":"Silverchair","title":"Projection Bias in Predicting Future Utility*","volume":"118","author":[{"family":"Loewenstein","given":"George"},{"family":"O'Donoghue","given":"Ted"},{"family":"Rabin","given":"Matthew"}],"issued":{"date-parts":[["2003",11,1]]}}}],"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George Loewenstein, Ted O’Donoghue, and Matthew Rabin, “Projection Bias in Predicting Future Utility*,” </w:t>
      </w:r>
      <w:r w:rsidRPr="00507667">
        <w:rPr>
          <w:rFonts w:ascii="Book Antiqua" w:hAnsi="Book Antiqua" w:cs="Calibri"/>
          <w:i/>
          <w:iCs/>
        </w:rPr>
        <w:t>The Quarterly Journal of Economics</w:t>
      </w:r>
      <w:r w:rsidRPr="00507667">
        <w:rPr>
          <w:rFonts w:ascii="Book Antiqua" w:hAnsi="Book Antiqua" w:cs="Calibri"/>
        </w:rPr>
        <w:t xml:space="preserve"> 118, no. 4 (November 1, 2003): 1209–48, https://doi.org/10.1162/003355303322552784.</w:t>
      </w:r>
      <w:r w:rsidRPr="00507667">
        <w:rPr>
          <w:rFonts w:ascii="Book Antiqua" w:hAnsi="Book Antiqua"/>
        </w:rPr>
        <w:fldChar w:fldCharType="end"/>
      </w:r>
    </w:p>
  </w:footnote>
  <w:footnote w:id="27">
    <w:p w14:paraId="534639F3" w14:textId="14738BB5"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00507667">
        <w:rPr>
          <w:rFonts w:ascii="Book Antiqua" w:hAnsi="Book Antiqua"/>
        </w:rPr>
        <w:t xml:space="preserve">See </w:t>
      </w:r>
      <w:r w:rsidRPr="00507667">
        <w:rPr>
          <w:rFonts w:ascii="Book Antiqua" w:hAnsi="Book Antiqua"/>
        </w:rPr>
        <w:fldChar w:fldCharType="begin"/>
      </w:r>
      <w:r w:rsidR="005E6535">
        <w:rPr>
          <w:rFonts w:ascii="Book Antiqua" w:hAnsi="Book Antiqua"/>
        </w:rPr>
        <w:instrText xml:space="preserve"> ADDIN ZOTERO_ITEM CSL_CITATION {"citationID":"DWpqbkoe","properties":{"formattedCitation":"Pedro Bordalo, Nicola Gennaioli, and Andrei Shleifer, \\uc0\\u8220{}Salience and Consumer Choice,\\uc0\\u8221{} {\\i{}Journal of Political Economy} 121, no. 5 (2013): 803\\uc0\\u8211{}43.","plainCitation":"Pedro Bordalo, Nicola Gennaioli, and Andrei Shleifer, “Salience and Consumer Choice,” Journal of Political Economy 121, no. 5 (2013): 803–43.","noteIndex":27},"citationItems":[{"id":369,"uris":["http://zotero.org/users/local/1X64eMx4/items/KZSAKTMF"],"uri":["http://zotero.org/users/local/1X64eMx4/items/KZSAKTMF"],"itemData":{"id":369,"type":"article-journal","container-title":"Journal of Political Economy","issue":"5","note":"ISBN: 0022-3808\npublisher: University of Chicago Press Chicago, IL","page":"803-843","title":"Salience and consumer choice","volume":"121","author":[{"family":"Bordalo","given":"Pedro"},{"family":"Gennaioli","given":"Nicola"},{"family":"Shleifer","given":"Andrei"}],"issued":{"date-parts":[["2013"]]}}}],"schema":"https://github.com/citation-style-language/schema/raw/master/csl-citation.json"}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Pedro Bordalo, Nicola Gennaioli, and Andrei Shleifer, “Salience and Consumer Choice,” </w:t>
      </w:r>
      <w:r w:rsidRPr="00507667">
        <w:rPr>
          <w:rFonts w:ascii="Book Antiqua" w:hAnsi="Book Antiqua" w:cs="Calibri"/>
          <w:i/>
          <w:iCs/>
        </w:rPr>
        <w:t>Journal of Political Economy</w:t>
      </w:r>
      <w:r w:rsidRPr="00507667">
        <w:rPr>
          <w:rFonts w:ascii="Book Antiqua" w:hAnsi="Book Antiqua" w:cs="Calibri"/>
        </w:rPr>
        <w:t xml:space="preserve"> 121, no. 5 (2013): 803–43.</w:t>
      </w:r>
      <w:r w:rsidRPr="00507667">
        <w:rPr>
          <w:rFonts w:ascii="Book Antiqua" w:hAnsi="Book Antiqua"/>
        </w:rPr>
        <w:fldChar w:fldCharType="end"/>
      </w:r>
    </w:p>
  </w:footnote>
  <w:footnote w:id="28">
    <w:p w14:paraId="482A076D" w14:textId="12C98B06"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00507667">
        <w:rPr>
          <w:rFonts w:ascii="Book Antiqua" w:hAnsi="Book Antiqua"/>
        </w:rPr>
        <w:t xml:space="preserve">See </w:t>
      </w:r>
      <w:r w:rsidRPr="00507667">
        <w:rPr>
          <w:rFonts w:ascii="Book Antiqua" w:hAnsi="Book Antiqua"/>
        </w:rPr>
        <w:fldChar w:fldCharType="begin"/>
      </w:r>
      <w:r w:rsidR="005E6535">
        <w:rPr>
          <w:rFonts w:ascii="Book Antiqua" w:hAnsi="Book Antiqua"/>
        </w:rPr>
        <w:instrText xml:space="preserve"> ADDIN ZOTERO_ITEM CSL_CITATION {"citationID":"Ey8aL6cR","properties":{"formattedCitation":"Nicola Lacetera, Devin G. Pope, and Justin R. Sydnor, \\uc0\\u8220{}Heuristic Thinking and Limited Attention in the Car Market,\\uc0\\u8221{} {\\i{}American Economic Review} 102, no. 5 (May 2012): 2206\\uc0\\u8211{}36, https://doi.org/10.1257/aer.102.5.2206.","plainCitation":"Nicola Lacetera, Devin G. Pope, and Justin R. Sydnor, “Heuristic Thinking and Limited Attention in the Car Market,” American Economic Review 102, no. 5 (May 2012): 2206–36, https://doi.org/10.1257/aer.102.5.2206.","noteIndex":28},"citationItems":[{"id":371,"uris":["http://zotero.org/users/local/1X64eMx4/items/YIJY3Z8B"],"uri":["http://zotero.org/users/local/1X64eMx4/items/YIJY3Z8B"],"itemData":{"id":371,"type":"article-journal","abstract":"Can heuristic information processing affect important product markets? Analyzing over 22 million wholesale used-car transactions, we find evidence of left-digit bias in the processing of odometer values, whereby individuals focus on the number's leftmost digits. The bias leads to discontinuous drops in sale prices at 10,000-mile odometer\nthresholds, along with smaller drops at 1,000-mile thresholds. These findings reveal that information-processing heuristics matter even in markets with large stakes and easily observed information. We model left-digit bias in an inattention framework and structurally estimate the inattention parameter. Empirical patterns suggest the results are driven by final customers rather than professional agents. (JEL D12, D44, D83, L81)","container-title":"American Economic Review","DOI":"10.1257/aer.102.5.2206","ISSN":"0002-8282","issue":"5","language":"en","page":"2206-2236","source":"www-aeaweb-org.proxy.uchicago.edu","title":"Heuristic Thinking and Limited Attention in the Car Market","volume":"102","author":[{"family":"Lacetera","given":"Nicola"},{"family":"Pope","given":"Devin G."},{"family":"Sydnor","given":"Justin R."}],"issued":{"date-parts":[["2012",5]]}}}],"schema":"https://github.com/citation-style-language/schema/raw/master/csl-citation.json"}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Nicola Lacetera, Devin G. Pope, and Justin R. Sydnor, “Heuristic Thinking and Limited Attention in the Car Market,” </w:t>
      </w:r>
      <w:r w:rsidRPr="00507667">
        <w:rPr>
          <w:rFonts w:ascii="Book Antiqua" w:hAnsi="Book Antiqua" w:cs="Calibri"/>
          <w:i/>
          <w:iCs/>
        </w:rPr>
        <w:t>American Economic Review</w:t>
      </w:r>
      <w:r w:rsidRPr="00507667">
        <w:rPr>
          <w:rFonts w:ascii="Book Antiqua" w:hAnsi="Book Antiqua" w:cs="Calibri"/>
        </w:rPr>
        <w:t xml:space="preserve"> 102, no. 5 (May 2012): 2206–36, https://doi.org/10.1257/aer.102.5.2206.</w:t>
      </w:r>
      <w:r w:rsidRPr="00507667">
        <w:rPr>
          <w:rFonts w:ascii="Book Antiqua" w:hAnsi="Book Antiqua"/>
        </w:rPr>
        <w:fldChar w:fldCharType="end"/>
      </w:r>
    </w:p>
  </w:footnote>
  <w:footnote w:id="29">
    <w:p w14:paraId="0F6BCCDF" w14:textId="7CAE0ADD"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Most of the time, customers and companies do not have the same information regarding the services. While the company has the most accurate information, the customer may suffer from informational deficiencies. That is called as asymmetric information.  See, e.g., </w:t>
      </w:r>
      <w:r w:rsidRPr="00507667">
        <w:rPr>
          <w:rFonts w:ascii="Book Antiqua" w:hAnsi="Book Antiqua"/>
        </w:rPr>
        <w:fldChar w:fldCharType="begin"/>
      </w:r>
      <w:r w:rsidR="005E6535">
        <w:rPr>
          <w:rFonts w:ascii="Book Antiqua" w:hAnsi="Book Antiqua"/>
        </w:rPr>
        <w:instrText xml:space="preserve"> ADDIN ZOTERO_ITEM CSL_CITATION {"citationID":"oWwHjdh1","properties":{"formattedCitation":"Steven A. Sharpe, \\uc0\\u8220{}Asymmetric Information, Bank Lending, and Implicit Contracts: A Stylized Model of Customer Relationships,\\uc0\\u8221{} {\\i{}The Journal of Finance} 45, no. 4 (1990): 1069\\uc0\\u8211{}87.","plainCitation":"Steven A. Sharpe, “Asymmetric Information, Bank Lending, and Implicit Contracts: A Stylized Model of Customer Relationships,” The Journal of Finance 45, no. 4 (1990): 1069–87.","noteIndex":29},"citationItems":[{"id":500,"uris":["http://zotero.org/users/local/1X64eMx4/items/X4MBZQPF"],"uri":["http://zotero.org/users/local/1X64eMx4/items/X4MBZQPF"],"itemData":{"id":500,"type":"article-journal","container-title":"The journal of finance","issue":"4","note":"ISBN: 0022-1082\npublisher: Wiley Online Library","page":"1069-1087","title":"Asymmetric information, bank lending, and implicit contracts: A stylized model of customer relationships","volume":"45","author":[{"family":"Sharpe","given":"Steven A."}],"issued":{"date-parts":[["1990"]]}}}],"schema":"https://github.com/citation-style-language/schema/raw/master/csl-citation.json"}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Steven A. Sharpe, “Asymmetric Information, Bank Lending, and Implicit Contracts: A Stylized Model of Customer Relationships,” </w:t>
      </w:r>
      <w:r w:rsidRPr="00507667">
        <w:rPr>
          <w:rFonts w:ascii="Book Antiqua" w:hAnsi="Book Antiqua" w:cs="Calibri"/>
          <w:i/>
          <w:iCs/>
        </w:rPr>
        <w:t>The Journal of Finance</w:t>
      </w:r>
      <w:r w:rsidRPr="00507667">
        <w:rPr>
          <w:rFonts w:ascii="Book Antiqua" w:hAnsi="Book Antiqua" w:cs="Calibri"/>
        </w:rPr>
        <w:t xml:space="preserve"> 45, no. 4 (1990): 1069–87.</w:t>
      </w:r>
      <w:r w:rsidRPr="00507667">
        <w:rPr>
          <w:rFonts w:ascii="Book Antiqua" w:hAnsi="Book Antiqua"/>
        </w:rPr>
        <w:fldChar w:fldCharType="end"/>
      </w:r>
    </w:p>
  </w:footnote>
  <w:footnote w:id="30">
    <w:p w14:paraId="0DD9FA3B" w14:textId="66C0B5C8"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e.g., </w:t>
      </w:r>
      <w:r w:rsidRPr="00507667">
        <w:rPr>
          <w:rFonts w:ascii="Book Antiqua" w:hAnsi="Book Antiqua"/>
        </w:rPr>
        <w:fldChar w:fldCharType="begin"/>
      </w:r>
      <w:r w:rsidR="005E6535">
        <w:rPr>
          <w:rFonts w:ascii="Book Antiqua" w:hAnsi="Book Antiqua"/>
        </w:rPr>
        <w:instrText xml:space="preserve"> ADDIN ZOTERO_ITEM CSL_CITATION {"citationID":"9EAlXwse","properties":{"formattedCitation":"Gray et al., \\uc0\\u8220{}Inertia in Services.\\uc0\\u8221{}","plainCitation":"Gray et al., “Inertia in Services.”","noteIndex":30},"citationItems":[{"id":521,"uris":["http://zotero.org/users/local/1X64eMx4/items/4QTPYKIR"],"uri":["http://zotero.org/users/local/1X64eMx4/items/4QTPYKIR"],"itemData":{"id":521,"type":"article-journal","abstract":"Purpose This paper aims to examine the antecedents of customer inertia (i.e. knowledge, confusion, perceptions of competitor similarity and switching costs) and their relationship to customer satisfaction, service providers’ switching intentions and actual switching behavior. Customer inertia is said to reduce the incidence of service provider switching; however, little is known about the antecedent drivers of inertia. Design/methodology/approach The conceptual model was tested by a longitudinal/discontinuous panel design using an online survey research of 1055 adult (i.e. +18 years old) subscribers to cell phone services. Partial least squares (PLS) path modeling was used to simultaneously estimate both the measurement and structural components of the model to determine the nature of the relationships between the variables. Findings Findings of the PLS structural model provide support for the direct relationship between customer inertia and its antecedents (i.e. knowledge, confusion, perceptions of competitor similarity and switching costs). The results show that customer inertia has a moderate negative effect on the intention to change service providers but had no measurable effect on the actual behavior of changing service providers, other than indirectly, by influencing the perception of difficulty in switching some 11 months later. Further results from an analysis of indirect pathways of the antecedents to inertia show that switching costs are the only variable which indirectly reduce intentions to change service providers. The results also show that the effect of satisfaction on switching service providers is partially moderated by inertia. Importantly, these relationships are reasonably robust given past switching behavior and contract status of consumers. Research limitations/implications The authors find evidence which explains some of the causes of inertia, and show that it has both direct and moderating effects on service provider switching intentions, though not necessarily the behavior of changing service providers. However, support was found for its indirect role through intent as an influence on switching behavior. Importantly, the authors find that inertia has lingering effects, in that it influences the perception of switching difficulties and, hence, behavior up to 11 months in the future. Practical implications Managerial implications are that service firms can profit from customer inertia through a reduction in churn. However, high levels of customer inertia over the longer term may increase the level of customer vulnerability to competitor offers and marketing activities, as satisfaction with the provider does not in itself explain switching intentions or behavior. Originality/value This study is the first study to contribute to an understanding of the antecedent drivers of customer inertia with respect to service provider switching and to empirically evaluate a variety of antecedent factors that potentially affect switching intentions. Importantly, the long lasting latent effect of inertia in indirectly influencing service switching behavior was found to persist some 11 months later.","container-title":"Journal of Services Marketing","DOI":"10.1108/JSM-12-2014-0408","ISSN":"0887-6045","issue":"6","note":"publisher: Emerald Publishing Limited","page":"485-498","source":"Emerald Insight","title":"Inertia in services: causes and consequences for switching","title-short":"Inertia in services","volume":"31","author":[{"family":"Gray","given":"David M."},{"family":"D’Alessandro","given":"Steven"},{"family":"Johnson","given":"Lester W."},{"family":"Carter","given":"Leanne"}],"issued":{"date-parts":[["2017",1,1]]}}}],"schema":"https://github.com/citation-style-language/schema/raw/master/csl-citation.json"}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Gray et al., “Inertia in Services.”</w:t>
      </w:r>
      <w:r w:rsidRPr="00507667">
        <w:rPr>
          <w:rFonts w:ascii="Book Antiqua" w:hAnsi="Book Antiqua"/>
        </w:rPr>
        <w:fldChar w:fldCharType="end"/>
      </w:r>
    </w:p>
  </w:footnote>
  <w:footnote w:id="31">
    <w:p w14:paraId="359F4C8C" w14:textId="5C403449"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00507667">
        <w:rPr>
          <w:rFonts w:ascii="Book Antiqua" w:hAnsi="Book Antiqua"/>
        </w:rPr>
        <w:t xml:space="preserve">See </w:t>
      </w:r>
      <w:r w:rsidRPr="00507667">
        <w:rPr>
          <w:rFonts w:ascii="Book Antiqua" w:hAnsi="Book Antiqua"/>
        </w:rPr>
        <w:fldChar w:fldCharType="begin"/>
      </w:r>
      <w:r w:rsidR="005E6535">
        <w:rPr>
          <w:rFonts w:ascii="Book Antiqua" w:hAnsi="Book Antiqua"/>
        </w:rPr>
        <w:instrText xml:space="preserve"> ADDIN ZOTERO_ITEM CSL_CITATION {"citationID":"oEFsa814","properties":{"formattedCitation":"Isaac Newton, {\\i{}Philosophiae Naturalis Principia Mathematica}, vol. 2 (typis A. et JM Duncan, 1833).","plainCitation":"Isaac Newton, Philosophiae Naturalis Principia Mathematica, vol. 2 (typis A. et JM Duncan, 1833).","noteIndex":31},"citationItems":[{"id":501,"uris":["http://zotero.org/users/local/1X64eMx4/items/T4WW3BPF"],"uri":["http://zotero.org/users/local/1X64eMx4/items/T4WW3BPF"],"itemData":{"id":501,"type":"book","publisher":"typis A. et JM Duncan","title":"Philosophiae naturalis principia mathematica","volume":"2","author":[{"family":"Newton","given":"Isaac"}],"issued":{"date-parts":[["1833"]]}}}],"schema":"https://github.com/citation-style-language/schema/raw/master/csl-citation.json"}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Isaac Newton, </w:t>
      </w:r>
      <w:r w:rsidRPr="00507667">
        <w:rPr>
          <w:rFonts w:ascii="Book Antiqua" w:hAnsi="Book Antiqua" w:cs="Calibri"/>
          <w:i/>
          <w:iCs/>
        </w:rPr>
        <w:t>Philosophiae Naturalis Principia Mathematica</w:t>
      </w:r>
      <w:r w:rsidRPr="00507667">
        <w:rPr>
          <w:rFonts w:ascii="Book Antiqua" w:hAnsi="Book Antiqua" w:cs="Calibri"/>
        </w:rPr>
        <w:t>, vol. 2 (typis A. et JM Duncan, 1833).</w:t>
      </w:r>
      <w:r w:rsidRPr="00507667">
        <w:rPr>
          <w:rFonts w:ascii="Book Antiqua" w:hAnsi="Book Antiqua"/>
        </w:rPr>
        <w:fldChar w:fldCharType="end"/>
      </w:r>
    </w:p>
  </w:footnote>
  <w:footnote w:id="32">
    <w:p w14:paraId="3B485FEA" w14:textId="49F1DE4C"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00507667">
        <w:rPr>
          <w:rFonts w:ascii="Book Antiqua" w:hAnsi="Book Antiqua"/>
        </w:rPr>
        <w:t xml:space="preserve">See </w:t>
      </w:r>
      <w:r w:rsidRPr="00507667">
        <w:rPr>
          <w:rFonts w:ascii="Book Antiqua" w:hAnsi="Book Antiqua"/>
        </w:rPr>
        <w:fldChar w:fldCharType="begin"/>
      </w:r>
      <w:r w:rsidR="005E6535">
        <w:rPr>
          <w:rFonts w:ascii="Book Antiqua" w:hAnsi="Book Antiqua"/>
        </w:rPr>
        <w:instrText xml:space="preserve"> ADDIN ZOTERO_ITEM CSL_CITATION {"citationID":"HrIxozZ7","properties":{"formattedCitation":"Robert J. Brulle and Kari Marie Norgaard, \\uc0\\u8220{}Avoiding Cultural Trauma: Climate Change and Social Inertia,\\uc0\\u8221{} {\\i{}Environmental Politics}, 2019.","plainCitation":"Robert J. Brulle and Kari Marie Norgaard, “Avoiding Cultural Trauma: Climate Change and Social Inertia,” Environmental Politics, 2019.","noteIndex":32},"citationItems":[{"id":502,"uris":["http://zotero.org/users/local/1X64eMx4/items/RQNJBJYY"],"uri":["http://zotero.org/users/local/1X64eMx4/items/RQNJBJYY"],"itemData":{"id":502,"type":"article-journal","container-title":"Environmental Politics","note":"publisher: Taylor &amp; Francis","title":"Avoiding cultural trauma: Climate change and social inertia","author":[{"family":"Brulle","given":"Robert J."},{"family":"Norgaard","given":"Kari Marie"}],"issued":{"date-parts":[["2019"]]}}}],"schema":"https://github.com/citation-style-language/schema/raw/master/csl-citation.json"}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Robert J. Brulle and Kari Marie Norgaard, “Avoiding Cultural Trauma: Climate Change and Social Inertia,” </w:t>
      </w:r>
      <w:r w:rsidRPr="00507667">
        <w:rPr>
          <w:rFonts w:ascii="Book Antiqua" w:hAnsi="Book Antiqua" w:cs="Calibri"/>
          <w:i/>
          <w:iCs/>
        </w:rPr>
        <w:t>Environmental Politics</w:t>
      </w:r>
      <w:r w:rsidRPr="00507667">
        <w:rPr>
          <w:rFonts w:ascii="Book Antiqua" w:hAnsi="Book Antiqua" w:cs="Calibri"/>
        </w:rPr>
        <w:t>, 2019.</w:t>
      </w:r>
      <w:r w:rsidRPr="00507667">
        <w:rPr>
          <w:rFonts w:ascii="Book Antiqua" w:hAnsi="Book Antiqua"/>
        </w:rPr>
        <w:fldChar w:fldCharType="end"/>
      </w:r>
    </w:p>
  </w:footnote>
  <w:footnote w:id="33">
    <w:p w14:paraId="629471AB" w14:textId="77777777"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There can be several reasons for this, such as asymmetrical stakes. Inertia matters more for firms than customers. </w:t>
      </w:r>
    </w:p>
  </w:footnote>
  <w:footnote w:id="34">
    <w:p w14:paraId="73D988E8" w14:textId="2648C7D7"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e.g., </w:t>
      </w:r>
      <w:r w:rsidRPr="00507667">
        <w:rPr>
          <w:rFonts w:ascii="Book Antiqua" w:hAnsi="Book Antiqua"/>
        </w:rPr>
        <w:fldChar w:fldCharType="begin"/>
      </w:r>
      <w:r w:rsidR="005E6535">
        <w:rPr>
          <w:rFonts w:ascii="Book Antiqua" w:hAnsi="Book Antiqua"/>
        </w:rPr>
        <w:instrText xml:space="preserve"> ADDIN ZOTERO_ITEM CSL_CITATION {"citationID":"yij0G5uR","properties":{"formattedCitation":"Roberto Verganti and Tommaso Buganza, \\uc0\\u8220{}Design Inertia: Designing for Life\\uc0\\u8208{}cycle Flexibility in Internet\\uc0\\u8208{}based Services,\\uc0\\u8221{} {\\i{}Journal of Product Innovation Management} 22, no. 3 (2005): 223\\uc0\\u8211{}37.","plainCitation":"Roberto Verganti and Tommaso Buganza, “Design Inertia: Designing for Life</w:instrText>
      </w:r>
      <w:r w:rsidR="005E6535">
        <w:rPr>
          <w:rFonts w:ascii="Times New Roman" w:hAnsi="Times New Roman" w:cs="Times New Roman"/>
        </w:rPr>
        <w:instrText>‐</w:instrText>
      </w:r>
      <w:r w:rsidR="005E6535">
        <w:rPr>
          <w:rFonts w:ascii="Book Antiqua" w:hAnsi="Book Antiqua"/>
        </w:rPr>
        <w:instrText>cycle Flexibility in Internet</w:instrText>
      </w:r>
      <w:r w:rsidR="005E6535">
        <w:rPr>
          <w:rFonts w:ascii="Times New Roman" w:hAnsi="Times New Roman" w:cs="Times New Roman"/>
        </w:rPr>
        <w:instrText>‐</w:instrText>
      </w:r>
      <w:r w:rsidR="005E6535">
        <w:rPr>
          <w:rFonts w:ascii="Book Antiqua" w:hAnsi="Book Antiqua"/>
        </w:rPr>
        <w:instrText>based Services,</w:instrText>
      </w:r>
      <w:r w:rsidR="005E6535">
        <w:rPr>
          <w:rFonts w:ascii="Book Antiqua" w:hAnsi="Book Antiqua" w:cs="Book Antiqua"/>
        </w:rPr>
        <w:instrText>”</w:instrText>
      </w:r>
      <w:r w:rsidR="005E6535">
        <w:rPr>
          <w:rFonts w:ascii="Book Antiqua" w:hAnsi="Book Antiqua"/>
        </w:rPr>
        <w:instrText xml:space="preserve"> Journal of Product Innovation Management 22, no. 3 (2005): 223</w:instrText>
      </w:r>
      <w:r w:rsidR="005E6535">
        <w:rPr>
          <w:rFonts w:ascii="Book Antiqua" w:hAnsi="Book Antiqua" w:cs="Book Antiqua"/>
        </w:rPr>
        <w:instrText>–</w:instrText>
      </w:r>
      <w:r w:rsidR="005E6535">
        <w:rPr>
          <w:rFonts w:ascii="Book Antiqua" w:hAnsi="Book Antiqua"/>
        </w:rPr>
        <w:instrText>37.","noteIndex":34},"citationItems":[{"id":302,"uris":["http://zotero.org/users/local/1X64eMx4/items/9NYNB9P5"],"uri":["http://zotero.org/users/local/1X64eMx4/items/9NYNB9P5"],"itemData":{"id":302,"type":"article-journal","container-title":"Journal of Product Innovation Management","issue":"3","note":"ISBN: 0737-6782\npublisher: Wiley Online Library","page":"223-237","title":"Design inertia: designing for life</w:instrText>
      </w:r>
      <w:r w:rsidR="005E6535">
        <w:rPr>
          <w:rFonts w:ascii="Times New Roman" w:hAnsi="Times New Roman" w:cs="Times New Roman"/>
        </w:rPr>
        <w:instrText>‐</w:instrText>
      </w:r>
      <w:r w:rsidR="005E6535">
        <w:rPr>
          <w:rFonts w:ascii="Book Antiqua" w:hAnsi="Book Antiqua"/>
        </w:rPr>
        <w:instrText>cycle flexibility in internet</w:instrText>
      </w:r>
      <w:r w:rsidR="005E6535">
        <w:rPr>
          <w:rFonts w:ascii="Times New Roman" w:hAnsi="Times New Roman" w:cs="Times New Roman"/>
        </w:rPr>
        <w:instrText>‐</w:instrText>
      </w:r>
      <w:r w:rsidR="005E6535">
        <w:rPr>
          <w:rFonts w:ascii="Book Antiqua" w:hAnsi="Book Antiqua"/>
        </w:rPr>
        <w:instrText xml:space="preserve">based services","volume":"22","author":[{"family":"Verganti","given":"Roberto"},{"family":"Buganza","given":"Tommaso"}],"issued":{"date-parts":[["2005"]]}}}],"schema":"https://github.com/citation-style-language/schema/raw/master/csl-citation.json"}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Roberto Verganti and Tommaso Buganza, “Design Inertia: Designing for Life</w:t>
      </w:r>
      <w:r w:rsidRPr="00507667">
        <w:rPr>
          <w:rFonts w:ascii="Times New Roman" w:hAnsi="Times New Roman" w:cs="Times New Roman"/>
        </w:rPr>
        <w:t>‐</w:t>
      </w:r>
      <w:r w:rsidRPr="00507667">
        <w:rPr>
          <w:rFonts w:ascii="Book Antiqua" w:hAnsi="Book Antiqua" w:cs="Calibri"/>
        </w:rPr>
        <w:t>cycle Flexibility in Internet</w:t>
      </w:r>
      <w:r w:rsidRPr="00507667">
        <w:rPr>
          <w:rFonts w:ascii="Times New Roman" w:hAnsi="Times New Roman" w:cs="Times New Roman"/>
        </w:rPr>
        <w:t>‐</w:t>
      </w:r>
      <w:r w:rsidRPr="00507667">
        <w:rPr>
          <w:rFonts w:ascii="Book Antiqua" w:hAnsi="Book Antiqua" w:cs="Calibri"/>
        </w:rPr>
        <w:t>based Services,</w:t>
      </w:r>
      <w:r w:rsidRPr="00507667">
        <w:rPr>
          <w:rFonts w:ascii="Book Antiqua" w:hAnsi="Book Antiqua" w:cs="Book Antiqua"/>
        </w:rPr>
        <w:t>”</w:t>
      </w:r>
      <w:r w:rsidRPr="00507667">
        <w:rPr>
          <w:rFonts w:ascii="Book Antiqua" w:hAnsi="Book Antiqua" w:cs="Calibri"/>
        </w:rPr>
        <w:t xml:space="preserve"> </w:t>
      </w:r>
      <w:r w:rsidRPr="00507667">
        <w:rPr>
          <w:rFonts w:ascii="Book Antiqua" w:hAnsi="Book Antiqua" w:cs="Calibri"/>
          <w:i/>
          <w:iCs/>
        </w:rPr>
        <w:t>Journal of Product Innovation Management</w:t>
      </w:r>
      <w:r w:rsidRPr="00507667">
        <w:rPr>
          <w:rFonts w:ascii="Book Antiqua" w:hAnsi="Book Antiqua" w:cs="Calibri"/>
        </w:rPr>
        <w:t xml:space="preserve"> 22, no. 3 (2005): 223–37.</w:t>
      </w:r>
      <w:r w:rsidRPr="00507667">
        <w:rPr>
          <w:rFonts w:ascii="Book Antiqua" w:hAnsi="Book Antiqua"/>
        </w:rPr>
        <w:fldChar w:fldCharType="end"/>
      </w:r>
    </w:p>
  </w:footnote>
  <w:footnote w:id="35">
    <w:p w14:paraId="7B6619AC" w14:textId="04AD8001"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w:t>
      </w:r>
      <w:r w:rsidRPr="00507667">
        <w:rPr>
          <w:rFonts w:ascii="Book Antiqua" w:hAnsi="Book Antiqua"/>
        </w:rPr>
        <w:fldChar w:fldCharType="begin"/>
      </w:r>
      <w:r w:rsidR="005E6535">
        <w:rPr>
          <w:rFonts w:ascii="Book Antiqua" w:hAnsi="Book Antiqua"/>
        </w:rPr>
        <w:instrText xml:space="preserve"> ADDIN ZOTERO_ITEM CSL_CITATION {"citationID":"O9ziKzfe","properties":{"formattedCitation":"Conor M. Henderson et al., \\uc0\\u8220{}Customer Inertia Marketing,\\uc0\\u8221{} {\\i{}Journal of the Academy of Marketing Science} 49, no. 2 (2021): 350\\uc0\\u8211{}73.","plainCitation":"Conor M. Henderson et al., “Customer Inertia Marketing,” Journal of the Academy of Marketing Science 49, no. 2 (2021): 350–73.","noteIndex":35},"citationItems":[{"id":303,"uris":["http://zotero.org/users/local/1X64eMx4/items/CF8C8R6N"],"uri":["http://zotero.org/users/local/1X64eMx4/items/CF8C8R6N"],"itemData":{"id":303,"type":"article-journal","container-title":"Journal of the Academy of Marketing Science","issue":"2","note":"ISBN: 1552-7824\npublisher: Springer","page":"350-373","title":"Customer inertia marketing","volume":"49","author":[{"family":"Henderson","given":"Conor M."},{"family":"Steinhoff","given":"Lena"},{"family":"Harmeling","given":"Colleen M."},{"family":"Palmatier","given":"Robert W."}],"issued":{"date-parts":[["2021"]]}}}],"schema":"https://github.com/citation-style-language/schema/raw/master/csl-citation.json"}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Conor M. Henderson et al., “Customer Inertia Marketing,” </w:t>
      </w:r>
      <w:r w:rsidRPr="00507667">
        <w:rPr>
          <w:rFonts w:ascii="Book Antiqua" w:hAnsi="Book Antiqua" w:cs="Calibri"/>
          <w:i/>
          <w:iCs/>
        </w:rPr>
        <w:t>Journal of the Academy of Marketing Science</w:t>
      </w:r>
      <w:r w:rsidRPr="00507667">
        <w:rPr>
          <w:rFonts w:ascii="Book Antiqua" w:hAnsi="Book Antiqua" w:cs="Calibri"/>
        </w:rPr>
        <w:t xml:space="preserve"> 49, no. 2 (2021): 350–73.</w:t>
      </w:r>
      <w:r w:rsidRPr="00507667">
        <w:rPr>
          <w:rFonts w:ascii="Book Antiqua" w:hAnsi="Book Antiqua"/>
        </w:rPr>
        <w:fldChar w:fldCharType="end"/>
      </w:r>
    </w:p>
  </w:footnote>
  <w:footnote w:id="36">
    <w:p w14:paraId="16F3E32F" w14:textId="3B7B81AA"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w:t>
      </w:r>
      <w:r w:rsidRPr="00507667">
        <w:rPr>
          <w:rFonts w:ascii="Book Antiqua" w:hAnsi="Book Antiqua"/>
        </w:rPr>
        <w:fldChar w:fldCharType="begin"/>
      </w:r>
      <w:r w:rsidR="005E6535">
        <w:rPr>
          <w:rFonts w:ascii="Book Antiqua" w:hAnsi="Book Antiqua"/>
        </w:rPr>
        <w:instrText xml:space="preserve"> ADDIN ZOTERO_ITEM CSL_CITATION {"citationID":"P9pq1ksY","properties":{"formattedCitation":"Matti Lepp\\uc0\\u228{}niemi et al., \\uc0\\u8220{}Unlocking Behaviors of Long-Term Service Consumers: The Role of Action Inertia,\\uc0\\u8221{} {\\i{}Journal of Service Theory and Practice} 27 (January 9, 2017): 270\\uc0\\u8211{}91, https://doi.org/10.1108/JSTP-06-2015-0127.","plainCitation":"Matti Leppäniemi et al., “Unlocking Behaviors of Long-Term Service Consumers: The Role of Action Inertia,” Journal of Service Theory and Practice 27 (January 9, 2017): 270–91, https://doi.org/10.1108/JSTP-06-2015-0127.","noteIndex":36},"citationItems":[{"id":443,"uris":["http://zotero.org/users/local/1X64eMx4/items/7KF6RQRU"],"uri":["http://zotero.org/users/local/1X64eMx4/items/7KF6RQRU"],"itemData":{"id":443,"type":"article-journal","abstract":"Purpose\n\nThe purpose of this paper is to examine the antecedents of word-of-mouth (WOM) in long-term service settings. Specifically, the authors examine the moderating role of action inertia in the relationships between satisfaction and repatronage intention, satisfaction and WOM, and repatronage intention and WOM.\n\nDesign/methodology/approach\n\nThe proposed model was empirically tested using survey data from 1,385 telecommunications service subscribers. The data were analyzed using partial least squares path modeling.\n\nFindings\n\nResults suggest that a positive link between repatronage intention and WOM, hereto a neglected relationship in the marketing literature, in contrast to previous literature, the behaviors of long-term customers are not predictable, and action inertia strengthens satisfaction – WOM and repatronage intention – WOM links and weakens satisfaction – repatronage intention link.\n\nResearch limitations/implications\n\nThis study examines customers of a utilitarian service. To further determine the potential of the model, it is desirable to explore the validity of the model in other service settings, particularly those with high hedonic values.\n\nPractical implications\n\nThe study provides valuable insights into repatronage intention – WOM link, with particular emphasis on the measurement and analysis of action inertia. This is important in understanding and evaluating inertia influences and identification of the drivers of WOM. These insights can be used by managers to better allocate their resources when investing in customer loyalty-building exercises and in generating WOM.\n\nOriginality/value\n\nThis paper contributes to the literature in three main ways. First, it examines the nuances of customer loyalty in continuous service contexts. Second, the study empirically tests the role of repatronage intention as an antecedent of WOM. Third, the study introduces and tests the moderating role of action inertia on positive WOM.","container-title":"Journal of Service Theory and Practice","DOI":"10.1108/JSTP-06-2015-0127","journalAbbreviation":"Journal of Service Theory and Practice","page":"270-291","source":"ResearchGate","title":"Unlocking behaviors of long-term service consumers: the role of action inertia","title-short":"Unlocking behaviors of long-term service consumers","volume":"27","author":[{"family":"Leppäniemi","given":"Matti"},{"family":"Jayawardhena","given":"Chanaka"},{"family":"Karjaluoto","given":"Heikki"},{"family":"Harness","given":"David"}],"issued":{"date-parts":[["2017",1,9]]}}}],"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Matti Leppäniemi et al., “Unlocking Behaviors of Long-Term Service Consumers: The Role of Action Inertia,” </w:t>
      </w:r>
      <w:r w:rsidRPr="00507667">
        <w:rPr>
          <w:rFonts w:ascii="Book Antiqua" w:hAnsi="Book Antiqua" w:cs="Calibri"/>
          <w:i/>
          <w:iCs/>
        </w:rPr>
        <w:t>Journal of Service Theory and Practice</w:t>
      </w:r>
      <w:r w:rsidRPr="00507667">
        <w:rPr>
          <w:rFonts w:ascii="Book Antiqua" w:hAnsi="Book Antiqua" w:cs="Calibri"/>
        </w:rPr>
        <w:t xml:space="preserve"> 27 (January 9, 2017): 270–91, https://doi.org/10.1108/JSTP-06-2015-0127.</w:t>
      </w:r>
      <w:r w:rsidRPr="00507667">
        <w:rPr>
          <w:rFonts w:ascii="Book Antiqua" w:hAnsi="Book Antiqua"/>
        </w:rPr>
        <w:fldChar w:fldCharType="end"/>
      </w:r>
    </w:p>
  </w:footnote>
  <w:footnote w:id="37">
    <w:p w14:paraId="255F33C1" w14:textId="71314FD7"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w:t>
      </w:r>
      <w:r w:rsidRPr="00507667">
        <w:rPr>
          <w:rFonts w:ascii="Book Antiqua" w:hAnsi="Book Antiqua"/>
        </w:rPr>
        <w:fldChar w:fldCharType="begin"/>
      </w:r>
      <w:r w:rsidR="005E6535">
        <w:rPr>
          <w:rFonts w:ascii="Book Antiqua" w:hAnsi="Book Antiqua"/>
        </w:rPr>
        <w:instrText xml:space="preserve"> ADDIN ZOTERO_ITEM CSL_CITATION {"citationID":"HmNFThxA","properties":{"formattedCitation":"Richard L. Oliver, {\\i{}Satisfaction: A Behavioral Perspective on the Consumer: A Behavioral Perspective on the Consumer} (Routledge, 2014).","plainCitation":"Richard L. Oliver, Satisfaction: A Behavioral Perspective on the Consumer: A Behavioral Perspective on the Consumer (Routledge, 2014).","noteIndex":37},"citationItems":[{"id":446,"uris":["http://zotero.org/users/local/1X64eMx4/items/AZNU7XA3"],"uri":["http://zotero.org/users/local/1X64eMx4/items/AZNU7XA3"],"itemData":{"id":446,"type":"book","ISBN":"1-317-46022-7","publisher":"Routledge","title":"Satisfaction: A behavioral perspective on the consumer: A behavioral perspective on the consumer","author":[{"family":"Oliver","given":"Richard L."}],"issued":{"date-parts":[["2014"]]}}}],"schema":"https://github.com/citation-style-language/schema/raw/master/csl-citation.json"}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Richard L. Oliver, </w:t>
      </w:r>
      <w:r w:rsidRPr="00507667">
        <w:rPr>
          <w:rFonts w:ascii="Book Antiqua" w:hAnsi="Book Antiqua" w:cs="Calibri"/>
          <w:i/>
          <w:iCs/>
        </w:rPr>
        <w:t>Satisfaction: A Behavioral Perspective on the Consumer: A Behavioral Perspective on the Consumer</w:t>
      </w:r>
      <w:r w:rsidRPr="00507667">
        <w:rPr>
          <w:rFonts w:ascii="Book Antiqua" w:hAnsi="Book Antiqua" w:cs="Calibri"/>
        </w:rPr>
        <w:t xml:space="preserve"> (Routledge, 2014).</w:t>
      </w:r>
      <w:r w:rsidRPr="00507667">
        <w:rPr>
          <w:rFonts w:ascii="Book Antiqua" w:hAnsi="Book Antiqua"/>
        </w:rPr>
        <w:fldChar w:fldCharType="end"/>
      </w:r>
    </w:p>
  </w:footnote>
  <w:footnote w:id="38">
    <w:p w14:paraId="505136FF" w14:textId="0D5D25AE"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w:t>
      </w:r>
      <w:r w:rsidRPr="00507667">
        <w:rPr>
          <w:rFonts w:ascii="Book Antiqua" w:hAnsi="Book Antiqua"/>
        </w:rPr>
        <w:fldChar w:fldCharType="begin"/>
      </w:r>
      <w:r w:rsidR="005E6535">
        <w:rPr>
          <w:rFonts w:ascii="Book Antiqua" w:hAnsi="Book Antiqua"/>
        </w:rPr>
        <w:instrText xml:space="preserve"> ADDIN ZOTERO_ITEM CSL_CITATION {"citationID":"QU5RBqdA","properties":{"formattedCitation":"Greta L. Polites and Elena Karahanna, \\uc0\\u8220{}Shackled to the Status Quo: The Inhibiting Effects of Incumbent System Habit, Switching Costs, and Inertia on New System Acceptance,\\uc0\\u8221{} {\\i{}MIS Quarterly}, 2012, 21\\uc0\\u8211{}42.","plainCitation":"Greta L. Polites and Elena Karahanna, “Shackled to the Status Quo: The Inhibiting Effects of Incumbent System Habit, Switching Costs, and Inertia on New System Acceptance,” MIS Quarterly, 2012, 21–42.","noteIndex":38},"citationItems":[{"id":447,"uris":["http://zotero.org/users/local/1X64eMx4/items/JLNTXXPX"],"uri":["http://zotero.org/users/local/1X64eMx4/items/JLNTXXPX"],"itemData":{"id":447,"type":"article-journal","container-title":"MIS quarterly","note":"ISBN: 0276-7783\npublisher: JSTOR","page":"21-42","title":"Shackled to the status quo: The inhibiting effects of incumbent system habit, switching costs, and inertia on new system acceptance","author":[{"family":"Polites","given":"Greta L."},{"family":"Karahanna","given":"Elena"}],"issued":{"date-parts":[["2012"]]}}}],"schema":"https://github.com/citation-style-language/schema/raw/master/csl-citation.json"}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Greta L. Polites and Elena Karahanna, “Shackled to the Status Quo: The Inhibiting Effects of Incumbent System Habit, Switching Costs, and Inertia on New System Acceptance,” </w:t>
      </w:r>
      <w:r w:rsidRPr="00507667">
        <w:rPr>
          <w:rFonts w:ascii="Book Antiqua" w:hAnsi="Book Antiqua" w:cs="Calibri"/>
          <w:i/>
          <w:iCs/>
        </w:rPr>
        <w:t>MIS Quarterly</w:t>
      </w:r>
      <w:r w:rsidRPr="00507667">
        <w:rPr>
          <w:rFonts w:ascii="Book Antiqua" w:hAnsi="Book Antiqua" w:cs="Calibri"/>
        </w:rPr>
        <w:t>, 2012, 21–42.</w:t>
      </w:r>
      <w:r w:rsidRPr="00507667">
        <w:rPr>
          <w:rFonts w:ascii="Book Antiqua" w:hAnsi="Book Antiqua"/>
        </w:rPr>
        <w:fldChar w:fldCharType="end"/>
      </w:r>
    </w:p>
  </w:footnote>
  <w:footnote w:id="39">
    <w:p w14:paraId="56B7C434" w14:textId="40ACA218"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w:t>
      </w:r>
      <w:r w:rsidRPr="00507667">
        <w:rPr>
          <w:rFonts w:ascii="Book Antiqua" w:hAnsi="Book Antiqua"/>
        </w:rPr>
        <w:fldChar w:fldCharType="begin"/>
      </w:r>
      <w:r w:rsidR="005E6535">
        <w:rPr>
          <w:rFonts w:ascii="Book Antiqua" w:hAnsi="Book Antiqua"/>
        </w:rPr>
        <w:instrText xml:space="preserve"> ADDIN ZOTERO_ITEM CSL_CITATION {"citationID":"DiBvFz9q","properties":{"formattedCitation":"Laura Lucia-Palacios, Ra\\uc0\\u250{}l P\\uc0\\u233{}rez-L\\uc0\\u243{}pez, and Yolanda Polo-Redondo, \\uc0\\u8220{}Enemies of Cloud Services Usage: Inertia and Switching Costs,\\uc0\\u8221{} {\\i{}Service Business} 10, no. 2 (2016): 447\\uc0\\u8211{}67.","plainCitation":"Laura Lucia-Palacios, Raúl Pérez-López, and Yolanda Polo-Redondo, “Enemies of Cloud Services Usage: Inertia and Switching Costs,” Service Business 10, no. 2 (2016): 447–67.","noteIndex":39},"citationItems":[{"id":448,"uris":["http://zotero.org/users/local/1X64eMx4/items/MP2UIJG9"],"uri":["http://zotero.org/users/local/1X64eMx4/items/MP2UIJG9"],"itemData":{"id":448,"type":"article-journal","container-title":"Service Business","issue":"2","note":"ISBN: 1862-8508\npublisher: Springer","page":"447-467","title":"Enemies of cloud services usage: inertia and switching costs","volume":"10","author":[{"family":"Lucia-Palacios","given":"Laura"},{"family":"Pérez-López","given":"Raúl"},{"family":"Polo-Redondo","given":"Yolanda"}],"issued":{"date-parts":[["2016"]]}}}],"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Laura Lucia-Palacios, Raúl Pérez-López, and Yolanda Polo-Redondo, “Enemies of Cloud Services Usage: Inertia and Switching Costs,” </w:t>
      </w:r>
      <w:r w:rsidRPr="00507667">
        <w:rPr>
          <w:rFonts w:ascii="Book Antiqua" w:hAnsi="Book Antiqua" w:cs="Calibri"/>
          <w:i/>
          <w:iCs/>
        </w:rPr>
        <w:t>Service Business</w:t>
      </w:r>
      <w:r w:rsidRPr="00507667">
        <w:rPr>
          <w:rFonts w:ascii="Book Antiqua" w:hAnsi="Book Antiqua" w:cs="Calibri"/>
        </w:rPr>
        <w:t xml:space="preserve"> 10, no. 2 (2016): 447–67.</w:t>
      </w:r>
      <w:r w:rsidRPr="00507667">
        <w:rPr>
          <w:rFonts w:ascii="Book Antiqua" w:hAnsi="Book Antiqua"/>
        </w:rPr>
        <w:fldChar w:fldCharType="end"/>
      </w:r>
    </w:p>
  </w:footnote>
  <w:footnote w:id="40">
    <w:p w14:paraId="62EEEA7C" w14:textId="37CF61FA"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w:t>
      </w:r>
      <w:r w:rsidRPr="00507667">
        <w:rPr>
          <w:rFonts w:ascii="Book Antiqua" w:hAnsi="Book Antiqua"/>
        </w:rPr>
        <w:fldChar w:fldCharType="begin"/>
      </w:r>
      <w:r w:rsidR="005E6535">
        <w:rPr>
          <w:rFonts w:ascii="Book Antiqua" w:hAnsi="Book Antiqua"/>
        </w:rPr>
        <w:instrText xml:space="preserve"> ADDIN ZOTERO_ITEM CSL_CITATION {"citationID":"O7GICsYY","properties":{"formattedCitation":"Li-Wei Wu, \\uc0\\u8220{}Satisfaction, Inertia, and Customer Loyalty in the Varying Levels of the Zone of Tolerance and Alternative Attractiveness,\\uc0\\u8221{} {\\i{}Journal of Services Marketing} 25 (August 2, 2011): 310\\uc0\\u8211{}22, https://doi.org/10.1108/08876041111149676.","plainCitation":"Li-Wei Wu, “Satisfaction, Inertia, and Customer Loyalty in the Varying Levels of the Zone of Tolerance and Alternative Attractiveness,” Journal of Services Marketing 25 (August 2, 2011): 310–22, https://doi.org/10.1108/08876041111149676.","noteIndex":40},"citationItems":[{"id":449,"uris":["http://zotero.org/users/local/1X64eMx4/items/K3BC9PDA"],"uri":["http://zotero.org/users/local/1X64eMx4/items/K3BC9PDA"],"itemData":{"id":449,"type":"article-journal","abstract":"Purpose – Empirical studies investigating the antecedents of customer loyalty typically focus on satisfaction. This study aims to develop and test a more comprehensive model of the antecedents of customer loyalty, including satisfaction and inertia. In addition, this study also considers how the effects of satisfaction and inertia on customer loyalty vary with differing levels of the zone of tolerance (ZOT), and how these are likely to change due to customers' alternative attractiveness. Design/methodology/approach – Hierarchical moderated regression analysis was used to test the hypotheses. Findings – The results show that a wider level of the ZOT strengthens the positive effect of inertia on customer loyalty, while also reducing the positive effect of satisfaction. The results also indicate that the negative moderating effect of the ZOT on the relationship between satisfaction and customer loyalty will reduce as alternative attractiveness increases. In contrast, the positive moderating effect of the ZOT on the relationship between inertia and customer loyalty will reduce as alternative attractiveness increases. Originality/value – This study is a first attempt to integrate the ZOT to determine the relative importance of satisfaction and inertia in determining customer loyalty. In addition, this study suggests that customers with higher perceptions of alternative attractiveness are more likely to experience changes in the influence of the ZOT on their loyalty decisions.","container-title":"Journal of Services Marketing","DOI":"10.1108/08876041111149676","journalAbbreviation":"Journal of Services Marketing","page":"310-322","source":"ResearchGate","title":"Satisfaction, inertia, and customer loyalty in the varying levels of the zone of tolerance and alternative attractiveness","volume":"25","author":[{"family":"Wu","given":"Li-Wei"}],"issued":{"date-parts":[["2011",8,2]]}}}],"schema":"https://github.com/citation-style-language/schema/raw/master/csl-citation.json"}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Li-Wei Wu, “Satisfaction, Inertia, and Customer Loyalty in the Varying Levels of the Zone of Tolerance and Alternative Attractiveness,” </w:t>
      </w:r>
      <w:r w:rsidRPr="00507667">
        <w:rPr>
          <w:rFonts w:ascii="Book Antiqua" w:hAnsi="Book Antiqua" w:cs="Calibri"/>
          <w:i/>
          <w:iCs/>
        </w:rPr>
        <w:t>Journal of Services Marketing</w:t>
      </w:r>
      <w:r w:rsidRPr="00507667">
        <w:rPr>
          <w:rFonts w:ascii="Book Antiqua" w:hAnsi="Book Antiqua" w:cs="Calibri"/>
        </w:rPr>
        <w:t xml:space="preserve"> 25 (August 2, 2011): 310–22, https://doi.org/10.1108/08876041111149676.</w:t>
      </w:r>
      <w:r w:rsidRPr="00507667">
        <w:rPr>
          <w:rFonts w:ascii="Book Antiqua" w:hAnsi="Book Antiqua"/>
        </w:rPr>
        <w:fldChar w:fldCharType="end"/>
      </w:r>
    </w:p>
  </w:footnote>
  <w:footnote w:id="41">
    <w:p w14:paraId="02A690F6" w14:textId="3C202D08"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w:t>
      </w:r>
      <w:r w:rsidRPr="00507667">
        <w:rPr>
          <w:rFonts w:ascii="Book Antiqua" w:hAnsi="Book Antiqua"/>
        </w:rPr>
        <w:fldChar w:fldCharType="begin"/>
      </w:r>
      <w:r w:rsidR="005E6535">
        <w:rPr>
          <w:rFonts w:ascii="Book Antiqua" w:hAnsi="Book Antiqua"/>
        </w:rPr>
        <w:instrText xml:space="preserve"> ADDIN ZOTERO_ITEM CSL_CITATION {"citationID":"mtVwSQEJ","properties":{"formattedCitation":"Richard Lee and Larry Neale, \\uc0\\u8220{}Interactions and Consequences of Inertia and Switching Costs,\\uc0\\u8221{} {\\i{}Journal of Services Marketing} 26, no. 5 (January 1, 2012): 365\\uc0\\u8211{}74, https://doi.org/10.1108/08876041211245281.","plainCitation":"Richard Lee and Larry Neale, “Interactions and Consequences of Inertia and Switching Costs,” Journal of Services Marketing 26, no. 5 (January 1, 2012): 365–74, https://doi.org/10.1108/08876041211245281.","noteIndex":41},"citationItems":[{"id":451,"uris":["http://zotero.org/users/local/1X64eMx4/items/QYAHZKZ6"],"uri":["http://zotero.org/users/local/1X64eMx4/items/QYAHZKZ6"],"itemData":{"id":451,"type":"article-journal","abstract":"Purpose – Service research typically relates switching costs to customer loyalty, and portrays them as effective switching deterrents that engender harmful word</w:instrText>
      </w:r>
      <w:r w:rsidR="005E6535">
        <w:rPr>
          <w:rFonts w:ascii="Times New Roman" w:hAnsi="Times New Roman" w:cs="Times New Roman"/>
        </w:rPr>
        <w:instrText>‐</w:instrText>
      </w:r>
      <w:r w:rsidR="005E6535">
        <w:rPr>
          <w:rFonts w:ascii="Book Antiqua" w:hAnsi="Book Antiqua"/>
        </w:rPr>
        <w:instrText>of</w:instrText>
      </w:r>
      <w:r w:rsidR="005E6535">
        <w:rPr>
          <w:rFonts w:ascii="Times New Roman" w:hAnsi="Times New Roman" w:cs="Times New Roman"/>
        </w:rPr>
        <w:instrText>‐</w:instrText>
      </w:r>
      <w:r w:rsidR="005E6535">
        <w:rPr>
          <w:rFonts w:ascii="Book Antiqua" w:hAnsi="Book Antiqua"/>
        </w:rPr>
        <w:instrText>mouth (WOM). Rather than to customer loyalty, this paper aims to relate switching costs to consumer inertia, and show that while switching costs may result in customer retention, they can engender positive and negative WOM. This depends on whether the inertia stems from satisfaction or indifference. Design/methodology/approach – A mall</w:instrText>
      </w:r>
      <w:r w:rsidR="005E6535">
        <w:rPr>
          <w:rFonts w:ascii="Times New Roman" w:hAnsi="Times New Roman" w:cs="Times New Roman"/>
        </w:rPr>
        <w:instrText>‐</w:instrText>
      </w:r>
      <w:r w:rsidR="005E6535">
        <w:rPr>
          <w:rFonts w:ascii="Book Antiqua" w:hAnsi="Book Antiqua"/>
        </w:rPr>
        <w:instrText xml:space="preserve">intercept survey investigated 518 customers' perceptions of their mobile phone service providers. Structural equation modelling fitted the data to the conceptual model. Findings </w:instrText>
      </w:r>
      <w:r w:rsidR="005E6535">
        <w:rPr>
          <w:rFonts w:ascii="Book Antiqua" w:hAnsi="Book Antiqua" w:cs="Book Antiqua"/>
        </w:rPr>
        <w:instrText>–</w:instrText>
      </w:r>
      <w:r w:rsidR="005E6535">
        <w:rPr>
          <w:rFonts w:ascii="Book Antiqua" w:hAnsi="Book Antiqua"/>
        </w:rPr>
        <w:instrText xml:space="preserve"> Switching costs deterred switching and engendered negative WOM, but only with low</w:instrText>
      </w:r>
      <w:r w:rsidR="005E6535">
        <w:rPr>
          <w:rFonts w:ascii="Times New Roman" w:hAnsi="Times New Roman" w:cs="Times New Roman"/>
        </w:rPr>
        <w:instrText>‐</w:instrText>
      </w:r>
      <w:r w:rsidR="005E6535">
        <w:rPr>
          <w:rFonts w:ascii="Book Antiqua" w:hAnsi="Book Antiqua"/>
        </w:rPr>
        <w:instrText>inertia customers. With high</w:instrText>
      </w:r>
      <w:r w:rsidR="005E6535">
        <w:rPr>
          <w:rFonts w:ascii="Times New Roman" w:hAnsi="Times New Roman" w:cs="Times New Roman"/>
        </w:rPr>
        <w:instrText>‐</w:instrText>
      </w:r>
      <w:r w:rsidR="005E6535">
        <w:rPr>
          <w:rFonts w:ascii="Book Antiqua" w:hAnsi="Book Antiqua"/>
        </w:rPr>
        <w:instrText>inertia customers, retention and WOM behaviours depended on whether the inertia stemmed from satisfaction or indifference. Satisfied customers with high switching costs tended to stay, gave more positive and less negative WOM. With indifferent customers, switching costs were unrelated to retention or WOM behaviours. Research limitations/implications – While they may be perceived negatively, switching costs can engender PWOM. Hence, research should not consider switching costs alone without considering the context that produces them. Practical implications – Service providers should segment their customers into low</w:instrText>
      </w:r>
      <w:r w:rsidR="005E6535">
        <w:rPr>
          <w:rFonts w:ascii="Times New Roman" w:hAnsi="Times New Roman" w:cs="Times New Roman"/>
        </w:rPr>
        <w:instrText>‐</w:instrText>
      </w:r>
      <w:r w:rsidR="005E6535">
        <w:rPr>
          <w:rFonts w:ascii="Book Antiqua" w:hAnsi="Book Antiqua"/>
        </w:rPr>
        <w:instrText>inertia, high</w:instrText>
      </w:r>
      <w:r w:rsidR="005E6535">
        <w:rPr>
          <w:rFonts w:ascii="Times New Roman" w:hAnsi="Times New Roman" w:cs="Times New Roman"/>
        </w:rPr>
        <w:instrText>‐</w:instrText>
      </w:r>
      <w:r w:rsidR="005E6535">
        <w:rPr>
          <w:rFonts w:ascii="Book Antiqua" w:hAnsi="Book Antiqua"/>
        </w:rPr>
        <w:instrText>inertia/satisfied and high</w:instrText>
      </w:r>
      <w:r w:rsidR="005E6535">
        <w:rPr>
          <w:rFonts w:ascii="Times New Roman" w:hAnsi="Times New Roman" w:cs="Times New Roman"/>
        </w:rPr>
        <w:instrText>‐</w:instrText>
      </w:r>
      <w:r w:rsidR="005E6535">
        <w:rPr>
          <w:rFonts w:ascii="Book Antiqua" w:hAnsi="Book Antiqua"/>
        </w:rPr>
        <w:instrText>inertia/indifferent, and target each segment differently. By converting customers into the high</w:instrText>
      </w:r>
      <w:r w:rsidR="005E6535">
        <w:rPr>
          <w:rFonts w:ascii="Times New Roman" w:hAnsi="Times New Roman" w:cs="Times New Roman"/>
        </w:rPr>
        <w:instrText>‐</w:instrText>
      </w:r>
      <w:r w:rsidR="005E6535">
        <w:rPr>
          <w:rFonts w:ascii="Book Antiqua" w:hAnsi="Book Antiqua"/>
        </w:rPr>
        <w:instrText xml:space="preserve">inertia/satisfied segment, service providers can make the best use of switching costs </w:instrText>
      </w:r>
      <w:r w:rsidR="005E6535">
        <w:rPr>
          <w:rFonts w:ascii="Book Antiqua" w:hAnsi="Book Antiqua" w:cs="Book Antiqua"/>
        </w:rPr>
        <w:instrText>–</w:instrText>
      </w:r>
      <w:r w:rsidR="005E6535">
        <w:rPr>
          <w:rFonts w:ascii="Book Antiqua" w:hAnsi="Book Antiqua"/>
        </w:rPr>
        <w:instrText xml:space="preserve"> not only in the traditional sense as a barrier to defection, but also as a way of generating positive WOM. Originality/value – This study is the first to consider the role of inertia with switching costs, positive WOM, and negative WOM. The findings suggest that past studies portraying switching costs as negative impediments that evoke only negative WOM might be misleading.","container-title":"Journal of Services Marketing","DOI":"10.1108/08876041211245281","ISSN":"0887-6045","issue":"5","note":"publisher: Emerald Group Publishing Limited","page":"365-374","source":"Emerald Insight","title":"Interactions and consequences of inertia and switching costs","volume":"26","author":[{"family":"Lee","given":"Richard"},{"family":"Neale","given":"Larry"}],"issued":{"date-parts":[["2012",1,1]]}}}],"schema":"https://github.com/citation-style-language/schema/raw/master/csl-citation.json"}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Richard Lee and Larry Neale, “Interactions and Consequences of Inertia and Switching Costs,” </w:t>
      </w:r>
      <w:r w:rsidRPr="00507667">
        <w:rPr>
          <w:rFonts w:ascii="Book Antiqua" w:hAnsi="Book Antiqua" w:cs="Calibri"/>
          <w:i/>
          <w:iCs/>
        </w:rPr>
        <w:t>Journal of Services Marketing</w:t>
      </w:r>
      <w:r w:rsidRPr="00507667">
        <w:rPr>
          <w:rFonts w:ascii="Book Antiqua" w:hAnsi="Book Antiqua" w:cs="Calibri"/>
        </w:rPr>
        <w:t xml:space="preserve"> 26, no. 5 (January 1, 2012): 365–74, https://doi.org/10.1108/08876041211245281.</w:t>
      </w:r>
      <w:r w:rsidRPr="00507667">
        <w:rPr>
          <w:rFonts w:ascii="Book Antiqua" w:hAnsi="Book Antiqua"/>
        </w:rPr>
        <w:fldChar w:fldCharType="end"/>
      </w:r>
    </w:p>
  </w:footnote>
  <w:footnote w:id="42">
    <w:p w14:paraId="4B13CEC9" w14:textId="085AA0D4"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00507667">
        <w:rPr>
          <w:rFonts w:ascii="Book Antiqua" w:hAnsi="Book Antiqua"/>
        </w:rPr>
        <w:t xml:space="preserve">See </w:t>
      </w:r>
      <w:r w:rsidRPr="00507667">
        <w:rPr>
          <w:rFonts w:ascii="Book Antiqua" w:hAnsi="Book Antiqua"/>
        </w:rPr>
        <w:fldChar w:fldCharType="begin"/>
      </w:r>
      <w:r w:rsidR="005E6535">
        <w:rPr>
          <w:rFonts w:ascii="Book Antiqua" w:hAnsi="Book Antiqua"/>
        </w:rPr>
        <w:instrText xml:space="preserve"> ADDIN ZOTERO_ITEM CSL_CITATION {"citationID":"uGNZcaJ4","properties":{"formattedCitation":"Manjit S. Yadav and P. Rajan Varadarajan, \\uc0\\u8220{}Understanding Product Migration to the Electronic Marketplace: A Conceptual Framework,\\uc0\\u8221{} {\\i{}Journal of Retailing} 81, no. 2 (2005): 125\\uc0\\u8211{}40.","plainCitation":"Manjit S. Yadav and P. Rajan Varadarajan, “Understanding Product Migration to the Electronic Marketplace: A Conceptual Framework,” Journal of Retailing 81, no. 2 (2005): 125–40.","noteIndex":42},"citationItems":[{"id":453,"uris":["http://zotero.org/users/local/1X64eMx4/items/5GQWFKTA"],"uri":["http://zotero.org/users/local/1X64eMx4/items/5GQWFKTA"],"itemData":{"id":453,"type":"article-journal","container-title":"Journal of Retailing","issue":"2","note":"ISBN: 0022-4359\npublisher: Elsevier","page":"125-140","title":"Understanding product migration to the electronic marketplace: A conceptual framework","volume":"81","author":[{"family":"Yadav","given":"Manjit S."},{"family":"Varadarajan","given":"P. Rajan"}],"issued":{"date-parts":[["2005"]]}}}],"schema":"https://github.com/citation-style-language/schema/raw/master/csl-citation.json"}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Manjit S. Yadav and P. Rajan Varadarajan, “Understanding Product Migration to the Electronic Marketplace: A Conceptual Framework,” </w:t>
      </w:r>
      <w:r w:rsidRPr="00507667">
        <w:rPr>
          <w:rFonts w:ascii="Book Antiqua" w:hAnsi="Book Antiqua" w:cs="Calibri"/>
          <w:i/>
          <w:iCs/>
        </w:rPr>
        <w:t>Journal of Retailing</w:t>
      </w:r>
      <w:r w:rsidRPr="00507667">
        <w:rPr>
          <w:rFonts w:ascii="Book Antiqua" w:hAnsi="Book Antiqua" w:cs="Calibri"/>
        </w:rPr>
        <w:t xml:space="preserve"> 81, no. 2 (2005): 125–40.</w:t>
      </w:r>
      <w:r w:rsidRPr="00507667">
        <w:rPr>
          <w:rFonts w:ascii="Book Antiqua" w:hAnsi="Book Antiqua"/>
        </w:rPr>
        <w:fldChar w:fldCharType="end"/>
      </w:r>
    </w:p>
  </w:footnote>
  <w:footnote w:id="43">
    <w:p w14:paraId="51F0CF4F" w14:textId="69DEC573"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For example, if switching to another provider will cost $100 per year but staying in the current provider will cost $10 per month, this study doesn’t count this not switching behavior as inertia. Similarly, if the current provider provides some relational or procedural advantages and the subscriber stays in the firm because of these advantages, the behavior hasn’t been regarded as inert behavior. However, some business scholars call that relational or procedural inertia. See, e.g., </w:t>
      </w:r>
    </w:p>
  </w:footnote>
  <w:footnote w:id="44">
    <w:p w14:paraId="1E4DF5D3" w14:textId="77A2546D"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00507667">
        <w:rPr>
          <w:rFonts w:ascii="Book Antiqua" w:hAnsi="Book Antiqua"/>
        </w:rPr>
        <w:t xml:space="preserve">See </w:t>
      </w:r>
      <w:r w:rsidRPr="00507667">
        <w:rPr>
          <w:rFonts w:ascii="Book Antiqua" w:hAnsi="Book Antiqua"/>
        </w:rPr>
        <w:fldChar w:fldCharType="begin"/>
      </w:r>
      <w:r w:rsidR="005E6535">
        <w:rPr>
          <w:rFonts w:ascii="Book Antiqua" w:hAnsi="Book Antiqua"/>
        </w:rPr>
        <w:instrText xml:space="preserve"> ADDIN ZOTERO_ITEM CSL_CITATION {"citationID":"RrNAS7CP","properties":{"formattedCitation":"Coleman Drake, Conor Ryan, and Bryan E. Dowd, \\uc0\\u8220{}Sources of Inertia in Health Plan Choice in the Individual Health Insurance Market,\\uc0\\u8221{} SSRN Scholarly Paper (Rochester, NY: Social Science Research Network, March 29, 2021), https://papers.ssrn.com/abstract=3556857.","plainCitation":"Coleman Drake, Conor Ryan, and Bryan E. Dowd, “Sources of Inertia in Health Plan Choice in the Individual Health Insurance Market,” SSRN Scholarly Paper (Rochester, NY: Social Science Research Network, March 29, 2021), https://papers.ssrn.com/abstract=3556857.","noteIndex":44},"citationItems":[{"id":418,"uris":["http://zotero.org/users/local/1X64eMx4/items/TXD6SCDE"],"uri":["http://zotero.org/users/local/1X64eMx4/items/TXD6SCDE"],"itemData":{"id":418,"type":"report","abstract":"Publicly subsidized private health insurance markets in the United States were created under the assumption that competition would maximize consumer welfare. However, consumers in these markets are willing to pay thousands of dollars to stay in the same health plan, even after accounting for premiums and coverage generosity. While this inertial behavior can undermine welfare gains from competition, it is unclear whether policymakers should attempt to reduce it. One reason not to reduce inertia is that it may result from consumers’ desire to maintain continuity of care with their health care providers, which has strong positive effects on health. On the other hand, inertia may result from inattention and hassle costs. Using administrative data from California’s Health Insurance Marketplace, we present descriptive evidence of inertial plan choice and inattention. We then separately identify three sources of inertia—tastes for provider continuity, inattention, and hassle costs—using two-stage models of inattention and plan choice. We find that nearly all inertial plan choice results from inattention and hassle costs, the former more so than the latter. As a result of these two sources of inertia, consumers lost over a billion dollars in forgone surplus in 2018, or $1,440 to $1,584 per household per year—roughly half the annual premium paid by the median household in California’s Marketplace. We conclude that inertia is amenable to policy remediation, and that interventions to reduce hassle costs and especially inattention can improve consumer welfare and efficiency in private health insurance markets.","event-place":"Rochester, NY","genre":"SSRN Scholarly Paper","language":"en","number":"ID 3556857","publisher":"Social Science Research Network","publisher-place":"Rochester, NY","source":"papers.ssrn.com","title":"Sources of Inertia in Health Plan Choice in the Individual Health Insurance Market","URL":"https://papers.ssrn.com/abstract=3556857","author":[{"family":"Drake","given":"Coleman"},{"family":"Ryan","given":"Conor"},{"family":"Dowd","given":"Bryan E."}],"accessed":{"date-parts":[["2021",4,11]]},"issued":{"date-parts":[["2021",3,29]]}}}],"schema":"https://github.com/citation-style-language/schema/raw/master/csl-citation.json"}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Coleman Drake, Conor Ryan, and Bryan E. Dowd, “Sources of Inertia in Health Plan Choice in the Individual Health Insurance Market,” SSRN Scholarly Paper (Rochester, NY: Social Science Research Network, March 29, 2021), https://papers.ssrn.com/abstract=3556857.</w:t>
      </w:r>
      <w:r w:rsidRPr="00507667">
        <w:rPr>
          <w:rFonts w:ascii="Book Antiqua" w:hAnsi="Book Antiqua"/>
        </w:rPr>
        <w:fldChar w:fldCharType="end"/>
      </w:r>
    </w:p>
  </w:footnote>
  <w:footnote w:id="45">
    <w:p w14:paraId="2FDC5740" w14:textId="67F2D3A9"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00507667">
        <w:rPr>
          <w:rFonts w:ascii="Book Antiqua" w:hAnsi="Book Antiqua"/>
        </w:rPr>
        <w:t xml:space="preserve">See </w:t>
      </w:r>
      <w:r w:rsidRPr="00507667">
        <w:rPr>
          <w:rFonts w:ascii="Book Antiqua" w:hAnsi="Book Antiqua"/>
        </w:rPr>
        <w:fldChar w:fldCharType="begin"/>
      </w:r>
      <w:r w:rsidR="005E6535">
        <w:rPr>
          <w:rFonts w:ascii="Book Antiqua" w:hAnsi="Book Antiqua"/>
        </w:rPr>
        <w:instrText xml:space="preserve"> ADDIN ZOTERO_ITEM CSL_CITATION {"citationID":"JE6t8Dzw","properties":{"formattedCitation":"Handel, \\uc0\\u8220{}Adverse Selection and Inertia in Health Insurance Markets.\\uc0\\u8221{}","plainCitation":"Handel, “Adverse Selection and Inertia in Health Insurance Markets.”","noteIndex":45},"citationItems":[{"id":289,"uris":["http://zotero.org/users/local/1X64eMx4/items/H4UBAMCH"],"uri":["http://zotero.org/users/local/1X64eMx4/items/H4UBAMCH"],"itemData":{"id":289,"type":"article-journal","abstract":"This paper investigates consumer inertia in health insurance markets,\nwhere adverse selection is a potential concern. We leverage a major\nchange to insurance provision that occurred at a large firm to\nidentify substantial inertia, and develop and estimate a choice model\nthat also quantifies risk preferences and ex ante health risk. We use\nthese estimates to study the impact of policies that nudge consumers\ntoward better decisions by reducing inertia. When aggregated,\nthese improved individual-level choices substantially exacerbate\nadverse selection in our setting, leading to an overall reduction in\nwelfare that doubles the existing welfare loss from adverse selection.","container-title":"American Economic Review","DOI":"10.1257/aer.103.7.2643","ISSN":"0002-8282","issue":"7","language":"en","page":"2643-2682","source":"www.aeaweb.org","title":"Adverse Selection and Inertia in Health Insurance Markets: When Nudging Hurts","title-short":"Adverse Selection and Inertia in Health Insurance Markets","volume":"103","author":[{"family":"Handel","given":"Benjamin R."}],"issued":{"date-parts":[["2013",12]]}}}],"schema":"https://github.com/citation-style-language/schema/raw/master/csl-citation.json"} </w:instrText>
      </w:r>
      <w:r w:rsidRPr="00507667">
        <w:rPr>
          <w:rFonts w:ascii="Book Antiqua" w:hAnsi="Book Antiqua"/>
        </w:rPr>
        <w:fldChar w:fldCharType="separate"/>
      </w:r>
      <w:r w:rsidRPr="00507667">
        <w:rPr>
          <w:rFonts w:ascii="Book Antiqua" w:hAnsi="Book Antiqua" w:cs="Times New Roman"/>
        </w:rPr>
        <w:t>Handel, “Adverse Selection and Inertia in Health Insurance Markets.”</w:t>
      </w:r>
      <w:r w:rsidRPr="00507667">
        <w:rPr>
          <w:rFonts w:ascii="Book Antiqua" w:hAnsi="Book Antiqua"/>
        </w:rPr>
        <w:fldChar w:fldCharType="end"/>
      </w:r>
    </w:p>
  </w:footnote>
  <w:footnote w:id="46">
    <w:p w14:paraId="330C038C" w14:textId="4D1B4C28"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00507667" w:rsidRPr="00507667">
        <w:rPr>
          <w:rFonts w:ascii="Book Antiqua" w:hAnsi="Book Antiqua"/>
        </w:rPr>
        <w:t>See n18.</w:t>
      </w:r>
    </w:p>
  </w:footnote>
  <w:footnote w:id="47">
    <w:p w14:paraId="6EF0EEC5" w14:textId="7655A5B1"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00507667" w:rsidRPr="00507667">
        <w:rPr>
          <w:rFonts w:ascii="Book Antiqua" w:hAnsi="Book Antiqua"/>
        </w:rPr>
        <w:t>See n18.</w:t>
      </w:r>
    </w:p>
  </w:footnote>
  <w:footnote w:id="48">
    <w:p w14:paraId="109FFFF1" w14:textId="565BCB55"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w:t>
      </w:r>
      <w:r w:rsidRPr="00507667">
        <w:rPr>
          <w:rFonts w:ascii="Book Antiqua" w:hAnsi="Book Antiqua"/>
        </w:rPr>
        <w:fldChar w:fldCharType="begin"/>
      </w:r>
      <w:r w:rsidR="005E6535">
        <w:rPr>
          <w:rFonts w:ascii="Book Antiqua" w:hAnsi="Book Antiqua"/>
        </w:rPr>
        <w:instrText xml:space="preserve"> ADDIN ZOTERO_ITEM CSL_CITATION {"citationID":"CxdgKb05","properties":{"formattedCitation":"Oren Bar-Gill and Rebecca Stone, \\uc0\\u8220{}Mobile Misperceptions,\\uc0\\u8221{} {\\i{}Harv. JL &amp; Tech.} 23 (2009): 49.","plainCitation":"Oren Bar-Gill and Rebecca Stone, “Mobile Misperceptions,” Harv. JL &amp; Tech. 23 (2009): 49.","noteIndex":48},"citationItems":[{"id":287,"uris":["http://zotero.org/users/local/1X64eMx4/items/LGCIK78L"],"uri":["http://zotero.org/users/local/1X64eMx4/items/LGCIK78L"],"itemData":{"id":287,"type":"article-journal","container-title":"Harv. JL &amp; Tech.","note":"publisher: HeinOnline","page":"49","title":"Mobile misperceptions","volume":"23","author":[{"family":"Bar-Gill","given":"Oren"},{"family":"Stone","given":"Rebecca"}],"issued":{"date-parts":[["2009"]]}}}],"schema":"https://github.com/citation-style-language/schema/raw/master/csl-citation.json"}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Oren Bar-Gill and Rebecca Stone, “Mobile Misperceptions,” </w:t>
      </w:r>
      <w:r w:rsidRPr="00507667">
        <w:rPr>
          <w:rFonts w:ascii="Book Antiqua" w:hAnsi="Book Antiqua" w:cs="Calibri"/>
          <w:i/>
          <w:iCs/>
        </w:rPr>
        <w:t>Harv. JL &amp; Tech.</w:t>
      </w:r>
      <w:r w:rsidRPr="00507667">
        <w:rPr>
          <w:rFonts w:ascii="Book Antiqua" w:hAnsi="Book Antiqua" w:cs="Calibri"/>
        </w:rPr>
        <w:t xml:space="preserve"> 23 (2009): 49.</w:t>
      </w:r>
      <w:r w:rsidRPr="00507667">
        <w:rPr>
          <w:rFonts w:ascii="Book Antiqua" w:hAnsi="Book Antiqua"/>
        </w:rPr>
        <w:fldChar w:fldCharType="end"/>
      </w:r>
    </w:p>
  </w:footnote>
  <w:footnote w:id="49">
    <w:p w14:paraId="4D01B7A5" w14:textId="0A6F519C"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Churn rate indicates the customers that switch to other firms.</w:t>
      </w:r>
    </w:p>
  </w:footnote>
  <w:footnote w:id="50">
    <w:p w14:paraId="652A7EE4" w14:textId="2D4A4479"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The churn rate in control group is %6, whereas in the testing group %10. See </w:t>
      </w:r>
      <w:r w:rsidRPr="00507667">
        <w:rPr>
          <w:rFonts w:ascii="Book Antiqua" w:hAnsi="Book Antiqua"/>
        </w:rPr>
        <w:fldChar w:fldCharType="begin"/>
      </w:r>
      <w:r w:rsidR="005E6535">
        <w:rPr>
          <w:rFonts w:ascii="Book Antiqua" w:hAnsi="Book Antiqua"/>
        </w:rPr>
        <w:instrText xml:space="preserve"> ADDIN ZOTERO_ITEM CSL_CITATION {"citationID":"fTbTiI85","properties":{"formattedCitation":"Ascarza, Iyengar, and Schleicher, \\uc0\\u8220{}The Perils of Proactive Churn Prevention Using Plan Recommendations: Evidence from a Field Experiment.\\uc0\\u8221{}","plainCitation":"Ascarza, Iyengar, and Schleicher, “The Perils of Proactive Churn Prevention Using Plan Recommendations: Evidence from a Field Experiment.”","noteIndex":50},"citationItems":[{"id":272,"uris":["http://zotero.org/users/local/1X64eMx4/items/79RLLTCL"],"uri":["http://zotero.org/users/local/1X64eMx4/items/79RLLTCL"],"itemData":{"id":272,"type":"article-journal","container-title":"Journal of Marketing Research","issue":"1","note":"ISBN: 0022-2437\npublisher: SAGE Publications Sage CA: Los Angeles, CA","page":"46-60","title":"The perils of proactive churn prevention using plan recommendations: Evidence from a field experiment","volume":"53","author":[{"family":"Ascarza","given":"Eva"},{"family":"Iyengar","given":"Raghuram"},{"family":"Schleicher","given":"Martin"}],"issued":{"date-parts":[["2016"]]}}}],"schema":"https://github.com/citation-style-language/schema/raw/master/csl-citation.json"} </w:instrText>
      </w:r>
      <w:r w:rsidRPr="00507667">
        <w:rPr>
          <w:rFonts w:ascii="Book Antiqua" w:hAnsi="Book Antiqua"/>
        </w:rPr>
        <w:fldChar w:fldCharType="separate"/>
      </w:r>
      <w:r w:rsidRPr="00507667">
        <w:rPr>
          <w:rFonts w:ascii="Book Antiqua" w:hAnsi="Book Antiqua" w:cs="Times New Roman"/>
        </w:rPr>
        <w:t>Ascarza, Iyengar, and Schleicher, “The Perils of Proactive Churn Prevention Using Plan Recommendations: Evidence from a Field Experiment.”</w:t>
      </w:r>
      <w:r w:rsidRPr="00507667">
        <w:rPr>
          <w:rFonts w:ascii="Book Antiqua" w:hAnsi="Book Antiqua"/>
        </w:rPr>
        <w:fldChar w:fldCharType="end"/>
      </w:r>
    </w:p>
  </w:footnote>
  <w:footnote w:id="51">
    <w:p w14:paraId="2A52CF77" w14:textId="461C4D40"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w:t>
      </w:r>
      <w:r w:rsidR="00507667" w:rsidRPr="00507667">
        <w:rPr>
          <w:rFonts w:ascii="Book Antiqua" w:hAnsi="Book Antiqua"/>
        </w:rPr>
        <w:t>n49.</w:t>
      </w:r>
    </w:p>
  </w:footnote>
  <w:footnote w:id="52">
    <w:p w14:paraId="45EDCB84" w14:textId="20BEF027"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w:t>
      </w:r>
      <w:r w:rsidRPr="00507667">
        <w:rPr>
          <w:rFonts w:ascii="Book Antiqua" w:hAnsi="Book Antiqua"/>
        </w:rPr>
        <w:fldChar w:fldCharType="begin"/>
      </w:r>
      <w:r w:rsidR="005E6535">
        <w:rPr>
          <w:rFonts w:ascii="Book Antiqua" w:hAnsi="Book Antiqua"/>
        </w:rPr>
        <w:instrText xml:space="preserve"> ADDIN ZOTERO_ITEM CSL_CITATION {"citationID":"sClH19K5","properties":{"formattedCitation":"Morten S\\uc0\\u230{}thre, Bjorn-Atle Reme, and Helene Lie R\\uc0\\u248{}hr, \\uc0\\u8220{}The Poking Effect: Price Changes, Information, and Inertia in the Market for Mobile Subscriptions,\\uc0\\u8221{} SSRN Scholarly Paper (Rochester, NY: Social Science Research Network, November 1, 2018), https://doi.org/10.2139/ssrn.3288472.","plainCitation":"Morten Sæthre, Bjorn-Atle Reme, and Helene Lie Røhr, “The Poking Effect: Price Changes, Information, and Inertia in the Market for Mobile Subscriptions,” SSRN Scholarly Paper (Rochester, NY: Social Science Research Network, November 1, 2018), https://doi.org/10.2139/ssrn.3288472.","noteIndex":52},"citationItems":[{"id":274,"uris":["http://zotero.org/users/local/1X64eMx4/items/DKIS7J8S"],"uri":["http://zotero.org/users/local/1X64eMx4/items/DKIS7J8S"],"itemData":{"id":274,"type":"report","abstract":"We study consumer inertia in the mobile subscription market, focusing on the decision of whether to switch to a competing provider. To identify the extent of inertia, we exploit price changes faced by 270,000 consumers of a large telecom provider. We document that the propensity to switch provider after the price change increases among consumers whose costs decrease with the new prices. Furthermore, we find that the increase is largest right after consumers are informed of the upcoming change—during the two months prior to the tariff change—as opposed to when the price change is implemented. From these findings, we infer what we call a poking effect; the information of an upcoming price change causes consumers to engage in searches for alternative offers, leading to increased switching.We supplement the analysis with a survey and find indications that the poking effect is due to consumer inattention. To separate the effect on attention from the reaction to the actual price change, we estimate a model of consumer choice with limited attention. We find that when consumers are poked, it increases the share of consumers becoming attentive to competing offers. This leads many consumers to switch providers earlier than they would otherwise, explaining why they leave even though their terms with their current company improve.","event-place":"Rochester, NY","genre":"SSRN Scholarly Paper","language":"en","note":"DOI: 10.2139/ssrn.3288472","number":"ID 3288472","publisher":"Social Science Research Network","publisher-place":"Rochester, NY","source":"papers.ssrn.com","title":"The Poking Effect: Price Changes, Information, and Inertia in the Market for Mobile Subscriptions","title-short":"The Poking Effect","URL":"https://papers.ssrn.com/abstract=3288472","author":[{"family":"Sæthre","given":"Morten"},{"family":"Reme","given":"Bjorn-Atle"},{"family":"Lie Røhr","given":"Helene"}],"accessed":{"date-parts":[["2021",3,30]]},"issued":{"date-parts":[["2018",11,1]]}}}],"schema":"https://github.com/citation-style-language/schema/raw/master/csl-citation.json"} </w:instrText>
      </w:r>
      <w:r w:rsidRPr="00507667">
        <w:rPr>
          <w:rFonts w:ascii="Book Antiqua" w:hAnsi="Book Antiqua"/>
        </w:rPr>
        <w:fldChar w:fldCharType="separate"/>
      </w:r>
      <w:r w:rsidRPr="00507667">
        <w:rPr>
          <w:rFonts w:ascii="Book Antiqua" w:hAnsi="Book Antiqua" w:cs="Times New Roman"/>
        </w:rPr>
        <w:t>Morten Sæthre, Bjorn-Atle Reme, and Helene Lie Røhr, “The Poking Effect: Price Changes, Information, and Inertia in the Market for Mobile Subscriptions,” SSRN Scholarly Paper (Rochester, NY: Social Science Research Network, November 1, 2018), https://doi.org/10.2139/ssrn.3288472.</w:t>
      </w:r>
      <w:r w:rsidRPr="00507667">
        <w:rPr>
          <w:rFonts w:ascii="Book Antiqua" w:hAnsi="Book Antiqua"/>
        </w:rPr>
        <w:fldChar w:fldCharType="end"/>
      </w:r>
    </w:p>
  </w:footnote>
  <w:footnote w:id="53">
    <w:p w14:paraId="4EA56523" w14:textId="62DAD22B"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w:t>
      </w:r>
      <w:r w:rsidRPr="00507667">
        <w:rPr>
          <w:rFonts w:ascii="Book Antiqua" w:hAnsi="Book Antiqua"/>
        </w:rPr>
        <w:fldChar w:fldCharType="begin"/>
      </w:r>
      <w:r w:rsidR="005E6535">
        <w:rPr>
          <w:rFonts w:ascii="Book Antiqua" w:hAnsi="Book Antiqua"/>
        </w:rPr>
        <w:instrText xml:space="preserve"> ADDIN ZOTERO_ITEM CSL_CITATION {"citationID":"Jy0xpKr9","properties":{"formattedCitation":"S\\uc0\\u230{}thre, Reme, and Lie R\\uc0\\u248{}hr.","plainCitation":"Sæthre, Reme, and Lie Røhr.","noteIndex":53},"citationItems":[{"id":274,"uris":["http://zotero.org/users/local/1X64eMx4/items/DKIS7J8S"],"uri":["http://zotero.org/users/local/1X64eMx4/items/DKIS7J8S"],"itemData":{"id":274,"type":"report","abstract":"We study consumer inertia in the mobile subscription market, focusing on the decision of whether to switch to a competing provider. To identify the extent of inertia, we exploit price changes faced by 270,000 consumers of a large telecom provider. We document that the propensity to switch provider after the price change increases among consumers whose costs decrease with the new prices. Furthermore, we find that the increase is largest right after consumers are informed of the upcoming change—during the two months prior to the tariff change—as opposed to when the price change is implemented. From these findings, we infer what we call a poking effect; the information of an upcoming price change causes consumers to engage in searches for alternative offers, leading to increased switching.We supplement the analysis with a survey and find indications that the poking effect is due to consumer inattention. To separate the effect on attention from the reaction to the actual price change, we estimate a model of consumer choice with limited attention. We find that when consumers are poked, it increases the share of consumers becoming attentive to competing offers. This leads many consumers to switch providers earlier than they would otherwise, explaining why they leave even though their terms with their current company improve.","event-place":"Rochester, NY","genre":"SSRN Scholarly Paper","language":"en","note":"DOI: 10.2139/ssrn.3288472","number":"ID 3288472","publisher":"Social Science Research Network","publisher-place":"Rochester, NY","source":"papers.ssrn.com","title":"The Poking Effect: Price Changes, Information, and Inertia in the Market for Mobile Subscriptions","title-short":"The Poking Effect","URL":"https://papers.ssrn.com/abstract=3288472","author":[{"family":"Sæthre","given":"Morten"},{"family":"Reme","given":"Bjorn-Atle"},{"family":"Lie Røhr","given":"Helene"}],"accessed":{"date-parts":[["2021",3,30]]},"issued":{"date-parts":[["2018",11,1]]}}}],"schema":"https://github.com/citation-style-language/schema/raw/master/csl-citation.json"}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Sæthre, Reme, and Lie Røhr.</w:t>
      </w:r>
      <w:r w:rsidRPr="00507667">
        <w:rPr>
          <w:rFonts w:ascii="Book Antiqua" w:hAnsi="Book Antiqua"/>
        </w:rPr>
        <w:fldChar w:fldCharType="end"/>
      </w:r>
    </w:p>
  </w:footnote>
  <w:footnote w:id="54">
    <w:p w14:paraId="3A25D5EB" w14:textId="664BE3EC"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In 2021 it’s cheaper than $100 dollars. See,  </w:t>
      </w:r>
      <w:r w:rsidRPr="00507667">
        <w:rPr>
          <w:rFonts w:ascii="Book Antiqua" w:hAnsi="Book Antiqua"/>
        </w:rPr>
        <w:fldChar w:fldCharType="begin"/>
      </w:r>
      <w:r w:rsidR="005E6535">
        <w:rPr>
          <w:rFonts w:ascii="Book Antiqua" w:hAnsi="Book Antiqua"/>
        </w:rPr>
        <w:instrText xml:space="preserve"> ADDIN ZOTERO_ITEM CSL_CITATION {"citationID":"bKoxnhgB","properties":{"formattedCitation":"\\uc0\\u8220{}Verizon Unlimited Data Plans for Talk &amp; Text, Now with 5G,\\uc0\\u8221{} accessed April 13, 2021, https://www.verizon.com/plans/unlimited/.","plainCitation":"“Verizon Unlimited Data Plans for Talk &amp; Text, Now with 5G,” accessed April 13, 2021, https://www.verizon.com/plans/unlimited/.","noteIndex":54},"citationItems":[{"id":513,"uris":["http://zotero.org/users/local/1X64eMx4/items/85JNPZRY"],"uri":["http://zotero.org/users/local/1X64eMx4/items/85JNPZRY"],"itemData":{"id":513,"type":"webpage","title":"Verizon Unlimited Data Plans for Talk &amp; Text, Now with 5G","URL":"https://www.verizon.com/plans/unlimited/","accessed":{"date-parts":[["2021",4,13]]}}}],"schema":"https://github.com/citation-style-language/schema/raw/master/csl-citation.json"}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“Verizon Unlimited Data Plans for Talk &amp; Text, Now with 5G,” accessed April 13, 2021, https://www.verizon.com/plans/unlimited/.</w:t>
      </w:r>
      <w:r w:rsidRPr="00507667">
        <w:rPr>
          <w:rFonts w:ascii="Book Antiqua" w:hAnsi="Book Antiqua"/>
        </w:rPr>
        <w:fldChar w:fldCharType="end"/>
      </w:r>
    </w:p>
  </w:footnote>
  <w:footnote w:id="55">
    <w:p w14:paraId="1E77F9B9" w14:textId="4D42FA6B" w:rsidR="00EA18B1" w:rsidRPr="00507667" w:rsidRDefault="00EA18B1" w:rsidP="00E01203">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w:t>
      </w:r>
      <w:r w:rsidRPr="00507667">
        <w:rPr>
          <w:rFonts w:ascii="Book Antiqua" w:hAnsi="Book Antiqua"/>
        </w:rPr>
        <w:fldChar w:fldCharType="begin"/>
      </w:r>
      <w:r w:rsidR="005E6535">
        <w:rPr>
          <w:rFonts w:ascii="Book Antiqua" w:hAnsi="Book Antiqua"/>
        </w:rPr>
        <w:instrText xml:space="preserve"> ADDIN ZOTERO_ITEM CSL_CITATION {"citationID":"yJXyjKxh","properties":{"formattedCitation":"Author Giselle Tsirulnik, \\uc0\\u8220{}Mobile Phone Ranked Most Used Electronic Device: Forrester | Marketing Dive,\\uc0\\u8221{} accessed April 13, 2021, https://www.marketingdive.com/ex/mobilemarketer/cms/news/research/7473.html.","plainCitation":"Author Giselle Tsirulnik, “Mobile Phone Ranked Most Used Electronic Device: Forrester | Marketing Dive,” accessed April 13, 2021, https://www.marketingdive.com/ex/mobilemarketer/cms/news/research/7473.html.","noteIndex":55},"citationItems":[{"id":517,"uris":["http://zotero.org/users/local/1X64eMx4/items/LBRAIMZD"],"uri":["http://zotero.org/users/local/1X64eMx4/items/LBRAIMZD"],"itemData":{"id":517,"type":"webpage","abstract":"Marketing news, voices and jobs for industry professionals. Optimized for your mobile phone.","language":"en-US","title":"Mobile phone ranked most used electronic device: Forrester | Marketing Dive","title-short":"Mobile phone ranked most used electronic device","URL":"https://www.marketingdive.com/ex/mobilemarketer/cms/news/research/7473.html","author":[{"family":"Tsirulnik","given":"Author Giselle"}],"accessed":{"date-parts":[["2021",4,13]]}}}],"schema":"https://github.com/citation-style-language/schema/raw/master/csl-citation.json"}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Author Giselle Tsirulnik, “Mobile Phone Ranked Most Used Electronic Device: Forrester | Marketing Dive,” accessed April 13, 2021, https://www.marketingdive.com/ex/mobilemarketer/cms/news/research/7473.html.</w:t>
      </w:r>
      <w:r w:rsidRPr="00507667">
        <w:rPr>
          <w:rFonts w:ascii="Book Antiqua" w:hAnsi="Book Antiqua"/>
        </w:rPr>
        <w:fldChar w:fldCharType="end"/>
      </w:r>
    </w:p>
  </w:footnote>
  <w:footnote w:id="56">
    <w:p w14:paraId="7BB3F888" w14:textId="77777777" w:rsidR="00EA18B1" w:rsidRPr="00507667" w:rsidRDefault="00EA18B1" w:rsidP="00E01203">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For example, a daily horoscope subscription. </w:t>
      </w:r>
    </w:p>
  </w:footnote>
  <w:footnote w:id="57">
    <w:p w14:paraId="588C68EB" w14:textId="7C66AE80" w:rsidR="00EA18B1" w:rsidRPr="00507667" w:rsidRDefault="00EA18B1">
      <w:pPr>
        <w:autoSpaceDE w:val="0"/>
        <w:autoSpaceDN w:val="0"/>
        <w:adjustRightInd w:val="0"/>
        <w:spacing w:after="0" w:line="240" w:lineRule="auto"/>
        <w:jc w:val="both"/>
        <w:rPr>
          <w:rFonts w:ascii="Book Antiqua" w:hAnsi="Book Antiqua"/>
          <w:sz w:val="20"/>
          <w:szCs w:val="20"/>
        </w:rPr>
      </w:pPr>
      <w:r w:rsidRPr="00507667">
        <w:rPr>
          <w:rStyle w:val="DipnotBavurusu"/>
          <w:rFonts w:ascii="Book Antiqua" w:hAnsi="Book Antiqua"/>
          <w:sz w:val="20"/>
          <w:szCs w:val="20"/>
        </w:rPr>
        <w:footnoteRef/>
      </w:r>
      <w:r w:rsidRPr="00507667">
        <w:rPr>
          <w:rStyle w:val="DipnotBavurusu"/>
          <w:rFonts w:ascii="Book Antiqua" w:hAnsi="Book Antiqua"/>
          <w:sz w:val="20"/>
          <w:szCs w:val="20"/>
        </w:rPr>
        <w:t xml:space="preserve"> </w:t>
      </w:r>
      <w:r w:rsidRPr="00507667">
        <w:rPr>
          <w:rFonts w:ascii="Book Antiqua" w:hAnsi="Book Antiqua"/>
          <w:sz w:val="20"/>
          <w:szCs w:val="20"/>
        </w:rPr>
        <w:t xml:space="preserve">That could be one reason why they stopped offering yearly contracts.  </w:t>
      </w:r>
      <w:r w:rsidRPr="00507667">
        <w:rPr>
          <w:rFonts w:ascii="Book Antiqua" w:hAnsi="Book Antiqua"/>
          <w:sz w:val="20"/>
          <w:szCs w:val="20"/>
        </w:rPr>
        <w:fldChar w:fldCharType="begin"/>
      </w:r>
      <w:r w:rsidR="005E6535">
        <w:rPr>
          <w:rFonts w:ascii="Book Antiqua" w:hAnsi="Book Antiqua"/>
          <w:sz w:val="20"/>
          <w:szCs w:val="20"/>
        </w:rPr>
        <w:instrText xml:space="preserve"> ADDIN ZOTERO_ITEM CSL_CITATION {"citationID":"DmgwQyG4","properties":{"formattedCitation":"\\uc0\\u8220{}Two-Year Phone Contracts Are Now Dead at All Major US Carriers - The Verge,\\uc0\\u8221{} accessed April 1, 2021, https://www.theverge.com/2016/1/11/10749160/sprint-kills-two-year-phone-contracts.","plainCitation":"“Two-Year Phone Contracts Are Now Dead at All Major US Carriers - The Verge,” accessed April 1, 2021, https://www.theverge.com/2016/1/11/10749160/sprint-kills-two-year-phone-contracts.","noteIndex":57},"citationItems":[{"id":282,"uris":["http://zotero.org/users/local/1X64eMx4/items/89WSLWEW"],"uri":["http://zotero.org/users/local/1X64eMx4/items/89WSLWEW"],"itemData":{"id":282,"type":"webpage","title":"Two-year phone contracts are now dead at all major US carriers - The Verge","URL":"https://www.theverge.com/2016/1/11/10749160/sprint-kills-two-year-phone-contracts","accessed":{"date-parts":[["2021",4,1]]}}}],"schema":"https://github.com/citation-style-language/schema/raw/master/csl-citation.json"} </w:instrText>
      </w:r>
      <w:r w:rsidRPr="00507667">
        <w:rPr>
          <w:rFonts w:ascii="Book Antiqua" w:hAnsi="Book Antiqua"/>
          <w:sz w:val="20"/>
          <w:szCs w:val="20"/>
        </w:rPr>
        <w:fldChar w:fldCharType="separate"/>
      </w:r>
      <w:r w:rsidRPr="00507667">
        <w:rPr>
          <w:rFonts w:ascii="Book Antiqua" w:hAnsi="Book Antiqua"/>
          <w:sz w:val="20"/>
          <w:szCs w:val="20"/>
        </w:rPr>
        <w:t>“Two-Year Phone Contracts Are Now Dead at All Major US Carriers - The Verge,” accessed April 1, 2021, https://www.theverge.com/2016/1/11/10749160/sprint-kills-two-year-phone-contracts.</w:t>
      </w:r>
      <w:r w:rsidRPr="00507667">
        <w:rPr>
          <w:rFonts w:ascii="Book Antiqua" w:hAnsi="Book Antiqua"/>
          <w:sz w:val="20"/>
          <w:szCs w:val="20"/>
        </w:rPr>
        <w:fldChar w:fldCharType="end"/>
      </w:r>
    </w:p>
  </w:footnote>
  <w:footnote w:id="58">
    <w:p w14:paraId="1DA1E354" w14:textId="5E89675C"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e.g., </w:t>
      </w:r>
      <w:r w:rsidRPr="00507667">
        <w:rPr>
          <w:rFonts w:ascii="Book Antiqua" w:hAnsi="Book Antiqua"/>
        </w:rPr>
        <w:fldChar w:fldCharType="begin"/>
      </w:r>
      <w:r w:rsidR="005E6535">
        <w:rPr>
          <w:rFonts w:ascii="Book Antiqua" w:hAnsi="Book Antiqua"/>
        </w:rPr>
        <w:instrText xml:space="preserve"> ADDIN ZOTERO_ITEM CSL_CITATION {"citationID":"H5X6krPZ","properties":{"formattedCitation":"\\uc0\\u8220{}Customer Agreement | Verizon Wireless,\\uc0\\u8221{} accessed April 13, 2021, https://www.verizon.com/legal/notices/customer-agreement/.","plainCitation":"“Customer Agreement | Verizon Wireless,” accessed April 13, 2021, https://www.verizon.com/legal/notices/customer-agreement/.","noteIndex":58},"citationItems":[{"id":515,"uris":["http://zotero.org/users/local/1X64eMx4/items/W36V3WC2"],"uri":["http://zotero.org/users/local/1X64eMx4/items/W36V3WC2"],"itemData":{"id":515,"type":"webpage","title":"Customer Agreement | Verizon Wireless","URL":"https://www.verizon.com/legal/notices/customer-agreement/","accessed":{"date-parts":[["2021",4,13]]}}}],"schema":"https://github.com/citation-style-language/schema/raw/master/csl-citation.json"}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“Customer Agreement | Verizon Wireless,” accessed April 13, 2021, https://www.verizon.com/legal/notices/customer-agreement/.</w:t>
      </w:r>
      <w:r w:rsidRPr="00507667">
        <w:rPr>
          <w:rFonts w:ascii="Book Antiqua" w:hAnsi="Book Antiqua"/>
        </w:rPr>
        <w:fldChar w:fldCharType="end"/>
      </w:r>
    </w:p>
  </w:footnote>
  <w:footnote w:id="59">
    <w:p w14:paraId="669ACCD4" w14:textId="044900C9"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A total of 1167 people are asked about their wireless subscriptions. Many of them refused show or give their itemized phone statements due to privacy concerns or they stated that they don’t have access to their statements. Due to more lines in one family account, 78 customers represent 290 users.</w:t>
      </w:r>
    </w:p>
  </w:footnote>
  <w:footnote w:id="60">
    <w:p w14:paraId="744076E6" w14:textId="4D05C24F" w:rsidR="00EA18B1" w:rsidRPr="00507667" w:rsidRDefault="00EA18B1" w:rsidP="00877CD8">
      <w:pPr>
        <w:pStyle w:val="DipnotMetni"/>
        <w:jc w:val="both"/>
        <w:rPr>
          <w:rFonts w:ascii="Book Antiqua" w:hAnsi="Book Antiqua"/>
        </w:rPr>
      </w:pPr>
      <w:r w:rsidRPr="00507667">
        <w:rPr>
          <w:rStyle w:val="DipnotBavurusu"/>
          <w:rFonts w:ascii="Book Antiqua" w:hAnsi="Book Antiqua"/>
        </w:rPr>
        <w:footnoteRef/>
      </w:r>
      <w:r w:rsidRPr="00507667">
        <w:rPr>
          <w:rFonts w:ascii="Book Antiqua" w:hAnsi="Book Antiqua"/>
        </w:rPr>
        <w:t xml:space="preserve"> Except supra n. 77.</w:t>
      </w:r>
    </w:p>
  </w:footnote>
  <w:footnote w:id="61">
    <w:p w14:paraId="00227D7C" w14:textId="7FFA3ECA"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Subprime plans indicate the plans that offer less for the price customer is paying compared to the current plans that the service provider of the same customer.</w:t>
      </w:r>
    </w:p>
  </w:footnote>
  <w:footnote w:id="62">
    <w:p w14:paraId="353417DF" w14:textId="39345CD7"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Part I.</w:t>
      </w:r>
    </w:p>
  </w:footnote>
  <w:footnote w:id="63">
    <w:p w14:paraId="78EFBA2A" w14:textId="469B277D"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2 of 1167 stated that and refused to turn-in their wireless statements.</w:t>
      </w:r>
    </w:p>
  </w:footnote>
  <w:footnote w:id="64">
    <w:p w14:paraId="2A90B22D" w14:textId="4910D352"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For example, </w:t>
      </w:r>
      <w:proofErr w:type="spellStart"/>
      <w:r w:rsidRPr="00507667">
        <w:rPr>
          <w:rFonts w:ascii="Book Antiqua" w:hAnsi="Book Antiqua"/>
        </w:rPr>
        <w:t>At&amp;t</w:t>
      </w:r>
      <w:proofErr w:type="spellEnd"/>
      <w:r w:rsidRPr="00507667">
        <w:rPr>
          <w:rFonts w:ascii="Book Antiqua" w:hAnsi="Book Antiqua"/>
        </w:rPr>
        <w:t xml:space="preserve"> updated its “Unlimited &amp; More” plan to “Unlimited Extra” plan in 2019. </w:t>
      </w:r>
    </w:p>
  </w:footnote>
  <w:footnote w:id="65">
    <w:p w14:paraId="2AD96633" w14:textId="2F7CEB3B"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{"citationID":"Fz3nh6eF","properties":{"formattedCitation":"Cass R. Sunstein and Richard H. Thaler, \\uc0\\u8220{}Libertarian Paternalism Is Not an Oxymoron,\\uc0\\u8221{} {\\i{}The University of Chicago Law Review} 70, no. 4 (2003): 1159\\uc0\\u8211{}1202, https://doi.org/10.2307/1600573.","plainCitation":"Cass R. Sunstein and Richard H. Thaler, “Libertarian Paternalism Is Not an Oxymoron,” The University of Chicago Law Review 70, no. 4 (2003): 1159–1202, https://doi.org/10.2307/1600573.","noteIndex":65},"citationItems":[{"id":505,"uris":["http://zotero.org/users/local/1X64eMx4/items/MEFG855E"],"uri":["http://zotero.org/users/local/1X64eMx4/items/MEFG855E"],"itemData":{"id":505,"type":"article-journal","abstract":"The idea of libertarian paternalism might seem to be an oxymoron, but it is both possible and desirable for private and public institutions to influence behavior while also respecting freedom of choice. Often people's preferences are unclear and ill-formed, and their choices will inevitably be influenced by default rules, framing effects, and starting points. In these circumstances, a form of paternalism cannot be avoided. Equipped with an understanding of behavioral findings of bounded rationality and bounded self-control, libertarian paternalists should attempt to steer people's choices in welfare-promoting directions without eliminating freedom of choice. It is also possible to show how a libertarian paternalist might select among the possible options and to assess how much choice to offer. Examples are given from many areas, including savings behavior, labor law, and consumer protection.","container-title":"The University of Chicago Law Review","DOI":"10.2307/1600573","ISSN":"0041-9494","issue":"4","note":"publisher: University of Chicago Law Review","page":"1159-1202","source":"JSTOR","title":"Libertarian Paternalism Is Not an Oxymoron","volume":"70","author":[{"family":"Sunstein","given":"Cass R."},{"family":"Thaler","given":"Richard H."}],"issued":{"date-parts":[["2003"]]}}}],"schema":"https://github.com/citation-style-language/schema/raw/master/csl-citation.json"}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Cass R. Sunstein and Richard H. Thaler, “Libertarian Paternalism Is Not an Oxymoron,” </w:t>
      </w:r>
      <w:r w:rsidRPr="00507667">
        <w:rPr>
          <w:rFonts w:ascii="Book Antiqua" w:hAnsi="Book Antiqua" w:cs="Calibri"/>
          <w:i/>
          <w:iCs/>
        </w:rPr>
        <w:t>The University of Chicago Law Review</w:t>
      </w:r>
      <w:r w:rsidRPr="00507667">
        <w:rPr>
          <w:rFonts w:ascii="Book Antiqua" w:hAnsi="Book Antiqua" w:cs="Calibri"/>
        </w:rPr>
        <w:t xml:space="preserve"> 70, no. 4 (2003): 1159–1202, https://doi.org/10.2307/1600573.</w:t>
      </w:r>
      <w:r w:rsidRPr="00507667">
        <w:rPr>
          <w:rFonts w:ascii="Book Antiqua" w:hAnsi="Book Antiqua"/>
        </w:rPr>
        <w:fldChar w:fldCharType="end"/>
      </w:r>
    </w:p>
  </w:footnote>
  <w:footnote w:id="66">
    <w:p w14:paraId="713285B2" w14:textId="5E2D3CFF"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{"citationID":"oI4MAxYe","properties":{"formattedCitation":"Sophia Wang, \\uc0\\u8220{}One Size Does Not Fit All: The Shortcomings of Current Negative Option Legislation Notes,\\uc0\\u8221{} {\\i{}Cornell Journal of Law and Public Policy} 26, no. 1 (2017 2016): 197\\uc0\\u8211{}216.","plainCitation":"Sophia Wang, “One Size Does Not Fit All: The Shortcomings of Current Negative Option Legislation Notes,” Cornell Journal of Law and Public Policy 26, no. 1 (2017 2016): 197–216.","noteIndex":66},"citationItems":[{"id":160,"uris":["http://zotero.org/users/local/1X64eMx4/items/F6UWYWA9"],"uri":["http://zotero.org/users/local/1X64eMx4/items/F6UWYWA9"],"itemData":{"id":160,"type":"article-journal","container-title":"Cornell Journal of Law and Public Policy","issue":"1","journalAbbreviation":"Cornell J. L. &amp; Pub. Pol'y","language":"eng","page":"197-216","title":"One Size Does Not Fit All: The Shortcomings of Current Negative Option Legislation Notes","volume":"26","author":[{"family":"Wang","given":"Sophia"}],"issued":{"date-parts":[["2016"]],"season":"2017"}}}],"schema":"https://github.com/citation-style-language/schema/raw/master/csl-citation.json"}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Sophia Wang, “One Size Does Not Fit All: The Shortcomings of Current Negative Option Legislation Notes,” </w:t>
      </w:r>
      <w:r w:rsidRPr="00507667">
        <w:rPr>
          <w:rFonts w:ascii="Book Antiqua" w:hAnsi="Book Antiqua" w:cs="Calibri"/>
          <w:i/>
          <w:iCs/>
        </w:rPr>
        <w:t>Cornell Journal of Law and Public Policy</w:t>
      </w:r>
      <w:r w:rsidRPr="00507667">
        <w:rPr>
          <w:rFonts w:ascii="Book Antiqua" w:hAnsi="Book Antiqua" w:cs="Calibri"/>
        </w:rPr>
        <w:t xml:space="preserve"> 26, no. 1 (2017 2016): 197–216.</w:t>
      </w:r>
      <w:r w:rsidRPr="00507667">
        <w:rPr>
          <w:rFonts w:ascii="Book Antiqua" w:hAnsi="Book Antiqua"/>
        </w:rPr>
        <w:fldChar w:fldCharType="end"/>
      </w:r>
    </w:p>
  </w:footnote>
  <w:footnote w:id="67">
    <w:p w14:paraId="3A3FEF55" w14:textId="77777777"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e.g., </w:t>
      </w:r>
      <w:r w:rsidRPr="00507667">
        <w:rPr>
          <w:rFonts w:ascii="Book Antiqua" w:hAnsi="Book Antiqua" w:cs="TimesNewRoman"/>
        </w:rPr>
        <w:t xml:space="preserve">TENN. CODE ANN. § 47-18-505. </w:t>
      </w:r>
    </w:p>
  </w:footnote>
  <w:footnote w:id="68">
    <w:p w14:paraId="41CD587C" w14:textId="669D4C5B"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For example, Xfinity offers </w:t>
      </w:r>
      <w:proofErr w:type="gramStart"/>
      <w:r w:rsidRPr="00507667">
        <w:rPr>
          <w:rFonts w:ascii="Book Antiqua" w:hAnsi="Book Antiqua"/>
        </w:rPr>
        <w:t>1 year</w:t>
      </w:r>
      <w:proofErr w:type="gramEnd"/>
      <w:r w:rsidRPr="00507667">
        <w:rPr>
          <w:rFonts w:ascii="Book Antiqua" w:hAnsi="Book Antiqua"/>
        </w:rPr>
        <w:t xml:space="preserve"> contracts. See </w:t>
      </w:r>
      <w:r w:rsidRPr="00507667">
        <w:rPr>
          <w:rFonts w:ascii="Book Antiqua" w:hAnsi="Book Antiqua"/>
        </w:rPr>
        <w:fldChar w:fldCharType="begin"/>
      </w:r>
      <w:r w:rsidR="005E6535">
        <w:rPr>
          <w:rFonts w:ascii="Book Antiqua" w:hAnsi="Book Antiqua"/>
        </w:rPr>
        <w:instrText xml:space="preserve"> ADDIN ZOTERO_ITEM CSL_CITATION {"citationID":"MUPeSbPg","properties":{"formattedCitation":"\\uc0\\u8220{}XFINITY\\uc0\\u174{} Internet,\\uc0\\u8221{} accessed April 12, 2021, https://www.xfinity.com/learn/xfinity-internetplus-dp-central3?CMP=KNC-43700053507076731-GOOGLE-398240557634-c-comcast%20internet-e-Top_BR_Call_Exact_Central&amp;gclid=Cj0KCQjw38-DBhDpARIsADJ3kjlI8wFLUK-1jMpP_jt1fbmefzrs2QmvtXeoCKIp829jPVb20V64R4AaAjC8EALw_wcB&amp;gclsrc=aw.ds.","plainCitation":"“XFINITY® Internet,” accessed April 12, 2021, https://www.xfinity.com/learn/xfinity-internetplus-dp-central3?CMP=KNC-43700053507076731-GOOGLE-398240557634-c-comcast%20internet-e-Top_BR_Call_Exact_Central&amp;gclid=Cj0KCQjw38-DBhDpARIsADJ3kjlI8wFLUK-1jMpP_jt1fbmefzrs2QmvtXeoCKIp829jPVb20V64R4AaAjC8EALw_wcB&amp;gclsrc=aw.ds.","noteIndex":68},"citationItems":[{"id":507,"uris":["http://zotero.org/users/local/1X64eMx4/items/2KPEREEJ"],"uri":["http://zotero.org/users/local/1X64eMx4/items/2KPEREEJ"],"itemData":{"id":507,"type":"webpage","title":"XFINITY® Internet","URL":"https://www.xfinity.com/learn/xfinity-internetplus-dp-central3?CMP=KNC-43700053507076731-GOOGLE-398240557634-c-comcast%20internet-e-Top_BR_Call_Exact_Central&amp;gclid=Cj0KCQjw38-DBhDpARIsADJ3kjlI8wFLUK-1jMpP_jt1fbmefzrs2QmvtXeoCKIp829jPVb20V64R4AaAjC8EALw_wcB&amp;gclsrc=aw.ds","accessed":{"date-parts":[["2021",4,12]]}}}],"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“XFINITY® Internet,” accessed April 12, 2021, https://www.xfinity.com/learn/xfinity-internetplus-dp-central3?CMP=KNC-43700053507076731-GOOGLE-398240557634-c-comcast%20internet-e-Top_BR_Call_Exact_Central&amp;gclid=Cj0KCQjw38-DBhDpARIsADJ3kjlI8wFLUK-1jMpP_jt1fbmefzrs2QmvtXeoCKIp829jPVb20V64R4AaAjC8EALw_wcB&amp;gclsrc=aw.ds.</w:t>
      </w:r>
      <w:r w:rsidRPr="00507667">
        <w:rPr>
          <w:rFonts w:ascii="Book Antiqua" w:hAnsi="Book Antiqua"/>
        </w:rPr>
        <w:fldChar w:fldCharType="end"/>
      </w:r>
    </w:p>
  </w:footnote>
  <w:footnote w:id="69">
    <w:p w14:paraId="7DC86742" w14:textId="470004EB"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For example, there isn’t any contract term for Spotify Premium. But billings are monthly. See </w:t>
      </w:r>
      <w:r w:rsidRPr="00507667">
        <w:rPr>
          <w:rFonts w:ascii="Book Antiqua" w:hAnsi="Book Antiqua"/>
        </w:rPr>
        <w:fldChar w:fldCharType="begin"/>
      </w:r>
      <w:r w:rsidR="005E6535">
        <w:rPr>
          <w:rFonts w:ascii="Book Antiqua" w:hAnsi="Book Antiqua"/>
        </w:rPr>
        <w:instrText xml:space="preserve"> ADDIN ZOTERO_ITEM CSL_CITATION {"citationID":"C3GfcSlC","properties":{"formattedCitation":"\\uc0\\u8220{}Spotify Premium - Spotify (US),\\uc0\\u8221{} accessed April 12, 2021, https://www.spotify.com/us/premium/.","plainCitation":"“Spotify Premium - Spotify (US),” accessed April 12, 2021, https://www.spotify.com/us/premium/.","noteIndex":69},"citationItems":[{"id":509,"uris":["http://zotero.org/users/local/1X64eMx4/items/PEVLIRLZ"],"uri":["http://zotero.org/users/local/1X64eMx4/items/PEVLIRLZ"],"itemData":{"id":509,"type":"webpage","title":"Spotify Premium - Spotify (US)","URL":"https://www.spotify.com/us/premium/","accessed":{"date-parts":[["2021",4,12]]}}}],"schema":"https://github.com/citation-style-language/schema/raw/master/csl-citation.json"}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“Spotify Premium - Spotify (US),” accessed April 12, 2021, https://www.spotify.com/us/premium/.</w:t>
      </w:r>
      <w:r w:rsidRPr="00507667">
        <w:rPr>
          <w:rFonts w:ascii="Book Antiqua" w:hAnsi="Book Antiqua"/>
        </w:rPr>
        <w:fldChar w:fldCharType="end"/>
      </w:r>
    </w:p>
  </w:footnote>
  <w:footnote w:id="70">
    <w:p w14:paraId="0C2E437E" w14:textId="3359C86D"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{"citationID":"hoBkxmEl","properties":{"formattedCitation":"RAPHAEL BRADE, OLIVER HIMMLER, and ROBERT J\\uc0\\u196{}CKLE, \\uc0\\u8220{}Soft Commitments and Reminders: Long-Term Effects on Academic Attainment,\\uc0\\u8221{} 2019.","plainCitation":"RAPHAEL BRADE, OLIVER HIMMLER, and ROBERT JÄCKLE, “Soft Commitments and Reminders: Long-Term Effects on Academic Attainment,” 2019.","noteIndex":70},"citationItems":[{"id":313,"uris":["http://zotero.org/users/local/1X64eMx4/items/KQWR7ZUY"],"uri":["http://zotero.org/users/local/1X64eMx4/items/KQWR7ZUY"],"itemData":{"id":313,"type":"article-journal","title":"Soft Commitments and Reminders: Long-Term Effects on Academic Attainment","author":[{"family":"BRADE","given":"RAPHAEL"},{"family":"HIMMLER","given":"OLIVER"},{"family":"JÄCKLE","given":"ROBERT"}],"issued":{"date-parts":[["2019"]]}}}],"schema":"https://github.com/citation-style-language/schema/raw/master/csl-citation.json"}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RAPHAEL BRADE, OLIVER HIMMLER, and ROBERT JÄCKLE, “Soft Commitments and Reminders: Long-Term Effects on Academic Attainment,” 2019.</w:t>
      </w:r>
      <w:r w:rsidRPr="00507667">
        <w:rPr>
          <w:rFonts w:ascii="Book Antiqua" w:hAnsi="Book Antiqua"/>
        </w:rPr>
        <w:fldChar w:fldCharType="end"/>
      </w:r>
    </w:p>
  </w:footnote>
  <w:footnote w:id="71">
    <w:p w14:paraId="65DFFDA1" w14:textId="02AF3FA4"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{"citationID":"Dj92wYT1","properties":{"formattedCitation":"Steffen Altmann and Christian Traxler, \\uc0\\u8220{}Nudges at the Dentist,\\uc0\\u8221{} {\\i{}European Economic Review} 72 (2014): 19\\uc0\\u8211{}38.","plainCitation":"Steffen Altmann and Christian Traxler, “Nudges at the Dentist,” European Economic Review 72 (2014): 19–38.","noteIndex":71},"citationItems":[{"id":304,"uris":["http://zotero.org/users/local/1X64eMx4/items/PZPBV6V3"],"uri":["http://zotero.org/users/local/1X64eMx4/items/PZPBV6V3"],"itemData":{"id":304,"type":"article-journal","container-title":"European Economic Review","note":"ISBN: 0014-2921\npublisher: Elsevier","page":"19-38","title":"Nudges at the dentist","volume":"72","author":[{"family":"Altmann","given":"Steffen"},{"family":"Traxler","given":"Christian"}],"issued":{"date-parts":[["2014"]]}}}],"schema":"https://github.com/citation-style-language/schema/raw/master/csl-citation.json"}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Steffen Altmann and Christian Traxler, “Nudges at the Dentist,” </w:t>
      </w:r>
      <w:r w:rsidRPr="00507667">
        <w:rPr>
          <w:rFonts w:ascii="Book Antiqua" w:hAnsi="Book Antiqua" w:cs="Calibri"/>
          <w:i/>
          <w:iCs/>
        </w:rPr>
        <w:t>European Economic Review</w:t>
      </w:r>
      <w:r w:rsidRPr="00507667">
        <w:rPr>
          <w:rFonts w:ascii="Book Antiqua" w:hAnsi="Book Antiqua" w:cs="Calibri"/>
        </w:rPr>
        <w:t xml:space="preserve"> 72 (2014): 19–38.</w:t>
      </w:r>
      <w:r w:rsidRPr="00507667">
        <w:rPr>
          <w:rFonts w:ascii="Book Antiqua" w:hAnsi="Book Antiqua"/>
        </w:rPr>
        <w:fldChar w:fldCharType="end"/>
      </w:r>
    </w:p>
  </w:footnote>
  <w:footnote w:id="72">
    <w:p w14:paraId="5D1206EB" w14:textId="6D0440B5"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{"citationID":"6RJVOiII","properties":{"formattedCitation":"Libor Dusek, Nicolas Pardo, and Christian Traxler, \\uc0\\u8220{}Salience, Incentives, and Timely Compliance: Evidence from Speeding Tickets,\\uc0\\u8221{} SSRN Scholarly Paper (Rochester, NY: Social Science Research Network, May 14, 2020), https://doi.org/10.2139/ssrn.3600770.","plainCitation":"Libor Dusek, Nicolas Pardo, and Christian Traxler, “Salience, Incentives, and Timely Compliance: Evidence from Speeding Tickets,” SSRN Scholarly Paper (Rochester, NY: Social Science Research Network, May 14, 2020), https://doi.org/10.2139/ssrn.3600770.","noteIndex":72},"citationItems":[{"id":309,"uris":["http://zotero.org/users/local/1X64eMx4/items/K952BJ9A"],"uri":["http://zotero.org/users/local/1X64eMx4/items/K952BJ9A"],"itemData":{"id":309,"type":"report","abstract":"This paper studies the enforcement of fines. We randomly assign 80,000 speeding tickets to treatments that increase the salience of the payment deadline, late penalties, or both. Stressing the penalties significantly and persistently increases payment rates. Emphasizing only the deadline is not effective. The findings from the RCT are consistent with a survey experiment which documents the treatments' impact on priors about parameters of the compliance problem. Exploiting discontinuous variation in fines, we then document a strong price responsiveness: a 1% increase in the payment obligation induces a 0.23 percentage point decrease in timely compliance. This semi-elasticity suggests that the impact of the salience nudges is equivalent to the effect of a 4-9% reduction in fines.","event-place":"Rochester, NY","genre":"SSRN Scholarly Paper","language":"en","note":"DOI: 10.2139/ssrn.3600770","number":"ID 3600770","publisher":"Social Science Research Network","publisher-place":"Rochester, NY","source":"papers.ssrn.com","title":"Salience, Incentives, and Timely Compliance: Evidence from Speeding Tickets","title-short":"Salience, Incentives, and Timely Compliance","URL":"https://papers.ssrn.com/abstract=3600770","author":[{"family":"Dusek","given":"Libor"},{"family":"Pardo","given":"Nicolas"},{"family":"Traxler","given":"Christian"}],"accessed":{"date-parts":[["2021",4,9]]},"issued":{"date-parts":[["2020",5,14]]}}}],"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Libor Dusek, Nicolas Pardo, and Christian Traxler, “Salience, Incentives, and Timely Compliance: Evidence from Speeding Tickets,” SSRN Scholarly Paper (Rochester, NY: Social Science Research Network, May 14, 2020), https://doi.org/10.2139/ssrn.3600770.</w:t>
      </w:r>
      <w:r w:rsidRPr="00507667">
        <w:rPr>
          <w:rFonts w:ascii="Book Antiqua" w:hAnsi="Book Antiqua"/>
        </w:rPr>
        <w:fldChar w:fldCharType="end"/>
      </w:r>
    </w:p>
  </w:footnote>
  <w:footnote w:id="73">
    <w:p w14:paraId="17A041C3" w14:textId="12F36483"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{"citationID":"i9opWFDL","properties":{"formattedCitation":"Dean Karlan et al., \\uc0\\u8220{}Getting to the Top of Mind: How Reminders Increase Saving,\\uc0\\u8221{} {\\i{}Management Science} 62, no. 12 (2016): 3393\\uc0\\u8211{}3411.","plainCitation":"Dean Karlan et al., “Getting to the Top of Mind: How Reminders Increase Saving,” Management Science 62, no. 12 (2016): 3393–3411.","noteIndex":73},"citationItems":[{"id":315,"uris":["http://zotero.org/users/local/1X64eMx4/items/L559UM38"],"uri":["http://zotero.org/users/local/1X64eMx4/items/L559UM38"],"itemData":{"id":315,"type":"article-journal","container-title":"Management Science","issue":"12","note":"ISBN: 0025-1909\npublisher: INFORMS","page":"3393-3411","title":"Getting to the top of mind: How reminders increase saving","volume":"62","author":[{"family":"Karlan","given":"Dean"},{"family":"McConnell","given":"Margaret"},{"family":"Mullainathan","given":"Sendhil"},{"family":"Zinman","given":"Jonathan"}],"issued":{"date-parts":[["2016"]]}}}],"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Dean Karlan et al., “Getting to the Top of Mind: How Reminders Increase Saving,” </w:t>
      </w:r>
      <w:r w:rsidRPr="00507667">
        <w:rPr>
          <w:rFonts w:ascii="Book Antiqua" w:hAnsi="Book Antiqua" w:cs="Calibri"/>
          <w:i/>
          <w:iCs/>
        </w:rPr>
        <w:t>Management Science</w:t>
      </w:r>
      <w:r w:rsidRPr="00507667">
        <w:rPr>
          <w:rFonts w:ascii="Book Antiqua" w:hAnsi="Book Antiqua" w:cs="Calibri"/>
        </w:rPr>
        <w:t xml:space="preserve"> 62, no. 12 (2016): 3393–3411.</w:t>
      </w:r>
      <w:r w:rsidRPr="00507667">
        <w:rPr>
          <w:rFonts w:ascii="Book Antiqua" w:hAnsi="Book Antiqua"/>
        </w:rPr>
        <w:fldChar w:fldCharType="end"/>
      </w:r>
    </w:p>
  </w:footnote>
  <w:footnote w:id="74">
    <w:p w14:paraId="7A0787E4" w14:textId="3AC8FFBF"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{"citationID":"r3E6UMA2","properties":{"formattedCitation":"Dean Karlan, Melanie Morten, and Jonathan Zinman, \\uc0\\u8220{}A Personal Touch in Text Messaging Can Improve Microloan Repayment,\\uc0\\u8221{} {\\i{}Behavioral Science &amp; Policy} 1, no. 2 (2015): 25\\uc0\\u8211{}31, https://doi.org/10.1353/bsp.2015.0016.","plainCitation":"Dean Karlan, Melanie Morten, and Jonathan Zinman, “A Personal Touch in Text Messaging Can Improve Microloan Repayment,” Behavioral Science &amp; Policy 1, no. 2 (2015): 25–31, https://doi.org/10.1353/bsp.2015.0016.","noteIndex":74},"citationItems":[{"id":317,"uris":["http://zotero.org/users/local/1X64eMx4/items/2KIV9WTY"],"uri":["http://zotero.org/users/local/1X64eMx4/items/2KIV9WTY"],"itemData":{"id":317,"type":"article-journal","abstract":"Because payment delays and defaults significantly affect both lenders and borrowers in fragile economies, strategies to improve timely loan repayment are needed to help make credit markets work smoothly. We worked with two microlenders to test the impact of randomly assigned text message reminders for loan repayments in the Philippines. Messages improved repayment only when they included the account officer’s name and only for clients serviced by the account officer previously. These results highlight the potential and limits of communication technology for improving loan repayment rates. They also suggest that personal connections between borrowers and bank employees can be harnessed to help overcome market failures.","container-title":"Behavioral Science &amp; Policy","DOI":"10.1353/bsp.2015.0016","ISSN":"2379-4615","issue":"2","note":"publisher: Brookings Institution Press","page":"25-31","source":"Project MUSE","title":"A personal touch in text messaging can improve microloan repayment","volume":"1","author":[{"family":"Karlan","given":"Dean"},{"family":"Morten","given":"Melanie"},{"family":"Zinman","given":"Jonathan"}],"issued":{"date-parts":[["2015"]]}}}],"schema":"https://github.com/citation-style-language/schema/raw/master/csl-citation.json"}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Dean Karlan, Melanie Morten, and Jonathan Zinman, “A Personal Touch in Text Messaging Can Improve Microloan Repayment,” </w:t>
      </w:r>
      <w:r w:rsidRPr="00507667">
        <w:rPr>
          <w:rFonts w:ascii="Book Antiqua" w:hAnsi="Book Antiqua" w:cs="Calibri"/>
          <w:i/>
          <w:iCs/>
        </w:rPr>
        <w:t>Behavioral Science &amp; Policy</w:t>
      </w:r>
      <w:r w:rsidRPr="00507667">
        <w:rPr>
          <w:rFonts w:ascii="Book Antiqua" w:hAnsi="Book Antiqua" w:cs="Calibri"/>
        </w:rPr>
        <w:t xml:space="preserve"> 1, no. 2 (2015): 25–31, https://doi.org/10.1353/bsp.2015.0016.</w:t>
      </w:r>
      <w:r w:rsidRPr="00507667">
        <w:rPr>
          <w:rFonts w:ascii="Book Antiqua" w:hAnsi="Book Antiqua"/>
        </w:rPr>
        <w:fldChar w:fldCharType="end"/>
      </w:r>
    </w:p>
  </w:footnote>
  <w:footnote w:id="75">
    <w:p w14:paraId="0DF51C8F" w14:textId="6713C480"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{"citationID":"bnnejI8y","properties":{"formattedCitation":"Robby Nieuwlaat et al., \\uc0\\u8220{}Interventions for Enhancing Medication Adherence,\\uc0\\u8221{} {\\i{}Cochrane Database of Systematic Reviews}, no. 11 (2014), https://doi.org/10.1002/14651858.CD000011.pub4.","plainCitation":"Robby Nieuwlaat et al., “Interventions for Enhancing Medication Adherence,” Cochrane Database of Systematic Reviews, no. 11 (2014), https://doi.org/10.1002/14651858.CD000011.pub4.","noteIndex":75},"citationItems":[{"id":323,"uris":["http://zotero.org/users/local/1X64eMx4/items/PBT4JYJP"],"uri":["http://zotero.org/users/local/1X64eMx4/items/PBT4JYJP"],"itemData":{"id":323,"type":"article-journal","container-title":"Cochrane Database of Systematic Reviews","DOI":"10.1002/14651858.CD000011.pub4","ISSN":"1465-1858","issue":"11","language":"en","note":"publisher: John Wiley &amp; Sons, Ltd","source":"www.cochranelibrary.com","title":"Interventions for enhancing medication adherence","URL":"https://www.cochranelibrary.com/cdsr/doi/10.1002/14651858.CD000011.pub4/full","author":[{"family":"Nieuwlaat","given":"Robby"},{"family":"Wilczynski","given":"Nancy"},{"family":"Navarro","given":"Tamara"},{"family":"Hobson","given":"Nicholas"},{"family":"Jeffery","given":"Rebecca"},{"family":"Keepanasseril","given":"Arun"},{"family":"Agoritsas","given":"Thomas"},{"family":"Mistry","given":"Niraj"},{"family":"Iorio","given":"Alfonso"},{"family":"Jack","given":"Susan"},{"family":"Sivaramalingam","given":"Bhairavi"},{"family":"Iserman","given":"Emma"},{"family":"Mustafa","given":"Reem A."},{"family":"Jedraszewski","given":"Dawn"},{"family":"Cotoi","given":"Chris"},{"family":"Haynes","given":"R. Brian"}],"accessed":{"date-parts":[["2021",4,9]]},"issued":{"date-parts":[["2014"]]}}}],"schema":"https://github.com/citation-style-language/schema/raw/master/csl-citation.json"}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Robby Nieuwlaat et al., “Interventions for Enhancing Medication Adherence,” </w:t>
      </w:r>
      <w:r w:rsidRPr="00507667">
        <w:rPr>
          <w:rFonts w:ascii="Book Antiqua" w:hAnsi="Book Antiqua" w:cs="Calibri"/>
          <w:i/>
          <w:iCs/>
        </w:rPr>
        <w:t>Cochrane Database of Systematic Reviews</w:t>
      </w:r>
      <w:r w:rsidRPr="00507667">
        <w:rPr>
          <w:rFonts w:ascii="Book Antiqua" w:hAnsi="Book Antiqua" w:cs="Calibri"/>
        </w:rPr>
        <w:t>, no. 11 (2014), https://doi.org/10.1002/14651858.CD000011.pub4.</w:t>
      </w:r>
      <w:r w:rsidRPr="00507667">
        <w:rPr>
          <w:rFonts w:ascii="Book Antiqua" w:hAnsi="Book Antiqua"/>
        </w:rPr>
        <w:fldChar w:fldCharType="end"/>
      </w:r>
    </w:p>
  </w:footnote>
  <w:footnote w:id="76">
    <w:p w14:paraId="0F554EA1" w14:textId="14991C59"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{"citationID":"SBjvzKOr","properties":{"formattedCitation":"Paul Muller and Wolfgang Habla, \\uc0\\u8220{}Experimental and Non-Experimental Evidence on Limited Attention and Present Bias at the Gym,\\uc0\\u8221{} {\\i{}ZEW Discussion Papers} 18 (2018).","plainCitation":"Paul Muller and Wolfgang Habla, “Experimental and Non-Experimental Evidence on Limited Attention and Present Bias at the Gym,” ZEW Discussion Papers 18 (2018).","noteIndex":76},"citationItems":[{"id":329,"uris":["http://zotero.org/users/local/1X64eMx4/items/KQHS42D3"],"uri":["http://zotero.org/users/local/1X64eMx4/items/KQHS42D3"],"itemData":{"id":329,"type":"article-journal","container-title":"ZEW Discussion Papers","title":"Experimental and non-experimental evidence on limited attention and present bias at the gym","volume":"18","author":[{"family":"Muller","given":"Paul"},{"family":"Habla","given":"Wolfgang"}],"issued":{"date-parts":[["2018"]]}}}],"schema":"https://github.com/citation-style-language/schema/raw/master/csl-citation.json"} </w:instrText>
      </w:r>
      <w:r w:rsidRPr="00507667">
        <w:rPr>
          <w:rFonts w:ascii="Book Antiqua" w:hAnsi="Book Antiqua"/>
        </w:rPr>
        <w:fldChar w:fldCharType="separate"/>
      </w:r>
      <w:r w:rsidRPr="00507667">
        <w:rPr>
          <w:rFonts w:ascii="Book Antiqua" w:hAnsi="Book Antiqua" w:cs="Times New Roman"/>
        </w:rPr>
        <w:t xml:space="preserve">Paul Muller and Wolfgang Habla, “Experimental and Non-Experimental Evidence on Limited Attention and Present Bias at the Gym,” </w:t>
      </w:r>
      <w:r w:rsidRPr="00507667">
        <w:rPr>
          <w:rFonts w:ascii="Book Antiqua" w:hAnsi="Book Antiqua" w:cs="Times New Roman"/>
          <w:i/>
          <w:iCs/>
        </w:rPr>
        <w:t>ZEW Discussion Papers</w:t>
      </w:r>
      <w:r w:rsidRPr="00507667">
        <w:rPr>
          <w:rFonts w:ascii="Book Antiqua" w:hAnsi="Book Antiqua" w:cs="Times New Roman"/>
        </w:rPr>
        <w:t xml:space="preserve"> 18 (2018).</w:t>
      </w:r>
      <w:r w:rsidRPr="00507667">
        <w:rPr>
          <w:rFonts w:ascii="Book Antiqua" w:hAnsi="Book Antiqua"/>
        </w:rPr>
        <w:fldChar w:fldCharType="end"/>
      </w:r>
    </w:p>
  </w:footnote>
  <w:footnote w:id="77">
    <w:p w14:paraId="56B61E33" w14:textId="1FC2B166"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{"citationID":"8hkTPvRa","properties":{"formattedCitation":"Caroline Free et al., \\uc0\\u8220{}Smoking Cessation Support Delivered via Mobile Phone Text Messaging (Txt2stop): A Single-Blind, Randomised Trial,\\uc0\\u8221{} {\\i{}The Lancet} 378, no. 9785 (2011): 49\\uc0\\u8211{}55.","plainCitation":"Caroline Free et al., “Smoking Cessation Support Delivered via Mobile Phone Text Messaging (Txt2stop): A Single-Blind, Randomised Trial,” The Lancet 378, no. 9785 (2011): 49–55.","noteIndex":77},"citationItems":[{"id":337,"uris":["http://zotero.org/users/local/1X64eMx4/items/TEKDDS4P"],"uri":["http://zotero.org/users/local/1X64eMx4/items/TEKDDS4P"],"itemData":{"id":337,"type":"article-journal","container-title":"The Lancet","issue":"9785","note":"ISBN: 0140-6736\npublisher: Elsevier","page":"49-55","title":"Smoking cessation support delivered via mobile phone text messaging (txt2stop): a single-blind, randomised trial","volume":"378","author":[{"family":"Free","given":"Caroline"},{"family":"Knight","given":"Rosemary"},{"family":"Robertson","given":"Steven"},{"family":"Whittaker","given":"Robyn"},{"family":"Edwards","given":"Phil"},{"family":"Zhou","given":"Weiwei"},{"family":"Rodgers","given":"Anthony"},{"family":"Cairns","given":"John"},{"family":"Kenward","given":"Michael G."},{"family":"Roberts","given":"Ian"}],"issued":{"date-parts":[["2011"]]}}}],"schema":"https://github.com/citation-style-language/schema/raw/master/csl-citation.json"}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Caroline Free et al., “Smoking Cessation Support Delivered via Mobile Phone Text Messaging (Txt2stop): A Single-Blind, Randomised Trial,” </w:t>
      </w:r>
      <w:r w:rsidRPr="00507667">
        <w:rPr>
          <w:rFonts w:ascii="Book Antiqua" w:hAnsi="Book Antiqua" w:cs="Calibri"/>
          <w:i/>
          <w:iCs/>
        </w:rPr>
        <w:t>The Lancet</w:t>
      </w:r>
      <w:r w:rsidRPr="00507667">
        <w:rPr>
          <w:rFonts w:ascii="Book Antiqua" w:hAnsi="Book Antiqua" w:cs="Calibri"/>
        </w:rPr>
        <w:t xml:space="preserve"> 378, no. 9785 (2011): 49–55.</w:t>
      </w:r>
      <w:r w:rsidRPr="00507667">
        <w:rPr>
          <w:rFonts w:ascii="Book Antiqua" w:hAnsi="Book Antiqua"/>
        </w:rPr>
        <w:fldChar w:fldCharType="end"/>
      </w:r>
    </w:p>
  </w:footnote>
  <w:footnote w:id="78">
    <w:p w14:paraId="23B16EB5" w14:textId="45874415"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{"citationID":"J3EC09lr","properties":{"formattedCitation":"Jose Apesteguia, Patricia Funk, and Nagore Iriberri, \\uc0\\u8220{}Promoting Rule Compliance in Daily-Life: Evidence from a Randomized Field Experiment in the Public Libraries of Barcelona,\\uc0\\u8221{} {\\i{}European Economic Review} 64 (2013): 266\\uc0\\u8211{}84.","plainCitation":"Jose Apesteguia, Patricia Funk, and Nagore Iriberri, “Promoting Rule Compliance in Daily-Life: Evidence from a Randomized Field Experiment in the Public Libraries of Barcelona,” European Economic Review 64 (2013): 266–84.","noteIndex":78},"citationItems":[{"id":338,"uris":["http://zotero.org/users/local/1X64eMx4/items/GQP9FD7E"],"uri":["http://zotero.org/users/local/1X64eMx4/items/GQP9FD7E"],"itemData":{"id":338,"type":"article-journal","container-title":"European Economic Review","note":"ISBN: 0014-2921\npublisher: Elsevier","page":"266-284","title":"Promoting rule compliance in daily-life: Evidence from a randomized field experiment in the public libraries of Barcelona","volume":"64","author":[{"family":"Apesteguia","given":"Jose"},{"family":"Funk","given":"Patricia"},{"family":"Iriberri","given":"Nagore"}],"issued":{"date-parts":[["2013"]]}}}],"schema":"https://github.com/citation-style-language/schema/raw/master/csl-citation.json"}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Jose Apesteguia, Patricia Funk, and Nagore Iriberri, “Promoting Rule Compliance in Daily-Life: Evidence from a Randomized Field Experiment in the Public Libraries of Barcelona,” </w:t>
      </w:r>
      <w:r w:rsidRPr="00507667">
        <w:rPr>
          <w:rFonts w:ascii="Book Antiqua" w:hAnsi="Book Antiqua" w:cs="Calibri"/>
          <w:i/>
          <w:iCs/>
        </w:rPr>
        <w:t>European Economic Review</w:t>
      </w:r>
      <w:r w:rsidRPr="00507667">
        <w:rPr>
          <w:rFonts w:ascii="Book Antiqua" w:hAnsi="Book Antiqua" w:cs="Calibri"/>
        </w:rPr>
        <w:t xml:space="preserve"> 64 (2013): 266–84.</w:t>
      </w:r>
      <w:r w:rsidRPr="00507667">
        <w:rPr>
          <w:rFonts w:ascii="Book Antiqua" w:hAnsi="Book Antiqua"/>
        </w:rPr>
        <w:fldChar w:fldCharType="end"/>
      </w:r>
    </w:p>
  </w:footnote>
  <w:footnote w:id="79">
    <w:p w14:paraId="68F0E9F9" w14:textId="4EB0DF3C"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{"citationID":"fhfUl0ic","properties":{"formattedCitation":"Gerlinde Fellner, Rupert Sausgruber, and Christian Traxler, \\uc0\\u8220{}Testing Enforcement Strategies in the Field: Threat, Moral Appeal and Social Information,\\uc0\\u8221{} {\\i{}Journal of the European Economic Association} 11, no. 3 (June 1, 2013): 634\\uc0\\u8211{}60, https://doi.org/10.1111/jeea.12013.","plainCitation":"Gerlinde Fellner, Rupert Sausgruber, and Christian Traxler, “Testing Enforcement Strategies in the Field: Threat, Moral Appeal and Social Information,” Journal of the European Economic Association 11, no. 3 (June 1, 2013): 634–60, https://doi.org/10.1111/jeea.12013.","noteIndex":79},"citationItems":[{"id":339,"uris":["http://zotero.org/users/local/1X64eMx4/items/CDRR6M54"],"uri":["http://zotero.org/users/local/1X64eMx4/items/CDRR6M54"],"itemData":{"id":339,"type":"article-journal","abstract":"We run a large-scale natural field experiment to evaluate alternative strategies to enforce compliance with the law. The experiment varies the text of mailings sent to potential evaders of TV license fees. We find a strong effect of mailings, leading to a substantial increase in compliance. Among different mailings, a threat treatment which makes a high detection risk salient has a significant deterrent effect. Neither appealing to morals nor imparting information about others’ behavior enhances compliance on aggregate. However, the information condition has a weak positive effect in municipalities where evasion is believed to be common.","container-title":"Journal of the European Economic Association","DOI":"10.1111/jeea.12013","ISSN":"1542-4766","issue":"3","journalAbbreviation":"Journal of the European Economic Association","page":"634-660","source":"Silverchair","title":"Testing Enforcement Strategies in the Field: Threat, Moral Appeal and Social Information","title-short":"Testing Enforcement Strategies in the Field","volume":"11","author":[{"family":"Fellner","given":"Gerlinde"},{"family":"Sausgruber","given":"Rupert"},{"family":"Traxler","given":"Christian"}],"issued":{"date-parts":[["2013",6,1]]}}}],"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Gerlinde Fellner, Rupert Sausgruber, and Christian Traxler, “Testing Enforcement Strategies in the Field: Threat, Moral Appeal and Social Information,” </w:t>
      </w:r>
      <w:r w:rsidRPr="00507667">
        <w:rPr>
          <w:rFonts w:ascii="Book Antiqua" w:hAnsi="Book Antiqua" w:cs="Calibri"/>
          <w:i/>
          <w:iCs/>
        </w:rPr>
        <w:t>Journal of the European Economic Association</w:t>
      </w:r>
      <w:r w:rsidRPr="00507667">
        <w:rPr>
          <w:rFonts w:ascii="Book Antiqua" w:hAnsi="Book Antiqua" w:cs="Calibri"/>
        </w:rPr>
        <w:t xml:space="preserve"> 11, no. 3 (June 1, 2013): 634–60, https://doi.org/10.1111/jeea.12013.</w:t>
      </w:r>
      <w:r w:rsidRPr="00507667">
        <w:rPr>
          <w:rFonts w:ascii="Book Antiqua" w:hAnsi="Book Antiqua"/>
        </w:rPr>
        <w:fldChar w:fldCharType="end"/>
      </w:r>
    </w:p>
  </w:footnote>
  <w:footnote w:id="80">
    <w:p w14:paraId="7D4CD596" w14:textId="6AA93C05"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{"citationID":"CF46Ww7X","properties":{"formattedCitation":"Victor Stango and Jonathan Zinman, \\uc0\\u8220{}Limited and Varying Consumer Attention: Evidence from Shocks to the Salience of Bank Overdraft Fees,\\uc0\\u8221{} {\\i{}The Review of Financial Studies} 27, no. 4 (2014): 990\\uc0\\u8211{}1030.","plainCitation":"Victor Stango and Jonathan Zinman, “Limited and Varying Consumer Attention: Evidence from Shocks to the Salience of Bank Overdraft Fees,” The Review of Financial Studies 27, no. 4 (2014): 990–1030.","noteIndex":80},"citationItems":[{"id":342,"uris":["http://zotero.org/users/local/1X64eMx4/items/24TDKDNX"],"uri":["http://zotero.org/users/local/1X64eMx4/items/24TDKDNX"],"itemData":{"id":342,"type":"article-journal","container-title":"The Review of Financial Studies","issue":"4","note":"ISBN: 1465-7368\npublisher: Oxford University Press","page":"990-1030","title":"Limited and varying consumer attention: Evidence from shocks to the salience of bank overdraft fees","volume":"27","author":[{"family":"Stango","given":"Victor"},{"family":"Zinman","given":"Jonathan"}],"issued":{"date-parts":[["2014"]]}}}],"schema":"https://github.com/citation-style-language/schema/raw/master/csl-citation.json"}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Victor Stango and Jonathan Zinman, “Limited and Varying Consumer Attention: Evidence from Shocks to the Salience of Bank Overdraft Fees,” </w:t>
      </w:r>
      <w:r w:rsidRPr="00507667">
        <w:rPr>
          <w:rFonts w:ascii="Book Antiqua" w:hAnsi="Book Antiqua" w:cs="Calibri"/>
          <w:i/>
          <w:iCs/>
        </w:rPr>
        <w:t>The Review of Financial Studies</w:t>
      </w:r>
      <w:r w:rsidRPr="00507667">
        <w:rPr>
          <w:rFonts w:ascii="Book Antiqua" w:hAnsi="Book Antiqua" w:cs="Calibri"/>
        </w:rPr>
        <w:t xml:space="preserve"> 27, no. 4 (2014): 990–1030.</w:t>
      </w:r>
      <w:r w:rsidRPr="00507667">
        <w:rPr>
          <w:rFonts w:ascii="Book Antiqua" w:hAnsi="Book Antiqua"/>
        </w:rPr>
        <w:fldChar w:fldCharType="end"/>
      </w:r>
    </w:p>
  </w:footnote>
  <w:footnote w:id="81">
    <w:p w14:paraId="07AADD6C" w14:textId="25EDDA69"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{"citationID":"kKHBr3l5","properties":{"formattedCitation":"BRADE, HIMMLER, and J\\uc0\\u196{}CKLE, \\uc0\\u8220{}Soft Commitments and Reminders: Long-Term Effects on Academic Attainment.\\uc0\\u8221{}","plainCitation":"BRADE, HIMMLER, and JÄCKLE, “Soft Commitments and Reminders: Long-Term Effects on Academic Attainment.”","noteIndex":81},"citationItems":[{"id":313,"uris":["http://zotero.org/users/local/1X64eMx4/items/KQWR7ZUY"],"uri":["http://zotero.org/users/local/1X64eMx4/items/KQWR7ZUY"],"itemData":{"id":313,"type":"article-journal","title":"Soft Commitments and Reminders: Long-Term Effects on Academic Attainment","author":[{"family":"BRADE","given":"RAPHAEL"},{"family":"HIMMLER","given":"OLIVER"},{"family":"JÄCKLE","given":"ROBERT"}],"issued":{"date-parts":[["2019"]]}}}],"schema":"https://github.com/citation-style-language/schema/raw/master/csl-citation.json"}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BRADE, HIMMLER, and JÄCKLE, “Soft Commitments and Reminders: Long-Term Effects on Academic Attainment.”</w:t>
      </w:r>
      <w:r w:rsidRPr="00507667">
        <w:rPr>
          <w:rFonts w:ascii="Book Antiqua" w:hAnsi="Book Antiqua"/>
        </w:rPr>
        <w:fldChar w:fldCharType="end"/>
      </w:r>
    </w:p>
  </w:footnote>
  <w:footnote w:id="82">
    <w:p w14:paraId="40FD2A83" w14:textId="61533F08"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{"citationID":"UmcfpHts","properties":{"formattedCitation":"Keith Ericson, \\uc0\\u8220{}On the Interaction of Memory and Procrastination: Implications for Reminders, Deadlines, and Empirical Estimation,\\uc0\\u8221{} {\\i{}Journal of the European Economic Association} 15, no. 3 (2017): 692\\uc0\\u8211{}719.","plainCitation":"Keith Ericson, “On the Interaction of Memory and Procrastination: Implications for Reminders, Deadlines, and Empirical Estimation,” Journal of the European Economic Association 15, no. 3 (2017): 692–719.","noteIndex":82},"citationItems":[{"id":344,"uris":["http://zotero.org/users/local/1X64eMx4/items/N2IDF2JM"],"uri":["http://zotero.org/users/local/1X64eMx4/items/N2IDF2JM"],"itemData":{"id":344,"type":"article-journal","abstract":"The interaction between present bias and limited memory can explain why individuals do not act at deadlines and why providing reminders can have large effects. Individuals in my model must choose when and whether to complete a task, but may forget or procrastinate. A calibration exercise shows that assuming perfect memory leads to biased estimates of present bias because the rate of task completion at the deadline is much lower with imperfect memory. Naïve procrastination explains why individuals do not set up reminders despite large gains to doing so. The model offers guidance for empirical studies of reminders, making a distinction between anticipated and unanticipated reminders: anticipated reminders can induce additional procrastination, lowering both welfare and the probability the task is completed. I then use this framework to show how to optimally set deadlines and time the delivery of reminders to present-biased individuals.","container-title":"Journal of the European Economic Association","issue":"3","note":"publisher: European Economic Association","page":"692-719","source":"RePEc - Econpapers","title":"On the Interaction of Memory and Procrastination: Implications for Reminders, Deadlines, and Empirical Estimation","title-short":"On the Interaction of Memory and Procrastination","volume":"15","author":[{"family":"Ericson","given":"Keith"}],"issued":{"date-parts":[["2017"]]}}}],"schema":"https://github.com/citation-style-language/schema/raw/master/csl-citation.json"}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Keith Ericson, “On the Interaction of Memory and Procrastination: Implications for Reminders, Deadlines, and Empirical Estimation,” </w:t>
      </w:r>
      <w:r w:rsidRPr="00507667">
        <w:rPr>
          <w:rFonts w:ascii="Book Antiqua" w:hAnsi="Book Antiqua" w:cs="Calibri"/>
          <w:i/>
          <w:iCs/>
        </w:rPr>
        <w:t>Journal of the European Economic Association</w:t>
      </w:r>
      <w:r w:rsidRPr="00507667">
        <w:rPr>
          <w:rFonts w:ascii="Book Antiqua" w:hAnsi="Book Antiqua" w:cs="Calibri"/>
        </w:rPr>
        <w:t xml:space="preserve"> 15, no. 3 (2017): 692–719.</w:t>
      </w:r>
      <w:r w:rsidRPr="00507667">
        <w:rPr>
          <w:rFonts w:ascii="Book Antiqua" w:hAnsi="Book Antiqua"/>
        </w:rPr>
        <w:fldChar w:fldCharType="end"/>
      </w:r>
    </w:p>
  </w:footnote>
  <w:footnote w:id="83">
    <w:p w14:paraId="4B54B8DC" w14:textId="2376B53F"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b8ERKAXs","properties":{"formattedCitation":"Ericson.","plainCitation":"Ericson.","noteIndex":83},"citationItems":[{"id":344,"uris":["http://zotero.org/users/local/1X64eMx4/items/N2IDF2JM"],"uri":["http://zotero.org/users/local/1X64eMx4/items/N2IDF2JM"],"itemData":{"id":344,"type":"article-journal","abstract":"The interaction between present bias and limited memory can explain why individuals do not act at deadlines and why providing reminders can have large effects. Individuals in my model must choose when and whether to complete a task, but may forget or procrastinate. A calibration exercise shows that assuming perfect memory leads to biased estimates of present bias because the rate of task completion at the deadline is much lower with imperfect memory. Naïve procrastination explains why individuals do not set up reminders despite large gains to doing so. The model offers guidance for empirical studies of reminders, making a distinction between anticipated and unanticipated reminders: anticipated reminders can induce additional procrastination, lowering both welfare and the probability the task is completed. I then use this framework to show how to optimally set deadlines and time the delivery of reminders to present-biased individuals.","container-title":"Journal of the European Economic Association","issue":"3","note":"publisher: European Economic Association","page":"692-719","source":"RePEc - Econpapers","title":"On the Interaction of Memory and Procrastination: Implications for Reminders, Deadlines, and Empirical Estimation","title-short":"On the Interaction of Memory and Procrastination","volume":"15","author":[{"family":"Ericson","given":"Keith"}],"issued":{"date-parts":[["2017"]]}}}],"schema":"https://github.com/citation-style-language/schema/raw/master/csl-citation.json"}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Ericson.</w:t>
      </w:r>
      <w:r w:rsidRPr="00507667">
        <w:rPr>
          <w:rFonts w:ascii="Book Antiqua" w:hAnsi="Book Antiqua"/>
        </w:rPr>
        <w:fldChar w:fldCharType="end"/>
      </w:r>
    </w:p>
  </w:footnote>
  <w:footnote w:id="84">
    <w:p w14:paraId="0C449E86" w14:textId="37CBE419"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e.g., </w:t>
      </w:r>
      <w:r w:rsidRPr="00507667">
        <w:rPr>
          <w:rFonts w:ascii="Book Antiqua" w:hAnsi="Book Antiqua"/>
        </w:rPr>
        <w:fldChar w:fldCharType="begin"/>
      </w:r>
      <w:r w:rsidR="005E6535">
        <w:rPr>
          <w:rFonts w:ascii="Book Antiqua" w:hAnsi="Book Antiqua"/>
        </w:rPr>
        <w:instrText xml:space="preserve"> ADDIN ZOTERO_ITEM CSL_CITATION {"citationID":"dCxqDlTy","properties":{"formattedCitation":"\\uc0\\u8220{}Truebill | Find &amp; Cancel Subscriptions, Track Your Spending, Create a Budget, and More,\\uc0\\u8221{} accessed April 9, 2021, https://www.truebill.com/.","plainCitation":"“Truebill | Find &amp; Cancel Subscriptions, Track Your Spending, Create a Budget, and More,” accessed April 9, 2021, https://www.truebill.com/.","noteIndex":84},"citationItems":[{"id":335,"uris":["http://zotero.org/users/local/1X64eMx4/items/TESAAH8K"],"uri":["http://zotero.org/users/local/1X64eMx4/items/TESAAH8K"],"itemData":{"id":335,"type":"webpage","title":"Truebill | Find &amp; Cancel Subscriptions, Track Your Spending, Create a Budget, and more","URL":"https://www.truebill.com/","accessed":{"date-parts":[["2021",4,9]]}}}],"schema":"https://github.com/citation-style-language/schema/raw/master/csl-citation.json"}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“Truebill | Find &amp; Cancel Subscriptions, Track Your Spending, Create a Budget, and More,” accessed April 9, 2021, https://www.truebill.com/.</w:t>
      </w:r>
      <w:r w:rsidRPr="00507667">
        <w:rPr>
          <w:rFonts w:ascii="Book Antiqua" w:hAnsi="Book Antiqua"/>
        </w:rPr>
        <w:fldChar w:fldCharType="end"/>
      </w:r>
      <w:r w:rsidRPr="00507667">
        <w:rPr>
          <w:rFonts w:ascii="Book Antiqua" w:hAnsi="Book Antiqua"/>
        </w:rPr>
        <w:t xml:space="preserve"> </w:t>
      </w:r>
    </w:p>
  </w:footnote>
  <w:footnote w:id="85">
    <w:p w14:paraId="3F8242E9" w14:textId="214AF4C1"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There are many other positive and negative comments about this company. See, </w:t>
      </w:r>
      <w:r w:rsidRPr="00507667">
        <w:rPr>
          <w:rFonts w:ascii="Book Antiqua" w:hAnsi="Book Antiqua"/>
        </w:rPr>
        <w:fldChar w:fldCharType="begin"/>
      </w:r>
      <w:r w:rsidR="005E6535">
        <w:rPr>
          <w:rFonts w:ascii="Book Antiqua" w:hAnsi="Book Antiqua"/>
        </w:rPr>
        <w:instrText xml:space="preserve"> ADDIN ZOTERO_ITEM CSL_CITATION {"citationID":"hyxCKqeU","properties":{"formattedCitation":"\\uc0\\u8220{}Ask Trim Review | Save Money With Automation,\\uc0\\u8221{} accessed April 10, 2021, https://thecollegeinvestor.com/19665/ask-trim-review/.","plainCitation":"“Ask Trim Review | Save Money With Automation,” accessed April 10, 2021, https://thecollegeinvestor.com/19665/ask-trim-review/.","noteIndex":85},"citationItems":[{"id":402,"uris":["http://zotero.org/users/local/1X64eMx4/items/FLR2GDAM"],"uri":["http://zotero.org/users/local/1X64eMx4/items/FLR2GDAM"],"itemData":{"id":402,"type":"webpage","title":"Ask Trim Review | Save Money With Automation","URL":"https://thecollegeinvestor.com/19665/ask-trim-review/","accessed":{"date-parts":[["2021",4,10]]}}}],"schema":"https://github.com/citation-style-language/schema/raw/master/csl-citation.json"}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“Ask Trim Review | Save Money With Automation,” accessed April 10, 2021, https://thecollegeinvestor.com/19665/ask-trim-review/.</w:t>
      </w:r>
      <w:r w:rsidRPr="00507667">
        <w:rPr>
          <w:rFonts w:ascii="Book Antiqua" w:hAnsi="Book Antiqua"/>
        </w:rPr>
        <w:fldChar w:fldCharType="end"/>
      </w:r>
    </w:p>
  </w:footnote>
  <w:footnote w:id="86">
    <w:p w14:paraId="034DC262" w14:textId="2E9CCFB4"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{"citationID":"ha7Nts2f","properties":{"formattedCitation":"Keith M. Marzilli Ericson, \\uc0\\u8220{}Forgetting We Forget: Overconfidence and Memory,\\uc0\\u8221{} {\\i{}Journal of the European Economic Association} 9, no. 1 (2011): 43\\uc0\\u8211{}60.","plainCitation":"Keith M. Marzilli Ericson, “Forgetting We Forget: Overconfidence and Memory,” Journal of the European Economic Association 9, no. 1 (2011): 43–60.","noteIndex":86},"citationItems":[{"id":401,"uris":["http://zotero.org/users/local/1X64eMx4/items/HVTAYKGF"],"uri":["http://zotero.org/users/local/1X64eMx4/items/HVTAYKGF"],"itemData":{"id":401,"type":"article-journal","container-title":"Journal of the European Economic Association","issue":"1","note":"ISBN: 1542-4766\npublisher: Oxford University Press","page":"43-60","title":"Forgetting we forget: Overconfidence and memory","volume":"9","author":[{"family":"Ericson","given":"Keith M. Marzilli"}],"issued":{"date-parts":[["2011"]]}}}],"schema":"https://github.com/citation-style-language/schema/raw/master/csl-citation.json"} </w:instrText>
      </w:r>
      <w:r w:rsidRPr="00507667">
        <w:rPr>
          <w:rFonts w:ascii="Book Antiqua" w:hAnsi="Book Antiqua"/>
        </w:rPr>
        <w:fldChar w:fldCharType="separate"/>
      </w:r>
      <w:r w:rsidRPr="00507667">
        <w:rPr>
          <w:rFonts w:ascii="Book Antiqua" w:hAnsi="Book Antiqua" w:cs="Times New Roman"/>
        </w:rPr>
        <w:t xml:space="preserve">Keith M. Marzilli Ericson, “Forgetting We Forget: Overconfidence and Memory,” </w:t>
      </w:r>
      <w:r w:rsidRPr="00507667">
        <w:rPr>
          <w:rFonts w:ascii="Book Antiqua" w:hAnsi="Book Antiqua" w:cs="Times New Roman"/>
          <w:i/>
          <w:iCs/>
        </w:rPr>
        <w:t>Journal of the European Economic Association</w:t>
      </w:r>
      <w:r w:rsidRPr="00507667">
        <w:rPr>
          <w:rFonts w:ascii="Book Antiqua" w:hAnsi="Book Antiqua" w:cs="Times New Roman"/>
        </w:rPr>
        <w:t xml:space="preserve"> 9, no. 1 (2011): 43–60.</w:t>
      </w:r>
      <w:r w:rsidRPr="00507667">
        <w:rPr>
          <w:rFonts w:ascii="Book Antiqua" w:hAnsi="Book Antiqua"/>
        </w:rPr>
        <w:fldChar w:fldCharType="end"/>
      </w:r>
    </w:p>
  </w:footnote>
  <w:footnote w:id="87">
    <w:p w14:paraId="5926E5FE" w14:textId="2C538E28"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{"citationID":"l2qdHIMN","properties":{"formattedCitation":"\\uc0\\u8220{}Trim Is Rated \\uc0\\u8216{}Average\\uc0\\u8217{} with 3.7 / 5 on Trustpilot,\\uc0\\u8221{} Trustpilot, accessed April 10, 2021, https://www.trustpilot.com/review/asktrim.com.","plainCitation":"“Trim Is Rated ‘Average’ with 3.7 / 5 on Trustpilot,” Trustpilot, accessed April 10, 2021, https://www.trustpilot.com/review/asktrim.com.","noteIndex":87},"citationItems":[{"id":406,"uris":["http://zotero.org/users/local/1X64eMx4/items/BYGA97SE"],"uri":["http://zotero.org/users/local/1X64eMx4/items/BYGA97SE"],"itemData":{"id":406,"type":"webpage","abstract":"Do you agree with Trim's TrustScore? Voice your opinion today and hear what 338 customers have already said.","container-title":"Trustpilot","language":"en","title":"Trim is rated \"Average\" with 3.7 / 5 on Trustpilot","URL":"https://www.trustpilot.com/review/asktrim.com","accessed":{"date-parts":[["2021",4,10]]}}}],"schema":"https://github.com/citation-style-language/schema/raw/master/csl-citation.json"}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“Trim Is Rated ‘Average’ with 3.7 / 5 on Trustpilot,” Trustpilot, accessed April 10, 2021, https://www.trustpilot.com/review/asktrim.com.</w:t>
      </w:r>
      <w:r w:rsidRPr="00507667">
        <w:rPr>
          <w:rFonts w:ascii="Book Antiqua" w:hAnsi="Book Antiqua"/>
        </w:rPr>
        <w:fldChar w:fldCharType="end"/>
      </w:r>
    </w:p>
  </w:footnote>
  <w:footnote w:id="88">
    <w:p w14:paraId="44522A8D" w14:textId="5D0AA2A3"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{"citationID":"hLFP0d9J","properties":{"formattedCitation":"Xavier Gabaix and David Laibson, \\uc0\\u8220{}Shrouded Attributes, Consumer Myopia, and Information Suppression in Competitive Markets,\\uc0\\u8221{} {\\i{}The Quarterly Journal of Economics} 121, no. 2 (2006): 505\\uc0\\u8211{}40.","plainCitation":"Xavier Gabaix and David Laibson, “Shrouded Attributes, Consumer Myopia, and Information Suppression in Competitive Markets,” The Quarterly Journal of Economics 121, no. 2 (2006): 505–40.","noteIndex":88},"citationItems":[{"id":178,"uris":["http://zotero.org/users/local/1X64eMx4/items/CYM7UJ3C"],"uri":["http://zotero.org/users/local/1X64eMx4/items/CYM7UJ3C"],"itemData":{"id":178,"type":"article-journal","container-title":"The Quarterly Journal of Economics","issue":"2","note":"ISBN: 1531-4650\npublisher: MIT Press","page":"505-540","title":"Shrouded attributes, consumer myopia, and information suppression in competitive markets","volume":"121","author":[{"family":"Gabaix","given":"Xavier"},{"family":"Laibson","given":"David"}],"issued":{"date-parts":[["2006"]]}}}],"schema":"https://github.com/citation-style-language/schema/raw/master/csl-citation.json"}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Xavier Gabaix and David Laibson, “Shrouded Attributes, Consumer Myopia, and Information Suppression in Competitive Markets,” </w:t>
      </w:r>
      <w:r w:rsidRPr="00507667">
        <w:rPr>
          <w:rFonts w:ascii="Book Antiqua" w:hAnsi="Book Antiqua" w:cs="Calibri"/>
          <w:i/>
          <w:iCs/>
        </w:rPr>
        <w:t>The Quarterly Journal of Economics</w:t>
      </w:r>
      <w:r w:rsidRPr="00507667">
        <w:rPr>
          <w:rFonts w:ascii="Book Antiqua" w:hAnsi="Book Antiqua" w:cs="Calibri"/>
        </w:rPr>
        <w:t xml:space="preserve"> 121, no. 2 (2006): 505–40.</w:t>
      </w:r>
      <w:r w:rsidRPr="00507667">
        <w:rPr>
          <w:rFonts w:ascii="Book Antiqua" w:hAnsi="Book Antiqua"/>
        </w:rPr>
        <w:fldChar w:fldCharType="end"/>
      </w:r>
    </w:p>
  </w:footnote>
  <w:footnote w:id="89">
    <w:p w14:paraId="1F373592" w14:textId="5024F68B"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e.g., </w:t>
      </w:r>
      <w:r w:rsidRPr="00507667">
        <w:rPr>
          <w:rFonts w:ascii="Book Antiqua" w:hAnsi="Book Antiqua"/>
        </w:rPr>
        <w:fldChar w:fldCharType="begin"/>
      </w:r>
      <w:r w:rsidR="005E6535">
        <w:rPr>
          <w:rFonts w:ascii="Book Antiqua" w:hAnsi="Book Antiqua"/>
        </w:rPr>
        <w:instrText xml:space="preserve"> ADDIN ZOTERO_ITEM CSL_CITATION {"citationID":"x9RHTuwB","properties":{"formattedCitation":"Zwane et al., \\uc0\\u8220{}Being Surveyed Can Change Later Behavior and Related Parameter Estimates.\\uc0\\u8221{}","plainCitation":"Zwane et al., “Being Surveyed Can Change Later Behavior and Related Parameter Estimates.”","noteIndex":89},"citationItems":[{"id":370,"uris":["http://zotero.org/users/local/1X64eMx4/items/MQSPSKNJ"],"uri":["http://zotero.org/users/local/1X64eMx4/items/MQSPSKNJ"],"itemData":{"id":370,"type":"article-journal","abstract":"Does completing a household survey change the later behavior of those surveyed? In three field studies of health and two of microlending, we randomly assigned subjects to be surveyed about health and/or household finances and then measured subsequent use of a related product with data that does not rely on subjects' self-reports. In the three health experiments, we find that being surveyed increases use of water treatment products and take-up of medical insurance. Frequent surveys on reported diarrhea also led to biased estimates of the impact of improved source water quality. In two microlending studies, we do not find an effect of being surveyed on borrowing behavior. The results suggest that limited attention could play an important but context-dependent role in consumer choice, with the implication that researchers should reconsider whether, how, and how much to survey their subjects.","container-title":"Proceedings of the National Academy of Sciences","issue":"5","note":"type: 10.1073/pnas.1000776108","page":"1821-1826","title":"Being surveyed can change later behavior and related parameter estimates","volume":"108","author":[{"family":"Zwane","given":"Alix Peterson"},{"family":"Zinman","given":"Jonathan"},{"family":"Van Dusen","given":"Eric"},{"family":"Pariente","given":"William"},{"family":"Null","given":"Clair"},{"family":"Miguel","given":"Edward"},{"family":"Kremer","given":"Michael"},{"family":"Karlan","given":"Dean S."},{"family":"Hornbeck","given":"Richard"},{"family":"Giné","given":"Xavier"},{"family":"Duflo","given":"Esther"},{"family":"Devoto","given":"Florencia"},{"family":"Crepon","given":"Bruno"},{"family":"Banerjee","given":"Abhijit"}],"issued":{"date-parts":[["2011"]]}}}],"schema":"https://github.com/citation-style-language/schema/raw/master/csl-citation.json"} </w:instrText>
      </w:r>
      <w:r w:rsidRPr="00507667">
        <w:rPr>
          <w:rFonts w:ascii="Book Antiqua" w:hAnsi="Book Antiqua"/>
        </w:rPr>
        <w:fldChar w:fldCharType="separate"/>
      </w:r>
      <w:r w:rsidRPr="00507667">
        <w:rPr>
          <w:rFonts w:ascii="Book Antiqua" w:hAnsi="Book Antiqua" w:cs="Times New Roman"/>
        </w:rPr>
        <w:t>Zwane et al., “Being Surveyed Can Change Later Behavior and Related Parameter Estimates.”</w:t>
      </w:r>
      <w:r w:rsidRPr="00507667">
        <w:rPr>
          <w:rFonts w:ascii="Book Antiqua" w:hAnsi="Book Antiqua"/>
        </w:rPr>
        <w:fldChar w:fldCharType="end"/>
      </w:r>
    </w:p>
  </w:footnote>
  <w:footnote w:id="90">
    <w:p w14:paraId="240EED6B" w14:textId="7127025A"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{"citationID":"DUVzrtbx","properties":{"formattedCitation":"Gabaix and Laibson, \\uc0\\u8220{}Shrouded Attributes, Consumer Myopia, and Information Suppression in Competitive Markets.\\uc0\\u8221{}","plainCitation":"Gabaix and Laibson, “Shrouded Attributes, Consumer Myopia, and Information Suppression in Competitive Markets.”","noteIndex":90},"citationItems":[{"id":178,"uris":["http://zotero.org/users/local/1X64eMx4/items/CYM7UJ3C"],"uri":["http://zotero.org/users/local/1X64eMx4/items/CYM7UJ3C"],"itemData":{"id":178,"type":"article-journal","container-title":"The Quarterly Journal of Economics","issue":"2","note":"ISBN: 1531-4650\npublisher: MIT Press","page":"505-540","title":"Shrouded attributes, consumer myopia, and information suppression in competitive markets","volume":"121","author":[{"family":"Gabaix","given":"Xavier"},{"family":"Laibson","given":"David"}],"issued":{"date-parts":[["2006"]]}}}],"schema":"https://github.com/citation-style-language/schema/raw/master/csl-citation.json"}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Gabaix and Laibson, “Shrouded Attributes, Consumer Myopia, and Information Suppression in Competitive Markets.”</w:t>
      </w:r>
      <w:r w:rsidRPr="00507667">
        <w:rPr>
          <w:rFonts w:ascii="Book Antiqua" w:hAnsi="Book Antiqua"/>
        </w:rPr>
        <w:fldChar w:fldCharType="end"/>
      </w:r>
    </w:p>
  </w:footnote>
  <w:footnote w:id="91">
    <w:p w14:paraId="6BB6F15E" w14:textId="4AEFCB6B"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Users on Facebook pay attention to the contents 1.9 seconds on mobile, 2.5 seconds on desktop. See </w:t>
      </w:r>
      <w:r w:rsidRPr="00507667">
        <w:rPr>
          <w:rFonts w:ascii="Book Antiqua" w:hAnsi="Book Antiqua"/>
        </w:rPr>
        <w:fldChar w:fldCharType="begin"/>
      </w:r>
      <w:r w:rsidR="005E6535">
        <w:rPr>
          <w:rFonts w:ascii="Book Antiqua" w:hAnsi="Book Antiqua"/>
        </w:rPr>
        <w:instrText xml:space="preserve"> ADDIN ZOTERO_ITEM CSL_CITATION {"citationID":"xGidPRGq","properties":{"formattedCitation":"\\uc0\\u8220{}Capturing Attention in Feed: The Science Behind Effective Video Creative | Facebook IQ | Facebook for Business,\\uc0\\u8221{} accessed April 11, 2021, https://www.facebook.com/business/news/insights/capturing-attention-feed-video-creative.","plainCitation":"“Capturing Attention in Feed: The Science Behind Effective Video Creative | Facebook IQ | Facebook for Business,” accessed April 11, 2021, https://www.facebook.com/business/news/insights/capturing-attention-feed-video-creative.","noteIndex":91},"citationItems":[{"id":482,"uris":["http://zotero.org/users/local/1X64eMx4/items/XJ4Z338A"],"uri":["http://zotero.org/users/local/1X64eMx4/items/XJ4Z338A"],"itemData":{"id":482,"type":"webpage","title":"Capturing Attention in Feed: The Science Behind Effective Video Creative | Facebook IQ | Facebook for Business","URL":"https://www.facebook.com/business/news/insights/capturing-attention-feed-video-creative","accessed":{"date-parts":[["2021",4,11]]}}}],"schema":"https://github.com/citation-style-language/schema/raw/master/csl-citation.json"}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“Capturing Attention in Feed: The Science Behind Effective Video Creative | Facebook IQ | Facebook for Business,” accessed April 11, 2021, https://www.facebook.com/business/news/insights/capturing-attention-feed-video-creative.</w:t>
      </w:r>
      <w:r w:rsidRPr="00507667">
        <w:rPr>
          <w:rFonts w:ascii="Book Antiqua" w:hAnsi="Book Antiqua"/>
        </w:rPr>
        <w:fldChar w:fldCharType="end"/>
      </w:r>
    </w:p>
  </w:footnote>
  <w:footnote w:id="92">
    <w:p w14:paraId="645698A2" w14:textId="10E7BE85"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w:t>
      </w:r>
      <w:r w:rsidRPr="00507667">
        <w:rPr>
          <w:rFonts w:ascii="Book Antiqua" w:hAnsi="Book Antiqua"/>
        </w:rPr>
        <w:fldChar w:fldCharType="begin"/>
      </w:r>
      <w:r w:rsidR="005E6535">
        <w:rPr>
          <w:rFonts w:ascii="Book Antiqua" w:hAnsi="Book Antiqua"/>
        </w:rPr>
        <w:instrText xml:space="preserve"> ADDIN ZOTERO_ITEM CSL_CITATION {"citationID":"4GbjHcZh","properties":{"formattedCitation":"Gerard J. Tellis, {\\i{}Effective Advertising: Understanding When, How, and Why Advertising Works} (Sage Publications, 2003).","plainCitation":"Gerard J. Tellis, Effective Advertising: Understanding When, How, and Why Advertising Works (Sage Publications, 2003).","noteIndex":92},"citationItems":[{"id":484,"uris":["http://zotero.org/users/local/1X64eMx4/items/8GV3NFJB"],"uri":["http://zotero.org/users/local/1X64eMx4/items/8GV3NFJB"],"itemData":{"id":484,"type":"book","ISBN":"1-4522-6271-3","publisher":"Sage Publications","title":"Effective advertising: Understanding when, how, and why advertising works","author":[{"family":"Tellis","given":"Gerard J."}],"issued":{"date-parts":[["2003"]]}}}],"schema":"https://github.com/citation-style-language/schema/raw/master/csl-citation.json"}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Gerard J. Tellis, </w:t>
      </w:r>
      <w:r w:rsidRPr="00507667">
        <w:rPr>
          <w:rFonts w:ascii="Book Antiqua" w:hAnsi="Book Antiqua" w:cs="Calibri"/>
          <w:i/>
          <w:iCs/>
        </w:rPr>
        <w:t>Effective Advertising: Understanding When, How, and Why Advertising Works</w:t>
      </w:r>
      <w:r w:rsidRPr="00507667">
        <w:rPr>
          <w:rFonts w:ascii="Book Antiqua" w:hAnsi="Book Antiqua" w:cs="Calibri"/>
        </w:rPr>
        <w:t xml:space="preserve"> (Sage Publications, 2003).</w:t>
      </w:r>
      <w:r w:rsidRPr="00507667">
        <w:rPr>
          <w:rFonts w:ascii="Book Antiqua" w:hAnsi="Book Antiqua"/>
        </w:rPr>
        <w:fldChar w:fldCharType="end"/>
      </w:r>
    </w:p>
  </w:footnote>
  <w:footnote w:id="93">
    <w:p w14:paraId="692A77DC" w14:textId="65A6729F" w:rsidR="00EA18B1" w:rsidRPr="00507667" w:rsidRDefault="00EA18B1" w:rsidP="00877CD8">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w:t>
      </w:r>
      <w:r w:rsidRPr="00507667">
        <w:rPr>
          <w:rFonts w:ascii="Book Antiqua" w:hAnsi="Book Antiqua"/>
        </w:rPr>
        <w:fldChar w:fldCharType="begin"/>
      </w:r>
      <w:r w:rsidR="005E6535">
        <w:rPr>
          <w:rFonts w:ascii="Book Antiqua" w:hAnsi="Book Antiqua"/>
        </w:rPr>
        <w:instrText xml:space="preserve"> ADDIN ZOTERO_ITEM CSL_CITATION {"citationID":"SiduAjyG","properties":{"formattedCitation":"Paul Heidhues, Botond Koszegi, and Takeshi Murooka, \\uc0\\u8220{}Procrastination Markets,\\uc0\\u8221{} 2021.","plainCitation":"Paul Heidhues, Botond Koszegi, and Takeshi Murooka, “Procrastination Markets,” 2021.","noteIndex":93},"citationItems":[{"id":485,"uris":["http://zotero.org/users/local/1X64eMx4/items/UW2PXLPZ"],"uri":["http://zotero.org/users/local/1X64eMx4/items/UW2PXLPZ"],"itemData":{"id":485,"type":"article-journal","title":"Procrastination Markets","author":[{"family":"Heidhues","given":"Paul"},{"family":"Koszegi","given":"Botond"},{"family":"Murooka","given":"Takeshi"}],"issued":{"date-parts":[["2021"]]}}}],"schema":"https://github.com/citation-style-language/schema/raw/master/csl-citation.json"}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Paul Heidhues, Botond Koszegi, and Takeshi Murooka, “Procrastination Markets,” 2021.</w:t>
      </w:r>
      <w:r w:rsidRPr="00507667">
        <w:rPr>
          <w:rFonts w:ascii="Book Antiqua" w:hAnsi="Book Antiqua"/>
        </w:rPr>
        <w:fldChar w:fldCharType="end"/>
      </w:r>
    </w:p>
  </w:footnote>
  <w:footnote w:id="94">
    <w:p w14:paraId="2E936D8A" w14:textId="7A100D49" w:rsidR="00EA18B1" w:rsidRPr="00507667" w:rsidRDefault="00EA18B1" w:rsidP="00DC008A">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e.g., </w:t>
      </w:r>
      <w:r w:rsidRPr="00507667">
        <w:rPr>
          <w:rFonts w:ascii="Book Antiqua" w:hAnsi="Book Antiqua"/>
        </w:rPr>
        <w:fldChar w:fldCharType="begin"/>
      </w:r>
      <w:r w:rsidR="005E6535">
        <w:rPr>
          <w:rFonts w:ascii="Book Antiqua" w:hAnsi="Book Antiqua"/>
        </w:rPr>
        <w:instrText xml:space="preserve"> ADDIN ZOTERO_ITEM CSL_CITATION {"citationID":"i8SnE2V5","properties":{"formattedCitation":"\\uc0\\u8220{}NY State Senate Bill S1475A,\\uc0\\u8221{} accessed April 11, 2021, https://www.nysenate.gov/legislation/bills/2019/s1475/amendment/a.","plainCitation":"“NY State Senate Bill S1475A,” accessed April 11, 2021, https://www.nysenate.gov/legislation/bills/2019/s1475/amendment/a.","noteIndex":94},"citationItems":[{"id":415,"uris":["http://zotero.org/users/local/1X64eMx4/items/J8QJ3G25"],"uri":["http://zotero.org/users/local/1X64eMx4/items/J8QJ3G25"],"itemData":{"id":415,"type":"webpage","title":"NY State Senate Bill S1475A","URL":"https://www.nysenate.gov/legislation/bills/2019/s1475/amendment/a","accessed":{"date-parts":[["2021",4,11]]}}}],"schema":"https://github.com/citation-style-language/schema/raw/master/csl-citation.json"}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“NY State Senate Bill S1475A,” accessed April 11, 2021, https://www.nysenate.gov/legislation/bills/2019/s1475/amendment/a.</w:t>
      </w:r>
      <w:r w:rsidRPr="00507667">
        <w:rPr>
          <w:rFonts w:ascii="Book Antiqua" w:hAnsi="Book Antiqua"/>
        </w:rPr>
        <w:fldChar w:fldCharType="end"/>
      </w:r>
    </w:p>
  </w:footnote>
  <w:footnote w:id="95">
    <w:p w14:paraId="395DDC72" w14:textId="325290C7" w:rsidR="00EA18B1" w:rsidRPr="00507667" w:rsidRDefault="00EA18B1">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For a comprehensive review of automatic renewal laws, see </w:t>
      </w:r>
      <w:r w:rsidRPr="00507667">
        <w:rPr>
          <w:rFonts w:ascii="Book Antiqua" w:hAnsi="Book Antiqua"/>
        </w:rPr>
        <w:fldChar w:fldCharType="begin"/>
      </w:r>
      <w:r w:rsidR="005E6535">
        <w:rPr>
          <w:rFonts w:ascii="Book Antiqua" w:hAnsi="Book Antiqua"/>
        </w:rPr>
        <w:instrText xml:space="preserve"> ADDIN ZOTERO_ITEM CSL_CITATION {"citationID":"ZgUN1a0I","properties":{"formattedCitation":"Grinshpoon, \\uc0\\u8220{}License to Bill.\\uc0\\u8221{}","plainCitation":"Grinshpoon, “License to Bill.”","noteIndex":96},"citationItems":[{"id":532,"uris":["http://zotero.org/users/local/1X64eMx4/items/Z8E9H6S2"],"uri":["http://zotero.org/users/local/1X64eMx4/items/Z8E9H6S2"],"itemData":{"id":532,"type":"article-journal","container-title":"Fordham Intellectual Property, Media and Entertainment Law Journal","issue":"2","page":"301","title":"License to Bill: The Validity of Coupling Automatic Subscription Renewals with Free Trial Offers by Online Services","title-short":"License to Bill","volume":"28","author":[{"family":"Grinshpoon","given":"Koren"}],"issued":{"date-parts":[["2018",1,1]]}}}],"schema":"https://github.com/citation-style-language/schema/raw/master/csl-citation.json"} </w:instrText>
      </w:r>
      <w:r w:rsidRPr="00507667">
        <w:rPr>
          <w:rFonts w:ascii="Book Antiqua" w:hAnsi="Book Antiqua"/>
        </w:rPr>
        <w:fldChar w:fldCharType="separate"/>
      </w:r>
      <w:r w:rsidRPr="00507667">
        <w:rPr>
          <w:rFonts w:ascii="Book Antiqua" w:hAnsi="Book Antiqua" w:cs="Times New Roman"/>
        </w:rPr>
        <w:t>Grinshpoon, “License to Bill.”</w:t>
      </w:r>
      <w:r w:rsidRPr="00507667">
        <w:rPr>
          <w:rFonts w:ascii="Book Antiqua" w:hAnsi="Book Antiqua"/>
        </w:rPr>
        <w:fldChar w:fldCharType="end"/>
      </w:r>
    </w:p>
  </w:footnote>
  <w:footnote w:id="96">
    <w:p w14:paraId="31DD91AE" w14:textId="77777777" w:rsidR="00E14417" w:rsidRPr="00507667" w:rsidRDefault="00E14417" w:rsidP="00E14417">
      <w:pPr>
        <w:pStyle w:val="DipnotMetni"/>
        <w:rPr>
          <w:rFonts w:ascii="Book Antiqua" w:hAnsi="Book Antiqua"/>
        </w:rPr>
      </w:pPr>
      <w:r w:rsidRPr="00507667">
        <w:rPr>
          <w:rStyle w:val="DipnotBavurusu"/>
          <w:rFonts w:ascii="Book Antiqua" w:hAnsi="Book Antiqua"/>
        </w:rPr>
        <w:footnoteRef/>
      </w:r>
      <w:r w:rsidRPr="00507667">
        <w:rPr>
          <w:rFonts w:ascii="Book Antiqua" w:hAnsi="Book Antiqua"/>
        </w:rPr>
        <w:t xml:space="preserve"> See, e.g., </w:t>
      </w:r>
      <w:r w:rsidRPr="00507667">
        <w:rPr>
          <w:rFonts w:ascii="Book Antiqua" w:hAnsi="Book Antiqua"/>
        </w:rPr>
        <w:fldChar w:fldCharType="begin"/>
      </w:r>
      <w:r>
        <w:rPr>
          <w:rFonts w:ascii="Book Antiqua" w:hAnsi="Book Antiqua"/>
        </w:rPr>
        <w:instrText xml:space="preserve"> ADDIN ZOTERO_ITEM CSL_CITATION {"citationID":"WojrtAEV","properties":{"formattedCitation":"Eva Ascarza, Raghuram Iyengar, and Martin Schleicher, \\uc0\\u8220{}The Perils of Proactive Churn Prevention Using Plan Recommendations: Evidence from a Field Experiment,\\uc0\\u8221{} {\\i{}Journal of Marketing Research} 53, no. 1 (2016): 46\\uc0\\u8211{}60.","plainCitation":"Eva Ascarza, Raghuram Iyengar, and Martin Schleicher, “The Perils of Proactive Churn Prevention Using Plan Recommendations: Evidence from a Field Experiment,” Journal of Marketing Research 53, no. 1 (2016): 46–60.","noteIndex":12},"citationItems":[{"id":272,"uris":["http://zotero.org/users/local/1X64eMx4/items/79RLLTCL"],"uri":["http://zotero.org/users/local/1X64eMx4/items/79RLLTCL"],"itemData":{"id":272,"type":"article-journal","container-title":"Journal of Marketing Research","issue":"1","note":"ISBN: 0022-2437\npublisher: SAGE Publications Sage CA: Los Angeles, CA","page":"46-60","title":"The perils of proactive churn prevention using plan recommendations: Evidence from a field experiment","volume":"53","author":[{"family":"Ascarza","given":"Eva"},{"family":"Iyengar","given":"Raghuram"},{"family":"Schleicher","given":"Martin"}],"issued":{"date-parts":[["2016"]]}}}],"schema":"https://github.com/citation-style-language/schema/raw/master/csl-citation.json"} </w:instrText>
      </w:r>
      <w:r w:rsidRPr="00507667">
        <w:rPr>
          <w:rFonts w:ascii="Book Antiqua" w:hAnsi="Book Antiqua"/>
        </w:rPr>
        <w:fldChar w:fldCharType="separate"/>
      </w:r>
      <w:r w:rsidRPr="00507667">
        <w:rPr>
          <w:rFonts w:ascii="Book Antiqua" w:hAnsi="Book Antiqua" w:cs="Calibri"/>
        </w:rPr>
        <w:t xml:space="preserve">Eva Ascarza, Raghuram Iyengar, and Martin Schleicher, “The Perils of Proactive Churn Prevention Using Plan Recommendations: Evidence from a Field Experiment,” </w:t>
      </w:r>
      <w:r w:rsidRPr="00507667">
        <w:rPr>
          <w:rFonts w:ascii="Book Antiqua" w:hAnsi="Book Antiqua" w:cs="Calibri"/>
          <w:i/>
          <w:iCs/>
        </w:rPr>
        <w:t>Journal of Marketing Research</w:t>
      </w:r>
      <w:r w:rsidRPr="00507667">
        <w:rPr>
          <w:rFonts w:ascii="Book Antiqua" w:hAnsi="Book Antiqua" w:cs="Calibri"/>
        </w:rPr>
        <w:t xml:space="preserve"> 53, no. 1 (2016): 46–60.</w:t>
      </w:r>
      <w:r w:rsidRPr="00507667">
        <w:rPr>
          <w:rFonts w:ascii="Book Antiqua" w:hAnsi="Book Antiqua"/>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647E6" w14:textId="78C213CE" w:rsidR="00EA18B1" w:rsidRPr="007E176C" w:rsidRDefault="00EA18B1" w:rsidP="007E176C">
    <w:pPr>
      <w:pStyle w:val="stBilgi"/>
      <w:jc w:val="right"/>
      <w:rPr>
        <w:rFonts w:ascii="Book Antiqua" w:hAnsi="Book Antiqua"/>
      </w:rPr>
    </w:pPr>
    <w:r w:rsidRPr="007E176C">
      <w:rPr>
        <w:rFonts w:ascii="Book Antiqua" w:hAnsi="Book Antiqua"/>
      </w:rPr>
      <w:t>Eserhan Eser –</w:t>
    </w:r>
    <w:r>
      <w:rPr>
        <w:rFonts w:ascii="Book Antiqua" w:hAnsi="Book Antiqua"/>
      </w:rPr>
      <w:t xml:space="preserve"> Regulating Inertia</w:t>
    </w:r>
  </w:p>
  <w:p w14:paraId="6832337C" w14:textId="77777777" w:rsidR="00EA18B1" w:rsidRDefault="00EA18B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05193"/>
    <w:multiLevelType w:val="multilevel"/>
    <w:tmpl w:val="53260F1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8A1765"/>
    <w:multiLevelType w:val="hybridMultilevel"/>
    <w:tmpl w:val="5DC24DD6"/>
    <w:lvl w:ilvl="0" w:tplc="0AE41F48">
      <w:start w:val="1"/>
      <w:numFmt w:val="upperRoman"/>
      <w:pStyle w:val="Balk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60F1E"/>
    <w:multiLevelType w:val="multilevel"/>
    <w:tmpl w:val="53260F1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xNzeyNLO0MLIwMTFU0lEKTi0uzszPAykwMqgFAFCZLkstAAAA"/>
  </w:docVars>
  <w:rsids>
    <w:rsidRoot w:val="008A3D7F"/>
    <w:rsid w:val="00005650"/>
    <w:rsid w:val="00024667"/>
    <w:rsid w:val="00057FE7"/>
    <w:rsid w:val="000639DB"/>
    <w:rsid w:val="000D1B2D"/>
    <w:rsid w:val="000E4CF1"/>
    <w:rsid w:val="000E6FBE"/>
    <w:rsid w:val="000F6D1E"/>
    <w:rsid w:val="00100B18"/>
    <w:rsid w:val="001410C4"/>
    <w:rsid w:val="00142E0B"/>
    <w:rsid w:val="001458E1"/>
    <w:rsid w:val="00152C8E"/>
    <w:rsid w:val="001746AF"/>
    <w:rsid w:val="00183ABC"/>
    <w:rsid w:val="00185D5B"/>
    <w:rsid w:val="0019326A"/>
    <w:rsid w:val="001B1C6F"/>
    <w:rsid w:val="001C3ADD"/>
    <w:rsid w:val="001D4788"/>
    <w:rsid w:val="001E23B5"/>
    <w:rsid w:val="001F5169"/>
    <w:rsid w:val="0022340B"/>
    <w:rsid w:val="002423AA"/>
    <w:rsid w:val="002A25DA"/>
    <w:rsid w:val="002D099A"/>
    <w:rsid w:val="00300551"/>
    <w:rsid w:val="00333133"/>
    <w:rsid w:val="00341C2F"/>
    <w:rsid w:val="00346E16"/>
    <w:rsid w:val="00385D45"/>
    <w:rsid w:val="003B2627"/>
    <w:rsid w:val="003B3DF8"/>
    <w:rsid w:val="003C5289"/>
    <w:rsid w:val="003E179F"/>
    <w:rsid w:val="003F39E7"/>
    <w:rsid w:val="00400CCB"/>
    <w:rsid w:val="00437BEF"/>
    <w:rsid w:val="004477C7"/>
    <w:rsid w:val="004629E9"/>
    <w:rsid w:val="00463BD5"/>
    <w:rsid w:val="00487FFE"/>
    <w:rsid w:val="004970C5"/>
    <w:rsid w:val="004A0D67"/>
    <w:rsid w:val="004A317A"/>
    <w:rsid w:val="004B5BF5"/>
    <w:rsid w:val="004E11E5"/>
    <w:rsid w:val="004E608E"/>
    <w:rsid w:val="004E66C5"/>
    <w:rsid w:val="004F5A59"/>
    <w:rsid w:val="00507667"/>
    <w:rsid w:val="00514AD0"/>
    <w:rsid w:val="00577244"/>
    <w:rsid w:val="00581BDC"/>
    <w:rsid w:val="00592D14"/>
    <w:rsid w:val="00597149"/>
    <w:rsid w:val="005A4574"/>
    <w:rsid w:val="005B6C3D"/>
    <w:rsid w:val="005D6019"/>
    <w:rsid w:val="005E0BC3"/>
    <w:rsid w:val="005E0D5A"/>
    <w:rsid w:val="005E6535"/>
    <w:rsid w:val="0060181B"/>
    <w:rsid w:val="00606B8E"/>
    <w:rsid w:val="00615FB6"/>
    <w:rsid w:val="00620DF1"/>
    <w:rsid w:val="006546D3"/>
    <w:rsid w:val="00654968"/>
    <w:rsid w:val="0067290C"/>
    <w:rsid w:val="006754DA"/>
    <w:rsid w:val="00693069"/>
    <w:rsid w:val="006A425C"/>
    <w:rsid w:val="006A4FE8"/>
    <w:rsid w:val="006D28F7"/>
    <w:rsid w:val="006F6DEA"/>
    <w:rsid w:val="00724553"/>
    <w:rsid w:val="00742BF7"/>
    <w:rsid w:val="007773CB"/>
    <w:rsid w:val="00783BE4"/>
    <w:rsid w:val="00792AE4"/>
    <w:rsid w:val="007A2191"/>
    <w:rsid w:val="007A448F"/>
    <w:rsid w:val="007A70C4"/>
    <w:rsid w:val="007C40BB"/>
    <w:rsid w:val="007C5355"/>
    <w:rsid w:val="007C7D9F"/>
    <w:rsid w:val="007D174F"/>
    <w:rsid w:val="007E176C"/>
    <w:rsid w:val="007E453D"/>
    <w:rsid w:val="008024E8"/>
    <w:rsid w:val="00821FC1"/>
    <w:rsid w:val="00845DAA"/>
    <w:rsid w:val="00846059"/>
    <w:rsid w:val="00851648"/>
    <w:rsid w:val="00870300"/>
    <w:rsid w:val="00877CD8"/>
    <w:rsid w:val="008A3D7F"/>
    <w:rsid w:val="008A6568"/>
    <w:rsid w:val="008D5AB3"/>
    <w:rsid w:val="008E0CFE"/>
    <w:rsid w:val="008E1A42"/>
    <w:rsid w:val="008F3233"/>
    <w:rsid w:val="00900A50"/>
    <w:rsid w:val="009323A3"/>
    <w:rsid w:val="00932F24"/>
    <w:rsid w:val="009341F7"/>
    <w:rsid w:val="00950373"/>
    <w:rsid w:val="00960C04"/>
    <w:rsid w:val="00986616"/>
    <w:rsid w:val="009C1D83"/>
    <w:rsid w:val="00A029B8"/>
    <w:rsid w:val="00A15CC0"/>
    <w:rsid w:val="00A24384"/>
    <w:rsid w:val="00A345B1"/>
    <w:rsid w:val="00A3636A"/>
    <w:rsid w:val="00A534C3"/>
    <w:rsid w:val="00A53DAD"/>
    <w:rsid w:val="00A73095"/>
    <w:rsid w:val="00B22C26"/>
    <w:rsid w:val="00B432C8"/>
    <w:rsid w:val="00B46718"/>
    <w:rsid w:val="00B5649C"/>
    <w:rsid w:val="00B566EF"/>
    <w:rsid w:val="00B61C69"/>
    <w:rsid w:val="00B631CA"/>
    <w:rsid w:val="00B70240"/>
    <w:rsid w:val="00B86349"/>
    <w:rsid w:val="00BA251B"/>
    <w:rsid w:val="00BC35AB"/>
    <w:rsid w:val="00BC4682"/>
    <w:rsid w:val="00BD01E3"/>
    <w:rsid w:val="00BD0AA8"/>
    <w:rsid w:val="00BE3F3A"/>
    <w:rsid w:val="00C076F5"/>
    <w:rsid w:val="00C14F20"/>
    <w:rsid w:val="00C26550"/>
    <w:rsid w:val="00C30E33"/>
    <w:rsid w:val="00C42A29"/>
    <w:rsid w:val="00C57E29"/>
    <w:rsid w:val="00C63857"/>
    <w:rsid w:val="00C73224"/>
    <w:rsid w:val="00C74C0D"/>
    <w:rsid w:val="00C778DB"/>
    <w:rsid w:val="00CA0108"/>
    <w:rsid w:val="00CA611C"/>
    <w:rsid w:val="00CB3DAF"/>
    <w:rsid w:val="00CB4DF4"/>
    <w:rsid w:val="00CC5C4D"/>
    <w:rsid w:val="00CE60F5"/>
    <w:rsid w:val="00CF1F38"/>
    <w:rsid w:val="00D23DDC"/>
    <w:rsid w:val="00D40962"/>
    <w:rsid w:val="00D65B4C"/>
    <w:rsid w:val="00D71E2B"/>
    <w:rsid w:val="00D83EB2"/>
    <w:rsid w:val="00DB1925"/>
    <w:rsid w:val="00DB389E"/>
    <w:rsid w:val="00DC008A"/>
    <w:rsid w:val="00DF72A2"/>
    <w:rsid w:val="00E01203"/>
    <w:rsid w:val="00E06435"/>
    <w:rsid w:val="00E14417"/>
    <w:rsid w:val="00E4344B"/>
    <w:rsid w:val="00E5658A"/>
    <w:rsid w:val="00E6374C"/>
    <w:rsid w:val="00E6708D"/>
    <w:rsid w:val="00E71932"/>
    <w:rsid w:val="00E8110A"/>
    <w:rsid w:val="00E97DD8"/>
    <w:rsid w:val="00EA18B1"/>
    <w:rsid w:val="00EA2AFB"/>
    <w:rsid w:val="00ED4C98"/>
    <w:rsid w:val="00F053DB"/>
    <w:rsid w:val="00F10CAD"/>
    <w:rsid w:val="00F1247E"/>
    <w:rsid w:val="00F3779F"/>
    <w:rsid w:val="00F4631A"/>
    <w:rsid w:val="00F503E3"/>
    <w:rsid w:val="00F51308"/>
    <w:rsid w:val="00F638C0"/>
    <w:rsid w:val="00F8002D"/>
    <w:rsid w:val="00FA40DA"/>
    <w:rsid w:val="00FB57EF"/>
    <w:rsid w:val="00FC2B57"/>
    <w:rsid w:val="00FE02AD"/>
    <w:rsid w:val="389346BE"/>
    <w:rsid w:val="464304DC"/>
    <w:rsid w:val="6DD9195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4839"/>
  <w15:docId w15:val="{96FB25A9-7A57-4BB6-8863-2130632C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417"/>
    <w:pPr>
      <w:spacing w:after="160" w:line="259" w:lineRule="auto"/>
    </w:pPr>
    <w:rPr>
      <w:sz w:val="22"/>
      <w:szCs w:val="22"/>
    </w:rPr>
  </w:style>
  <w:style w:type="paragraph" w:styleId="Balk1">
    <w:name w:val="heading 1"/>
    <w:basedOn w:val="Normal"/>
    <w:next w:val="Normal"/>
    <w:link w:val="Balk1Char"/>
    <w:uiPriority w:val="9"/>
    <w:qFormat/>
    <w:rsid w:val="005D6019"/>
    <w:pPr>
      <w:keepNext/>
      <w:keepLines/>
      <w:numPr>
        <w:numId w:val="3"/>
      </w:numPr>
      <w:spacing w:before="240" w:after="240"/>
      <w:outlineLvl w:val="0"/>
    </w:pPr>
    <w:rPr>
      <w:rFonts w:ascii="Book Antiqua" w:eastAsiaTheme="majorEastAsia" w:hAnsi="Book Antiqua" w:cstheme="majorBidi"/>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semiHidden/>
    <w:unhideWhenUsed/>
    <w:rPr>
      <w:vertAlign w:val="superscript"/>
    </w:rPr>
  </w:style>
  <w:style w:type="paragraph" w:styleId="DipnotMetni">
    <w:name w:val="footnote text"/>
    <w:basedOn w:val="Normal"/>
    <w:link w:val="DipnotMetniChar"/>
    <w:uiPriority w:val="99"/>
    <w:semiHidden/>
    <w:unhideWhenUsed/>
    <w:pPr>
      <w:spacing w:after="0" w:line="240" w:lineRule="auto"/>
    </w:pPr>
    <w:rPr>
      <w:sz w:val="20"/>
      <w:szCs w:val="20"/>
    </w:rPr>
  </w:style>
  <w:style w:type="paragraph" w:styleId="HTMLncedenBiimlendirilmi">
    <w:name w:val="HTML Preformatted"/>
    <w:basedOn w:val="Normal"/>
    <w:link w:val="HTMLncedenBiimlendirilmi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Pr>
      <w:b/>
      <w:bCs/>
    </w:rPr>
  </w:style>
  <w:style w:type="character" w:customStyle="1" w:styleId="DipnotMetniChar">
    <w:name w:val="Dipnot Metni Char"/>
    <w:basedOn w:val="VarsaylanParagrafYazTipi"/>
    <w:link w:val="DipnotMetni"/>
    <w:uiPriority w:val="99"/>
    <w:semiHidden/>
    <w:rPr>
      <w:sz w:val="20"/>
      <w:szCs w:val="20"/>
      <w:lang w:val="en-US"/>
    </w:rPr>
  </w:style>
  <w:style w:type="paragraph" w:styleId="ListeParagraf">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HOOCB J+ Gulliver" w:hAnsi="HOOCB J+ Gulliver" w:cs="HOOCB J+ Gulliver"/>
      <w:color w:val="000000"/>
      <w:sz w:val="24"/>
      <w:szCs w:val="24"/>
    </w:rPr>
  </w:style>
  <w:style w:type="character" w:customStyle="1" w:styleId="HTMLncedenBiimlendirilmiChar">
    <w:name w:val="HTML Önceden Biçimlendirilmiş Char"/>
    <w:basedOn w:val="VarsaylanParagrafYazTipi"/>
    <w:link w:val="HTMLncedenBiimlendirilmi"/>
    <w:uiPriority w:val="99"/>
    <w:qFormat/>
    <w:rPr>
      <w:rFonts w:ascii="Courier New" w:eastAsia="Times New Roman" w:hAnsi="Courier New" w:cs="Courier New"/>
      <w:sz w:val="20"/>
      <w:szCs w:val="20"/>
      <w:lang w:val="en-US"/>
    </w:rPr>
  </w:style>
  <w:style w:type="paragraph" w:styleId="Kaynaka">
    <w:name w:val="Bibliography"/>
    <w:basedOn w:val="Normal"/>
    <w:next w:val="Normal"/>
    <w:uiPriority w:val="37"/>
    <w:semiHidden/>
    <w:unhideWhenUsed/>
    <w:rsid w:val="00CB4DF4"/>
  </w:style>
  <w:style w:type="paragraph" w:styleId="stBilgi">
    <w:name w:val="header"/>
    <w:basedOn w:val="Normal"/>
    <w:link w:val="stBilgiChar"/>
    <w:uiPriority w:val="99"/>
    <w:unhideWhenUsed/>
    <w:rsid w:val="00CB4D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4DF4"/>
    <w:rPr>
      <w:sz w:val="22"/>
      <w:szCs w:val="22"/>
    </w:rPr>
  </w:style>
  <w:style w:type="paragraph" w:styleId="AltBilgi">
    <w:name w:val="footer"/>
    <w:basedOn w:val="Normal"/>
    <w:link w:val="AltBilgiChar"/>
    <w:uiPriority w:val="99"/>
    <w:unhideWhenUsed/>
    <w:rsid w:val="00CB4D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4DF4"/>
    <w:rPr>
      <w:sz w:val="22"/>
      <w:szCs w:val="22"/>
    </w:rPr>
  </w:style>
  <w:style w:type="character" w:styleId="SonNotBavurusu">
    <w:name w:val="endnote reference"/>
    <w:basedOn w:val="VarsaylanParagrafYazTipi"/>
    <w:uiPriority w:val="99"/>
    <w:semiHidden/>
    <w:unhideWhenUsed/>
    <w:rsid w:val="00BC4682"/>
    <w:rPr>
      <w:vertAlign w:val="superscript"/>
    </w:rPr>
  </w:style>
  <w:style w:type="character" w:customStyle="1" w:styleId="Balk1Char">
    <w:name w:val="Başlık 1 Char"/>
    <w:basedOn w:val="VarsaylanParagrafYazTipi"/>
    <w:link w:val="Balk1"/>
    <w:uiPriority w:val="9"/>
    <w:rsid w:val="005D6019"/>
    <w:rPr>
      <w:rFonts w:ascii="Book Antiqua" w:eastAsiaTheme="majorEastAsia" w:hAnsi="Book Antiqua" w:cstheme="majorBidi"/>
      <w:sz w:val="24"/>
      <w:szCs w:val="32"/>
    </w:rPr>
  </w:style>
  <w:style w:type="paragraph" w:styleId="TBal">
    <w:name w:val="TOC Heading"/>
    <w:basedOn w:val="Balk1"/>
    <w:next w:val="Normal"/>
    <w:uiPriority w:val="39"/>
    <w:unhideWhenUsed/>
    <w:qFormat/>
    <w:rsid w:val="005D6019"/>
    <w:pPr>
      <w:outlineLvl w:val="9"/>
    </w:pPr>
  </w:style>
  <w:style w:type="paragraph" w:styleId="T1">
    <w:name w:val="toc 1"/>
    <w:basedOn w:val="Normal"/>
    <w:next w:val="Normal"/>
    <w:autoRedefine/>
    <w:uiPriority w:val="39"/>
    <w:unhideWhenUsed/>
    <w:rsid w:val="005D6019"/>
    <w:pPr>
      <w:spacing w:after="100"/>
    </w:pPr>
  </w:style>
  <w:style w:type="character" w:styleId="Kpr">
    <w:name w:val="Hyperlink"/>
    <w:basedOn w:val="VarsaylanParagrafYazTipi"/>
    <w:uiPriority w:val="99"/>
    <w:unhideWhenUsed/>
    <w:rsid w:val="005D6019"/>
    <w:rPr>
      <w:color w:val="0563C1" w:themeColor="hyperlink"/>
      <w:u w:val="single"/>
    </w:rPr>
  </w:style>
  <w:style w:type="paragraph" w:styleId="BalonMetni">
    <w:name w:val="Balloon Text"/>
    <w:basedOn w:val="Normal"/>
    <w:link w:val="BalonMetniChar"/>
    <w:uiPriority w:val="99"/>
    <w:semiHidden/>
    <w:unhideWhenUsed/>
    <w:rsid w:val="00487F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7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072206-DE35-46D0-A20E-00401375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3831</Words>
  <Characters>21839</Characters>
  <Application>Microsoft Office Word</Application>
  <DocSecurity>0</DocSecurity>
  <Lines>181</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Eserhan Eser</dc:creator>
  <cp:lastModifiedBy>Eserhan Eser</cp:lastModifiedBy>
  <cp:revision>3</cp:revision>
  <cp:lastPrinted>2021-04-16T03:48:00Z</cp:lastPrinted>
  <dcterms:created xsi:type="dcterms:W3CDTF">2021-05-23T16:43:00Z</dcterms:created>
  <dcterms:modified xsi:type="dcterms:W3CDTF">2021-05-23T16:45:00Z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id="vaxTDF5I"/&gt;&lt;style id="http://www.zotero.org/styles/chicago-fullnote-bibliography" locale="en-US" hasBibliography="1" bibliographyStyleHasBeenSet="1"/&gt;&lt;prefs&gt;&lt;pref name="fieldType" value="Field"</vt:lpwstr>
  </property>
  <property fmtid="{D5CDD505-2E9C-101B-9397-08002B2CF9AE}" pid="3" name="ZOTERO_PREF_2">
    <vt:lpwstr>/&gt;&lt;pref name="automaticJournalAbbreviations" value="true"/&gt;&lt;pref name="noteType" value="1"/&gt;&lt;/prefs&gt;&lt;/data&gt;</vt:lpwstr>
  </property>
  <property fmtid="{D5CDD505-2E9C-101B-9397-08002B2CF9AE}" pid="4" name="KSOProductBuildVer">
    <vt:lpwstr>1033-11.2.0.10101</vt:lpwstr>
  </property>
</Properties>
</file>