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D2047" w14:textId="01F8B5BE" w:rsidR="00092C3D" w:rsidRPr="008754C3" w:rsidRDefault="0000112F" w:rsidP="0000112F">
      <w:pPr>
        <w:bidi w:val="0"/>
        <w:spacing w:after="0" w:line="480" w:lineRule="auto"/>
        <w:rPr>
          <w:rFonts w:ascii="Times New Roman" w:hAnsi="Times New Roman" w:cs="Times New Roman"/>
          <w:b/>
          <w:bCs/>
          <w:sz w:val="32"/>
          <w:szCs w:val="32"/>
          <w:shd w:val="clear" w:color="auto" w:fill="FFFFFF"/>
        </w:rPr>
      </w:pPr>
      <w:r w:rsidRPr="0000112F">
        <w:rPr>
          <w:rFonts w:ascii="Times New Roman" w:hAnsi="Times New Roman" w:cs="Times New Roman"/>
          <w:b/>
          <w:bCs/>
          <w:sz w:val="32"/>
          <w:szCs w:val="32"/>
        </w:rPr>
        <w:t>Does wedge size matter? Financial reporting quality and effective regulation of dual-class firms</w:t>
      </w:r>
    </w:p>
    <w:p w14:paraId="2B3DCFD5" w14:textId="77777777" w:rsidR="00AF54F4" w:rsidRPr="008754C3" w:rsidRDefault="00AF54F4" w:rsidP="00A27A83">
      <w:pPr>
        <w:bidi w:val="0"/>
        <w:spacing w:after="0" w:line="480" w:lineRule="auto"/>
        <w:rPr>
          <w:rFonts w:ascii="Times New Roman" w:hAnsi="Times New Roman" w:cs="Times New Roman"/>
          <w:sz w:val="24"/>
          <w:szCs w:val="24"/>
        </w:rPr>
      </w:pPr>
    </w:p>
    <w:p w14:paraId="34E0E359" w14:textId="77777777" w:rsidR="00FC55F2" w:rsidRPr="008754C3" w:rsidRDefault="00FC55F2" w:rsidP="00A27A83">
      <w:pPr>
        <w:bidi w:val="0"/>
        <w:spacing w:after="0" w:line="480" w:lineRule="auto"/>
        <w:jc w:val="center"/>
        <w:rPr>
          <w:rFonts w:ascii="Times New Roman" w:hAnsi="Times New Roman" w:cs="Times New Roman"/>
          <w:sz w:val="24"/>
          <w:szCs w:val="24"/>
        </w:rPr>
        <w:sectPr w:rsidR="00FC55F2" w:rsidRPr="008754C3" w:rsidSect="00F43374">
          <w:footerReference w:type="default" r:id="rId11"/>
          <w:pgSz w:w="11906" w:h="16838"/>
          <w:pgMar w:top="1440" w:right="1800" w:bottom="1440" w:left="1800" w:header="708" w:footer="708" w:gutter="0"/>
          <w:cols w:space="708"/>
          <w:bidi/>
          <w:rtlGutter/>
          <w:docGrid w:linePitch="360"/>
        </w:sectPr>
      </w:pPr>
    </w:p>
    <w:p w14:paraId="3F56658B" w14:textId="3DE80C29" w:rsidR="001A701B" w:rsidRPr="008754C3" w:rsidRDefault="001A701B" w:rsidP="001A701B">
      <w:pPr>
        <w:bidi w:val="0"/>
        <w:spacing w:after="0" w:line="480" w:lineRule="auto"/>
        <w:jc w:val="center"/>
        <w:rPr>
          <w:rFonts w:ascii="Times New Roman" w:hAnsi="Times New Roman" w:cs="Times New Roman"/>
          <w:sz w:val="24"/>
          <w:szCs w:val="24"/>
          <w:rtl/>
        </w:rPr>
      </w:pPr>
    </w:p>
    <w:p w14:paraId="523534C2" w14:textId="77777777" w:rsidR="001A701B" w:rsidRPr="008754C3" w:rsidRDefault="001A701B" w:rsidP="00C25C27">
      <w:pPr>
        <w:bidi w:val="0"/>
        <w:spacing w:after="0" w:line="480" w:lineRule="auto"/>
        <w:rPr>
          <w:rFonts w:ascii="Times New Roman" w:hAnsi="Times New Roman" w:cs="Times New Roman"/>
          <w:bCs/>
          <w:sz w:val="24"/>
          <w:szCs w:val="24"/>
        </w:rPr>
      </w:pPr>
      <w:r w:rsidRPr="008754C3">
        <w:rPr>
          <w:rFonts w:ascii="Times New Roman" w:hAnsi="Times New Roman" w:cs="Times New Roman"/>
          <w:bCs/>
          <w:sz w:val="24"/>
          <w:szCs w:val="24"/>
        </w:rPr>
        <w:t>Abstract</w:t>
      </w:r>
    </w:p>
    <w:p w14:paraId="327E9677" w14:textId="10164F49" w:rsidR="00CC6E2A" w:rsidRPr="008754C3" w:rsidRDefault="00CC6E2A" w:rsidP="00CC6E2A">
      <w:pPr>
        <w:bidi w:val="0"/>
        <w:spacing w:after="0" w:line="480" w:lineRule="auto"/>
        <w:jc w:val="both"/>
        <w:rPr>
          <w:rFonts w:ascii="Times New Roman" w:hAnsi="Times New Roman" w:cs="Times New Roman"/>
          <w:sz w:val="24"/>
          <w:szCs w:val="24"/>
        </w:rPr>
        <w:sectPr w:rsidR="00CC6E2A" w:rsidRPr="008754C3" w:rsidSect="00FC55F2">
          <w:footnotePr>
            <w:numFmt w:val="lowerLetter"/>
          </w:footnotePr>
          <w:type w:val="continuous"/>
          <w:pgSz w:w="11906" w:h="16838"/>
          <w:pgMar w:top="1440" w:right="1800" w:bottom="1440" w:left="1800" w:header="708" w:footer="708" w:gutter="0"/>
          <w:cols w:space="708"/>
          <w:bidi/>
          <w:rtlGutter/>
          <w:docGrid w:linePitch="360"/>
        </w:sectPr>
      </w:pPr>
    </w:p>
    <w:p w14:paraId="0056B0ED" w14:textId="4A9D4469" w:rsidR="0024742E" w:rsidRPr="008754C3" w:rsidRDefault="00482C2D" w:rsidP="0082683A">
      <w:pPr>
        <w:pStyle w:val="LSbodytext"/>
        <w:spacing w:line="480" w:lineRule="auto"/>
      </w:pPr>
      <w:r>
        <w:t>D</w:t>
      </w:r>
      <w:r w:rsidRPr="008754C3">
        <w:t>ual</w:t>
      </w:r>
      <w:r w:rsidR="00867955" w:rsidRPr="008754C3">
        <w:t>-class capital structure</w:t>
      </w:r>
      <w:r>
        <w:t>s</w:t>
      </w:r>
      <w:r w:rsidR="00303356">
        <w:t xml:space="preserve"> </w:t>
      </w:r>
      <w:r w:rsidR="00867955" w:rsidRPr="008754C3">
        <w:t xml:space="preserve">create a gap </w:t>
      </w:r>
      <w:r w:rsidR="00CC03AA" w:rsidRPr="008754C3">
        <w:t>(</w:t>
      </w:r>
      <w:r w:rsidR="00CC03AA" w:rsidRPr="008754C3">
        <w:rPr>
          <w:shd w:val="clear" w:color="auto" w:fill="FFFFFF"/>
        </w:rPr>
        <w:t>“</w:t>
      </w:r>
      <w:r w:rsidR="00CC03AA" w:rsidRPr="008754C3">
        <w:t>wedge</w:t>
      </w:r>
      <w:r w:rsidR="00CC03AA" w:rsidRPr="008754C3">
        <w:rPr>
          <w:shd w:val="clear" w:color="auto" w:fill="FFFFFF"/>
        </w:rPr>
        <w:t>”</w:t>
      </w:r>
      <w:r w:rsidR="00CB72B8" w:rsidRPr="008754C3">
        <w:rPr>
          <w:shd w:val="clear" w:color="auto" w:fill="FFFFFF"/>
        </w:rPr>
        <w:t xml:space="preserve">) </w:t>
      </w:r>
      <w:r w:rsidR="00867955" w:rsidRPr="008754C3">
        <w:t>between voting rights and cash flow rights.</w:t>
      </w:r>
      <w:r w:rsidR="00D501E2" w:rsidRPr="008754C3">
        <w:t xml:space="preserve"> </w:t>
      </w:r>
      <w:r w:rsidR="002462F9">
        <w:t>O</w:t>
      </w:r>
      <w:r w:rsidR="00303356">
        <w:t>ur analysis</w:t>
      </w:r>
      <w:r w:rsidR="00BE6A63" w:rsidRPr="008754C3">
        <w:t xml:space="preserve"> </w:t>
      </w:r>
      <w:r w:rsidR="00D501E2" w:rsidRPr="008754C3">
        <w:t>indicate</w:t>
      </w:r>
      <w:r w:rsidR="00161212">
        <w:t>s</w:t>
      </w:r>
      <w:r w:rsidR="00867955" w:rsidRPr="008754C3">
        <w:t xml:space="preserve"> that </w:t>
      </w:r>
      <w:r w:rsidR="00382321" w:rsidRPr="00382321">
        <w:t xml:space="preserve">the larger the wedge, the higher the quality of </w:t>
      </w:r>
      <w:r w:rsidR="009E4BA8" w:rsidRPr="009E4BA8">
        <w:t xml:space="preserve">financial </w:t>
      </w:r>
      <w:r w:rsidR="00382321" w:rsidRPr="00382321">
        <w:t>report</w:t>
      </w:r>
      <w:r w:rsidR="002A1403">
        <w:t>ing</w:t>
      </w:r>
      <w:r w:rsidR="001B79FF">
        <w:t xml:space="preserve">, </w:t>
      </w:r>
      <w:r w:rsidR="0082683A" w:rsidRPr="0082683A">
        <w:t>reflecting a tradeoff between the dilution of voting rights</w:t>
      </w:r>
      <w:r w:rsidR="0082683A">
        <w:t xml:space="preserve"> </w:t>
      </w:r>
      <w:r w:rsidR="0082683A" w:rsidRPr="0082683A">
        <w:t>and enhancement of the credibility of the information provided to investors</w:t>
      </w:r>
      <w:r w:rsidR="00D501E2" w:rsidRPr="008754C3">
        <w:t xml:space="preserve">. </w:t>
      </w:r>
      <w:r w:rsidR="00B03EB1">
        <w:t xml:space="preserve">It </w:t>
      </w:r>
      <w:r w:rsidR="00D501E2" w:rsidRPr="008754C3">
        <w:t>suggest</w:t>
      </w:r>
      <w:r w:rsidR="00B03EB1">
        <w:t>s</w:t>
      </w:r>
      <w:r w:rsidR="00D501E2" w:rsidRPr="008754C3">
        <w:t xml:space="preserve"> that </w:t>
      </w:r>
      <w:r w:rsidR="00C65E3B" w:rsidRPr="008754C3">
        <w:t xml:space="preserve">increasing </w:t>
      </w:r>
      <w:r w:rsidR="00867955" w:rsidRPr="008754C3">
        <w:t xml:space="preserve">management’s insulation from market pressures </w:t>
      </w:r>
      <w:r w:rsidR="00243BCD">
        <w:t xml:space="preserve">is stronger </w:t>
      </w:r>
      <w:r w:rsidR="00724505">
        <w:t xml:space="preserve">than agency costs and thus </w:t>
      </w:r>
      <w:r w:rsidR="00867955" w:rsidRPr="008754C3">
        <w:t>reduce</w:t>
      </w:r>
      <w:r w:rsidR="00F00D88">
        <w:t>s</w:t>
      </w:r>
      <w:r w:rsidR="00867955" w:rsidRPr="008754C3">
        <w:t xml:space="preserve"> the </w:t>
      </w:r>
      <w:r w:rsidR="00DD531D" w:rsidRPr="008754C3">
        <w:t>motivation to</w:t>
      </w:r>
      <w:r w:rsidR="00867955" w:rsidRPr="008754C3">
        <w:t xml:space="preserve"> manipulate earnings</w:t>
      </w:r>
      <w:r w:rsidR="00632F80" w:rsidRPr="008754C3">
        <w:t>.</w:t>
      </w:r>
      <w:r w:rsidR="00B206A1">
        <w:t xml:space="preserve"> </w:t>
      </w:r>
      <w:r w:rsidR="006C6D72" w:rsidRPr="008754C3">
        <w:t xml:space="preserve">Therefore, with respect to financial reporting, a nuanced regulation restricting the size of the wedge may not be more effective. </w:t>
      </w:r>
    </w:p>
    <w:p w14:paraId="68B3372D" w14:textId="332C8AC4" w:rsidR="00363DFA" w:rsidRPr="00363DFA" w:rsidRDefault="00363DFA" w:rsidP="006C6D72">
      <w:pPr>
        <w:pStyle w:val="LSbodytext"/>
        <w:spacing w:line="480" w:lineRule="auto"/>
      </w:pPr>
      <w:r w:rsidRPr="00C0429A">
        <w:rPr>
          <w:b/>
          <w:bCs/>
        </w:rPr>
        <w:t>Key words:</w:t>
      </w:r>
      <w:r>
        <w:t xml:space="preserve"> </w:t>
      </w:r>
      <w:r w:rsidRPr="00363DFA">
        <w:t>Dual-class, earnings quality, financial reports</w:t>
      </w:r>
      <w:r>
        <w:t xml:space="preserve">, </w:t>
      </w:r>
      <w:r w:rsidRPr="00363DFA">
        <w:t>disclosure, corporate governance, wedge</w:t>
      </w:r>
    </w:p>
    <w:p w14:paraId="5E40E45E" w14:textId="3A6E2E6B" w:rsidR="008A500F" w:rsidRPr="008754C3" w:rsidRDefault="00363DFA" w:rsidP="00363DFA">
      <w:pPr>
        <w:bidi w:val="0"/>
        <w:spacing w:after="0" w:line="480" w:lineRule="auto"/>
        <w:jc w:val="both"/>
        <w:rPr>
          <w:rFonts w:ascii="Times New Roman" w:hAnsi="Times New Roman" w:cs="Times New Roman"/>
          <w:sz w:val="24"/>
          <w:szCs w:val="24"/>
        </w:rPr>
      </w:pPr>
      <w:r w:rsidRPr="00C0429A">
        <w:rPr>
          <w:rFonts w:ascii="Times New Roman" w:hAnsi="Times New Roman" w:cs="Times New Roman"/>
          <w:b/>
          <w:bCs/>
          <w:sz w:val="24"/>
          <w:szCs w:val="24"/>
        </w:rPr>
        <w:t>JEL Codes:</w:t>
      </w:r>
      <w:r w:rsidRPr="00363DFA">
        <w:rPr>
          <w:rFonts w:ascii="Times New Roman" w:hAnsi="Times New Roman" w:cs="Times New Roman"/>
          <w:sz w:val="24"/>
          <w:szCs w:val="24"/>
        </w:rPr>
        <w:t xml:space="preserve"> G32, G34, G38, K22, M41, M48</w:t>
      </w:r>
      <w:r w:rsidR="008A500F" w:rsidRPr="00363DFA">
        <w:rPr>
          <w:rFonts w:ascii="Times New Roman" w:hAnsi="Times New Roman" w:cs="Times New Roman"/>
          <w:sz w:val="24"/>
          <w:szCs w:val="24"/>
        </w:rPr>
        <w:br w:type="page"/>
      </w:r>
    </w:p>
    <w:p w14:paraId="21D6FB8E" w14:textId="25879A8D" w:rsidR="00D3663A" w:rsidRPr="008754C3" w:rsidRDefault="00D3663A" w:rsidP="00C25C27">
      <w:pPr>
        <w:pStyle w:val="Heading1"/>
      </w:pPr>
      <w:r w:rsidRPr="008754C3">
        <w:lastRenderedPageBreak/>
        <w:t>Introduction</w:t>
      </w:r>
    </w:p>
    <w:p w14:paraId="24C1AE24" w14:textId="2B2487F8" w:rsidR="009D6425" w:rsidRPr="008754C3" w:rsidRDefault="009D6425" w:rsidP="003203CB">
      <w:pPr>
        <w:bidi w:val="0"/>
        <w:spacing w:after="0" w:line="480" w:lineRule="auto"/>
        <w:ind w:firstLine="720"/>
        <w:jc w:val="both"/>
        <w:rPr>
          <w:rFonts w:ascii="Times New Roman" w:hAnsi="Times New Roman" w:cs="Times New Roman"/>
          <w:sz w:val="24"/>
          <w:szCs w:val="24"/>
        </w:rPr>
      </w:pPr>
      <w:r w:rsidRPr="008754C3">
        <w:rPr>
          <w:rFonts w:ascii="Times New Roman" w:hAnsi="Times New Roman" w:cs="Times New Roman"/>
          <w:sz w:val="24"/>
          <w:szCs w:val="24"/>
        </w:rPr>
        <w:t xml:space="preserve">This paper deals with one of the most heated debates in current financial regulation: the effectiveness of regulation of dual-class firms. </w:t>
      </w:r>
      <w:r w:rsidR="006D5CED" w:rsidRPr="008754C3">
        <w:rPr>
          <w:rFonts w:ascii="Times New Roman" w:hAnsi="Times New Roman" w:cs="Times New Roman"/>
          <w:sz w:val="24"/>
          <w:szCs w:val="24"/>
        </w:rPr>
        <w:t>In 2021</w:t>
      </w:r>
      <w:r w:rsidR="00470C84" w:rsidRPr="008754C3">
        <w:rPr>
          <w:rFonts w:ascii="Times New Roman" w:hAnsi="Times New Roman" w:cs="Times New Roman"/>
          <w:sz w:val="24"/>
          <w:szCs w:val="24"/>
        </w:rPr>
        <w:t>,</w:t>
      </w:r>
      <w:r w:rsidR="006D5CED" w:rsidRPr="008754C3">
        <w:rPr>
          <w:rFonts w:ascii="Times New Roman" w:hAnsi="Times New Roman" w:cs="Times New Roman"/>
          <w:sz w:val="24"/>
          <w:szCs w:val="24"/>
        </w:rPr>
        <w:t xml:space="preserve"> </w:t>
      </w:r>
      <w:r w:rsidRPr="008754C3">
        <w:rPr>
          <w:rFonts w:ascii="Times New Roman" w:hAnsi="Times New Roman" w:cs="Times New Roman"/>
          <w:sz w:val="24"/>
          <w:szCs w:val="24"/>
        </w:rPr>
        <w:t>23%</w:t>
      </w:r>
      <w:r w:rsidR="006D5CED" w:rsidRPr="008754C3">
        <w:rPr>
          <w:rFonts w:ascii="Times New Roman" w:hAnsi="Times New Roman" w:cs="Times New Roman"/>
          <w:sz w:val="24"/>
          <w:szCs w:val="24"/>
        </w:rPr>
        <w:t xml:space="preserve"> of</w:t>
      </w:r>
      <w:r w:rsidRPr="008754C3">
        <w:rPr>
          <w:rFonts w:ascii="Times New Roman" w:hAnsi="Times New Roman" w:cs="Times New Roman"/>
          <w:sz w:val="24"/>
          <w:szCs w:val="24"/>
        </w:rPr>
        <w:t xml:space="preserve"> U.S. companies </w:t>
      </w:r>
      <w:r w:rsidR="00686205" w:rsidRPr="008754C3">
        <w:rPr>
          <w:rFonts w:ascii="Times New Roman" w:hAnsi="Times New Roman" w:cs="Times New Roman"/>
          <w:sz w:val="24"/>
          <w:szCs w:val="24"/>
        </w:rPr>
        <w:t xml:space="preserve">going </w:t>
      </w:r>
      <w:r w:rsidRPr="008754C3">
        <w:rPr>
          <w:rFonts w:ascii="Times New Roman" w:hAnsi="Times New Roman" w:cs="Times New Roman"/>
          <w:sz w:val="24"/>
          <w:szCs w:val="24"/>
        </w:rPr>
        <w:t>public did so with a dual-class structure</w:t>
      </w:r>
      <w:r w:rsidR="00214146" w:rsidRPr="008754C3">
        <w:rPr>
          <w:rFonts w:ascii="Times New Roman" w:hAnsi="Times New Roman" w:cs="Times New Roman"/>
          <w:sz w:val="24"/>
          <w:szCs w:val="24"/>
        </w:rPr>
        <w:t xml:space="preserve">, </w:t>
      </w:r>
      <w:r w:rsidR="007C6DB2" w:rsidRPr="008754C3">
        <w:rPr>
          <w:rFonts w:ascii="Times New Roman" w:hAnsi="Times New Roman" w:cs="Times New Roman"/>
          <w:sz w:val="24"/>
          <w:szCs w:val="24"/>
        </w:rPr>
        <w:t>where</w:t>
      </w:r>
      <w:r w:rsidR="00214146" w:rsidRPr="008754C3">
        <w:rPr>
          <w:rFonts w:ascii="Times New Roman" w:hAnsi="Times New Roman" w:cs="Times New Roman"/>
          <w:sz w:val="24"/>
          <w:szCs w:val="24"/>
        </w:rPr>
        <w:t xml:space="preserve"> one class of shares confers more votes per share than the other</w:t>
      </w:r>
      <w:r w:rsidR="00CB3680" w:rsidRPr="008754C3">
        <w:rPr>
          <w:rFonts w:ascii="Times New Roman" w:hAnsi="Times New Roman" w:cs="Times New Roman"/>
          <w:sz w:val="24"/>
          <w:szCs w:val="24"/>
        </w:rPr>
        <w:t xml:space="preserve"> </w:t>
      </w:r>
      <w:r w:rsidR="00CB3680" w:rsidRPr="008754C3">
        <w:rPr>
          <w:rFonts w:ascii="Times New Roman" w:hAnsi="Times New Roman" w:cs="Times New Roman"/>
          <w:sz w:val="24"/>
          <w:szCs w:val="24"/>
        </w:rPr>
        <w:fldChar w:fldCharType="begin" w:fldLock="1"/>
      </w:r>
      <w:r w:rsidR="00235A5D" w:rsidRPr="008754C3">
        <w:rPr>
          <w:rFonts w:ascii="Times New Roman" w:hAnsi="Times New Roman" w:cs="Times New Roman"/>
          <w:sz w:val="24"/>
          <w:szCs w:val="24"/>
        </w:rPr>
        <w:instrText>ADDIN CSL_CITATION {"citationItems":[{"id":"ITEM-1","itemData":{"URL":"https://www.cii.org//Files/issues_and_advocacy/Dual Class post 6-25-19/2022_1_19 Dual-Class IPO Snapshot 2021_.pdf","author":[{"dropping-particle":"","family":"Council of Institutional Investors","given":"","non-dropping-particle":"","parse-names":false,"suffix":""}],"id":"ITEM-1","issued":{"date-parts":[["2022"]]},"title":"Newly Public Operating Companies Snapshot: 2021","type":"webpage"},"uris":["http://www.mendeley.com/documents/?uuid=6e7114aa-e744-4282-936f-be17a77ce351"]}],"mendeley":{"formattedCitation":"(Council of Institutional Investors, 2022)","plainTextFormattedCitation":"(Council of Institutional Investors, 2022)","previouslyFormattedCitation":"(Council of Institutional Investors, 2022)"},"properties":{"noteIndex":0},"schema":"https://github.com/citation-style-language/schema/raw/master/csl-citation.json"}</w:instrText>
      </w:r>
      <w:r w:rsidR="00CB3680" w:rsidRPr="008754C3">
        <w:rPr>
          <w:rFonts w:ascii="Times New Roman" w:hAnsi="Times New Roman" w:cs="Times New Roman"/>
          <w:sz w:val="24"/>
          <w:szCs w:val="24"/>
        </w:rPr>
        <w:fldChar w:fldCharType="separate"/>
      </w:r>
      <w:r w:rsidR="007C6DB2" w:rsidRPr="008754C3">
        <w:rPr>
          <w:rFonts w:ascii="Times New Roman" w:hAnsi="Times New Roman" w:cs="Times New Roman"/>
          <w:noProof/>
          <w:sz w:val="24"/>
          <w:szCs w:val="24"/>
        </w:rPr>
        <w:t>(Council of Institutional Investors, 2022)</w:t>
      </w:r>
      <w:r w:rsidR="00CB3680" w:rsidRPr="008754C3">
        <w:rPr>
          <w:rFonts w:ascii="Times New Roman" w:hAnsi="Times New Roman" w:cs="Times New Roman"/>
          <w:sz w:val="24"/>
          <w:szCs w:val="24"/>
        </w:rPr>
        <w:fldChar w:fldCharType="end"/>
      </w:r>
      <w:r w:rsidRPr="008754C3">
        <w:rPr>
          <w:rFonts w:ascii="Times New Roman" w:hAnsi="Times New Roman" w:cs="Times New Roman"/>
          <w:sz w:val="24"/>
          <w:szCs w:val="24"/>
        </w:rPr>
        <w:t>.</w:t>
      </w:r>
      <w:r w:rsidR="006D5CED" w:rsidRPr="008754C3">
        <w:rPr>
          <w:rFonts w:ascii="Times New Roman" w:hAnsi="Times New Roman" w:cs="Times New Roman"/>
          <w:sz w:val="24"/>
          <w:szCs w:val="24"/>
        </w:rPr>
        <w:t xml:space="preserve"> </w:t>
      </w:r>
      <w:r w:rsidR="00040D48" w:rsidRPr="008754C3">
        <w:rPr>
          <w:rFonts w:ascii="Times New Roman" w:hAnsi="Times New Roman" w:cs="Times New Roman"/>
          <w:sz w:val="24"/>
          <w:szCs w:val="24"/>
        </w:rPr>
        <w:t>By creating a gap (</w:t>
      </w:r>
      <w:r w:rsidR="00040D48" w:rsidRPr="008754C3">
        <w:rPr>
          <w:rFonts w:ascii="Times New Roman" w:hAnsi="Times New Roman" w:cs="Times New Roman"/>
          <w:sz w:val="24"/>
          <w:szCs w:val="24"/>
          <w:shd w:val="clear" w:color="auto" w:fill="FFFFFF"/>
        </w:rPr>
        <w:t>“</w:t>
      </w:r>
      <w:r w:rsidR="00040D48" w:rsidRPr="008754C3">
        <w:rPr>
          <w:rFonts w:ascii="Times New Roman" w:hAnsi="Times New Roman" w:cs="Times New Roman"/>
          <w:sz w:val="24"/>
          <w:szCs w:val="24"/>
        </w:rPr>
        <w:t>wedge</w:t>
      </w:r>
      <w:r w:rsidR="00040D48" w:rsidRPr="008754C3">
        <w:rPr>
          <w:rFonts w:ascii="Times New Roman" w:hAnsi="Times New Roman" w:cs="Times New Roman"/>
          <w:sz w:val="24"/>
          <w:szCs w:val="24"/>
          <w:shd w:val="clear" w:color="auto" w:fill="FFFFFF"/>
        </w:rPr>
        <w:t xml:space="preserve">”) </w:t>
      </w:r>
      <w:r w:rsidR="00040D48" w:rsidRPr="008754C3">
        <w:rPr>
          <w:rFonts w:ascii="Times New Roman" w:hAnsi="Times New Roman" w:cs="Times New Roman"/>
          <w:sz w:val="24"/>
          <w:szCs w:val="24"/>
        </w:rPr>
        <w:t>between voting rights and cash flow rights, t</w:t>
      </w:r>
      <w:r w:rsidR="008872F4" w:rsidRPr="008754C3">
        <w:rPr>
          <w:rFonts w:ascii="Times New Roman" w:hAnsi="Times New Roman" w:cs="Times New Roman"/>
          <w:sz w:val="24"/>
          <w:szCs w:val="24"/>
        </w:rPr>
        <w:t>his</w:t>
      </w:r>
      <w:r w:rsidRPr="008754C3">
        <w:rPr>
          <w:rFonts w:ascii="Times New Roman" w:hAnsi="Times New Roman" w:cs="Times New Roman"/>
          <w:sz w:val="24"/>
          <w:szCs w:val="24"/>
        </w:rPr>
        <w:t xml:space="preserve"> capital structure</w:t>
      </w:r>
      <w:r w:rsidR="00A62F3E" w:rsidRPr="008754C3">
        <w:rPr>
          <w:rFonts w:ascii="Times New Roman" w:hAnsi="Times New Roman" w:cs="Times New Roman"/>
          <w:sz w:val="24"/>
          <w:szCs w:val="24"/>
        </w:rPr>
        <w:t xml:space="preserve"> all</w:t>
      </w:r>
      <w:r w:rsidR="00FD6CD9" w:rsidRPr="008754C3">
        <w:rPr>
          <w:rFonts w:ascii="Times New Roman" w:hAnsi="Times New Roman" w:cs="Times New Roman"/>
          <w:sz w:val="24"/>
          <w:szCs w:val="24"/>
        </w:rPr>
        <w:t xml:space="preserve">ows </w:t>
      </w:r>
      <w:r w:rsidR="009C2D64" w:rsidRPr="008754C3">
        <w:rPr>
          <w:rFonts w:ascii="Times New Roman" w:hAnsi="Times New Roman" w:cs="Times New Roman"/>
          <w:sz w:val="24"/>
          <w:szCs w:val="24"/>
        </w:rPr>
        <w:t>insiders</w:t>
      </w:r>
      <w:r w:rsidR="00FD6CD9" w:rsidRPr="008754C3">
        <w:rPr>
          <w:rFonts w:ascii="Times New Roman" w:hAnsi="Times New Roman" w:cs="Times New Roman"/>
          <w:sz w:val="24"/>
          <w:szCs w:val="24"/>
        </w:rPr>
        <w:t xml:space="preserve"> to raise capital without relinquishing effective control of the company</w:t>
      </w:r>
      <w:r w:rsidRPr="008754C3">
        <w:rPr>
          <w:rFonts w:ascii="Times New Roman" w:hAnsi="Times New Roman" w:cs="Times New Roman"/>
          <w:sz w:val="24"/>
          <w:szCs w:val="24"/>
        </w:rPr>
        <w:t xml:space="preserve"> </w:t>
      </w:r>
      <w:r w:rsidRPr="008754C3">
        <w:rPr>
          <w:rFonts w:ascii="Times New Roman" w:hAnsi="Times New Roman" w:cs="Times New Roman"/>
          <w:sz w:val="24"/>
          <w:szCs w:val="24"/>
          <w:vertAlign w:val="superscript"/>
        </w:rPr>
        <w:fldChar w:fldCharType="begin" w:fldLock="1"/>
      </w:r>
      <w:r w:rsidR="00235A5D" w:rsidRPr="008754C3">
        <w:rPr>
          <w:rFonts w:ascii="Times New Roman" w:hAnsi="Times New Roman" w:cs="Times New Roman"/>
          <w:sz w:val="24"/>
          <w:szCs w:val="24"/>
        </w:rPr>
        <w:instrText>ADDIN CSL_CITATION {"citationItems":[{"id":"ITEM-1","itemData":{"author":[{"dropping-particle":"","family":"Bebchuk","given":"Lucian A.","non-dropping-particle":"","parse-names":false,"suffix":""},{"dropping-particle":"","family":"Kraakman","given":"Reinier","non-dropping-particle":"","parse-names":false,"suffix":""},{"dropping-particle":"","family":"Triantis","given":"George G.","non-dropping-particle":"","parse-names":false,"suffix":""}],"container-title":"Concentrated Corporate Ownership","id":"ITEM-1","issue":"R. Morck, ed.","issued":{"date-parts":[["2000"]]},"page":"295-318","title":"Stock Pyramids, Cross-Ownership and Dual Class Equity: The Mechanisms and Agency Costs of Separating Control From Cash-Flow Rights","type":"article-journal"},"uris":["http://www.mendeley.com/documents/?uuid=0a15b4a7-b378-4d89-a844-44f1f60a894b"]}],"mendeley":{"formattedCitation":"(Bebchuk et al., 2000)","plainTextFormattedCitation":"(Bebchuk et al., 2000)","previouslyFormattedCitation":"(Bebchuk et al., 2000)"},"properties":{"noteIndex":0},"schema":"https://github.com/citation-style-language/schema/raw/master/csl-citation.json"}</w:instrText>
      </w:r>
      <w:r w:rsidRPr="008754C3">
        <w:rPr>
          <w:rFonts w:ascii="Times New Roman" w:hAnsi="Times New Roman" w:cs="Times New Roman"/>
          <w:sz w:val="24"/>
          <w:szCs w:val="24"/>
          <w:vertAlign w:val="superscript"/>
        </w:rPr>
        <w:fldChar w:fldCharType="separate"/>
      </w:r>
      <w:r w:rsidR="007C6DB2" w:rsidRPr="008754C3">
        <w:rPr>
          <w:rFonts w:ascii="Times New Roman" w:hAnsi="Times New Roman" w:cs="Times New Roman"/>
          <w:noProof/>
          <w:sz w:val="24"/>
          <w:szCs w:val="24"/>
        </w:rPr>
        <w:t>(Bebchuk et al., 2000)</w:t>
      </w:r>
      <w:r w:rsidRPr="008754C3">
        <w:rPr>
          <w:rFonts w:ascii="Times New Roman" w:hAnsi="Times New Roman" w:cs="Times New Roman"/>
          <w:sz w:val="24"/>
          <w:szCs w:val="24"/>
        </w:rPr>
        <w:fldChar w:fldCharType="end"/>
      </w:r>
      <w:r w:rsidRPr="008754C3">
        <w:rPr>
          <w:rFonts w:ascii="Times New Roman" w:hAnsi="Times New Roman" w:cs="Times New Roman"/>
          <w:sz w:val="24"/>
          <w:szCs w:val="24"/>
        </w:rPr>
        <w:t xml:space="preserve">. </w:t>
      </w:r>
    </w:p>
    <w:p w14:paraId="4D563D8A" w14:textId="34A4BE96" w:rsidR="009D6425" w:rsidRPr="008754C3" w:rsidRDefault="009D6425" w:rsidP="003203CB">
      <w:pPr>
        <w:pStyle w:val="LSbodytext"/>
        <w:spacing w:line="480" w:lineRule="auto"/>
      </w:pPr>
      <w:r w:rsidRPr="008754C3">
        <w:t xml:space="preserve">In the past few years, the policy debate over the desirability of this capital structure </w:t>
      </w:r>
      <w:r w:rsidR="005A3E83" w:rsidRPr="008754C3">
        <w:t xml:space="preserve">has </w:t>
      </w:r>
      <w:r w:rsidRPr="008754C3">
        <w:t>intensified. On one hand, proponents of the dual-class structure argue that it encourages innovation by insulating management from short-term market pressures</w:t>
      </w:r>
      <w:r w:rsidR="00344BF6" w:rsidRPr="008754C3">
        <w:t xml:space="preserve"> </w:t>
      </w:r>
      <w:r w:rsidR="00344BF6" w:rsidRPr="008754C3">
        <w:fldChar w:fldCharType="begin" w:fldLock="1"/>
      </w:r>
      <w:r w:rsidR="00235A5D" w:rsidRPr="008754C3">
        <w:instrText>ADDIN CSL_CITATION {"citationItems":[{"id":"ITEM-1","itemData":{"abstract":"This Article offers a novel theory of corporate control. It does so by shedding new light on corporate-ownership structures and challenging the prevailing model of controlling shareholders as essentially opportunistic actors who seek to reap private benefits at the expense of minority shareholders. Our core claim is that entrepreneurs value corporate control because it allows them to pursue their vision (i.e., any business strategy that the entrepreneur genuinely believes will produce an above-market rate of return) in the manner they see fit. We call the subjective value an entrepreneur attaches to her vision the entrepreneur’s idiosyncratic vision. Our framework identifies a fundamental tradeoff, stemming from asymmetric information and differences of opinion, between the entrepreneur’s pursuit of her idiosyncratic vision and investors’ need for protection against agency costs. Entrepreneurs and investors address this inevitable conflict through different ownership structures, each with different allocations of control and cash-flow rights. Concentrated ownership, therefore, should not be viewed as an unalloyed evil. To the contrary, it creates value for controlling and minority shareholders alike. Our analysis shows that controlling shareholders hold a control block to increase the pie’s size (pursue idiosyncratic vision) rather than to dictate the pie’s distribution (consume private benefits). Importantly, when the entrepreneur’s idiosyncratic vision is ultimately realized, the benefits will be distributed pro rata to all investors. Our framework provides important insights for investor protection and corporate law doctrine and policy. We argue that corporate law for publicly traded firms with controlling shareholders should balance the controller’s need to secure her idiosyncratic vision against the minority’s need for protection. While the existing corporate-law scholarship has focused solely on the protection of minority shareholders, we show that it is equally important to pay heed to the rights of the controlling shareholders.","author":[{"dropping-particle":"","family":"Goshen","given":"Zohar","non-dropping-particle":"","parse-names":false,"suffix":""},{"dropping-particle":"","family":"Hamdani","given":"Assaf","non-dropping-particle":"","parse-names":false,"suffix":""}],"container-title":"Yale Law Journal","id":"ITEM-1","issue":"3","issued":{"date-parts":[["2016"]]},"page":"560-617","title":"Corporate Control and Idiosyncratic Vision","type":"article-journal","volume":"125"},"uris":["http://www.mendeley.com/documents/?uuid=6dee4e7b-7152-4eb5-9bee-a26ba9790d2a"]},{"id":"ITEM-2","itemData":{"DOI":"10.1016/j.jcorpfin.2016.10.003","ISSN":"09291199","abstract":"We test the hypothesis that dual-class shares can help managers focus on the implementation of long-term projects while avoiding short-term market pressure. Consistent with this idea, we find that dual-class firms face lower short-term market pressure (fewer transient or short-term institutional holdings, a lower probability of being taken over, and lower analyst coverage) than propensity-matched single-class firms. Dual-class firms also tend to have more growth opportunities (higher sales growth and R&amp;D intensity). The dual-class share structure increases the market valuation of high growth firms, in contrast to the finding in the literature that dual-class firms trade at lower valuations. To address endogeneity concerns, we evaluate a sample of dual-class share unifications and find that growth opportunities decline while short-term market pressure increases after share unifications.","author":[{"dropping-particle":"","family":"Jordan","given":"Bradford D.","non-dropping-particle":"","parse-names":false,"suffix":""},{"dropping-particle":"","family":"Kim","given":"Soohyung","non-dropping-particle":"","parse-names":false,"suffix":""},{"dropping-particle":"","family":"Liu","given":"Mark H.","non-dropping-particle":"","parse-names":false,"suffix":""}],"container-title":"Journal of Corporate Finance","id":"ITEM-2","issued":{"date-parts":[["2016"]]},"page":"304-328","publisher":"Elsevier B.V.","title":"Growth Opportunities, Short-Term Market Pressure, and Dual-Class Share Structure","type":"article-journal","volume":"41"},"uris":["http://www.mendeley.com/documents/?uuid=cf7c4996-6cca-41f6-9ddc-e8b23b9afb8f"]}],"mendeley":{"formattedCitation":"(Goshen &amp; Hamdani, 2016; Jordan et al., 2016)","plainTextFormattedCitation":"(Goshen &amp; Hamdani, 2016; Jordan et al., 2016)","previouslyFormattedCitation":"(Goshen &amp; Hamdani, 2016; Jordan et al., 2016)"},"properties":{"noteIndex":0},"schema":"https://github.com/citation-style-language/schema/raw/master/csl-citation.json"}</w:instrText>
      </w:r>
      <w:r w:rsidR="00344BF6" w:rsidRPr="008754C3">
        <w:fldChar w:fldCharType="separate"/>
      </w:r>
      <w:r w:rsidR="007C6DB2" w:rsidRPr="008754C3">
        <w:rPr>
          <w:noProof/>
        </w:rPr>
        <w:t>(Goshen &amp; Hamdani, 2016; Jordan et al., 2016)</w:t>
      </w:r>
      <w:r w:rsidR="00344BF6" w:rsidRPr="008754C3">
        <w:fldChar w:fldCharType="end"/>
      </w:r>
      <w:r w:rsidRPr="008754C3">
        <w:t xml:space="preserve">. On the other hand, opponents argue that the combination of weak ownership incentives and entrenchment results in agency problems </w:t>
      </w:r>
      <w:r w:rsidR="00344BF6" w:rsidRPr="008754C3">
        <w:fldChar w:fldCharType="begin" w:fldLock="1"/>
      </w:r>
      <w:r w:rsidR="001A24F2">
        <w:instrText>ADDIN CSL_CITATION {"citationItems":[{"id":"ITEM-1","itemData":{"DOI":"10.2139/ssrn.3128375","abstract":"This Article contributes to the long-standing and heated debate over dual-class companies by placing a spotlight on a significant set of dual-class companies whose structures raise especially severe governance concerns: those with controllers holding a small minority of the company’s equity capital. Such small-minority controllers dominate some of the country’s largest companies, and we show that their numbers can be expected to grow. We begin by analyzing the perils of small-minority controllers, explaining how they generate considerable governance costs and risks and showing how these costs can be expected to escalate as the controller’s stake decreases. We then identify the mechanisms that enable such controllers to retain their power despite holding a small or even a tiny minority of the company’s equity capital. Based on a hand-collected analysis of governance documents of these companies, we present novel empirical evidence on the current incidence and potential growth of small-minority and tiny-minority controllers. Among other things, we show that governance arrangements at a substantial majority of dual-class companies enable the controller to reduce his equity stake to below 10% and still retain a lock on control, and a sizable fraction of such companies enable retaining control with less than a 5% stake. Finally, we examine the considerable policy implications that arise from recognizing the perils of small-minority controllers. We first discuss disclosures necessary to make transparent to investors the extent to which arrangements enable controllers to reduce their stake without forgoing control. We then identify and examine measures that public officials or institutional investors could take to ensure that controllers maintain a minimum fraction of equity capital; to provide public investors with extra protections in the presence of small-minority controllers; or to screen midstream changes that can introduce or increase the costs of small-minority controllers.","author":[{"dropping-particle":"","family":"Bebchuk","given":"Lucian A.","non-dropping-particle":"","parse-names":false,"suffix":""},{"dropping-particle":"","family":"Kastiel","given":"Kobi","non-dropping-particle":"","parse-names":false,"suffix":""}],"container-title":"Georgetown Law Journal","id":"ITEM-1","issued":{"date-parts":[["2019"]]},"page":"1453-1514","title":"The Perils of Small-Minority Controllers","type":"article-journal","volume":"107"},"uris":["http://www.mendeley.com/documents/?uuid=9d95e375-fbb0-4761-a21e-55c89dd2c31a"]}],"mendeley":{"formattedCitation":"(Bebchuk &amp; Kastiel, 2019)","manualFormatting":"(Bebchuk &amp; Kastiel, 2019)","plainTextFormattedCitation":"(Bebchuk &amp; Kastiel, 2019)","previouslyFormattedCitation":"(Bebchuk &amp; Kastiel, 2019)"},"properties":{"noteIndex":0},"schema":"https://github.com/citation-style-language/schema/raw/master/csl-citation.json"}</w:instrText>
      </w:r>
      <w:r w:rsidR="00344BF6" w:rsidRPr="008754C3">
        <w:fldChar w:fldCharType="separate"/>
      </w:r>
      <w:r w:rsidR="007C6DB2" w:rsidRPr="008754C3">
        <w:rPr>
          <w:noProof/>
        </w:rPr>
        <w:t>(Bebchuk &amp; Kastiel, 2019)</w:t>
      </w:r>
      <w:r w:rsidR="00344BF6" w:rsidRPr="008754C3">
        <w:fldChar w:fldCharType="end"/>
      </w:r>
      <w:r w:rsidRPr="008754C3">
        <w:t xml:space="preserve">. </w:t>
      </w:r>
    </w:p>
    <w:p w14:paraId="16B8B57D" w14:textId="4C1F534E" w:rsidR="009D6425" w:rsidRPr="008754C3" w:rsidRDefault="009D6425" w:rsidP="003203CB">
      <w:pPr>
        <w:pStyle w:val="LSbodytext"/>
        <w:spacing w:line="480" w:lineRule="auto"/>
        <w:rPr>
          <w:rtl/>
        </w:rPr>
      </w:pPr>
      <w:r w:rsidRPr="008754C3">
        <w:t xml:space="preserve">The </w:t>
      </w:r>
      <w:r w:rsidR="00CE2EEB" w:rsidRPr="008754C3">
        <w:t xml:space="preserve">regulatory </w:t>
      </w:r>
      <w:r w:rsidRPr="008754C3">
        <w:t>debate over the use of dual-class stock is ongoing and</w:t>
      </w:r>
      <w:r w:rsidR="00E95180" w:rsidRPr="008754C3">
        <w:t>,</w:t>
      </w:r>
      <w:r w:rsidRPr="008754C3">
        <w:t xml:space="preserve"> interestingly</w:t>
      </w:r>
      <w:r w:rsidR="00E95180" w:rsidRPr="008754C3">
        <w:t>,</w:t>
      </w:r>
      <w:r w:rsidRPr="008754C3">
        <w:t xml:space="preserve"> developing in opposite directions. </w:t>
      </w:r>
      <w:r w:rsidR="00E95180" w:rsidRPr="008754C3">
        <w:t>While</w:t>
      </w:r>
      <w:r w:rsidR="00CE2EEB" w:rsidRPr="008754C3">
        <w:t xml:space="preserve"> this </w:t>
      </w:r>
      <w:r w:rsidR="00431BD2" w:rsidRPr="008754C3">
        <w:t>capi</w:t>
      </w:r>
      <w:r w:rsidR="007A5BE6" w:rsidRPr="008754C3">
        <w:t>tal</w:t>
      </w:r>
      <w:r w:rsidR="00CE2EEB" w:rsidRPr="008754C3">
        <w:t xml:space="preserve"> structure</w:t>
      </w:r>
      <w:r w:rsidRPr="008754C3">
        <w:t xml:space="preserve"> is historically permitted in the United States, institutional investors and index providers have recently expressed strong opposition to the use of dual-class structures</w:t>
      </w:r>
      <w:r w:rsidR="00235A5D" w:rsidRPr="008754C3">
        <w:t xml:space="preserve"> </w:t>
      </w:r>
      <w:r w:rsidR="00235A5D" w:rsidRPr="008754C3">
        <w:fldChar w:fldCharType="begin" w:fldLock="1"/>
      </w:r>
      <w:r w:rsidR="00235A5D" w:rsidRPr="008754C3">
        <w:instrText>ADDIN CSL_CITATION {"citationItems":[{"id":"ITEM-1","itemData":{"DOI":"10.1111/ablj.12167","ISSN":"17441714","abstract":"When Google went public with a dual-class capital structure in which shares owned by the founders confer greater voting rights than shares issued to public investors, its cofounders, Larry Page and Sergey Brin, promised to provide investors with high-quality information about the company. Using the words of Warren Buffett, the chairman and CEO of Berkshire Hathaway, another dual-class firm, they promised shareholders, “We won’t ‘smooth’ quarterly or annual results: If earnings figures are lumpy when they reach headquarters, they will be lumpy when they reach you.” Page, Brin, and Buffett definitely understood the importance of quality information to their investors, especially in dual-class structures. But do dual-class companies really provide investors with credible financial information? Contrary to the assumption of agency theory that dual-class firms are less transparent, we find empirically that these companies do provide credible information to their investors. Our results suggest that the quality of financial reports, as measured by their ability to predict change in future earnings, is higher for dual-class companies than for their single-class counterparts. These findings may be explained by the unique relations created in dual-class firms in which the founders provide investors with higher-quality information in exchange for superior voting rights. The article contributes to the heated debate about the transparency of dual-class companies by providing policy makers with important insights on the quality of information provided by these companies. Our findings suggest that there is no need for stricter regulation with regard to disclosure of financial information by dual-class firms.","author":[{"dropping-particle":"","family":"Solomon","given":"Dov","non-dropping-particle":"","parse-names":false,"suffix":""},{"dropping-particle":"","family":"Palas","given":"Rimona","non-dropping-particle":"","parse-names":false,"suffix":""},{"dropping-particle":"","family":"Baranes","given":"Amos","non-dropping-particle":"","parse-names":false,"suffix":""}],"container-title":"American Business Law Journal","id":"ITEM-1","issue":"3","issued":{"date-parts":[["2020"]]},"page":"443-486","title":"The Quality of Information Provided by Dual-Class Firms","type":"article-journal","volume":"57"},"uris":["http://www.mendeley.com/documents/?uuid=e7fddf91-85d4-494c-a5db-9a48333c5562"]}],"mendeley":{"formattedCitation":"(Solomon et al., 2020)","plainTextFormattedCitation":"(Solomon et al., 2020)","previouslyFormattedCitation":"(Solomon et al., 2020)"},"properties":{"noteIndex":0},"schema":"https://github.com/citation-style-language/schema/raw/master/csl-citation.json"}</w:instrText>
      </w:r>
      <w:r w:rsidR="00235A5D" w:rsidRPr="008754C3">
        <w:fldChar w:fldCharType="separate"/>
      </w:r>
      <w:r w:rsidR="00235A5D" w:rsidRPr="008754C3">
        <w:rPr>
          <w:noProof/>
        </w:rPr>
        <w:t>(Solomon et al., 2020)</w:t>
      </w:r>
      <w:r w:rsidR="00235A5D" w:rsidRPr="008754C3">
        <w:fldChar w:fldCharType="end"/>
      </w:r>
      <w:r w:rsidRPr="008754C3">
        <w:t>.</w:t>
      </w:r>
      <w:r w:rsidR="0054443E">
        <w:rPr>
          <w:rStyle w:val="FootnoteReference"/>
        </w:rPr>
        <w:footnoteReference w:id="2"/>
      </w:r>
      <w:r w:rsidRPr="008754C3">
        <w:t xml:space="preserve"> </w:t>
      </w:r>
      <w:r w:rsidR="00F3384D">
        <w:t>By contrast,</w:t>
      </w:r>
      <w:r w:rsidR="00F3384D" w:rsidRPr="008754C3">
        <w:t xml:space="preserve"> </w:t>
      </w:r>
      <w:r w:rsidR="00E95180" w:rsidRPr="008754C3">
        <w:t>j</w:t>
      </w:r>
      <w:r w:rsidRPr="008754C3">
        <w:t>urisdictions that traditionally prohibited the use of dual-class stock have faced increasing market pressures to allow this capital structure. London</w:t>
      </w:r>
      <w:r w:rsidR="00E95180" w:rsidRPr="008754C3">
        <w:t>’s</w:t>
      </w:r>
      <w:r w:rsidRPr="008754C3">
        <w:t>, Hong Kong</w:t>
      </w:r>
      <w:r w:rsidR="00E95180" w:rsidRPr="008754C3">
        <w:t>’s</w:t>
      </w:r>
      <w:r w:rsidRPr="008754C3">
        <w:t>, and Singapore’s stock exchanges have recently revised their listing rules to facilitate the use of dual-class shares</w:t>
      </w:r>
      <w:r w:rsidR="00383F7C" w:rsidRPr="008754C3">
        <w:t xml:space="preserve"> </w:t>
      </w:r>
      <w:r w:rsidR="00235A5D" w:rsidRPr="008754C3">
        <w:fldChar w:fldCharType="begin" w:fldLock="1"/>
      </w:r>
      <w:r w:rsidR="007F7BB7" w:rsidRPr="008754C3">
        <w:instrText>ADDIN CSL_CITATION {"citationItems":[{"id":"ITEM-1","itemData":{"author":[{"dropping-particle":"","family":"Reddy","given":"Bobby","non-dropping-particle":"","parse-names":false,"suffix":""}],"id":"ITEM-1","issued":{"date-parts":[["2021"]]},"publisher":"Cambridge University Press","title":"Founders without Limits: Dual-Class Stock and the Premium Tier of the London Stock Exchange","type":"book"},"uris":["http://www.mendeley.com/documents/?uuid=15b6cba1-382b-4c74-a5e6-5438bf49197e"]}],"mendeley":{"formattedCitation":"(Reddy, 2021)","plainTextFormattedCitation":"(Reddy, 2021)","previouslyFormattedCitation":"(Reddy, 2021)"},"properties":{"noteIndex":0},"schema":"https://github.com/citation-style-language/schema/raw/master/csl-citation.json"}</w:instrText>
      </w:r>
      <w:r w:rsidR="00235A5D" w:rsidRPr="008754C3">
        <w:fldChar w:fldCharType="separate"/>
      </w:r>
      <w:r w:rsidR="00235A5D" w:rsidRPr="008754C3">
        <w:rPr>
          <w:noProof/>
        </w:rPr>
        <w:t>(Reddy, 2021)</w:t>
      </w:r>
      <w:r w:rsidR="00235A5D" w:rsidRPr="008754C3">
        <w:fldChar w:fldCharType="end"/>
      </w:r>
      <w:r w:rsidR="00F930AC" w:rsidRPr="008754C3">
        <w:t>.</w:t>
      </w:r>
    </w:p>
    <w:p w14:paraId="3C850C2F" w14:textId="05C00ABF" w:rsidR="001911B7" w:rsidRPr="00F84BAA" w:rsidRDefault="009D6425" w:rsidP="006639C0">
      <w:pPr>
        <w:bidi w:val="0"/>
        <w:spacing w:after="0" w:line="480" w:lineRule="auto"/>
        <w:ind w:firstLine="720"/>
        <w:jc w:val="both"/>
        <w:rPr>
          <w:rFonts w:ascii="Times New Roman" w:hAnsi="Times New Roman" w:cs="Times New Roman"/>
          <w:sz w:val="24"/>
          <w:szCs w:val="24"/>
        </w:rPr>
      </w:pPr>
      <w:r w:rsidRPr="00B92AEC">
        <w:rPr>
          <w:rFonts w:ascii="Times New Roman" w:hAnsi="Times New Roman" w:cs="Times New Roman"/>
          <w:sz w:val="24"/>
          <w:szCs w:val="24"/>
        </w:rPr>
        <w:lastRenderedPageBreak/>
        <w:t>The current binary restrict-or-allow regulation of dual-class firms does not consider the size of the wedge between voting and cash flow rights. Indeed, while research regarding the effects of the dual- versus single-class structure and its policy implications</w:t>
      </w:r>
      <w:r w:rsidR="00E95180" w:rsidRPr="00B92AEC">
        <w:rPr>
          <w:rFonts w:ascii="Times New Roman" w:hAnsi="Times New Roman" w:cs="Times New Roman"/>
          <w:sz w:val="24"/>
          <w:szCs w:val="24"/>
        </w:rPr>
        <w:t xml:space="preserve"> is ongoing</w:t>
      </w:r>
      <w:r w:rsidR="0085207E" w:rsidRPr="00B92AEC">
        <w:rPr>
          <w:rFonts w:ascii="Times New Roman" w:hAnsi="Times New Roman" w:cs="Times New Roman"/>
          <w:sz w:val="24"/>
          <w:szCs w:val="24"/>
        </w:rPr>
        <w:t xml:space="preserve"> </w:t>
      </w:r>
      <w:r w:rsidR="007D3589" w:rsidRPr="00B92AEC">
        <w:rPr>
          <w:rFonts w:ascii="Times New Roman" w:hAnsi="Times New Roman" w:cs="Times New Roman"/>
          <w:sz w:val="24"/>
          <w:szCs w:val="24"/>
        </w:rPr>
        <w:fldChar w:fldCharType="begin" w:fldLock="1"/>
      </w:r>
      <w:r w:rsidR="00EB4603" w:rsidRPr="00B92AEC">
        <w:rPr>
          <w:rFonts w:ascii="Times New Roman" w:hAnsi="Times New Roman" w:cs="Times New Roman"/>
          <w:sz w:val="24"/>
          <w:szCs w:val="24"/>
        </w:rPr>
        <w:instrText>ADDIN CSL_CITATION {"citationItems":[{"id":"ITEM-1","itemData":{"abstract":"We study a sample of 178 firms that changed from a one-share one-vote into a dual-class common stock structure during 1979–1998. We find that dual-class recapitalizations are shareholder value enhancing corporate initiatives. Using accounting data, Lehn et al. (1990) [Lehn, K., Netter, J., Poulsen, A., 1990. Consolidating corporate control: dual-class recapitalizations versus leveraged buyouts. Journal of Financial Economics 27, 557–580] provide evidence that dual-class recapital- izing firms grow faster than firms in a control group and undertake secondary equity offerings (SEOs) to finance growth. We show that growth is indeed beneficial to the shareholders. The stockholders, on average, earn significant positive abnormal returns of 23.11% in a period of 4 years following the announcement month. Furthermore, abnormal returns are even larger (52.61%) for the dual-class firms that issue equity. This evidence is especially supportive of the value enhancing hypothesis as it is contrary to the prevailing result that SEOs are generally followed by large negative returns. We do not find any evidence of managerial entrenchment. D 2005 Elsevier B.V. All rights reserved. JEL","author":[{"dropping-particle":"","family":"Dimitrov","given":"Valentin","non-dropping-particle":"","parse-names":false,"suffix":""},{"dropping-particle":"","family":"Jain","given":"Prem C.","non-dropping-particle":"","parse-names":false,"suffix":""}],"container-title":"Journal of Corporate Finance","id":"ITEM-1","issue":"2","issued":{"date-parts":[["2006"]]},"page":"342-366","title":"Recapitalization of One Class of Common Stock into Dual-Class: Growth and Long-Run Stock Returns","type":"article-journal","volume":"12"},"uris":["http://www.mendeley.com/documents/?uuid=70325283-ec30-4dd3-b5c8-e4f78f24d734"]},{"id":"ITEM-2","itemData":{"abstract":"abstract We show how the change to differential voting rights allows dominant shareholders to retain control even after selling substantial economic ownership in the firm and diversifying their wealth. This unbun- dling of cash flow and control rights leads to more dispersed economic ownership and a closer alignment of dominant and dispersed shareholder interests. When insiders sell sizeable amounts of their economic interests, firms increase capital expenditures, strengthen corporate focus, divest non-core operations, and generate superior industry-adjusted performance. The change to differential voting rights both fosters corporate control activity and creates higher takeover premiums that are paid equally to all shareholders.","author":[{"dropping-particle":"","family":"Bauguess","given":"Scott W.","non-dropping-particle":"","parse-names":false,"suffix":""},{"dropping-particle":"","family":"Slovin","given":"Myron B.","non-dropping-particle":"","parse-names":false,"suffix":""},{"dropping-particle":"","family":"Sushka","given":"Marie E.","non-dropping-particle":"","parse-names":false,"suffix":""}],"container-title":"Journal of Banking and Finance","id":"ITEM-2","issue":"4","issued":{"date-parts":[["2012"]]},"page":"1244-1253","title":"Large Shareholder Diversification, Corporate Risk Taking, and the Benefits of Changing to Differential Voting Rights","type":"article-journal","volume":"36"},"uris":["http://www.mendeley.com/documents/?uuid=e3af5c8d-af59-4e0f-a7f7-84690061f996"]},{"id":"ITEM-3","itemData":{"abstract":"art i cle i nf o Article history: Received 1 January 2014 Received in revised form 5 February 2015 Accepted 10 February 2015 Available online 16 February 2015 JEL Classification: G32 G34 Keywords: Corporate governance improvements Dual class shares Financial tunneling a bstract We study 121 voluntary dual class share unification in Europe during 1996–2009, and uncover evidence suggesting a positive valuation response to governance improvements and a negative valuation response to possible financial tunneling. Corporate governance improvement is attained by abolishing the wedge between ownership and voting rights and by significantly decreasing controlling shareholders' voting power. Financial tunneling is suspected when some controlling shareholders use the unification hype to sell part or all of their holdings at inflated prices. On average, the corporate governance positive valuation effects prevail, and voluntary unifications are accompanied by a statistically and economically significant increase of Tobin's Q","author":[{"dropping-particle":"","family":"Lauterbach","given":"Beni","non-dropping-particle":"","parse-names":false,"suffix":""},{"dropping-particle":"","family":"Pajuste","given":"Anete","non-dropping-particle":"","parse-names":false,"suffix":""}],"container-title":"Journal of Corporate Finance","id":"ITEM-3","issued":{"date-parts":[["2015"]]},"page":"171-185","title":"The Long-Term Valuation Effects of Voluntary Dual Class Share Unifications","type":"article-journal","volume":"31"},"uris":["http://www.mendeley.com/documents/?uuid=afd56326-56ff-476a-bcf0-50668d762215"]},{"id":"ITEM-4","itemData":{"author":[{"dropping-particle":"","family":"Solomon","given":"Dov","non-dropping-particle":"","parse-names":false,"suffix":""}],"container-title":"BYU Law Review","id":"ITEM-4","issue":"2","issued":{"date-parts":[["2020"]]},"page":"533-572","title":"The Importance of Inferior Voting Rights in Dual-Class Firms","type":"article-journal","volume":"2019"},"uris":["http://www.mendeley.com/documents/?uuid=a0950ed3-6a2f-4dd1-88a9-99611a8a66d6"]}],"mendeley":{"formattedCitation":"(Bauguess et al., 2012; Dimitrov &amp; Jain, 2006; Lauterbach &amp; Pajuste, 2015; Solomon, 2020)","plainTextFormattedCitation":"(Bauguess et al., 2012; Dimitrov &amp; Jain, 2006; Lauterbach &amp; Pajuste, 2015; Solomon, 2020)","previouslyFormattedCitation":"(Bauguess et al., 2012; Dimitrov &amp; Jain, 2006; Lauterbach &amp; Pajuste, 2015; Solomon, 2020)"},"properties":{"noteIndex":0},"schema":"https://github.com/citation-style-language/schema/raw/master/csl-citation.json"}</w:instrText>
      </w:r>
      <w:r w:rsidR="007D3589" w:rsidRPr="00B92AEC">
        <w:rPr>
          <w:rFonts w:ascii="Times New Roman" w:hAnsi="Times New Roman" w:cs="Times New Roman"/>
          <w:sz w:val="24"/>
          <w:szCs w:val="24"/>
        </w:rPr>
        <w:fldChar w:fldCharType="separate"/>
      </w:r>
      <w:r w:rsidR="00EB4603" w:rsidRPr="00B92AEC">
        <w:rPr>
          <w:rFonts w:ascii="Times New Roman" w:hAnsi="Times New Roman" w:cs="Times New Roman"/>
          <w:noProof/>
          <w:sz w:val="24"/>
          <w:szCs w:val="24"/>
        </w:rPr>
        <w:t>(Bauguess et al., 2012; Dimitrov &amp; Jain, 2006; Lauterbach &amp; Pajuste, 2015; Solomon, 2020)</w:t>
      </w:r>
      <w:r w:rsidR="007D3589" w:rsidRPr="00B92AEC">
        <w:rPr>
          <w:rFonts w:ascii="Times New Roman" w:hAnsi="Times New Roman" w:cs="Times New Roman"/>
          <w:sz w:val="24"/>
          <w:szCs w:val="24"/>
        </w:rPr>
        <w:fldChar w:fldCharType="end"/>
      </w:r>
      <w:r w:rsidRPr="00B92AEC">
        <w:rPr>
          <w:rFonts w:ascii="Times New Roman" w:hAnsi="Times New Roman" w:cs="Times New Roman"/>
          <w:sz w:val="24"/>
          <w:szCs w:val="24"/>
        </w:rPr>
        <w:t>, there is little research focusing on the size of the wedge and its implications</w:t>
      </w:r>
      <w:r w:rsidR="00035A13" w:rsidRPr="00B92AEC">
        <w:rPr>
          <w:rFonts w:ascii="Times New Roman" w:hAnsi="Times New Roman" w:cs="Times New Roman"/>
          <w:sz w:val="24"/>
          <w:szCs w:val="24"/>
        </w:rPr>
        <w:t xml:space="preserve">. </w:t>
      </w:r>
      <w:r w:rsidR="001911B7" w:rsidRPr="00F84BAA">
        <w:rPr>
          <w:rFonts w:ascii="Times New Roman" w:hAnsi="Times New Roman" w:cs="Times New Roman"/>
          <w:sz w:val="24"/>
          <w:szCs w:val="24"/>
        </w:rPr>
        <w:fldChar w:fldCharType="begin" w:fldLock="1"/>
      </w:r>
      <w:r w:rsidR="00FE2730">
        <w:rPr>
          <w:rFonts w:ascii="Times New Roman" w:hAnsi="Times New Roman" w:cs="Times New Roman"/>
          <w:sz w:val="24"/>
          <w:szCs w:val="24"/>
        </w:rPr>
        <w:instrText>ADDIN CSL_CITATION {"citationItems":[{"id":"ITEM-1","itemData":{"author":[{"dropping-particle":"","family":"Claessens","given":"Stijn","non-dropping-particle":"","parse-names":false,"suffix":""},{"dropping-particle":"","family":"Djankov","given":"Simeon","non-dropping-particle":"","parse-names":false,"suffix":""},{"dropping-particle":"","family":"Fan","given":"Joseph P.H.","non-dropping-particle":"","parse-names":false,"suffix":""},{"dropping-particle":"","family":"Lang","given":"Larry H. P.","non-dropping-particle":"","parse-names":false,"suffix":""}],"container-title":"The Journal of Finance","id":"ITEM-1","issue":"6","issued":{"date-parts":[["2002"]]},"page":"2741-2771","title":"Disentangling the Incentive and Entrenchment Effects of Large Shareholdings","type":"article-journal","volume":"57"},"uris":["http://www.mendeley.com/documents/?uuid=aa0ec23b-d2a8-4baf-8360-166ac277a8c4"]}],"mendeley":{"formattedCitation":"(Claessens et al., 2002)","manualFormatting":"Claessens et al. (2002)","plainTextFormattedCitation":"(Claessens et al., 2002)","previouslyFormattedCitation":"(Claessens et al., 2002)"},"properties":{"noteIndex":0},"schema":"https://github.com/citation-style-language/schema/raw/master/csl-citation.json"}</w:instrText>
      </w:r>
      <w:r w:rsidR="001911B7" w:rsidRPr="00F84BAA">
        <w:rPr>
          <w:rFonts w:ascii="Times New Roman" w:hAnsi="Times New Roman" w:cs="Times New Roman"/>
          <w:sz w:val="24"/>
          <w:szCs w:val="24"/>
        </w:rPr>
        <w:fldChar w:fldCharType="separate"/>
      </w:r>
      <w:r w:rsidR="001911B7" w:rsidRPr="00F84BAA">
        <w:rPr>
          <w:rFonts w:ascii="Times New Roman" w:hAnsi="Times New Roman" w:cs="Times New Roman"/>
          <w:noProof/>
          <w:sz w:val="24"/>
          <w:szCs w:val="24"/>
        </w:rPr>
        <w:t>Claessens et al. (2002)</w:t>
      </w:r>
      <w:r w:rsidR="001911B7" w:rsidRPr="00F84BAA">
        <w:rPr>
          <w:rFonts w:ascii="Times New Roman" w:hAnsi="Times New Roman" w:cs="Times New Roman"/>
          <w:sz w:val="24"/>
          <w:szCs w:val="24"/>
        </w:rPr>
        <w:fldChar w:fldCharType="end"/>
      </w:r>
      <w:r w:rsidR="001911B7" w:rsidRPr="00F84BAA">
        <w:rPr>
          <w:rFonts w:ascii="Times New Roman" w:hAnsi="Times New Roman" w:cs="Times New Roman"/>
          <w:sz w:val="24"/>
          <w:szCs w:val="24"/>
        </w:rPr>
        <w:t xml:space="preserve"> study 1301 companies from eight East Asian economies to examine the impact on firm value of dual-class shares, pyramid structures, and </w:t>
      </w:r>
      <w:r w:rsidR="007A6D14" w:rsidRPr="00F84BAA">
        <w:rPr>
          <w:rFonts w:ascii="Times New Roman" w:hAnsi="Times New Roman" w:cs="Times New Roman"/>
          <w:sz w:val="24"/>
          <w:szCs w:val="24"/>
        </w:rPr>
        <w:t>crossholdings</w:t>
      </w:r>
      <w:r w:rsidR="001911B7" w:rsidRPr="00F84BAA">
        <w:rPr>
          <w:rFonts w:ascii="Times New Roman" w:hAnsi="Times New Roman" w:cs="Times New Roman"/>
          <w:sz w:val="24"/>
          <w:szCs w:val="24"/>
        </w:rPr>
        <w:t xml:space="preserve"> among companies. They find that firm value increases with the cash flow rights of the largest shareholder but decreases when voting rights exceed cash flow rights and that the value discount generally increases in line with the size of the wedge between voting and cash flow rights.</w:t>
      </w:r>
    </w:p>
    <w:p w14:paraId="78824307" w14:textId="1255946B" w:rsidR="00AB5FF8" w:rsidRDefault="00AB5FF8" w:rsidP="00AB5FF8">
      <w:pPr>
        <w:bidi w:val="0"/>
        <w:spacing w:after="0" w:line="480" w:lineRule="auto"/>
        <w:ind w:firstLine="720"/>
        <w:jc w:val="both"/>
        <w:rPr>
          <w:rFonts w:ascii="Times New Roman" w:hAnsi="Times New Roman" w:cs="Times New Roman"/>
          <w:sz w:val="24"/>
          <w:szCs w:val="24"/>
        </w:rPr>
      </w:pPr>
      <w:r w:rsidRPr="002716BB">
        <w:rPr>
          <w:rFonts w:ascii="Times New Roman" w:hAnsi="Times New Roman" w:cs="Times New Roman"/>
          <w:sz w:val="24"/>
          <w:szCs w:val="24"/>
        </w:rPr>
        <w:t>Based on an analysis of a comprehensive list of dual-class firms</w:t>
      </w:r>
      <w:r w:rsidRPr="00706A36">
        <w:rPr>
          <w:rFonts w:ascii="Times New Roman" w:hAnsi="Times New Roman" w:cs="Times New Roman"/>
          <w:sz w:val="24"/>
          <w:szCs w:val="24"/>
        </w:rPr>
        <w:t xml:space="preserve"> </w:t>
      </w:r>
      <w:r w:rsidRPr="006E4409">
        <w:rPr>
          <w:rFonts w:ascii="Times New Roman" w:hAnsi="Times New Roman" w:cs="Times New Roman"/>
          <w:sz w:val="24"/>
          <w:szCs w:val="24"/>
        </w:rPr>
        <w:t>in the United States</w:t>
      </w:r>
      <w:r w:rsidRPr="002716BB">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FE2730">
        <w:rPr>
          <w:rFonts w:ascii="Times New Roman" w:hAnsi="Times New Roman" w:cs="Times New Roman"/>
          <w:sz w:val="24"/>
          <w:szCs w:val="24"/>
        </w:rPr>
        <w:instrText>ADDIN CSL_CITATION {"citationItems":[{"id":"ITEM-1","itemData":{"author":[{"dropping-particle":"","family":"Masulis","given":"Ronald W.","non-dropping-particle":"","parse-names":false,"suffix":""},{"dropping-particle":"","family":"Wang","given":"Cong","non-dropping-particle":"","parse-names":false,"suffix":""},{"dropping-particle":"","family":"Xie","given":"Fei","non-dropping-particle":"","parse-names":false,"suffix":""}],"container-title":"The Journal of Finance","id":"ITEM-1","issue":"4","issued":{"date-parts":[["2009"]]},"page":"1697-1727","title":"Agency Problems at Dual-Class Companies","type":"article-journal","volume":"64"},"uris":["http://www.mendeley.com/documents/?uuid=0ad2c89d-c7e5-49ae-b1ab-ffbda3291435"]}],"mendeley":{"formattedCitation":"(Masulis et al., 2009)","manualFormatting":"Masulis et al. (2009)","plainTextFormattedCitation":"(Masulis et al., 2009)","previouslyFormattedCitation":"(Masulis et al., 2009)"},"properties":{"noteIndex":0},"schema":"https://github.com/citation-style-language/schema/raw/master/csl-citation.json"}</w:instrText>
      </w:r>
      <w:r>
        <w:rPr>
          <w:rFonts w:ascii="Times New Roman" w:hAnsi="Times New Roman" w:cs="Times New Roman"/>
          <w:sz w:val="24"/>
          <w:szCs w:val="24"/>
        </w:rPr>
        <w:fldChar w:fldCharType="separate"/>
      </w:r>
      <w:r w:rsidRPr="00E60CFE">
        <w:rPr>
          <w:rFonts w:ascii="Times New Roman" w:hAnsi="Times New Roman" w:cs="Times New Roman"/>
          <w:noProof/>
          <w:sz w:val="24"/>
          <w:szCs w:val="24"/>
        </w:rPr>
        <w:t>Masulis</w:t>
      </w:r>
      <w:r w:rsidR="006639C0" w:rsidRPr="006639C0">
        <w:rPr>
          <w:rFonts w:ascii="Times New Roman" w:hAnsi="Times New Roman" w:cs="Times New Roman"/>
          <w:noProof/>
          <w:sz w:val="24"/>
          <w:szCs w:val="24"/>
        </w:rPr>
        <w:t xml:space="preserve"> </w:t>
      </w:r>
      <w:r w:rsidR="006639C0" w:rsidRPr="00F84BAA">
        <w:rPr>
          <w:rFonts w:ascii="Times New Roman" w:hAnsi="Times New Roman" w:cs="Times New Roman"/>
          <w:noProof/>
          <w:sz w:val="24"/>
          <w:szCs w:val="24"/>
        </w:rPr>
        <w:t>et al.</w:t>
      </w:r>
      <w:r w:rsidRPr="00E60CFE">
        <w:rPr>
          <w:rFonts w:ascii="Times New Roman" w:hAnsi="Times New Roman" w:cs="Times New Roman"/>
          <w:noProof/>
          <w:sz w:val="24"/>
          <w:szCs w:val="24"/>
        </w:rPr>
        <w:t xml:space="preserve"> </w:t>
      </w:r>
      <w:r>
        <w:rPr>
          <w:rFonts w:ascii="Times New Roman" w:hAnsi="Times New Roman" w:cs="Times New Roman"/>
          <w:noProof/>
          <w:sz w:val="24"/>
          <w:szCs w:val="24"/>
        </w:rPr>
        <w:t>(</w:t>
      </w:r>
      <w:r w:rsidRPr="00E60CFE">
        <w:rPr>
          <w:rFonts w:ascii="Times New Roman" w:hAnsi="Times New Roman" w:cs="Times New Roman"/>
          <w:noProof/>
          <w:sz w:val="24"/>
          <w:szCs w:val="24"/>
        </w:rPr>
        <w:t>2009)</w:t>
      </w:r>
      <w:r>
        <w:rPr>
          <w:rFonts w:ascii="Times New Roman" w:hAnsi="Times New Roman" w:cs="Times New Roman"/>
          <w:sz w:val="24"/>
          <w:szCs w:val="24"/>
        </w:rPr>
        <w:fldChar w:fldCharType="end"/>
      </w:r>
      <w:r w:rsidRPr="00D13231">
        <w:rPr>
          <w:rFonts w:ascii="Times New Roman" w:hAnsi="Times New Roman" w:cs="Times New Roman"/>
          <w:sz w:val="24"/>
          <w:szCs w:val="24"/>
        </w:rPr>
        <w:t xml:space="preserve"> </w:t>
      </w:r>
      <w:r w:rsidRPr="006E4409">
        <w:rPr>
          <w:rFonts w:ascii="Times New Roman" w:hAnsi="Times New Roman" w:cs="Times New Roman"/>
          <w:sz w:val="24"/>
          <w:szCs w:val="24"/>
        </w:rPr>
        <w:t xml:space="preserve">examine </w:t>
      </w:r>
      <w:r w:rsidRPr="00D13231">
        <w:rPr>
          <w:rFonts w:ascii="Times New Roman" w:hAnsi="Times New Roman" w:cs="Times New Roman"/>
          <w:sz w:val="24"/>
          <w:szCs w:val="24"/>
        </w:rPr>
        <w:t xml:space="preserve">how the gap between insider voting and cash flow rights impacts the extraction of private benefits of control. They find that as the gap widens, corporate cash holdings become worthless to outside shareholders, CEOs receive </w:t>
      </w:r>
      <w:r w:rsidRPr="006E4409">
        <w:rPr>
          <w:rFonts w:ascii="Times New Roman" w:hAnsi="Times New Roman" w:cs="Times New Roman"/>
          <w:sz w:val="24"/>
          <w:szCs w:val="24"/>
        </w:rPr>
        <w:t xml:space="preserve">higher levels of </w:t>
      </w:r>
      <w:r w:rsidRPr="00D13231">
        <w:rPr>
          <w:rFonts w:ascii="Times New Roman" w:hAnsi="Times New Roman" w:cs="Times New Roman"/>
          <w:sz w:val="24"/>
          <w:szCs w:val="24"/>
        </w:rPr>
        <w:t>compensation, insiders are more likely to make value</w:t>
      </w:r>
      <w:r w:rsidRPr="00D13231">
        <w:rPr>
          <w:rFonts w:ascii="Times New Roman" w:hAnsi="Times New Roman" w:cs="Times New Roman"/>
          <w:sz w:val="24"/>
          <w:szCs w:val="24"/>
          <w:lang w:val="da-DK"/>
        </w:rPr>
        <w:t>-</w:t>
      </w:r>
      <w:r w:rsidRPr="00D13231">
        <w:rPr>
          <w:rFonts w:ascii="Times New Roman" w:hAnsi="Times New Roman" w:cs="Times New Roman"/>
          <w:sz w:val="24"/>
          <w:szCs w:val="24"/>
        </w:rPr>
        <w:t>destroying acquisitions, and capital expenditures make a lower contribution to firm value.</w:t>
      </w:r>
      <w:r w:rsidRPr="00633E7A">
        <w:rPr>
          <w:rFonts w:asciiTheme="majorBidi" w:eastAsia="Times New Roman" w:hAnsiTheme="majorBidi" w:cs="Times New Roman"/>
          <w:sz w:val="24"/>
          <w:szCs w:val="24"/>
        </w:rPr>
        <w:t xml:space="preserve"> </w:t>
      </w:r>
      <w:r w:rsidRPr="00D13231">
        <w:rPr>
          <w:rFonts w:ascii="Times New Roman" w:hAnsi="Times New Roman" w:cs="Times New Roman"/>
          <w:sz w:val="24"/>
          <w:szCs w:val="24"/>
        </w:rPr>
        <w:t>Using the same dataset,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FE2730">
        <w:rPr>
          <w:rFonts w:ascii="Times New Roman" w:hAnsi="Times New Roman" w:cs="Times New Roman"/>
          <w:sz w:val="24"/>
          <w:szCs w:val="24"/>
        </w:rPr>
        <w:instrText>ADDIN CSL_CITATION {"citationItems":[{"id":"ITEM-1","itemData":{"author":[{"dropping-particle":"","family":"Gompers","given":"Paul A.","non-dropping-particle":"","parse-names":false,"suffix":""},{"dropping-particle":"","family":"Ishii","given":"Joy","non-dropping-particle":"","parse-names":false,"suffix":""},{"dropping-particle":"","family":"Metrick","given":"Andrew","non-dropping-particle":"","parse-names":false,"suffix":""}],"container-title":"Review of Financial Studies","id":"ITEM-1","issue":"3","issued":{"date-parts":[["2010"]]},"page":"1051-1088","title":"Extreme Governance: An Analysis of Dual-Class Firms in the United States","type":"article-journal","volume":"23"},"uris":["http://www.mendeley.com/documents/?uuid=e150da52-bcd4-4c06-b7eb-a16757192d3b"]}],"mendeley":{"formattedCitation":"(Gompers et al., 2010)","manualFormatting":"Gompers et al. (2010)","plainTextFormattedCitation":"(Gompers et al., 2010)","previouslyFormattedCitation":"(Gompers et al., 2010)"},"properties":{"noteIndex":0},"schema":"https://github.com/citation-style-language/schema/raw/master/csl-citation.json"}</w:instrText>
      </w:r>
      <w:r>
        <w:rPr>
          <w:rFonts w:ascii="Times New Roman" w:hAnsi="Times New Roman" w:cs="Times New Roman"/>
          <w:sz w:val="24"/>
          <w:szCs w:val="24"/>
        </w:rPr>
        <w:fldChar w:fldCharType="separate"/>
      </w:r>
      <w:r w:rsidRPr="00E60CFE">
        <w:rPr>
          <w:rFonts w:ascii="Times New Roman" w:hAnsi="Times New Roman" w:cs="Times New Roman"/>
          <w:noProof/>
          <w:sz w:val="24"/>
          <w:szCs w:val="24"/>
        </w:rPr>
        <w:t>Gompers</w:t>
      </w:r>
      <w:r w:rsidR="00A117ED" w:rsidRPr="00A117ED">
        <w:rPr>
          <w:rFonts w:ascii="Times New Roman" w:hAnsi="Times New Roman" w:cs="Times New Roman"/>
          <w:noProof/>
          <w:sz w:val="24"/>
          <w:szCs w:val="24"/>
        </w:rPr>
        <w:t xml:space="preserve"> </w:t>
      </w:r>
      <w:r w:rsidR="00A117ED" w:rsidRPr="00F84BAA">
        <w:rPr>
          <w:rFonts w:ascii="Times New Roman" w:hAnsi="Times New Roman" w:cs="Times New Roman"/>
          <w:noProof/>
          <w:sz w:val="24"/>
          <w:szCs w:val="24"/>
        </w:rPr>
        <w:t>et al.</w:t>
      </w:r>
      <w:r w:rsidRPr="00E60CFE">
        <w:rPr>
          <w:rFonts w:ascii="Times New Roman" w:hAnsi="Times New Roman" w:cs="Times New Roman"/>
          <w:noProof/>
          <w:sz w:val="24"/>
          <w:szCs w:val="24"/>
        </w:rPr>
        <w:t xml:space="preserve"> </w:t>
      </w:r>
      <w:r>
        <w:rPr>
          <w:rFonts w:ascii="Times New Roman" w:hAnsi="Times New Roman" w:cs="Times New Roman"/>
          <w:noProof/>
          <w:sz w:val="24"/>
          <w:szCs w:val="24"/>
        </w:rPr>
        <w:t>(</w:t>
      </w:r>
      <w:r w:rsidRPr="00E60CFE">
        <w:rPr>
          <w:rFonts w:ascii="Times New Roman" w:hAnsi="Times New Roman" w:cs="Times New Roman"/>
          <w:noProof/>
          <w:sz w:val="24"/>
          <w:szCs w:val="24"/>
        </w:rPr>
        <w:t>2010)</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716BB">
        <w:rPr>
          <w:rFonts w:ascii="Times New Roman" w:hAnsi="Times New Roman" w:cs="Times New Roman"/>
          <w:sz w:val="24"/>
          <w:szCs w:val="24"/>
        </w:rPr>
        <w:t xml:space="preserve">find </w:t>
      </w:r>
      <w:r w:rsidRPr="006E4409">
        <w:rPr>
          <w:rFonts w:ascii="Times New Roman" w:hAnsi="Times New Roman" w:cs="Times New Roman"/>
          <w:sz w:val="24"/>
          <w:szCs w:val="24"/>
        </w:rPr>
        <w:t>evidence that firm value is positively associated with insiders’ cash</w:t>
      </w:r>
      <w:r>
        <w:rPr>
          <w:rFonts w:ascii="Times New Roman" w:hAnsi="Times New Roman" w:cs="Times New Roman"/>
          <w:sz w:val="24"/>
          <w:szCs w:val="24"/>
        </w:rPr>
        <w:t xml:space="preserve"> </w:t>
      </w:r>
      <w:r w:rsidRPr="006E4409">
        <w:rPr>
          <w:rFonts w:ascii="Times New Roman" w:hAnsi="Times New Roman" w:cs="Times New Roman"/>
          <w:sz w:val="24"/>
          <w:szCs w:val="24"/>
        </w:rPr>
        <w:t xml:space="preserve">flow rights and negatively associated with insiders’ voting rights. </w:t>
      </w:r>
      <w:r w:rsidRPr="002716BB">
        <w:rPr>
          <w:rFonts w:ascii="Times New Roman" w:hAnsi="Times New Roman" w:cs="Times New Roman"/>
          <w:sz w:val="24"/>
          <w:szCs w:val="24"/>
        </w:rPr>
        <w:t xml:space="preserve">Furthermore, </w:t>
      </w:r>
      <w:r w:rsidRPr="006E4409">
        <w:rPr>
          <w:rFonts w:ascii="Times New Roman" w:hAnsi="Times New Roman" w:cs="Times New Roman"/>
          <w:sz w:val="24"/>
          <w:szCs w:val="24"/>
        </w:rPr>
        <w:t>the larger the wedge between the insiders’ voting rights and cash</w:t>
      </w:r>
      <w:r>
        <w:rPr>
          <w:rFonts w:ascii="Times New Roman" w:hAnsi="Times New Roman" w:cs="Times New Roman"/>
          <w:sz w:val="24"/>
          <w:szCs w:val="24"/>
        </w:rPr>
        <w:t xml:space="preserve"> </w:t>
      </w:r>
      <w:r w:rsidRPr="006E4409">
        <w:rPr>
          <w:rFonts w:ascii="Times New Roman" w:hAnsi="Times New Roman" w:cs="Times New Roman"/>
          <w:sz w:val="24"/>
          <w:szCs w:val="24"/>
        </w:rPr>
        <w:t xml:space="preserve">flow rights, the greater the reduction in firm value. </w:t>
      </w:r>
      <w:r>
        <w:rPr>
          <w:rFonts w:ascii="Times New Roman" w:hAnsi="Times New Roman" w:cs="Times New Roman"/>
          <w:sz w:val="24"/>
          <w:szCs w:val="24"/>
        </w:rPr>
        <w:t>T</w:t>
      </w:r>
      <w:r w:rsidRPr="00633E7A">
        <w:rPr>
          <w:rFonts w:ascii="Times New Roman" w:hAnsi="Times New Roman" w:cs="Times New Roman"/>
          <w:sz w:val="24"/>
          <w:szCs w:val="24"/>
        </w:rPr>
        <w:t xml:space="preserve">hese </w:t>
      </w:r>
      <w:r>
        <w:rPr>
          <w:rFonts w:ascii="Times New Roman" w:hAnsi="Times New Roman" w:cs="Times New Roman"/>
          <w:sz w:val="24"/>
          <w:szCs w:val="24"/>
        </w:rPr>
        <w:t>studies</w:t>
      </w:r>
      <w:r w:rsidRPr="00633E7A">
        <w:rPr>
          <w:rFonts w:ascii="Times New Roman" w:hAnsi="Times New Roman" w:cs="Times New Roman"/>
          <w:sz w:val="24"/>
          <w:szCs w:val="24"/>
        </w:rPr>
        <w:t xml:space="preserve"> </w:t>
      </w:r>
      <w:r w:rsidRPr="006E4409">
        <w:rPr>
          <w:rFonts w:ascii="Times New Roman" w:hAnsi="Times New Roman" w:cs="Times New Roman"/>
          <w:sz w:val="24"/>
          <w:szCs w:val="24"/>
        </w:rPr>
        <w:t xml:space="preserve">support </w:t>
      </w:r>
      <w:r w:rsidRPr="00633E7A">
        <w:rPr>
          <w:rFonts w:ascii="Times New Roman" w:hAnsi="Times New Roman" w:cs="Times New Roman"/>
          <w:sz w:val="24"/>
          <w:szCs w:val="24"/>
        </w:rPr>
        <w:t xml:space="preserve">the agency hypothesis that insiders endowed with voting rights </w:t>
      </w:r>
      <w:proofErr w:type="gramStart"/>
      <w:r w:rsidRPr="00633E7A">
        <w:rPr>
          <w:rFonts w:ascii="Times New Roman" w:hAnsi="Times New Roman" w:cs="Times New Roman"/>
          <w:sz w:val="24"/>
          <w:szCs w:val="24"/>
        </w:rPr>
        <w:t>in excess of</w:t>
      </w:r>
      <w:proofErr w:type="gramEnd"/>
      <w:r w:rsidRPr="00633E7A">
        <w:rPr>
          <w:rFonts w:ascii="Times New Roman" w:hAnsi="Times New Roman" w:cs="Times New Roman"/>
          <w:sz w:val="24"/>
          <w:szCs w:val="24"/>
        </w:rPr>
        <w:t xml:space="preserve"> their cash flow rights are more </w:t>
      </w:r>
      <w:r w:rsidRPr="006E4409">
        <w:rPr>
          <w:rFonts w:ascii="Times New Roman" w:hAnsi="Times New Roman" w:cs="Times New Roman"/>
          <w:sz w:val="24"/>
          <w:szCs w:val="24"/>
        </w:rPr>
        <w:t xml:space="preserve">prone to pursue </w:t>
      </w:r>
      <w:r w:rsidRPr="00633E7A">
        <w:rPr>
          <w:rFonts w:ascii="Times New Roman" w:hAnsi="Times New Roman" w:cs="Times New Roman"/>
          <w:sz w:val="24"/>
          <w:szCs w:val="24"/>
        </w:rPr>
        <w:t xml:space="preserve">private benefits at the expense of outside shareholders. Moreover, they explain why firm value </w:t>
      </w:r>
      <w:r w:rsidRPr="006E4409">
        <w:rPr>
          <w:rFonts w:ascii="Times New Roman" w:hAnsi="Times New Roman" w:cs="Times New Roman"/>
          <w:sz w:val="24"/>
          <w:szCs w:val="24"/>
        </w:rPr>
        <w:t xml:space="preserve">decreases </w:t>
      </w:r>
      <w:r w:rsidRPr="00633E7A">
        <w:rPr>
          <w:rFonts w:ascii="Times New Roman" w:hAnsi="Times New Roman" w:cs="Times New Roman"/>
          <w:sz w:val="24"/>
          <w:szCs w:val="24"/>
        </w:rPr>
        <w:t>as insiders’ ratio of voting rights to cash flow rights increases.</w:t>
      </w:r>
    </w:p>
    <w:p w14:paraId="385255CF" w14:textId="7C2FB03D" w:rsidR="00AB5FF8" w:rsidRDefault="00AB5FF8" w:rsidP="00AB5FF8">
      <w:pPr>
        <w:bidi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vertAlign w:val="superscript"/>
        </w:rPr>
        <w:lastRenderedPageBreak/>
        <w:fldChar w:fldCharType="begin" w:fldLock="1"/>
      </w:r>
      <w:r w:rsidR="00FE2730">
        <w:rPr>
          <w:rFonts w:ascii="Times New Roman" w:hAnsi="Times New Roman" w:cs="Times New Roman"/>
          <w:sz w:val="24"/>
          <w:szCs w:val="24"/>
          <w:vertAlign w:val="superscript"/>
        </w:rPr>
        <w:instrText>ADDIN CSL_CITATION {"citationItems":[{"id":"ITEM-1","itemData":{"DOI":"10.2139/ssrn.3128375","abstract":"This Article contributes to the long-standing and heated debate over dual-class companies by placing a spotlight on a significant set of dual-class companies whose structures raise especially severe governance concerns: those with controllers holding a small minority of the company’s equity capital. Such small-minority controllers dominate some of the country’s largest companies, and we show that their numbers can be expected to grow. We begin by analyzing the perils of small-minority controllers, explaining how they generate considerable governance costs and risks and showing how these costs can be expected to escalate as the controller’s stake decreases. We then identify the mechanisms that enable such controllers to retain their power despite holding a small or even a tiny minority of the company’s equity capital. Based on a hand-collected analysis of governance documents of these companies, we present novel empirical evidence on the current incidence and potential growth of small-minority and tiny-minority controllers. Among other things, we show that governance arrangements at a substantial majority of dual-class companies enable the controller to reduce his equity stake to below 10% and still retain a lock on control, and a sizable fraction of such companies enable retaining control with less than a 5% stake. Finally, we examine the considerable policy implications that arise from recognizing the perils of small-minority controllers. We first discuss disclosures necessary to make transparent to investors the extent to which arrangements enable controllers to reduce their stake without forgoing control. We then identify and examine measures that public officials or institutional investors could take to ensure that controllers maintain a minimum fraction of equity capital; to provide public investors with extra protections in the presence of small-minority controllers; or to screen midstream changes that can introduce or increase the costs of small-minority controllers.","author":[{"dropping-particle":"","family":"Bebchuk","given":"Lucian A.","non-dropping-particle":"","parse-names":false,"suffix":""},{"dropping-particle":"","family":"Kastiel","given":"Kobi","non-dropping-particle":"","parse-names":false,"suffix":""}],"container-title":"Georgetown Law Journal","id":"ITEM-1","issued":{"date-parts":[["2019"]]},"page":"1453-1514","title":"The Perils of Small-Minority Controllers","type":"article-journal","volume":"107"},"uris":["http://www.mendeley.com/documents/?uuid=9d95e375-fbb0-4761-a21e-55c89dd2c31a"]}],"mendeley":{"formattedCitation":"(Bebchuk &amp; Kastiel, 2019)","manualFormatting":"Bebchuk and Kastiel (2019)","plainTextFormattedCitation":"(Bebchuk &amp; Kastiel, 2019)","previouslyFormattedCitation":"(Bebchuk &amp; Kastiel, 2019)"},"properties":{"noteIndex":0},"schema":"https://github.com/citation-style-language/schema/raw/master/csl-citation.json"}</w:instrText>
      </w:r>
      <w:r>
        <w:rPr>
          <w:rFonts w:ascii="Times New Roman" w:hAnsi="Times New Roman" w:cs="Times New Roman"/>
          <w:sz w:val="24"/>
          <w:szCs w:val="24"/>
          <w:vertAlign w:val="superscript"/>
        </w:rPr>
        <w:fldChar w:fldCharType="separate"/>
      </w:r>
      <w:r w:rsidRPr="001935F4">
        <w:rPr>
          <w:rFonts w:ascii="Times New Roman" w:hAnsi="Times New Roman" w:cs="Times New Roman"/>
          <w:noProof/>
          <w:sz w:val="24"/>
          <w:szCs w:val="24"/>
        </w:rPr>
        <w:t xml:space="preserve">Bebchuk and Kastiel </w:t>
      </w:r>
      <w:r>
        <w:rPr>
          <w:rFonts w:ascii="Times New Roman" w:hAnsi="Times New Roman" w:cs="Times New Roman"/>
          <w:noProof/>
          <w:sz w:val="24"/>
          <w:szCs w:val="24"/>
        </w:rPr>
        <w:t>(</w:t>
      </w:r>
      <w:r w:rsidRPr="001935F4">
        <w:rPr>
          <w:rFonts w:ascii="Times New Roman" w:hAnsi="Times New Roman" w:cs="Times New Roman"/>
          <w:noProof/>
          <w:sz w:val="24"/>
          <w:szCs w:val="24"/>
        </w:rPr>
        <w:t>2019)</w:t>
      </w:r>
      <w:r>
        <w:rPr>
          <w:rFonts w:ascii="Times New Roman" w:hAnsi="Times New Roman" w:cs="Times New Roman"/>
          <w:sz w:val="24"/>
          <w:szCs w:val="24"/>
          <w:vertAlign w:val="superscript"/>
        </w:rPr>
        <w:fldChar w:fldCharType="end"/>
      </w:r>
      <w:r w:rsidRPr="00F22D5D">
        <w:t xml:space="preserve"> </w:t>
      </w:r>
      <w:r w:rsidRPr="00F22D5D">
        <w:rPr>
          <w:rFonts w:ascii="Times New Roman" w:hAnsi="Times New Roman" w:cs="Times New Roman"/>
          <w:sz w:val="24"/>
          <w:szCs w:val="24"/>
        </w:rPr>
        <w:t>analyz</w:t>
      </w:r>
      <w:r>
        <w:rPr>
          <w:rFonts w:ascii="Times New Roman" w:hAnsi="Times New Roman" w:cs="Times New Roman"/>
          <w:sz w:val="24"/>
          <w:szCs w:val="24"/>
        </w:rPr>
        <w:t>e</w:t>
      </w:r>
      <w:r w:rsidRPr="00F22D5D">
        <w:rPr>
          <w:rFonts w:ascii="Times New Roman" w:hAnsi="Times New Roman" w:cs="Times New Roman"/>
          <w:sz w:val="24"/>
          <w:szCs w:val="24"/>
        </w:rPr>
        <w:t xml:space="preserve"> the perils of </w:t>
      </w:r>
      <w:r>
        <w:rPr>
          <w:rFonts w:ascii="Times New Roman" w:hAnsi="Times New Roman" w:cs="Times New Roman"/>
          <w:sz w:val="24"/>
          <w:szCs w:val="24"/>
        </w:rPr>
        <w:t xml:space="preserve">the wedge </w:t>
      </w:r>
      <w:r w:rsidRPr="006E4409">
        <w:rPr>
          <w:rFonts w:ascii="Times New Roman" w:hAnsi="Times New Roman" w:cs="Times New Roman"/>
          <w:sz w:val="24"/>
          <w:szCs w:val="24"/>
        </w:rPr>
        <w:t xml:space="preserve">between the </w:t>
      </w:r>
      <w:r w:rsidRPr="00F22D5D">
        <w:rPr>
          <w:rFonts w:ascii="Times New Roman" w:hAnsi="Times New Roman" w:cs="Times New Roman"/>
          <w:sz w:val="24"/>
          <w:szCs w:val="24"/>
        </w:rPr>
        <w:t>controller’s</w:t>
      </w:r>
      <w:r>
        <w:rPr>
          <w:rFonts w:ascii="Times New Roman" w:hAnsi="Times New Roman" w:cs="Times New Roman"/>
          <w:sz w:val="24"/>
          <w:szCs w:val="24"/>
        </w:rPr>
        <w:t xml:space="preserve"> </w:t>
      </w:r>
      <w:r w:rsidRPr="006E4409">
        <w:rPr>
          <w:rFonts w:ascii="Times New Roman" w:hAnsi="Times New Roman" w:cs="Times New Roman"/>
          <w:sz w:val="24"/>
          <w:szCs w:val="24"/>
        </w:rPr>
        <w:t>voting rights and cash</w:t>
      </w:r>
      <w:r>
        <w:rPr>
          <w:rFonts w:ascii="Times New Roman" w:hAnsi="Times New Roman" w:cs="Times New Roman"/>
          <w:sz w:val="24"/>
          <w:szCs w:val="24"/>
        </w:rPr>
        <w:t xml:space="preserve"> </w:t>
      </w:r>
      <w:r w:rsidRPr="006E4409">
        <w:rPr>
          <w:rFonts w:ascii="Times New Roman" w:hAnsi="Times New Roman" w:cs="Times New Roman"/>
          <w:sz w:val="24"/>
          <w:szCs w:val="24"/>
        </w:rPr>
        <w:t>flow rights</w:t>
      </w:r>
      <w:r>
        <w:rPr>
          <w:rFonts w:ascii="Times New Roman" w:hAnsi="Times New Roman" w:cs="Times New Roman"/>
          <w:sz w:val="24"/>
          <w:szCs w:val="24"/>
        </w:rPr>
        <w:t>, e</w:t>
      </w:r>
      <w:r w:rsidRPr="00F22D5D">
        <w:rPr>
          <w:rFonts w:ascii="Times New Roman" w:hAnsi="Times New Roman" w:cs="Times New Roman"/>
          <w:sz w:val="24"/>
          <w:szCs w:val="24"/>
        </w:rPr>
        <w:t xml:space="preserve">xplain how </w:t>
      </w:r>
      <w:r>
        <w:rPr>
          <w:rFonts w:ascii="Times New Roman" w:hAnsi="Times New Roman" w:cs="Times New Roman"/>
          <w:sz w:val="24"/>
          <w:szCs w:val="24"/>
        </w:rPr>
        <w:t xml:space="preserve">it </w:t>
      </w:r>
      <w:r w:rsidRPr="00F22D5D">
        <w:rPr>
          <w:rFonts w:ascii="Times New Roman" w:hAnsi="Times New Roman" w:cs="Times New Roman"/>
          <w:sz w:val="24"/>
          <w:szCs w:val="24"/>
        </w:rPr>
        <w:t>generate</w:t>
      </w:r>
      <w:r>
        <w:rPr>
          <w:rFonts w:ascii="Times New Roman" w:hAnsi="Times New Roman" w:cs="Times New Roman"/>
          <w:sz w:val="24"/>
          <w:szCs w:val="24"/>
        </w:rPr>
        <w:t>s</w:t>
      </w:r>
      <w:r w:rsidRPr="00F22D5D">
        <w:rPr>
          <w:rFonts w:ascii="Times New Roman" w:hAnsi="Times New Roman" w:cs="Times New Roman"/>
          <w:sz w:val="24"/>
          <w:szCs w:val="24"/>
        </w:rPr>
        <w:t xml:space="preserve"> considerable governance risks</w:t>
      </w:r>
      <w:r>
        <w:rPr>
          <w:rFonts w:ascii="Times New Roman" w:hAnsi="Times New Roman" w:cs="Times New Roman"/>
          <w:sz w:val="24"/>
          <w:szCs w:val="24"/>
        </w:rPr>
        <w:t xml:space="preserve"> </w:t>
      </w:r>
      <w:r w:rsidRPr="00F22D5D">
        <w:rPr>
          <w:rFonts w:ascii="Times New Roman" w:hAnsi="Times New Roman" w:cs="Times New Roman"/>
          <w:sz w:val="24"/>
          <w:szCs w:val="24"/>
        </w:rPr>
        <w:t>and costs</w:t>
      </w:r>
      <w:r>
        <w:rPr>
          <w:rFonts w:ascii="Times New Roman" w:hAnsi="Times New Roman" w:cs="Times New Roman"/>
          <w:sz w:val="24"/>
          <w:szCs w:val="24"/>
        </w:rPr>
        <w:t>,</w:t>
      </w:r>
      <w:r w:rsidRPr="00F22D5D">
        <w:rPr>
          <w:rFonts w:ascii="Times New Roman" w:hAnsi="Times New Roman" w:cs="Times New Roman"/>
          <w:sz w:val="24"/>
          <w:szCs w:val="24"/>
        </w:rPr>
        <w:t xml:space="preserve"> and show how these costs can be expected to escalate as the controller’s</w:t>
      </w:r>
      <w:r>
        <w:rPr>
          <w:rFonts w:ascii="Times New Roman" w:hAnsi="Times New Roman" w:cs="Times New Roman"/>
          <w:sz w:val="24"/>
          <w:szCs w:val="24"/>
        </w:rPr>
        <w:t xml:space="preserve"> </w:t>
      </w:r>
      <w:r w:rsidRPr="00A2091E">
        <w:rPr>
          <w:rFonts w:ascii="Times New Roman" w:hAnsi="Times New Roman" w:cs="Times New Roman"/>
          <w:sz w:val="24"/>
          <w:szCs w:val="24"/>
        </w:rPr>
        <w:t xml:space="preserve">equity </w:t>
      </w:r>
      <w:r w:rsidRPr="00F22D5D">
        <w:rPr>
          <w:rFonts w:ascii="Times New Roman" w:hAnsi="Times New Roman" w:cs="Times New Roman"/>
          <w:sz w:val="24"/>
          <w:szCs w:val="24"/>
        </w:rPr>
        <w:t>stake decreases.</w:t>
      </w:r>
      <w:r>
        <w:rPr>
          <w:rFonts w:ascii="Times New Roman" w:hAnsi="Times New Roman" w:cs="Times New Roman"/>
          <w:sz w:val="24"/>
          <w:szCs w:val="24"/>
        </w:rPr>
        <w:t xml:space="preserve"> </w:t>
      </w:r>
      <w:r w:rsidRPr="009910B2">
        <w:rPr>
          <w:rFonts w:ascii="Times New Roman" w:hAnsi="Times New Roman" w:cs="Times New Roman"/>
          <w:sz w:val="24"/>
          <w:szCs w:val="24"/>
        </w:rPr>
        <w:t>Using a hand-collected dataset of</w:t>
      </w:r>
      <w:r>
        <w:rPr>
          <w:rFonts w:ascii="Times New Roman" w:hAnsi="Times New Roman" w:cs="Times New Roman"/>
          <w:sz w:val="24"/>
          <w:szCs w:val="24"/>
        </w:rPr>
        <w:t xml:space="preserve"> </w:t>
      </w:r>
      <w:r w:rsidRPr="009910B2">
        <w:rPr>
          <w:rFonts w:ascii="Times New Roman" w:hAnsi="Times New Roman" w:cs="Times New Roman"/>
          <w:sz w:val="24"/>
          <w:szCs w:val="24"/>
        </w:rPr>
        <w:t xml:space="preserve">the governance </w:t>
      </w:r>
      <w:r w:rsidRPr="008552B0">
        <w:rPr>
          <w:rFonts w:ascii="Times New Roman" w:hAnsi="Times New Roman" w:cs="Times New Roman"/>
          <w:sz w:val="24"/>
          <w:szCs w:val="24"/>
        </w:rPr>
        <w:t xml:space="preserve">arrangements in </w:t>
      </w:r>
      <w:r>
        <w:rPr>
          <w:rFonts w:ascii="Times New Roman" w:hAnsi="Times New Roman" w:cs="Times New Roman"/>
          <w:sz w:val="24"/>
          <w:szCs w:val="24"/>
        </w:rPr>
        <w:t>U.S. dual-class firms</w:t>
      </w:r>
      <w:r w:rsidRPr="009910B2">
        <w:rPr>
          <w:rFonts w:ascii="Times New Roman" w:hAnsi="Times New Roman" w:cs="Times New Roman"/>
          <w:sz w:val="24"/>
          <w:szCs w:val="24"/>
        </w:rPr>
        <w:t xml:space="preserve">, </w:t>
      </w:r>
      <w:r>
        <w:rPr>
          <w:rFonts w:ascii="Times New Roman" w:hAnsi="Times New Roman" w:cs="Times New Roman"/>
          <w:sz w:val="24"/>
          <w:szCs w:val="24"/>
        </w:rPr>
        <w:t>they provide</w:t>
      </w:r>
      <w:r w:rsidRPr="009910B2">
        <w:rPr>
          <w:rFonts w:ascii="Times New Roman" w:hAnsi="Times New Roman" w:cs="Times New Roman"/>
          <w:sz w:val="24"/>
          <w:szCs w:val="24"/>
        </w:rPr>
        <w:t xml:space="preserve"> empirical</w:t>
      </w:r>
      <w:r>
        <w:rPr>
          <w:rFonts w:ascii="Times New Roman" w:hAnsi="Times New Roman" w:cs="Times New Roman"/>
          <w:sz w:val="24"/>
          <w:szCs w:val="24"/>
        </w:rPr>
        <w:t xml:space="preserve"> </w:t>
      </w:r>
      <w:r w:rsidRPr="009910B2">
        <w:rPr>
          <w:rFonts w:ascii="Times New Roman" w:hAnsi="Times New Roman" w:cs="Times New Roman"/>
          <w:sz w:val="24"/>
          <w:szCs w:val="24"/>
        </w:rPr>
        <w:t xml:space="preserve">evidence of the current </w:t>
      </w:r>
      <w:r>
        <w:rPr>
          <w:rFonts w:ascii="Times New Roman" w:hAnsi="Times New Roman" w:cs="Times New Roman"/>
          <w:sz w:val="24"/>
          <w:szCs w:val="24"/>
        </w:rPr>
        <w:t>size</w:t>
      </w:r>
      <w:r w:rsidRPr="009910B2">
        <w:rPr>
          <w:rFonts w:ascii="Times New Roman" w:hAnsi="Times New Roman" w:cs="Times New Roman"/>
          <w:sz w:val="24"/>
          <w:szCs w:val="24"/>
        </w:rPr>
        <w:t xml:space="preserve"> and potential growth of </w:t>
      </w:r>
      <w:r>
        <w:rPr>
          <w:rFonts w:ascii="Times New Roman" w:hAnsi="Times New Roman" w:cs="Times New Roman"/>
          <w:sz w:val="24"/>
          <w:szCs w:val="24"/>
        </w:rPr>
        <w:t xml:space="preserve">the wedge. Specifically, they </w:t>
      </w:r>
      <w:r w:rsidRPr="002A6DBB">
        <w:rPr>
          <w:rFonts w:ascii="Times New Roman" w:hAnsi="Times New Roman" w:cs="Times New Roman"/>
          <w:sz w:val="24"/>
          <w:szCs w:val="24"/>
        </w:rPr>
        <w:t xml:space="preserve">analyze the extent to which the controller at each company would be able to reduce her equity stake in the future without relinquishing control. </w:t>
      </w:r>
    </w:p>
    <w:p w14:paraId="471744CA" w14:textId="7F18D576" w:rsidR="009D6425" w:rsidRPr="008754C3" w:rsidRDefault="00917ACD" w:rsidP="003203CB">
      <w:pPr>
        <w:pStyle w:val="LSbodytext"/>
        <w:spacing w:line="480" w:lineRule="auto"/>
      </w:pPr>
      <w:r>
        <w:t>Our</w:t>
      </w:r>
      <w:r w:rsidRPr="008754C3">
        <w:t xml:space="preserve"> </w:t>
      </w:r>
      <w:r w:rsidR="009D6425" w:rsidRPr="008754C3">
        <w:t>paper seeks to fill th</w:t>
      </w:r>
      <w:r w:rsidR="004C3F90">
        <w:t>e</w:t>
      </w:r>
      <w:r w:rsidR="009D6425" w:rsidRPr="008754C3">
        <w:t xml:space="preserve"> gap in the academic literature by providing policymakers with the missing empirical and analytical framework for evaluating whether a nuanced financial regulation of dual-class firms</w:t>
      </w:r>
      <w:r w:rsidR="003F4964" w:rsidRPr="008754C3">
        <w:t xml:space="preserve"> that considers</w:t>
      </w:r>
      <w:r w:rsidR="009D6425" w:rsidRPr="008754C3">
        <w:t xml:space="preserve"> the size of the wedge would be more effective. </w:t>
      </w:r>
    </w:p>
    <w:p w14:paraId="2668A078" w14:textId="45BC5A44" w:rsidR="009E07B4" w:rsidRPr="008754C3" w:rsidRDefault="009F0D62" w:rsidP="003203CB">
      <w:pPr>
        <w:pStyle w:val="LSbodytext"/>
        <w:spacing w:line="480" w:lineRule="auto"/>
      </w:pPr>
      <w:r w:rsidRPr="008754C3">
        <w:rPr>
          <w:rFonts w:asciiTheme="majorBidi" w:hAnsiTheme="majorBidi" w:cstheme="majorBidi"/>
        </w:rPr>
        <w:t>We use a sample of dual-class firms publicly traded in the U</w:t>
      </w:r>
      <w:r w:rsidR="00EB4603" w:rsidRPr="008754C3">
        <w:rPr>
          <w:rFonts w:asciiTheme="majorBidi" w:hAnsiTheme="majorBidi" w:cstheme="majorBidi"/>
        </w:rPr>
        <w:t xml:space="preserve">.S. </w:t>
      </w:r>
      <w:r w:rsidRPr="008754C3">
        <w:rPr>
          <w:rFonts w:asciiTheme="majorBidi" w:hAnsiTheme="majorBidi" w:cstheme="majorBidi"/>
        </w:rPr>
        <w:t xml:space="preserve">between 2012 and 2019 and measure the size of the wedge for each firm each year. </w:t>
      </w:r>
      <w:bookmarkStart w:id="0" w:name="_Hlk119250037"/>
      <w:r w:rsidR="009E07B4" w:rsidRPr="008754C3">
        <w:t xml:space="preserve">The findings suggest that as the wedge </w:t>
      </w:r>
      <w:r w:rsidR="003F4964" w:rsidRPr="008754C3">
        <w:t xml:space="preserve">grows, </w:t>
      </w:r>
      <w:r w:rsidR="009E07B4" w:rsidRPr="008754C3">
        <w:t xml:space="preserve">the firms are </w:t>
      </w:r>
      <w:r w:rsidR="00AD7113" w:rsidRPr="008754C3">
        <w:rPr>
          <w:shd w:val="clear" w:color="auto" w:fill="FFFFFF"/>
        </w:rPr>
        <w:t>“</w:t>
      </w:r>
      <w:r w:rsidR="009E07B4" w:rsidRPr="008754C3">
        <w:t>older,</w:t>
      </w:r>
      <w:r w:rsidR="003223CD" w:rsidRPr="008754C3">
        <w:rPr>
          <w:shd w:val="clear" w:color="auto" w:fill="FFFFFF"/>
        </w:rPr>
        <w:t>”</w:t>
      </w:r>
      <w:r w:rsidR="009E07B4" w:rsidRPr="008754C3">
        <w:t xml:space="preserve"> smaller, more profitable, and less leveraged.</w:t>
      </w:r>
      <w:bookmarkEnd w:id="0"/>
    </w:p>
    <w:p w14:paraId="4E133977" w14:textId="6ABE2180" w:rsidR="00AB7C79" w:rsidRPr="008754C3" w:rsidRDefault="009D6425" w:rsidP="003203CB">
      <w:pPr>
        <w:pStyle w:val="LSbodytext"/>
        <w:spacing w:line="480" w:lineRule="auto"/>
      </w:pPr>
      <w:r w:rsidRPr="008754C3">
        <w:t xml:space="preserve">We then examine the quality of financial information provided by companies as this disproportionate control is exerted. </w:t>
      </w:r>
      <w:bookmarkStart w:id="1" w:name="_Hlk120092686"/>
      <w:r w:rsidR="006C6D72">
        <w:t xml:space="preserve">While </w:t>
      </w:r>
      <w:r w:rsidR="0075292A">
        <w:t xml:space="preserve">the </w:t>
      </w:r>
      <w:r w:rsidR="006C6D72">
        <w:t>quality of earnings is considered a function of the firm</w:t>
      </w:r>
      <w:r w:rsidR="00FA143D" w:rsidRPr="006E4409">
        <w:t>’</w:t>
      </w:r>
      <w:r w:rsidR="006C6D72">
        <w:t xml:space="preserve">s fundamental performance and characteristics </w:t>
      </w:r>
      <w:r w:rsidR="006C6D72">
        <w:fldChar w:fldCharType="begin" w:fldLock="1"/>
      </w:r>
      <w:r w:rsidR="001968A5">
        <w:instrText>ADDIN CSL_CITATION {"citationItems":[{"id":"ITEM-1","itemData":{"DOI":"10.1016/j.jacceco.2010.09.001","ISSN":"01654101","abstract":"Researchers have used various measures as indications of \"earnings quality\" including persistence, accruals, smoothness, timeliness, loss avoidance, investor responsiveness, and external indicators such as restatements and SEC enforcement releases. For each measure, we discuss causes of variation in the measure as well as consequences. We reach no single conclusion on what earnings quality is because \"quality\" is contingent on the decision context. We also point out that the \"quality\" of earnings is a function of the firm's fundamental performance. The contribution of a firm's fundamental performance to its earnings quality is suggested as one area for future work. © 2010 Elsevier B.V.","author":[{"dropping-particle":"","family":"Dechow","given":"Patricia","non-dropping-particle":"","parse-names":false,"suffix":""},{"dropping-particle":"","family":"Ge","given":"Weili","non-dropping-particle":"","parse-names":false,"suffix":""},{"dropping-particle":"","family":"Schrand","given":"Catherine","non-dropping-particle":"","parse-names":false,"suffix":""}],"container-title":"Journal of Accounting and Economics","id":"ITEM-1","issue":"2-3","issued":{"date-parts":[["2010"]]},"page":"344-401","publisher":"Elsevier","title":"Understanding Earnings Quality: A Review of the Proxies, their Determinants and their Consequences","type":"article-journal","volume":"50"},"uris":["http://www.mendeley.com/documents/?uuid=c200c5c4-3470-4b1f-9177-3ef6391d2873"]}],"mendeley":{"formattedCitation":"(P. Dechow et al., 2010)","manualFormatting":"(Dechow et al., 2010)","plainTextFormattedCitation":"(P. Dechow et al., 2010)","previouslyFormattedCitation":"(P. Dechow et al., 2010)"},"properties":{"noteIndex":0},"schema":"https://github.com/citation-style-language/schema/raw/master/csl-citation.json"}</w:instrText>
      </w:r>
      <w:r w:rsidR="006C6D72">
        <w:fldChar w:fldCharType="separate"/>
      </w:r>
      <w:r w:rsidR="006C6D72" w:rsidRPr="006C6D72">
        <w:rPr>
          <w:noProof/>
        </w:rPr>
        <w:t>(Dechow et al., 2010)</w:t>
      </w:r>
      <w:r w:rsidR="006C6D72">
        <w:fldChar w:fldCharType="end"/>
      </w:r>
      <w:r w:rsidR="00FA143D">
        <w:t>,</w:t>
      </w:r>
      <w:r w:rsidR="006C6D72">
        <w:t xml:space="preserve"> p</w:t>
      </w:r>
      <w:r w:rsidR="006C6D72" w:rsidRPr="008754C3">
        <w:t xml:space="preserve">revious </w:t>
      </w:r>
      <w:r w:rsidRPr="008754C3">
        <w:t xml:space="preserve">studies </w:t>
      </w:r>
      <w:r w:rsidR="003F4964" w:rsidRPr="008754C3">
        <w:t xml:space="preserve">have </w:t>
      </w:r>
      <w:r w:rsidRPr="008754C3">
        <w:t xml:space="preserve">found </w:t>
      </w:r>
      <w:r w:rsidR="00394173" w:rsidRPr="008754C3">
        <w:t>conflicting results</w:t>
      </w:r>
      <w:r w:rsidR="001968A5">
        <w:t xml:space="preserve"> as to the effect of the dual-class structure on the quality of information provided</w:t>
      </w:r>
      <w:r w:rsidR="00AB7C79" w:rsidRPr="008754C3">
        <w:t>.</w:t>
      </w:r>
      <w:bookmarkEnd w:id="1"/>
      <w:r w:rsidRPr="008754C3">
        <w:t xml:space="preserve"> </w:t>
      </w:r>
      <w:r w:rsidR="00AB7C79" w:rsidRPr="008754C3">
        <w:t xml:space="preserve">Some studies suggest that controllers report accounting information for their self-interest, causing reported earnings to be less credible </w:t>
      </w:r>
      <w:r w:rsidR="00AB7C79" w:rsidRPr="008754C3">
        <w:fldChar w:fldCharType="begin" w:fldLock="1"/>
      </w:r>
      <w:r w:rsidR="00612DF1" w:rsidRPr="008754C3">
        <w:instrText>ADDIN CSL_CITATION {"citationItems":[{"id":"ITEM-1","itemData":{"DOI":"10.1016/j.jacceco.2005.01.001","ISBN":"9788578110796","ISSN":"01654101","PMID":"25246403","abstract":"We contrast the informativeness of earnings and dividends for firms with dual class and single class ownership structures. Results of both across-sample tests (which explicitly control for factors influencing ownership structure and informativeness) and within-sample tests (which implicitly control for factors associated with ownership structure) show that earnings are generally less informative, and dividends are at least as (if not more) informative, for dual class firms. We interpret these results as suggesting that the net effect of dual class structures is to reduce the credibility of earnings and to enhance the salience of dividends as measures of performance. © 2005 Elsevier B.V. All rights reserved.","author":[{"dropping-particle":"","family":"Francis","given":"Jennifer","non-dropping-particle":"","parse-names":false,"suffix":""},{"dropping-particle":"","family":"Schipper","given":"Katherine","non-dropping-particle":"","parse-names":false,"suffix":""},{"dropping-particle":"","family":"Vincent","given":"Linda","non-dropping-particle":"","parse-names":false,"suffix":""}],"container-title":"Journal of Accounting and Economics","id":"ITEM-1","issue":"2","issued":{"date-parts":[["2005"]]},"page":"329-360","title":"Earnings and Dividend Informativeness when Cash Flow Rights are Separated from Voting Rights","type":"article-journal","volume":"39"},"uris":["http://www.mendeley.com/documents/?uuid=b6a8853b-582e-44c1-a305-86b50dc7e005"]},{"id":"ITEM-2","itemData":{"DOI":"10.1080/0960310042000323607","ISSN":"09603107","abstract":"This study explores the impact of corporate takeover defences on the extent of earnings management in the US. Theoretically, it is not obvious whether takeover defences alleviate or exacerbate earnings management. Four well-known corporate takeover defences are examimed: blank check preferred stock, poison pills, classified boards and dual class stock. In spite of their similarity as takeover defences, the empirical evidence indicates that they do not influence the degree of earnings management in the same way. Specifically, blank check preferred stock does not have a significant impact on earnings management. Poison pills and classified boards are found to reduce earnings management, on average, by 1.9% and 1.5% respectively. On the contrary, dual class stock exacerbates earnings management by increasing the degree of abnormal accruals by 2.6% on average. The results are robust even after controlling for firm size, profitability, financial distress, growth opportunities and information asymmetry. © 2005 Taylor &amp; Francis Group Ltd.","author":[{"dropping-particle":"","family":"Jiraporn","given":"Pornsit","non-dropping-particle":"","parse-names":false,"suffix":""}],"container-title":"Applied Financial Economics","id":"ITEM-2","issue":"5","issued":{"date-parts":[["2005"]]},"page":"293-303","title":"An Empirical Analysis of Corporate Takeover Defences and Earnings Management: Evidence from the US","type":"article-journal","volume":"15"},"uris":["http://www.mendeley.com/documents/?uuid=cbb2c9a2-3701-47d1-a217-37ca822ceb2c"]},{"id":"ITEM-3","itemData":{"DOI":"10.1108/RAF-09-2017-0178","ISSN":"17587700","abstract":"Purpose: The purpose of this study is to explain the poor informativeness of earnings in dual-class firms by examining the quality of earnings and the information environment. Design/methodology/approach: The earnings informativeness, earnings quality and information environment of dual-class firms are compared with a matched sample of single-class firms. The authors have performed the returns-earnings association tests, examine the quality of earnings by using proxies for discretionary accruals, and examine the information environment by employing four empirical constructs: the analyst forecast dispersion, absolute forecast errors, Amihud’s (2002) illiquidity measure, and the bid-ask spread. Findings: The results show that the quality of earnings is better while the quality of the information environment is worse in dual-class firms compared to single-class firms. Overall, the results suggest that an inferior information environment is a plausible explanation for the low informativeness of dual-class firms’ earnings. Research limitations/implications: The results provide empirical support for Dechow et al. (2010) that the use of the earnings-returns association measure to draw conclusions about the quality of earnings is not appropriate in the presence of a poor information environment. Originality/value: This is the first study to empirically show that low earnings informativeness in dual-class firms can be explained by the inferior quality of the information environment.","author":[{"dropping-particle":"","family":"Lobanova","given":"Olesya","non-dropping-particle":"","parse-names":false,"suffix":""},{"dropping-particle":"","family":"Barua","given":"Abhijit","non-dropping-particle":"","parse-names":false,"suffix":""},{"dropping-particle":"","family":"Mishra","given":"Suchismita","non-dropping-particle":"","parse-names":false,"suffix":""},{"dropping-particle":"","family":"Prakash","given":"Arun J.","non-dropping-particle":"","parse-names":false,"suffix":""}],"container-title":"Review of Accounting and Finance","id":"ITEM-3","issue":"3","issued":{"date-parts":[["2019"]]},"page":"399-431","title":"Earnings Informativeness in Dual-Class Firms: An Empirical Investigation of the Earnings Quality and the Information Environment","type":"article-journal","volume":"18"},"uris":["http://www.mendeley.com/documents/?uuid=8ab60583-6266-4b57-aba7-881e41161665"]}],"mendeley":{"formattedCitation":"(Francis et al., 2005; Jiraporn, 2005; Lobanova et al., 2019)","plainTextFormattedCitation":"(Francis et al., 2005; Jiraporn, 2005; Lobanova et al., 2019)","previouslyFormattedCitation":"(Francis et al., 2005; Jiraporn, 2005; Lobanova et al., 2019)"},"properties":{"noteIndex":0},"schema":"https://github.com/citation-style-language/schema/raw/master/csl-citation.json"}</w:instrText>
      </w:r>
      <w:r w:rsidR="00AB7C79" w:rsidRPr="008754C3">
        <w:fldChar w:fldCharType="separate"/>
      </w:r>
      <w:r w:rsidR="00EB4603" w:rsidRPr="008754C3">
        <w:rPr>
          <w:noProof/>
        </w:rPr>
        <w:t>(Francis et al., 2005; Jiraporn, 2005; Lobanova et al., 2019)</w:t>
      </w:r>
      <w:r w:rsidR="00AB7C79" w:rsidRPr="008754C3">
        <w:fldChar w:fldCharType="end"/>
      </w:r>
      <w:r w:rsidR="00AB7C79" w:rsidRPr="008754C3">
        <w:t>, while others provide evidence that because dual-class firms are under less market pressure</w:t>
      </w:r>
      <w:r w:rsidR="003F4964" w:rsidRPr="008754C3">
        <w:t>,</w:t>
      </w:r>
      <w:r w:rsidR="00AB7C79" w:rsidRPr="008754C3">
        <w:t xml:space="preserve"> they have </w:t>
      </w:r>
      <w:r w:rsidR="003F4964" w:rsidRPr="008754C3">
        <w:t xml:space="preserve">fewer </w:t>
      </w:r>
      <w:r w:rsidR="00AB7C79" w:rsidRPr="008754C3">
        <w:t xml:space="preserve">incentives to manipulate earnings and therefore the quality of their financial </w:t>
      </w:r>
      <w:r w:rsidR="00AB7C79" w:rsidRPr="008754C3">
        <w:lastRenderedPageBreak/>
        <w:t xml:space="preserve">reports is higher </w:t>
      </w:r>
      <w:r w:rsidR="00AB7C79" w:rsidRPr="008754C3">
        <w:fldChar w:fldCharType="begin" w:fldLock="1"/>
      </w:r>
      <w:r w:rsidR="005B080E" w:rsidRPr="008754C3">
        <w:instrText xml:space="preserve">ADDIN CSL_CITATION {"citationItems":[{"id":"ITEM-1","itemData":{"abstract":"In a dual-class share structure, one class of common stock typically has more votes per share than the other, but both classes have equal or similar cash flow rights per share. While this dual-class structure is likely to entrench management, it potentially reduces capital market pressures on managers thereby reducing the need for managers to manipulate earnings. In this study, I compare the earnings management behavior among dual-class firms relative to a matched sample of single-class firms. I find that dual-class firms report a lower level of abnormal accruals, are less likely to produce small positive earnings surprises, and are less likely to release hidden earnings reserves. Further supporting the notion of reduced capital market pressures, when dual-class firms miss analysts' consensus forecasts, their three-day abnormal returns around earnings announcements are significantly less negative compared to their single-class counterparts. Dual-class firms also attract more long-term institutional investors, and have higher future operating and stock return performance. Overall, the results support the hypothesis that reduced capital market pressures lead to less short-term earnings manipulation among dualclass firms.","author":[{"dropping-particle":"","family":"Chen","given":"Feng","non-dropping-particle":"","parse-names":false,"suffix":""}],"id":"ITEM-1","issued":{"date-parts":[["2008"]]},"publisher":"PhD. Dissertation, Columbia University, NY","title":"Capital Market Pressures and Earnings Management : Evidence from U.S. Dual-Class Firms","type":"thesis"},"uris":["http://www.mendeley.com/documents/?uuid=142385f5-4be1-411a-b768-fedd3490bb99"]},{"id":"ITEM-2","itemData":{"DOI":"10.1111/j.1468-5957.2010.02203.x","ISSN":"0306686X","abstract":"This paper hypothesizes and finds that firms with dual class structure are less likely to engage in earnings management activities than firms with single class structure. The paper also finds that within the sample of firms with dual class structure, earnings management activities are positively associated with managerial cash flow rights, but marginally and negatively associated with managerial voting rights. In addition, the divergence between voting rights and cash flow rights has a marginally negative impact on earnings management. Finally, in a sample of firms switching from dual class structure to single class structure, earnings management activities increase following the switch. © 2010 Blackwell Publishing Ltd.","author":[{"dropping-particle":"","family":"Nguyen","given":"Van Thuan","non-dropping-particle":"","parse-names":false,"suffix":""},{"dropping-particle":"","family":"Xu","given":"Li","non-dropping-particle":"","parse-names":false,"suffix":""}],"container-title":"Journal of Business Finance and Accounting","id":"ITEM-2","issue":"3-4","issued":{"date-parts":[["2010"]]},"page":"456-485","title":"The Impact of Dual Class Structure on Earnings Management Activities","type":"article-journal","volume":"37"},"uris":["http://www.mendeley.com/documents/?uuid=07dee3a2-840b-4ec5-bcd8-a5df5e34da63"]},{"id":"ITEM-3","itemData":{"DOI":"10.1016/j.jbankfin.2016.09.009","ISSN":"03784266","abstract":"This study examines the information environment and earnings management of dual class firms. Motivated by the pronounced entrenchment phenomenon at dual class firms due to divergence between voting and cash flow rights, we are interested in whether dual class firms adopt corporate disclosure choices that imply greater opacity as well as employ judgment in financing reporting to misguide the outside shareholders about the firm's true performance. Based on a sample of 12,672 firms from 19 countries during 1994–2010, we find that dual class status is associated with poorer information environment and increased accrual-based earnings management, consistent with the notion that managers of dual class firms exhibit incentives to conceal private control benefits from the outside shareholders. Results further suggest that dual class ownership structure weakens the mitigating impact of investor protection on earnings management. Following unification, firms experience an improvement in information environment and a decrease in earnings manipulation.","author":[{"dropping-particle":"","family":"Li","given":"Ting","non-dropping-particle":"","parse-names":false,"suffix":""},{"dropping-particle":"","family":"Zaiats","given":"Nataliya","non-dropping-particle":"","parse-names":false,"suffix":""}],"container-title":"Journal of Banking and Finance","id":"ITEM-3","issued":{"date-parts":[["2017"]]},"page":"1-23","publisher":"Elsevier B.V.","title":"Information Environment and Earnings Management of Dual Class Firms Around the World","type":"article-journal","volume":"74"},"uris":["http://www.mendeley.com/documents/?uuid=6a4a4a1f-141f-4bf1-979e-4a7f8af1127b"]},{"id":"ITEM-4","itemData":{"author":[{"dropping-particle":"","family":"Solomon","given":"Dov","non-dropping-particle":"","parse-names":false,"suffix":""}],"container-title":"BYU Law Review","id":"ITEM-4","issue":"2","issued":{"date-parts":[["2020"]]},"page":"533-572","title":"The Importance of Inferior Voting Rights in Dual-Class Firms","type":"article-journal","volume":"2019"},"uris":["http://www.mendeley.com/documents/?uuid=a0950ed3-6a2f-4dd1-88a9-99611a8a66d6"]},{"id":"ITEM-5","itemData":{"DOI":"10.1561/108.00000059","abstract":"A dual-class firm structure, in which one class of shares confers more votes per share than the other, creates a gap between vot- ing rights and cash flow rights. In this paper, we examine the quality of the financial reports of dual- versus single-class firms publicly traded in the U.S. over the 2012–2017 period, as measured by persistence and predictive ability of earnings and cash flows. The results are based on comprehensive information from financial statements analyzed using across-sample and within-sample tests. An additional external indicator of financial restatement filings is also used to support the results. The findings demonstrate that the quality of financial reports is higher for dual-class firms than for single-class firms and increases over time. This suggests that the freedom from market pressures is stronger than agency costs, encouraging founders to provide investors with higher-quality infor- mation in exchange for superior voting rights. The results uncover important and counterintuitive evidence about the existence of a tradeoff between the dilution of voting rights and enhancement of the credibility of information provided to investors. </w:instrText>
      </w:r>
      <w:r w:rsidR="005B080E" w:rsidRPr="008754C3">
        <w:rPr>
          <w:rFonts w:ascii="Cambria Math" w:hAnsi="Cambria Math" w:cs="Cambria Math"/>
        </w:rPr>
        <w:instrText>∗</w:instrText>
      </w:r>
      <w:r w:rsidR="005B080E" w:rsidRPr="008754C3">
        <w:instrText>Corresponding","author":[{"dropping-particle":"","family":"Palas","given":"Rimona","non-dropping-particle":"","parse-names":false,"suffix":""},{"dropping-particle":"","family":"Solomon","given":"Dov","non-dropping-particle":"","parse-names":false,"suffix":""}],"container-title":"Journal of Law, Finance, and Accounting","id":"ITEM-5","issue":"1","issued":{"date-parts":[["2022"]]},"page":"127-164","title":"The Quality of Earnings Information in Dual-Class Firms : Persistence and Predictability","type":"article-journal","volume":"7"},"uris":["http://www.mendeley.com/documents/?uuid=6d71f758-dab6-4825-a845-d6d4d0e01297"]}],"mendeley":{"formattedCitation":"(Chen, 2008; Li &amp; Zaiats, 2017; Nguyen &amp; Xu, 2010; Palas &amp; Solomon, 2022; Solomon, 2020)","plainTextFormattedCitation":"(Chen, 2008; Li &amp; Zaiats, 2017; Nguyen &amp; Xu, 2010; Palas &amp; Solomon, 2022; Solomon, 2020)","previouslyFormattedCitation":"(Chen, 2008; Li &amp; Zaiats, 2017; Nguyen &amp; Xu, 2010; Palas &amp; Solomon, 2022; Solomon, 2020)"},"properties":{"noteIndex":0},"schema":"https://github.com/citation-style-language/schema/raw/master/csl-citation.json"}</w:instrText>
      </w:r>
      <w:r w:rsidR="00AB7C79" w:rsidRPr="008754C3">
        <w:fldChar w:fldCharType="separate"/>
      </w:r>
      <w:r w:rsidR="005B080E" w:rsidRPr="008754C3">
        <w:rPr>
          <w:noProof/>
        </w:rPr>
        <w:t>(Chen, 2008; Li &amp; Zaiats, 2017; Nguyen &amp; Xu, 2010; Palas &amp; Solomon, 2022; Solomon, 2020)</w:t>
      </w:r>
      <w:r w:rsidR="00AB7C79" w:rsidRPr="008754C3">
        <w:fldChar w:fldCharType="end"/>
      </w:r>
      <w:r w:rsidR="00AB7C79" w:rsidRPr="008754C3">
        <w:t>.</w:t>
      </w:r>
    </w:p>
    <w:p w14:paraId="5A88CA7F" w14:textId="248DB01E" w:rsidR="00F72190" w:rsidRPr="008754C3" w:rsidRDefault="00394173" w:rsidP="00F31734">
      <w:pPr>
        <w:pStyle w:val="LSbodytext"/>
        <w:spacing w:line="480" w:lineRule="auto"/>
        <w:rPr>
          <w:rtl/>
          <w:lang w:val="en-GB"/>
        </w:rPr>
      </w:pPr>
      <w:r w:rsidRPr="008754C3">
        <w:t>However, there is little research on</w:t>
      </w:r>
      <w:r w:rsidR="009D6425" w:rsidRPr="008754C3">
        <w:t xml:space="preserve"> the quality of financial reports across the </w:t>
      </w:r>
      <w:r w:rsidR="00D90626" w:rsidRPr="008754C3">
        <w:t>wedge size spectrum</w:t>
      </w:r>
      <w:r w:rsidR="00F72190" w:rsidRPr="008754C3">
        <w:t>, and the results are inconsistent</w:t>
      </w:r>
      <w:r w:rsidR="009D6425" w:rsidRPr="008754C3">
        <w:t xml:space="preserve">. </w:t>
      </w:r>
      <w:r w:rsidR="00AB7C79" w:rsidRPr="008754C3">
        <w:fldChar w:fldCharType="begin" w:fldLock="1"/>
      </w:r>
      <w:r w:rsidR="007F7BB7" w:rsidRPr="008754C3">
        <w:instrText>ADDIN CSL_CITATION {"citationItems":[{"id":"ITEM-1","itemData":{"DOI":"10.1016/j.jacceco.2005.01.001","ISBN":"9788578110796","ISSN":"01654101","PMID":"25246403","abstract":"We contrast the informativeness of earnings and dividends for firms with dual class and single class ownership structures. Results of both across-sample tests (which explicitly control for factors influencing ownership structure and informativeness) and within-sample tests (which implicitly control for factors associated with ownership structure) show that earnings are generally less informative, and dividends are at least as (if not more) informative, for dual class firms. We interpret these results as suggesting that the net effect of dual class structures is to reduce the credibility of earnings and to enhance the salience of dividends as measures of performance. © 2005 Elsevier B.V. All rights reserved.","author":[{"dropping-particle":"","family":"Francis","given":"Jennifer","non-dropping-particle":"","parse-names":false,"suffix":""},{"dropping-particle":"","family":"Schipper","given":"Katherine","non-dropping-particle":"","parse-names":false,"suffix":""},{"dropping-particle":"","family":"Vincent","given":"Linda","non-dropping-particle":"","parse-names":false,"suffix":""}],"container-title":"Journal of Accounting and Economics","id":"ITEM-1","issue":"2","issued":{"date-parts":[["2005"]]},"page":"329-360","title":"Earnings and Dividend Informativeness when Cash Flow Rights are Separated from Voting Rights","type":"article-journal","volume":"39"},"uris":["http://www.mendeley.com/documents/?uuid=b6a8853b-582e-44c1-a305-86b50dc7e005"]}],"mendeley":{"formattedCitation":"(Francis et al., 2005)","manualFormatting":"Francis et al. (2005)","plainTextFormattedCitation":"(Francis et al., 2005)","previouslyFormattedCitation":"(Francis et al., 2005)"},"properties":{"noteIndex":0},"schema":"https://github.com/citation-style-language/schema/raw/master/csl-citation.json"}</w:instrText>
      </w:r>
      <w:r w:rsidR="00AB7C79" w:rsidRPr="008754C3">
        <w:fldChar w:fldCharType="separate"/>
      </w:r>
      <w:r w:rsidR="007F7BB7" w:rsidRPr="008754C3">
        <w:rPr>
          <w:noProof/>
        </w:rPr>
        <w:t>Francis et al. (2005)</w:t>
      </w:r>
      <w:r w:rsidR="00AB7C79" w:rsidRPr="008754C3">
        <w:fldChar w:fldCharType="end"/>
      </w:r>
      <w:r w:rsidR="00AB7C79" w:rsidRPr="008754C3">
        <w:t xml:space="preserve"> </w:t>
      </w:r>
      <w:r w:rsidR="00D90626" w:rsidRPr="008754C3">
        <w:t xml:space="preserve">use </w:t>
      </w:r>
      <w:r w:rsidR="00AB7C79" w:rsidRPr="008754C3">
        <w:t>the size of the wedge as an explanatory variable to distinguish between dual- and single-class firms. Their results indicate that the returns</w:t>
      </w:r>
      <w:r w:rsidR="00D90626" w:rsidRPr="008754C3">
        <w:t>–</w:t>
      </w:r>
      <w:r w:rsidR="00AB7C79" w:rsidRPr="008754C3">
        <w:t>earnings relation is less informative for dual-class companies.</w:t>
      </w:r>
      <w:r w:rsidR="00F31734">
        <w:t xml:space="preserve"> </w:t>
      </w:r>
      <w:r w:rsidR="00F31734" w:rsidRPr="008754C3">
        <w:fldChar w:fldCharType="begin" w:fldLock="1"/>
      </w:r>
      <w:r w:rsidR="00F31734">
        <w:instrText>ADDIN CSL_CITATION {"citationItems":[{"id":"ITEM-1","itemData":{"DOI":"10.1177/0148558X16670048","ISSN":"21604061","abstract":"We examine the association of insider ownership with financial analysts’ forecast accuracy and dispersion in a sample of U.S. dual-class firms. Insider ownership exerts two effects: a positive incentive effect and a negative entrenchment effect. The lack of significant findings in prior research regarding the association between insider ownership and forecast accuracy may be attributable to the offsetting forces of these two effects. Using a comprehensive hand-collected sample of U.S. firms that maintain more than one class of common stock, we are able to disentangle incentive and entrenchment effects which are confounded in single-class firms. We find that disproportionate insider control is negatively associated with forecast accuracy and positively associated with forecast dispersion. Moreover, insider cash flow rights (insider voting rights) are positively (negatively) associated with forecast accuracy and negatively (positively) associated with forecast dispersion, consistent with incentive-alignment and entrenchment effects of ownership affecting financial analysts’ forecasting environment in opposite directions.","author":[{"dropping-particle":"","family":"Forst","given":"Arno","non-dropping-particle":"","parse-names":false,"suffix":""},{"dropping-particle":"","family":"Hettler","given":"Barry","non-dropping-particle":"","parse-names":false,"suffix":""},{"dropping-particle":"","family":"Barniv","given":"Ran Ron","non-dropping-particle":"","parse-names":false,"suffix":""}],"container-title":"Journal of Accounting, Auditing and Finance","id":"ITEM-1","issue":"1","issued":{"date-parts":[["2019"]]},"page":"30-53","title":"Insider Ownership and Financial Analysts' Information Environment: Evidence From Dual-Class Firms","type":"article-journal","volume":"34"},"uris":["http://www.mendeley.com/documents/?uuid=c722f112-0a86-46b0-8832-f80d0b46f673"]}],"mendeley":{"formattedCitation":"(Forst et al., 2019)","manualFormatting":"Forst et al. (2019)","plainTextFormattedCitation":"(Forst et al., 2019)","previouslyFormattedCitation":"(Forst et al., 2019)"},"properties":{"noteIndex":0},"schema":"https://github.com/citation-style-language/schema/raw/master/csl-citation.json"}</w:instrText>
      </w:r>
      <w:r w:rsidR="00F31734" w:rsidRPr="008754C3">
        <w:fldChar w:fldCharType="separate"/>
      </w:r>
      <w:r w:rsidR="00F31734" w:rsidRPr="008754C3">
        <w:rPr>
          <w:noProof/>
        </w:rPr>
        <w:t>Forst et al. (2019)</w:t>
      </w:r>
      <w:r w:rsidR="00F31734" w:rsidRPr="008754C3">
        <w:fldChar w:fldCharType="end"/>
      </w:r>
      <w:r w:rsidR="00F31734" w:rsidRPr="008754C3">
        <w:t xml:space="preserve"> assess the quality of information provided by dual-class firms as measured by financial analysts’ forecast </w:t>
      </w:r>
      <w:r w:rsidR="00F31734" w:rsidRPr="008754C3">
        <w:rPr>
          <w:lang w:val="en-GB"/>
        </w:rPr>
        <w:t>accuracy and forecast dispersion.</w:t>
      </w:r>
      <w:r w:rsidR="00F31734" w:rsidRPr="008754C3">
        <w:t xml:space="preserve"> </w:t>
      </w:r>
      <w:r w:rsidR="00F31734" w:rsidRPr="008754C3">
        <w:rPr>
          <w:lang w:val="en-GB"/>
        </w:rPr>
        <w:t>Their findings suggest that the wedge is negatively associated with forecast accuracy and positively associated with forecast dispersion, which suggests that as the wedge grows, the quality of information, and analysts</w:t>
      </w:r>
      <w:r w:rsidR="00F31734" w:rsidRPr="008754C3">
        <w:t>’</w:t>
      </w:r>
      <w:r w:rsidR="00F31734" w:rsidRPr="008754C3">
        <w:rPr>
          <w:lang w:val="en-GB"/>
        </w:rPr>
        <w:t xml:space="preserve"> ability to utilize it, decrease. </w:t>
      </w:r>
      <w:r w:rsidR="00F31734">
        <w:t xml:space="preserve">In contrast, </w:t>
      </w:r>
      <w:r w:rsidR="003C53D9" w:rsidRPr="008754C3">
        <w:fldChar w:fldCharType="begin" w:fldLock="1"/>
      </w:r>
      <w:r w:rsidR="00FE2730">
        <w:instrText>ADDIN CSL_CITATION {"citationItems":[{"id":"ITEM-1","itemData":{"DOI":"10.1016/j.jcorpfin.2016.10.003","ISSN":"09291199","abstract":"We test the hypothesis that dual-class shares can help managers focus on the implementation of long-term projects while avoiding short-term market pressure. Consistent with this idea, we find that dual-class firms face lower short-term market pressure (fewer transient or short-term institutional holdings, a lower probability of being taken over, and lower analyst coverage) than propensity-matched single-class firms. Dual-class firms also tend to have more growth opportunities (higher sales growth and R&amp;D intensity). The dual-class share structure increases the market valuation of high growth firms, in contrast to the finding in the literature that dual-class firms trade at lower valuations. To address endogeneity concerns, we evaluate a sample of dual-class share unifications and find that growth opportunities decline while short-term market pressure increases after share unifications.","author":[{"dropping-particle":"","family":"Jordan","given":"Bradford D.","non-dropping-particle":"","parse-names":false,"suffix":""},{"dropping-particle":"","family":"Kim","given":"Soohyung","non-dropping-particle":"","parse-names":false,"suffix":""},{"dropping-particle":"","family":"Liu","given":"Mark H.","non-dropping-particle":"","parse-names":false,"suffix":""}],"container-title":"Journal of Corporate Finance","id":"ITEM-1","issued":{"date-parts":[["2016"]]},"page":"304-328","publisher":"Elsevier B.V.","title":"Growth Opportunities, Short-Term Market Pressure, and Dual-Class Share Structure","type":"article-journal","volume":"41"},"uris":["http://www.mendeley.com/documents/?uuid=cf7c4996-6cca-41f6-9ddc-e8b23b9afb8f"]}],"mendeley":{"formattedCitation":"(Jordan et al., 2016)","manualFormatting":"Jordan et al. (2016)","plainTextFormattedCitation":"(Jordan et al., 2016)","previouslyFormattedCitation":"(Jordan et al., 2016)"},"properties":{"noteIndex":0},"schema":"https://github.com/citation-style-language/schema/raw/master/csl-citation.json"}</w:instrText>
      </w:r>
      <w:r w:rsidR="003C53D9" w:rsidRPr="008754C3">
        <w:fldChar w:fldCharType="separate"/>
      </w:r>
      <w:r w:rsidR="001A24F2" w:rsidRPr="001A24F2">
        <w:rPr>
          <w:noProof/>
        </w:rPr>
        <w:t xml:space="preserve">Jordan et al. </w:t>
      </w:r>
      <w:r w:rsidR="00134E0C">
        <w:rPr>
          <w:noProof/>
        </w:rPr>
        <w:t>(</w:t>
      </w:r>
      <w:r w:rsidR="001A24F2" w:rsidRPr="001A24F2">
        <w:rPr>
          <w:noProof/>
        </w:rPr>
        <w:t>2016)</w:t>
      </w:r>
      <w:r w:rsidR="003C53D9" w:rsidRPr="008754C3">
        <w:fldChar w:fldCharType="end"/>
      </w:r>
      <w:r w:rsidR="003C53D9" w:rsidRPr="008754C3">
        <w:t xml:space="preserve"> show a pattern of a negative relation between short-term market pressure</w:t>
      </w:r>
      <w:r w:rsidR="00D0589B" w:rsidRPr="008754C3">
        <w:t>s</w:t>
      </w:r>
      <w:r w:rsidR="003C53D9" w:rsidRPr="008754C3">
        <w:t xml:space="preserve"> and the wedge (not all tests were statistically significant), </w:t>
      </w:r>
      <w:r w:rsidR="00D90626" w:rsidRPr="008754C3">
        <w:t xml:space="preserve">implying </w:t>
      </w:r>
      <w:r w:rsidR="003C53D9" w:rsidRPr="008754C3">
        <w:t xml:space="preserve">that as the wedge </w:t>
      </w:r>
      <w:r w:rsidR="00F3384D">
        <w:t>widens</w:t>
      </w:r>
      <w:r w:rsidR="00D90626" w:rsidRPr="008754C3">
        <w:t xml:space="preserve">, </w:t>
      </w:r>
      <w:r w:rsidR="003C53D9" w:rsidRPr="008754C3">
        <w:t xml:space="preserve">firms are under less market pressure and therefore have </w:t>
      </w:r>
      <w:r w:rsidR="00D90626" w:rsidRPr="008754C3">
        <w:t xml:space="preserve">fewer </w:t>
      </w:r>
      <w:r w:rsidR="003C53D9" w:rsidRPr="008754C3">
        <w:t xml:space="preserve">incentives to manipulate earnings. </w:t>
      </w:r>
    </w:p>
    <w:p w14:paraId="411F8DF3" w14:textId="41CAF505" w:rsidR="009250E8" w:rsidRPr="008754C3" w:rsidRDefault="00F72190" w:rsidP="00085A65">
      <w:pPr>
        <w:pStyle w:val="LSbodytext"/>
        <w:spacing w:line="480" w:lineRule="auto"/>
        <w:rPr>
          <w:rtl/>
        </w:rPr>
      </w:pPr>
      <w:r w:rsidRPr="008754C3">
        <w:t xml:space="preserve">The research </w:t>
      </w:r>
      <w:r w:rsidR="003148BB" w:rsidRPr="008754C3">
        <w:t xml:space="preserve">referred to </w:t>
      </w:r>
      <w:r w:rsidR="005C42F8" w:rsidRPr="008754C3">
        <w:t xml:space="preserve">above </w:t>
      </w:r>
      <w:r w:rsidR="003148BB" w:rsidRPr="008754C3">
        <w:t>d</w:t>
      </w:r>
      <w:r w:rsidR="0052368E">
        <w:t>oes</w:t>
      </w:r>
      <w:r w:rsidR="003148BB" w:rsidRPr="008754C3">
        <w:t xml:space="preserve"> </w:t>
      </w:r>
      <w:r w:rsidRPr="008754C3">
        <w:t xml:space="preserve">not attempt to examine the financial </w:t>
      </w:r>
      <w:r w:rsidR="00DA4A5B" w:rsidRPr="008754C3">
        <w:t xml:space="preserve">data </w:t>
      </w:r>
      <w:r w:rsidRPr="008754C3">
        <w:t xml:space="preserve">itself and its quality in </w:t>
      </w:r>
      <w:r w:rsidR="003148BB" w:rsidRPr="008754C3">
        <w:t xml:space="preserve">conjunction </w:t>
      </w:r>
      <w:r w:rsidRPr="008754C3">
        <w:t xml:space="preserve">with the size of the wedge. In </w:t>
      </w:r>
      <w:r w:rsidR="00672162" w:rsidRPr="008754C3">
        <w:t>this paper,</w:t>
      </w:r>
      <w:r w:rsidRPr="008754C3">
        <w:t xml:space="preserve"> w</w:t>
      </w:r>
      <w:r w:rsidR="009D6425" w:rsidRPr="008754C3">
        <w:t xml:space="preserve">e </w:t>
      </w:r>
      <w:r w:rsidR="004A74B1" w:rsidRPr="008754C3">
        <w:t xml:space="preserve">examine whether </w:t>
      </w:r>
      <w:r w:rsidR="0095018E" w:rsidRPr="008754C3">
        <w:t xml:space="preserve">the quality of financial reports </w:t>
      </w:r>
      <w:r w:rsidR="00235B00" w:rsidRPr="008754C3">
        <w:t xml:space="preserve">changes </w:t>
      </w:r>
      <w:r w:rsidR="0095018E" w:rsidRPr="008754C3">
        <w:t xml:space="preserve">across the </w:t>
      </w:r>
      <w:r w:rsidR="00235B00" w:rsidRPr="008754C3">
        <w:t>wedge size spectrum</w:t>
      </w:r>
      <w:r w:rsidR="0095018E" w:rsidRPr="008754C3" w:rsidDel="002E4D7C">
        <w:t xml:space="preserve"> </w:t>
      </w:r>
      <w:r w:rsidR="00504712" w:rsidRPr="008754C3">
        <w:t xml:space="preserve">by </w:t>
      </w:r>
      <w:r w:rsidR="002E4D7C" w:rsidRPr="008754C3">
        <w:t>us</w:t>
      </w:r>
      <w:r w:rsidR="00504712" w:rsidRPr="008754C3">
        <w:t>ing</w:t>
      </w:r>
      <w:r w:rsidR="002E4D7C" w:rsidRPr="008754C3">
        <w:t xml:space="preserve"> well</w:t>
      </w:r>
      <w:r w:rsidR="00672162" w:rsidRPr="008754C3">
        <w:t>-</w:t>
      </w:r>
      <w:r w:rsidR="002E4D7C" w:rsidRPr="008754C3">
        <w:t xml:space="preserve">known proxy measures for </w:t>
      </w:r>
      <w:r w:rsidRPr="008754C3">
        <w:t xml:space="preserve">information </w:t>
      </w:r>
      <w:r w:rsidR="002E4D7C" w:rsidRPr="008754C3">
        <w:t xml:space="preserve">quality: </w:t>
      </w:r>
      <w:bookmarkStart w:id="2" w:name="_Hlk118968785"/>
      <w:r w:rsidR="004E7DDE" w:rsidRPr="008754C3">
        <w:t>earnings persistence, cash flow persistence</w:t>
      </w:r>
      <w:r w:rsidR="00124E4A" w:rsidRPr="008754C3">
        <w:t>,</w:t>
      </w:r>
      <w:r w:rsidR="004E7DDE" w:rsidRPr="008754C3">
        <w:t xml:space="preserve"> and the use of discretionary accruals</w:t>
      </w:r>
      <w:r w:rsidR="001A24F2">
        <w:t xml:space="preserve"> </w:t>
      </w:r>
      <w:r w:rsidR="001A24F2">
        <w:fldChar w:fldCharType="begin" w:fldLock="1"/>
      </w:r>
      <w:r w:rsidR="00085A65">
        <w:instrText>ADDIN CSL_CITATION {"citationItems":[{"id":"ITEM-1","itemData":{"DOI":"10.1016/j.jacceco.2010.09.001","ISSN":"01654101","abstract":"Researchers have used various measures as indications of \"earnings quality\" including persistence, accruals, smoothness, timeliness, loss avoidance, investor responsiveness, and external indicators such as restatements and SEC enforcement releases. For each measure, we discuss causes of variation in the measure as well as consequences. We reach no single conclusion on what earnings quality is because \"quality\" is contingent on the decision context. We also point out that the \"quality\" of earnings is a function of the firm's fundamental performance. The contribution of a firm's fundamental performance to its earnings quality is suggested as one area for future work. © 2010 Elsevier B.V.","author":[{"dropping-particle":"","family":"Dechow","given":"Patricia","non-dropping-particle":"","parse-names":false,"suffix":""},{"dropping-particle":"","family":"Ge","given":"Weili","non-dropping-particle":"","parse-names":false,"suffix":""},{"dropping-particle":"","family":"Schrand","given":"Catherine","non-dropping-particle":"","parse-names":false,"suffix":""}],"container-title":"Journal of Accounting and Economics","id":"ITEM-1","issue":"2-3","issued":{"date-parts":[["2010"]]},"page":"344-401","publisher":"Elsevier","title":"Understanding Earnings Quality: A Review of the Proxies, their Determinants and their Consequences","type":"article-journal","volume":"50"},"uris":["http://www.mendeley.com/documents/?uuid=c200c5c4-3470-4b1f-9177-3ef6391d2873"]},{"id":"ITEM-2","itemData":{"DOI":"10.2307/2490728","ISSN":"00218456","abstract":"This study investigates the relations between components of accounting earnings and stock returns by testing two hypotheses. The first is whether six commonly reported components of earnings provide additional information that is not contained in the earnings figure. The second is whether the additional information is associated with the time-series properties of the components. In addition, other results regarding the components' relations with returns and the components' time-series properties are discussed. [ABSTRACT FROM AUTHOR]","author":[{"dropping-particle":"","family":"Lipe","given":"Robert C.","non-dropping-particle":"","parse-names":false,"suffix":""}],"container-title":"Journal of Accounting Research","id":"ITEM-2","issue":"Supplement","issued":{"date-parts":[["1986"]]},"page":"37-64","title":"The Information Contained in the Components of Earnings","type":"article-journal","volume":"24"},"uris":["http://www.mendeley.com/documents/?uuid=90728587-0fbc-4242-926d-46e18852a875"]},{"id":"ITEM-3","itemData":{"DOI":"10.1016/j.jfineco.2016.03.002","ISSN":"0304405X","abstract":"Accruals are the non-cash component of earnings. They represent adjustments made to cash flows to generate a profit measure largely unaffected by the timing of receipts and payments of cash. Prior research uncovers two anomalies: expected returns increase in profitability and decrease in accruals. We show that cash-based operating profitability (a measure that excludes accruals) outperforms measures of profitability that include accruals. Further, cash-based operating profitability subsumes accruals in predicting the cross section of average returns. An investor can increase a strategy's Sharpe ratio more by adding just a cash-based operating profitability factor to the investment opportunity set than by adding both an accruals factor and a profitability factor that includes accruals.","author":[{"dropping-particle":"","family":"Ball","given":"Ray","non-dropping-particle":"","parse-names":false,"suffix":""},{"dropping-particle":"","family":"Gerakos","given":"Joseph","non-dropping-particle":"","parse-names":false,"suffix":""},{"dropping-particle":"","family":"Linnainmaa","given":"Juhani T.","non-dropping-particle":"","parse-names":false,"suffix":""},{"dropping-particle":"","family":"Nikolaev","given":"Valeri","non-dropping-particle":"","parse-names":false,"suffix":""}],"container-title":"Journal of Financial Economics","id":"ITEM-3","issue":"1","issued":{"date-parts":[["2016"]]},"page":"28-45","publisher":"Elsevier B.V.","title":"Accruals, Cash Flows, and Operating Profitability in the Cross Section of Stock Returns","type":"article-journal","volume":"121"},"uris":["http://www.mendeley.com/documents/?uuid=371e83b7-6a84-45e3-b71a-391d3c56621f"]},{"id":"ITEM-4","itemData":{"DOI":"10.1002/9781119204763.ch4","abstract":"This paper evaluates alternative accrual-based models for detecting earnings management. The evaluation compares the specification and power of commonly used test statistics across the measures of discretionary accruals generated by the models and provides the following major insights. First, all of the models appear well specified when applied to a random sample of firm-years. Second, the models all generate tests of low power for earnings management of economically plausible magnitudes (e.g., one to five percent of total assets). Third, all models reject the null hypothesis of no earnings management at rates exceeding the specified test-levels when applied to samples of firms with extreme financial performance. This result highlights the importance of controlling for financial performance when investigating earnings management stimuli that are correlated with financial performance. Finally, a modified version of the model developed by Jones (1991) exhibits the most power in detecting earnings management.","author":[{"dropping-particle":"","family":"Dechow","given":"Patricia M.","non-dropping-particle":"","parse-names":false,"suffix":""},{"dropping-particle":"","family":"Sloan","given":"Richard G.","non-dropping-particle":"","parse-names":false,"suffix":""},{"dropping-particle":"","family":"Sweeney","given":"Amy P.","non-dropping-particle":"","parse-names":false,"suffix":""}],"container-title":"The Accounting Review","id":"ITEM-4","issue":"2","issued":{"date-parts":[["1995"]]},"page":"193-225","title":"Detecting Earnings Management","type":"article-journal","volume":"70"},"uris":["http://www.mendeley.com/documents/?uuid=b0a398c2-fd1e-4084-a6db-1f04f8edbe39"]},{"id":"ITEM-5","itemData":{"abstract":"A major strand of the earnings management literature examines managers’ use of discretionary accruals to shift reported income among fiscal periods. Such an examination entails specification of a model to estimate discretionary accruals. The models range from the simple, in which total accruals are used as a measure of discretionary accruals to the relatively sophisticated (regression), which decompose accruals into discretionary and nondiscretionary components. The most popular six models are the DeAngelo (1986) Model, Healy (1985) Model, the Jones (1991) Model, the Modified Jones Model (Dechow, Sloan, and Sweeney 1995), the Industry Model (Dechow, Sloan, and Sweeney 1995), and the Cross-Sectional Jones Model (DeFond and Jiambalvo 1994).","author":[{"dropping-particle":"","family":"Bartov,","given":"Eli","non-dropping-particle":"","parse-names":false,"suffix":""},{"dropping-particle":"","family":"Gul","given":"Ferdinand A.","non-dropping-particle":"","parse-names":false,"suffix":""},{"dropping-particle":"","family":"Tsui","given":"Judy S.L.","non-dropping-particle":"","parse-names":false,"suffix":""}],"container-title":"Journal of Accounting and Economics","id":"ITEM-5","issued":{"date-parts":[["2001"]]},"page":"421-452","title":"Discretionary-Accruals Models and Audit Qualifications","type":"article-journal","volume":"30"},"uris":["http://www.mendeley.com/documents/?uuid=c45f4d62-57be-46be-855a-1e9f09618652"]}],"mendeley":{"formattedCitation":"(Ball et al., 2016; Bartov, et al., 2001; P. Dechow et al., 2010; P. M. Dechow et al., 1995; Lipe, 1986)","manualFormatting":"(Ball et al., 2016; Bartov, et al., 2001; Dechow et al., 2010; Dechow et al., 1995; Lipe, 1986)","plainTextFormattedCitation":"(Ball et al., 2016; Bartov, et al., 2001; P. Dechow et al., 2010; P. M. Dechow et al., 1995; Lipe, 1986)","previouslyFormattedCitation":"(Ball et al., 2016; Bartov, et al., 2001; P. Dechow et al., 2010; P. M. Dechow et al., 1995; Lipe, 1986)"},"properties":{"noteIndex":0},"schema":"https://github.com/citation-style-language/schema/raw/master/csl-citation.json"}</w:instrText>
      </w:r>
      <w:r w:rsidR="001A24F2">
        <w:fldChar w:fldCharType="separate"/>
      </w:r>
      <w:r w:rsidR="001A24F2" w:rsidRPr="001A24F2">
        <w:rPr>
          <w:noProof/>
        </w:rPr>
        <w:t>(Ball et al., 2016; Bartov, et al., 2001; Dechow et al., 2010; Dechow et al., 1995; Lipe, 1986)</w:t>
      </w:r>
      <w:r w:rsidR="001A24F2">
        <w:fldChar w:fldCharType="end"/>
      </w:r>
      <w:r w:rsidR="004E7DDE" w:rsidRPr="008754C3">
        <w:t xml:space="preserve">. </w:t>
      </w:r>
    </w:p>
    <w:bookmarkEnd w:id="2"/>
    <w:p w14:paraId="4BBAE90E" w14:textId="2946BA7F" w:rsidR="009D6425" w:rsidRPr="008754C3" w:rsidRDefault="009D6425" w:rsidP="003203CB">
      <w:pPr>
        <w:pStyle w:val="LSbodytext"/>
        <w:spacing w:line="480" w:lineRule="auto"/>
      </w:pPr>
      <w:r w:rsidRPr="008754C3">
        <w:t xml:space="preserve">Given the heated regulatory debate over the dual-class structure and its implications for investor protection, our findings are important to policymakers. They </w:t>
      </w:r>
      <w:r w:rsidR="00235B00" w:rsidRPr="008754C3">
        <w:t>generate</w:t>
      </w:r>
      <w:r w:rsidRPr="008754C3">
        <w:t xml:space="preserve"> a more nuanced picture of this form of corporate control and </w:t>
      </w:r>
      <w:r w:rsidR="003B6AF5" w:rsidRPr="008754C3">
        <w:t xml:space="preserve">provide </w:t>
      </w:r>
      <w:r w:rsidRPr="008754C3">
        <w:t>analytical tools for evaluating the effectiveness of the current regulation of dual-class firms.</w:t>
      </w:r>
      <w:r w:rsidRPr="008754C3">
        <w:rPr>
          <w:rFonts w:asciiTheme="majorBidi" w:eastAsia="Times New Roman" w:hAnsiTheme="majorBidi"/>
        </w:rPr>
        <w:t xml:space="preserve"> </w:t>
      </w:r>
    </w:p>
    <w:p w14:paraId="4F1BA923" w14:textId="1CB8B91F" w:rsidR="001E5429" w:rsidRPr="008754C3" w:rsidRDefault="001E5429" w:rsidP="003203CB">
      <w:pPr>
        <w:pStyle w:val="Heading1"/>
      </w:pPr>
      <w:r w:rsidRPr="008754C3">
        <w:lastRenderedPageBreak/>
        <w:t xml:space="preserve">Basic </w:t>
      </w:r>
      <w:r w:rsidR="002F0C93" w:rsidRPr="008754C3">
        <w:t xml:space="preserve">characteristics of dual-class firms </w:t>
      </w:r>
      <w:r w:rsidR="00235B00" w:rsidRPr="008754C3">
        <w:t xml:space="preserve">with </w:t>
      </w:r>
      <w:r w:rsidR="002F0C93" w:rsidRPr="008754C3">
        <w:t>respect to the wedge</w:t>
      </w:r>
    </w:p>
    <w:p w14:paraId="039C87B4" w14:textId="6955AA95" w:rsidR="005C32E8" w:rsidRPr="008754C3" w:rsidRDefault="005C32E8" w:rsidP="003203CB">
      <w:pPr>
        <w:pStyle w:val="LSbodytext"/>
        <w:spacing w:line="480" w:lineRule="auto"/>
      </w:pPr>
      <w:r w:rsidRPr="008754C3">
        <w:t xml:space="preserve">The data </w:t>
      </w:r>
      <w:r w:rsidR="00235B00" w:rsidRPr="008754C3">
        <w:t xml:space="preserve">were </w:t>
      </w:r>
      <w:r w:rsidR="00001381" w:rsidRPr="008754C3">
        <w:t>extracted from annual financial filings of 5,303 U.S. publicly traded firms</w:t>
      </w:r>
      <w:r w:rsidR="00001381" w:rsidRPr="008754C3">
        <w:rPr>
          <w:rStyle w:val="FootnoteReference"/>
        </w:rPr>
        <w:footnoteReference w:id="3"/>
      </w:r>
      <w:r w:rsidR="00001381" w:rsidRPr="008754C3">
        <w:t xml:space="preserve"> </w:t>
      </w:r>
      <w:r w:rsidRPr="008754C3">
        <w:t xml:space="preserve">from 2012 to 2019 (a total of </w:t>
      </w:r>
      <w:r w:rsidR="00235B00" w:rsidRPr="008754C3">
        <w:t xml:space="preserve">eight </w:t>
      </w:r>
      <w:r w:rsidRPr="008754C3">
        <w:t xml:space="preserve">years). Dual-class firms were identified </w:t>
      </w:r>
      <w:r w:rsidR="00001381" w:rsidRPr="008754C3">
        <w:t xml:space="preserve">as </w:t>
      </w:r>
      <w:r w:rsidRPr="008754C3">
        <w:t>those having more than one type of stock</w:t>
      </w:r>
      <w:r w:rsidR="00DB6CA6" w:rsidRPr="008754C3">
        <w:t xml:space="preserve"> </w:t>
      </w:r>
      <w:r w:rsidR="00D563D3" w:rsidRPr="008754C3">
        <w:t xml:space="preserve">and </w:t>
      </w:r>
      <w:r w:rsidR="002A4114" w:rsidRPr="008754C3">
        <w:t>unequal voting rights</w:t>
      </w:r>
      <w:r w:rsidRPr="008754C3">
        <w:t>. These firms were then compared to the</w:t>
      </w:r>
      <w:r w:rsidR="006C05F1" w:rsidRPr="008754C3">
        <w:t xml:space="preserve"> </w:t>
      </w:r>
      <w:r w:rsidR="005B2FD3" w:rsidRPr="008754C3">
        <w:fldChar w:fldCharType="begin" w:fldLock="1"/>
      </w:r>
      <w:r w:rsidR="00E46F5E" w:rsidRPr="008754C3">
        <w:instrText>ADDIN CSL_CITATION {"citationItems":[{"id":"ITEM-1","itemData":{"URL":"https://www.cii.org/files/FINAL format Dual Class List 9-27-19.pdf","author":[{"dropping-particle":"","family":"Council of Institutional Investors","given":"","non-dropping-particle":"","parse-names":false,"suffix":""}],"id":"ITEM-1","issued":{"date-parts":[["2019"]]},"title":"Dual Class Companies List (Updated September 2019)","type":"webpage"},"uris":["http://www.mendeley.com/documents/?uuid=6d37cbb3-1428-4f77-aa50-4322255d2b1f"]}],"mendeley":{"formattedCitation":"(Council of Institutional Investors, 2019)","manualFormatting":"Council of Institutional Investors (2019)","plainTextFormattedCitation":"(Council of Institutional Investors, 2019)","previouslyFormattedCitation":"(Council of Institutional Investors, 2019)"},"properties":{"noteIndex":0},"schema":"https://github.com/citation-style-language/schema/raw/master/csl-citation.json"}</w:instrText>
      </w:r>
      <w:r w:rsidR="005B2FD3" w:rsidRPr="008754C3">
        <w:fldChar w:fldCharType="separate"/>
      </w:r>
      <w:r w:rsidR="005B2FD3" w:rsidRPr="008754C3">
        <w:rPr>
          <w:noProof/>
        </w:rPr>
        <w:t>Council of Institutional Investors (2019)</w:t>
      </w:r>
      <w:r w:rsidR="005B2FD3" w:rsidRPr="008754C3">
        <w:fldChar w:fldCharType="end"/>
      </w:r>
      <w:r w:rsidR="00D563D3" w:rsidRPr="008754C3">
        <w:t xml:space="preserve"> </w:t>
      </w:r>
      <w:r w:rsidRPr="008754C3">
        <w:t>list, and any missing firms were added. The final sample included 2</w:t>
      </w:r>
      <w:r w:rsidRPr="008754C3">
        <w:rPr>
          <w:rtl/>
        </w:rPr>
        <w:t>4</w:t>
      </w:r>
      <w:r w:rsidRPr="008754C3">
        <w:t>8 firms with dual-class stock that reported their financial statements using the XBRL format.</w:t>
      </w:r>
      <w:r w:rsidR="00C97054" w:rsidRPr="008754C3">
        <w:rPr>
          <w:rStyle w:val="FootnoteReference"/>
          <w:rFonts w:asciiTheme="majorBidi" w:hAnsiTheme="majorBidi" w:cstheme="majorBidi"/>
        </w:rPr>
        <w:footnoteReference w:id="4"/>
      </w:r>
      <w:r w:rsidRPr="008754C3">
        <w:t xml:space="preserve"> </w:t>
      </w:r>
    </w:p>
    <w:p w14:paraId="277FDF78" w14:textId="1D5FDC64" w:rsidR="005C32E8" w:rsidRPr="008754C3" w:rsidRDefault="005C32E8" w:rsidP="003203CB">
      <w:pPr>
        <w:pStyle w:val="LSbodytext"/>
        <w:spacing w:line="480" w:lineRule="auto"/>
      </w:pPr>
      <w:r w:rsidRPr="008754C3">
        <w:t xml:space="preserve">The main variable of interest in this paper is the size of the wedge. Dual-class firms included in the analysis have at least two outstanding classes of common stock and unequal voting rights that create a wedge between ownership and voting interests. </w:t>
      </w:r>
      <w:r w:rsidR="000718AA" w:rsidRPr="008754C3">
        <w:t>T</w:t>
      </w:r>
      <w:r w:rsidRPr="008754C3">
        <w:t>he wedge was calculated for each class of common stock with super-voting rights as that class</w:t>
      </w:r>
      <w:r w:rsidR="00117981" w:rsidRPr="008754C3">
        <w:t>’</w:t>
      </w:r>
      <w:r w:rsidRPr="008754C3">
        <w:t>s percentage of total voting rights minus that class</w:t>
      </w:r>
      <w:r w:rsidR="00117981" w:rsidRPr="008754C3">
        <w:t>’</w:t>
      </w:r>
      <w:r w:rsidRPr="008754C3">
        <w:t>s percentage of total outstanding equity</w:t>
      </w:r>
      <w:r w:rsidR="000718AA" w:rsidRPr="008754C3">
        <w:t xml:space="preserve"> (based on the </w:t>
      </w:r>
      <w:r w:rsidR="000718AA" w:rsidRPr="008754C3">
        <w:fldChar w:fldCharType="begin" w:fldLock="1"/>
      </w:r>
      <w:r w:rsidR="000718AA" w:rsidRPr="008754C3">
        <w:instrText>ADDIN CSL_CITATION {"citationItems":[{"id":"ITEM-1","itemData":{"URL":"https://www.cii.org/files/FINAL format Dual Class List 9-27-19.pdf","author":[{"dropping-particle":"","family":"Council of Institutional Investors","given":"","non-dropping-particle":"","parse-names":false,"suffix":""}],"id":"ITEM-1","issued":{"date-parts":[["2019"]]},"title":"Dual Class Companies List (Updated September 2019)","type":"webpage"},"uris":["http://www.mendeley.com/documents/?uuid=6d37cbb3-1428-4f77-aa50-4322255d2b1f"]}],"mendeley":{"formattedCitation":"(Council of Institutional Investors, 2019)","manualFormatting":"Council of Institutional Investors (2019)","plainTextFormattedCitation":"(Council of Institutional Investors, 2019)","previouslyFormattedCitation":"(Council of Institutional Investors, 2019)"},"properties":{"noteIndex":0},"schema":"https://github.com/citation-style-language/schema/raw/master/csl-citation.json"}</w:instrText>
      </w:r>
      <w:r w:rsidR="000718AA" w:rsidRPr="008754C3">
        <w:fldChar w:fldCharType="separate"/>
      </w:r>
      <w:r w:rsidR="000718AA" w:rsidRPr="008754C3">
        <w:rPr>
          <w:noProof/>
        </w:rPr>
        <w:t>Council of Institutional Investors (2019)</w:t>
      </w:r>
      <w:r w:rsidR="000718AA" w:rsidRPr="008754C3">
        <w:fldChar w:fldCharType="end"/>
      </w:r>
      <w:r w:rsidR="000718AA" w:rsidRPr="008754C3">
        <w:t xml:space="preserve"> list)</w:t>
      </w:r>
      <w:r w:rsidRPr="008754C3">
        <w:t>. The wedge quantifies the degree of misalignment between voting and economic interests created by the dual-class structure.</w:t>
      </w:r>
      <w:r w:rsidRPr="008754C3">
        <w:rPr>
          <w:rStyle w:val="FootnoteReference"/>
        </w:rPr>
        <w:footnoteReference w:id="5"/>
      </w:r>
      <w:r w:rsidRPr="008754C3">
        <w:t xml:space="preserve"> </w:t>
      </w:r>
    </w:p>
    <w:p w14:paraId="570096B9" w14:textId="78A9D2C0" w:rsidR="00357F43" w:rsidRPr="00B92AEC" w:rsidRDefault="001968A5" w:rsidP="00421551">
      <w:pPr>
        <w:pStyle w:val="LSbodytext"/>
        <w:spacing w:line="480" w:lineRule="auto"/>
      </w:pPr>
      <w:bookmarkStart w:id="3" w:name="_Hlk120089340"/>
      <w:r>
        <w:t xml:space="preserve">Previous research has found that </w:t>
      </w:r>
      <w:r w:rsidR="005C32E8" w:rsidRPr="008754C3">
        <w:t xml:space="preserve">more than half of dual-class companies are in the </w:t>
      </w:r>
      <w:r w:rsidR="003378FC" w:rsidRPr="008754C3">
        <w:t>s</w:t>
      </w:r>
      <w:r w:rsidR="005C32E8" w:rsidRPr="008754C3">
        <w:t xml:space="preserve">ervice and </w:t>
      </w:r>
      <w:r w:rsidR="003378FC" w:rsidRPr="008754C3">
        <w:t>m</w:t>
      </w:r>
      <w:r w:rsidR="005C32E8" w:rsidRPr="008754C3">
        <w:t xml:space="preserve">anufacturing industries </w:t>
      </w:r>
      <w:r>
        <w:fldChar w:fldCharType="begin" w:fldLock="1"/>
      </w:r>
      <w:r>
        <w:instrText xml:space="preserve">ADDIN CSL_CITATION {"citationItems":[{"id":"ITEM-1","itemData":{"DOI":"10.1561/108.00000059","abstract":"A dual-class firm structure, in which one class of shares confers more votes per share than the other, creates a gap between vot- ing rights and cash flow rights. In this paper, we examine the quality of the financial reports of dual- versus single-class firms publicly traded in the U.S. over the 2012–2017 period, as measured by persistence and predictive ability of earnings and cash flows. The results are based on comprehensive information from financial statements analyzed using across-sample and within-sample tests. An additional external indicator of financial restatement filings is also used to support the results. The findings demonstrate that the quality of financial reports is higher for dual-class firms than for single-class firms and increases over time. This suggests that the freedom from market pressures is stronger than agency costs, encouraging founders to provide investors with higher-quality infor- mation in exchange for superior voting rights. The results uncover important and counterintuitive evidence about the existence of a tradeoff between the dilution of voting rights and enhancement of the credibility of information provided to investors. </w:instrText>
      </w:r>
      <w:r>
        <w:rPr>
          <w:rFonts w:ascii="Cambria Math" w:hAnsi="Cambria Math" w:cs="Cambria Math"/>
        </w:rPr>
        <w:instrText>∗</w:instrText>
      </w:r>
      <w:r>
        <w:instrText>Corresponding","author":[{"dropping-particle":"","family":"Palas","given":"Rimona","non-dropping-particle":"","parse-names":false,"suffix":""},{"dropping-particle":"","family":"Solomon","given":"Dov","non-dropping-particle":"","parse-names":false,"suffix":""}],"container-title":"Journal of Law, Finance, and Accounting","id":"ITEM-1","issue":"1","issued":{"date-parts":[["2022"]]},"page":"127-164","title":"The Quality of Earnings Information in Dual-Class Firms : Persistence and Predictability","type":"article-journal","volume":"7"},"uris":["http://www.mendeley.com/documents/?uuid=6d71f758-dab6-4825-a845-d6d4d0e01297"]}],"mendeley":{"formattedCitation":"(Palas &amp; Solomon, 2022)","plainTextFormattedCitation":"(Palas &amp; Solomon, 2022)"},"properties":{"noteIndex":0},"schema":"https://github.com/citation-style-language/schema/raw/master/csl-citation.json"}</w:instrText>
      </w:r>
      <w:r>
        <w:fldChar w:fldCharType="separate"/>
      </w:r>
      <w:r w:rsidRPr="001968A5">
        <w:rPr>
          <w:noProof/>
        </w:rPr>
        <w:t>(Palas &amp; Solomon, 2022)</w:t>
      </w:r>
      <w:r>
        <w:fldChar w:fldCharType="end"/>
      </w:r>
      <w:r>
        <w:t>.</w:t>
      </w:r>
      <w:r w:rsidR="005C32E8" w:rsidRPr="008754C3">
        <w:t xml:space="preserve"> </w:t>
      </w:r>
      <w:r w:rsidR="00355652">
        <w:t xml:space="preserve">There </w:t>
      </w:r>
      <w:r>
        <w:t xml:space="preserve">does not seem to be a vast difference in average wedge size by industries (based on their </w:t>
      </w:r>
      <w:r w:rsidR="00355652">
        <w:t>two-</w:t>
      </w:r>
      <w:r>
        <w:t>digit SIC code)</w:t>
      </w:r>
      <w:r w:rsidRPr="008754C3">
        <w:t xml:space="preserve"> </w:t>
      </w:r>
      <w:r>
        <w:t xml:space="preserve">and it ranges between </w:t>
      </w:r>
      <w:r w:rsidR="00D15014">
        <w:t>39</w:t>
      </w:r>
      <w:r>
        <w:t xml:space="preserve">-50%. </w:t>
      </w:r>
      <w:bookmarkStart w:id="4" w:name="_Hlk119053652"/>
      <w:r w:rsidR="0024742E">
        <w:t>Nonetheless, w</w:t>
      </w:r>
      <w:r w:rsidR="00C10A98">
        <w:t xml:space="preserve">edge size </w:t>
      </w:r>
      <w:r w:rsidR="0024742E">
        <w:t xml:space="preserve">does vary </w:t>
      </w:r>
      <w:r w:rsidR="00C10A98">
        <w:t>among observations (a company may have between 1-8 observations)</w:t>
      </w:r>
      <w:r w:rsidR="0024742E">
        <w:t>, among companies, and over time</w:t>
      </w:r>
      <w:r w:rsidR="00C10A98">
        <w:t>.</w:t>
      </w:r>
    </w:p>
    <w:p w14:paraId="416D5492" w14:textId="7F1E81D0" w:rsidR="00290084" w:rsidRPr="00365ADA" w:rsidRDefault="00290084" w:rsidP="00357F43">
      <w:pPr>
        <w:widowControl w:val="0"/>
        <w:bidi w:val="0"/>
        <w:spacing w:before="240" w:after="0" w:line="240" w:lineRule="auto"/>
        <w:jc w:val="both"/>
        <w:rPr>
          <w:rFonts w:asciiTheme="majorBidi" w:hAnsiTheme="majorBidi" w:cstheme="majorBidi"/>
          <w:b/>
          <w:bCs/>
          <w:sz w:val="24"/>
          <w:szCs w:val="24"/>
        </w:rPr>
      </w:pPr>
      <w:r w:rsidRPr="00365ADA">
        <w:rPr>
          <w:rFonts w:asciiTheme="majorBidi" w:hAnsiTheme="majorBidi" w:cstheme="majorBidi"/>
          <w:b/>
          <w:bCs/>
          <w:sz w:val="24"/>
          <w:szCs w:val="24"/>
        </w:rPr>
        <w:lastRenderedPageBreak/>
        <w:t xml:space="preserve">Table </w:t>
      </w:r>
      <w:r w:rsidR="0024742E">
        <w:rPr>
          <w:rFonts w:asciiTheme="majorBidi" w:hAnsiTheme="majorBidi" w:cstheme="majorBidi"/>
          <w:b/>
          <w:bCs/>
          <w:sz w:val="24"/>
          <w:szCs w:val="24"/>
        </w:rPr>
        <w:t>1</w:t>
      </w:r>
      <w:r w:rsidR="0024742E" w:rsidRPr="00365ADA">
        <w:rPr>
          <w:rFonts w:asciiTheme="majorBidi" w:hAnsiTheme="majorBidi" w:cstheme="majorBidi"/>
          <w:b/>
          <w:bCs/>
          <w:sz w:val="24"/>
          <w:szCs w:val="24"/>
        </w:rPr>
        <w:t xml:space="preserve"> </w:t>
      </w:r>
    </w:p>
    <w:p w14:paraId="1A524147" w14:textId="4404B0DE" w:rsidR="00290084" w:rsidRPr="00F9234E" w:rsidRDefault="00D96FA7" w:rsidP="00290084">
      <w:pPr>
        <w:widowControl w:val="0"/>
        <w:bidi w:val="0"/>
        <w:spacing w:line="240" w:lineRule="auto"/>
        <w:jc w:val="both"/>
        <w:rPr>
          <w:rFonts w:asciiTheme="majorBidi" w:hAnsiTheme="majorBidi" w:cstheme="majorBidi"/>
          <w:b/>
          <w:bCs/>
          <w:sz w:val="24"/>
          <w:szCs w:val="24"/>
        </w:rPr>
      </w:pPr>
      <w:r w:rsidRPr="00F9234E">
        <w:rPr>
          <w:rFonts w:asciiTheme="majorBidi" w:hAnsiTheme="majorBidi" w:cstheme="majorBidi"/>
          <w:b/>
          <w:bCs/>
          <w:sz w:val="24"/>
          <w:szCs w:val="24"/>
        </w:rPr>
        <w:t>Wedge</w:t>
      </w:r>
      <w:r w:rsidR="00290084" w:rsidRPr="00F9234E">
        <w:rPr>
          <w:rFonts w:asciiTheme="majorBidi" w:hAnsiTheme="majorBidi" w:cstheme="majorBidi"/>
          <w:b/>
          <w:bCs/>
          <w:sz w:val="24"/>
          <w:szCs w:val="24"/>
        </w:rPr>
        <w:t xml:space="preserve"> characteristics. </w:t>
      </w:r>
    </w:p>
    <w:tbl>
      <w:tblPr>
        <w:tblStyle w:val="TableGrid"/>
        <w:tblW w:w="5461"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1"/>
        <w:gridCol w:w="2128"/>
        <w:gridCol w:w="2836"/>
        <w:gridCol w:w="1987"/>
        <w:gridCol w:w="200"/>
      </w:tblGrid>
      <w:tr w:rsidR="00290084" w:rsidRPr="008754C3" w14:paraId="0C63C451" w14:textId="77777777" w:rsidTr="00F9234E">
        <w:tc>
          <w:tcPr>
            <w:tcW w:w="1059" w:type="pct"/>
            <w:tcBorders>
              <w:top w:val="single" w:sz="4" w:space="0" w:color="auto"/>
              <w:bottom w:val="single" w:sz="4" w:space="0" w:color="auto"/>
            </w:tcBorders>
          </w:tcPr>
          <w:p w14:paraId="609F0B45" w14:textId="013E1349" w:rsidR="00290084" w:rsidRPr="00365ADA" w:rsidRDefault="00D96FA7" w:rsidP="00F9234E">
            <w:pPr>
              <w:widowControl w:val="0"/>
              <w:bidi w:val="0"/>
              <w:ind w:firstLine="0"/>
              <w:jc w:val="center"/>
              <w:rPr>
                <w:rFonts w:asciiTheme="majorBidi" w:hAnsiTheme="majorBidi" w:cstheme="majorBidi"/>
                <w:b/>
                <w:bCs/>
                <w:sz w:val="24"/>
                <w:szCs w:val="24"/>
                <w:vertAlign w:val="superscript"/>
              </w:rPr>
            </w:pPr>
            <w:proofErr w:type="spellStart"/>
            <w:r>
              <w:rPr>
                <w:rFonts w:asciiTheme="majorBidi" w:hAnsiTheme="majorBidi" w:cstheme="majorBidi"/>
                <w:b/>
                <w:bCs/>
                <w:sz w:val="24"/>
                <w:szCs w:val="24"/>
              </w:rPr>
              <w:t>Wedge</w:t>
            </w:r>
            <w:r>
              <w:rPr>
                <w:rFonts w:asciiTheme="majorBidi" w:hAnsiTheme="majorBidi" w:cstheme="majorBidi"/>
                <w:b/>
                <w:bCs/>
                <w:sz w:val="24"/>
                <w:szCs w:val="24"/>
                <w:vertAlign w:val="superscript"/>
              </w:rPr>
              <w:t>a</w:t>
            </w:r>
            <w:proofErr w:type="spellEnd"/>
          </w:p>
        </w:tc>
        <w:tc>
          <w:tcPr>
            <w:tcW w:w="1173" w:type="pct"/>
            <w:tcBorders>
              <w:top w:val="single" w:sz="4" w:space="0" w:color="auto"/>
              <w:bottom w:val="single" w:sz="4" w:space="0" w:color="auto"/>
            </w:tcBorders>
          </w:tcPr>
          <w:p w14:paraId="50804509" w14:textId="7241F41D" w:rsidR="00290084" w:rsidRPr="00F9234E" w:rsidRDefault="00290084" w:rsidP="00216D6D">
            <w:pPr>
              <w:widowControl w:val="0"/>
              <w:bidi w:val="0"/>
              <w:ind w:firstLine="0"/>
              <w:rPr>
                <w:rFonts w:asciiTheme="majorBidi" w:hAnsiTheme="majorBidi" w:cstheme="majorBidi"/>
                <w:b/>
                <w:bCs/>
                <w:sz w:val="24"/>
                <w:szCs w:val="24"/>
                <w:vertAlign w:val="superscript"/>
              </w:rPr>
            </w:pPr>
            <w:r w:rsidRPr="00365ADA">
              <w:rPr>
                <w:rFonts w:asciiTheme="majorBidi" w:hAnsiTheme="majorBidi" w:cstheme="majorBidi"/>
                <w:b/>
                <w:bCs/>
                <w:sz w:val="24"/>
                <w:szCs w:val="24"/>
              </w:rPr>
              <w:t xml:space="preserve"># </w:t>
            </w:r>
            <w:proofErr w:type="gramStart"/>
            <w:r w:rsidRPr="00365ADA">
              <w:rPr>
                <w:rFonts w:asciiTheme="majorBidi" w:hAnsiTheme="majorBidi" w:cstheme="majorBidi"/>
                <w:b/>
                <w:bCs/>
                <w:sz w:val="24"/>
                <w:szCs w:val="24"/>
              </w:rPr>
              <w:t>of</w:t>
            </w:r>
            <w:proofErr w:type="gramEnd"/>
            <w:r w:rsidRPr="00365ADA">
              <w:rPr>
                <w:rFonts w:asciiTheme="majorBidi" w:hAnsiTheme="majorBidi" w:cstheme="majorBidi"/>
                <w:b/>
                <w:bCs/>
                <w:sz w:val="24"/>
                <w:szCs w:val="24"/>
              </w:rPr>
              <w:t xml:space="preserve"> </w:t>
            </w:r>
            <w:proofErr w:type="spellStart"/>
            <w:r w:rsidR="00D96FA7">
              <w:rPr>
                <w:rFonts w:asciiTheme="majorBidi" w:hAnsiTheme="majorBidi" w:cstheme="majorBidi"/>
                <w:b/>
                <w:bCs/>
                <w:sz w:val="24"/>
                <w:szCs w:val="24"/>
              </w:rPr>
              <w:t>Observations</w:t>
            </w:r>
            <w:r w:rsidR="0082285F">
              <w:rPr>
                <w:rFonts w:asciiTheme="majorBidi" w:hAnsiTheme="majorBidi" w:cstheme="majorBidi"/>
                <w:b/>
                <w:bCs/>
                <w:sz w:val="24"/>
                <w:szCs w:val="24"/>
                <w:vertAlign w:val="superscript"/>
              </w:rPr>
              <w:t>b</w:t>
            </w:r>
            <w:proofErr w:type="spellEnd"/>
          </w:p>
        </w:tc>
        <w:tc>
          <w:tcPr>
            <w:tcW w:w="1563" w:type="pct"/>
            <w:tcBorders>
              <w:top w:val="single" w:sz="4" w:space="0" w:color="auto"/>
              <w:bottom w:val="single" w:sz="4" w:space="0" w:color="auto"/>
            </w:tcBorders>
          </w:tcPr>
          <w:p w14:paraId="63E5447B" w14:textId="368BB630" w:rsidR="00290084" w:rsidRPr="00365ADA" w:rsidRDefault="00290084" w:rsidP="00216D6D">
            <w:pPr>
              <w:widowControl w:val="0"/>
              <w:bidi w:val="0"/>
              <w:ind w:firstLine="0"/>
              <w:rPr>
                <w:rFonts w:asciiTheme="majorBidi" w:hAnsiTheme="majorBidi" w:cstheme="majorBidi"/>
                <w:b/>
                <w:bCs/>
                <w:sz w:val="24"/>
                <w:szCs w:val="24"/>
                <w:vertAlign w:val="superscript"/>
              </w:rPr>
            </w:pPr>
            <w:r w:rsidRPr="00365ADA">
              <w:rPr>
                <w:rFonts w:asciiTheme="majorBidi" w:hAnsiTheme="majorBidi" w:cstheme="majorBidi"/>
                <w:b/>
                <w:bCs/>
                <w:sz w:val="24"/>
                <w:szCs w:val="24"/>
              </w:rPr>
              <w:t xml:space="preserve">% </w:t>
            </w:r>
            <w:proofErr w:type="gramStart"/>
            <w:r w:rsidRPr="00365ADA">
              <w:rPr>
                <w:rFonts w:asciiTheme="majorBidi" w:hAnsiTheme="majorBidi" w:cstheme="majorBidi"/>
                <w:b/>
                <w:bCs/>
                <w:sz w:val="24"/>
                <w:szCs w:val="24"/>
              </w:rPr>
              <w:t>of</w:t>
            </w:r>
            <w:proofErr w:type="gramEnd"/>
            <w:r w:rsidRPr="00365ADA">
              <w:rPr>
                <w:rFonts w:asciiTheme="majorBidi" w:hAnsiTheme="majorBidi" w:cstheme="majorBidi"/>
                <w:b/>
                <w:bCs/>
                <w:sz w:val="24"/>
                <w:szCs w:val="24"/>
              </w:rPr>
              <w:t xml:space="preserve"> </w:t>
            </w:r>
            <w:r w:rsidR="00D96FA7">
              <w:rPr>
                <w:rFonts w:asciiTheme="majorBidi" w:hAnsiTheme="majorBidi" w:cstheme="majorBidi"/>
                <w:b/>
                <w:bCs/>
                <w:sz w:val="24"/>
                <w:szCs w:val="24"/>
              </w:rPr>
              <w:t>Observations</w:t>
            </w:r>
          </w:p>
        </w:tc>
        <w:tc>
          <w:tcPr>
            <w:tcW w:w="1206" w:type="pct"/>
            <w:gridSpan w:val="2"/>
            <w:tcBorders>
              <w:top w:val="single" w:sz="4" w:space="0" w:color="auto"/>
              <w:bottom w:val="single" w:sz="4" w:space="0" w:color="auto"/>
            </w:tcBorders>
          </w:tcPr>
          <w:p w14:paraId="6D811732" w14:textId="1DBA548D" w:rsidR="00290084" w:rsidRPr="00F9234E" w:rsidRDefault="00290084" w:rsidP="00216D6D">
            <w:pPr>
              <w:widowControl w:val="0"/>
              <w:bidi w:val="0"/>
              <w:ind w:firstLine="0"/>
              <w:rPr>
                <w:rFonts w:asciiTheme="majorBidi" w:hAnsiTheme="majorBidi" w:cstheme="majorBidi"/>
                <w:b/>
                <w:bCs/>
                <w:sz w:val="24"/>
                <w:szCs w:val="24"/>
                <w:vertAlign w:val="superscript"/>
              </w:rPr>
            </w:pPr>
            <w:r w:rsidRPr="00365ADA">
              <w:rPr>
                <w:rFonts w:asciiTheme="majorBidi" w:hAnsiTheme="majorBidi" w:cstheme="majorBidi"/>
                <w:b/>
                <w:bCs/>
                <w:sz w:val="24"/>
                <w:szCs w:val="24"/>
              </w:rPr>
              <w:t xml:space="preserve">Average </w:t>
            </w:r>
            <w:proofErr w:type="spellStart"/>
            <w:r w:rsidRPr="00365ADA">
              <w:rPr>
                <w:rFonts w:asciiTheme="majorBidi" w:hAnsiTheme="majorBidi" w:cstheme="majorBidi"/>
                <w:b/>
                <w:bCs/>
                <w:sz w:val="24"/>
                <w:szCs w:val="24"/>
              </w:rPr>
              <w:t>Wedge</w:t>
            </w:r>
            <w:r w:rsidR="0082285F">
              <w:rPr>
                <w:rFonts w:asciiTheme="majorBidi" w:hAnsiTheme="majorBidi" w:cstheme="majorBidi"/>
                <w:b/>
                <w:bCs/>
                <w:sz w:val="24"/>
                <w:szCs w:val="24"/>
                <w:vertAlign w:val="superscript"/>
              </w:rPr>
              <w:t>c</w:t>
            </w:r>
            <w:proofErr w:type="spellEnd"/>
          </w:p>
        </w:tc>
      </w:tr>
      <w:tr w:rsidR="00D96FA7" w:rsidRPr="008754C3" w14:paraId="5A53770E" w14:textId="77777777" w:rsidTr="00F9234E">
        <w:tc>
          <w:tcPr>
            <w:tcW w:w="1059" w:type="pct"/>
            <w:tcBorders>
              <w:top w:val="single" w:sz="4" w:space="0" w:color="auto"/>
            </w:tcBorders>
            <w:vAlign w:val="bottom"/>
          </w:tcPr>
          <w:p w14:paraId="6A6F014F" w14:textId="0F60AB75" w:rsidR="00D96FA7" w:rsidRPr="00A3092B" w:rsidRDefault="00D96FA7" w:rsidP="00D96FA7">
            <w:pPr>
              <w:widowControl w:val="0"/>
              <w:bidi w:val="0"/>
              <w:ind w:firstLine="0"/>
              <w:jc w:val="center"/>
              <w:rPr>
                <w:rFonts w:asciiTheme="majorBidi" w:hAnsiTheme="majorBidi" w:cstheme="majorBidi"/>
                <w:sz w:val="24"/>
                <w:szCs w:val="24"/>
              </w:rPr>
            </w:pPr>
            <w:r w:rsidRPr="00F9234E">
              <w:rPr>
                <w:rFonts w:asciiTheme="majorBidi" w:hAnsiTheme="majorBidi" w:cstheme="majorBidi"/>
                <w:sz w:val="24"/>
                <w:szCs w:val="24"/>
              </w:rPr>
              <w:t>1</w:t>
            </w:r>
            <w:r w:rsidR="00EF4639">
              <w:rPr>
                <w:rFonts w:asciiTheme="majorBidi" w:hAnsiTheme="majorBidi" w:cstheme="majorBidi"/>
                <w:sz w:val="24"/>
                <w:szCs w:val="24"/>
              </w:rPr>
              <w:t>%</w:t>
            </w:r>
            <w:r w:rsidRPr="00F9234E">
              <w:rPr>
                <w:rFonts w:asciiTheme="majorBidi" w:hAnsiTheme="majorBidi" w:cstheme="majorBidi"/>
                <w:sz w:val="24"/>
                <w:szCs w:val="24"/>
              </w:rPr>
              <w:t>-10%</w:t>
            </w:r>
          </w:p>
        </w:tc>
        <w:tc>
          <w:tcPr>
            <w:tcW w:w="1173" w:type="pct"/>
            <w:tcBorders>
              <w:top w:val="single" w:sz="4" w:space="0" w:color="auto"/>
            </w:tcBorders>
            <w:vAlign w:val="bottom"/>
          </w:tcPr>
          <w:p w14:paraId="3F922225" w14:textId="2B75F8FD" w:rsidR="00D96FA7" w:rsidRPr="00A3092B" w:rsidRDefault="00D96FA7" w:rsidP="00D96FA7">
            <w:pPr>
              <w:widowControl w:val="0"/>
              <w:bidi w:val="0"/>
              <w:ind w:firstLine="0"/>
              <w:jc w:val="center"/>
              <w:rPr>
                <w:rFonts w:asciiTheme="majorBidi" w:hAnsiTheme="majorBidi" w:cstheme="majorBidi"/>
                <w:sz w:val="24"/>
                <w:szCs w:val="24"/>
              </w:rPr>
            </w:pPr>
            <w:r w:rsidRPr="00F9234E">
              <w:rPr>
                <w:rFonts w:asciiTheme="majorBidi" w:hAnsiTheme="majorBidi" w:cstheme="majorBidi"/>
                <w:sz w:val="24"/>
                <w:szCs w:val="24"/>
              </w:rPr>
              <w:t>73</w:t>
            </w:r>
          </w:p>
        </w:tc>
        <w:tc>
          <w:tcPr>
            <w:tcW w:w="1563" w:type="pct"/>
            <w:tcBorders>
              <w:top w:val="single" w:sz="4" w:space="0" w:color="auto"/>
            </w:tcBorders>
            <w:vAlign w:val="bottom"/>
          </w:tcPr>
          <w:p w14:paraId="6434B53D" w14:textId="4DE6D9CE" w:rsidR="00D96FA7" w:rsidRPr="00A3092B" w:rsidRDefault="00D96FA7" w:rsidP="00D96FA7">
            <w:pPr>
              <w:widowControl w:val="0"/>
              <w:bidi w:val="0"/>
              <w:ind w:firstLine="0"/>
              <w:jc w:val="center"/>
              <w:rPr>
                <w:rFonts w:asciiTheme="majorBidi" w:hAnsiTheme="majorBidi" w:cstheme="majorBidi"/>
                <w:sz w:val="24"/>
                <w:szCs w:val="24"/>
              </w:rPr>
            </w:pPr>
            <w:r w:rsidRPr="00F9234E">
              <w:rPr>
                <w:rFonts w:asciiTheme="majorBidi" w:hAnsiTheme="majorBidi" w:cstheme="majorBidi"/>
                <w:sz w:val="24"/>
                <w:szCs w:val="24"/>
              </w:rPr>
              <w:t>4.90%</w:t>
            </w:r>
          </w:p>
        </w:tc>
        <w:tc>
          <w:tcPr>
            <w:tcW w:w="1206" w:type="pct"/>
            <w:gridSpan w:val="2"/>
            <w:tcBorders>
              <w:top w:val="single" w:sz="4" w:space="0" w:color="auto"/>
            </w:tcBorders>
            <w:vAlign w:val="bottom"/>
          </w:tcPr>
          <w:p w14:paraId="5519D028" w14:textId="0473EADB" w:rsidR="00D96FA7" w:rsidRPr="00A3092B" w:rsidRDefault="00D96FA7" w:rsidP="00D96FA7">
            <w:pPr>
              <w:widowControl w:val="0"/>
              <w:bidi w:val="0"/>
              <w:ind w:firstLine="0"/>
              <w:jc w:val="center"/>
              <w:rPr>
                <w:rFonts w:asciiTheme="majorBidi" w:hAnsiTheme="majorBidi" w:cstheme="majorBidi"/>
                <w:sz w:val="24"/>
                <w:szCs w:val="24"/>
              </w:rPr>
            </w:pPr>
            <w:r w:rsidRPr="00F9234E">
              <w:rPr>
                <w:rFonts w:asciiTheme="majorBidi" w:hAnsiTheme="majorBidi" w:cstheme="majorBidi"/>
                <w:sz w:val="24"/>
                <w:szCs w:val="24"/>
              </w:rPr>
              <w:t>4.96%</w:t>
            </w:r>
          </w:p>
        </w:tc>
      </w:tr>
      <w:tr w:rsidR="00D96FA7" w:rsidRPr="008754C3" w14:paraId="3B16929E" w14:textId="77777777" w:rsidTr="00F9234E">
        <w:tc>
          <w:tcPr>
            <w:tcW w:w="1059" w:type="pct"/>
            <w:vAlign w:val="bottom"/>
          </w:tcPr>
          <w:p w14:paraId="4F0B3CD6" w14:textId="587858F6" w:rsidR="00D96FA7" w:rsidRPr="00A3092B" w:rsidRDefault="00D96FA7" w:rsidP="00D96FA7">
            <w:pPr>
              <w:widowControl w:val="0"/>
              <w:bidi w:val="0"/>
              <w:ind w:firstLine="0"/>
              <w:jc w:val="center"/>
              <w:rPr>
                <w:rFonts w:asciiTheme="majorBidi" w:hAnsiTheme="majorBidi" w:cstheme="majorBidi"/>
                <w:sz w:val="24"/>
                <w:szCs w:val="24"/>
              </w:rPr>
            </w:pPr>
            <w:r w:rsidRPr="00F9234E">
              <w:rPr>
                <w:rFonts w:asciiTheme="majorBidi" w:hAnsiTheme="majorBidi" w:cstheme="majorBidi"/>
                <w:sz w:val="24"/>
                <w:szCs w:val="24"/>
              </w:rPr>
              <w:t>11</w:t>
            </w:r>
            <w:r w:rsidR="00EF4639">
              <w:rPr>
                <w:rFonts w:asciiTheme="majorBidi" w:hAnsiTheme="majorBidi" w:cstheme="majorBidi"/>
                <w:sz w:val="24"/>
                <w:szCs w:val="24"/>
              </w:rPr>
              <w:t>%</w:t>
            </w:r>
            <w:r w:rsidRPr="00F9234E">
              <w:rPr>
                <w:rFonts w:asciiTheme="majorBidi" w:hAnsiTheme="majorBidi" w:cstheme="majorBidi"/>
                <w:sz w:val="24"/>
                <w:szCs w:val="24"/>
              </w:rPr>
              <w:t>-20%</w:t>
            </w:r>
          </w:p>
        </w:tc>
        <w:tc>
          <w:tcPr>
            <w:tcW w:w="1173" w:type="pct"/>
            <w:vAlign w:val="bottom"/>
          </w:tcPr>
          <w:p w14:paraId="7D29B508" w14:textId="4147B455" w:rsidR="00D96FA7" w:rsidRPr="00A3092B" w:rsidRDefault="00D96FA7" w:rsidP="00D96FA7">
            <w:pPr>
              <w:widowControl w:val="0"/>
              <w:bidi w:val="0"/>
              <w:ind w:firstLine="0"/>
              <w:jc w:val="center"/>
              <w:rPr>
                <w:rFonts w:asciiTheme="majorBidi" w:hAnsiTheme="majorBidi" w:cstheme="majorBidi"/>
                <w:sz w:val="24"/>
                <w:szCs w:val="24"/>
              </w:rPr>
            </w:pPr>
            <w:r w:rsidRPr="00F9234E">
              <w:rPr>
                <w:rFonts w:asciiTheme="majorBidi" w:hAnsiTheme="majorBidi" w:cstheme="majorBidi"/>
                <w:sz w:val="24"/>
                <w:szCs w:val="24"/>
              </w:rPr>
              <w:t>104</w:t>
            </w:r>
          </w:p>
        </w:tc>
        <w:tc>
          <w:tcPr>
            <w:tcW w:w="1563" w:type="pct"/>
            <w:vAlign w:val="bottom"/>
          </w:tcPr>
          <w:p w14:paraId="4412E533" w14:textId="7888A39A" w:rsidR="00D96FA7" w:rsidRPr="00A3092B" w:rsidRDefault="00D96FA7" w:rsidP="00D96FA7">
            <w:pPr>
              <w:widowControl w:val="0"/>
              <w:bidi w:val="0"/>
              <w:ind w:firstLine="0"/>
              <w:jc w:val="center"/>
              <w:rPr>
                <w:rFonts w:asciiTheme="majorBidi" w:hAnsiTheme="majorBidi" w:cstheme="majorBidi"/>
                <w:sz w:val="24"/>
                <w:szCs w:val="24"/>
              </w:rPr>
            </w:pPr>
            <w:r w:rsidRPr="00F9234E">
              <w:rPr>
                <w:rFonts w:asciiTheme="majorBidi" w:hAnsiTheme="majorBidi" w:cstheme="majorBidi"/>
                <w:sz w:val="24"/>
                <w:szCs w:val="24"/>
              </w:rPr>
              <w:t>6.98%</w:t>
            </w:r>
          </w:p>
        </w:tc>
        <w:tc>
          <w:tcPr>
            <w:tcW w:w="1206" w:type="pct"/>
            <w:gridSpan w:val="2"/>
            <w:vAlign w:val="bottom"/>
          </w:tcPr>
          <w:p w14:paraId="23EFA195" w14:textId="64D818EA" w:rsidR="00D96FA7" w:rsidRPr="00A3092B" w:rsidRDefault="00D96FA7" w:rsidP="00D96FA7">
            <w:pPr>
              <w:widowControl w:val="0"/>
              <w:bidi w:val="0"/>
              <w:ind w:firstLine="0"/>
              <w:jc w:val="center"/>
              <w:rPr>
                <w:rFonts w:asciiTheme="majorBidi" w:hAnsiTheme="majorBidi" w:cstheme="majorBidi"/>
                <w:sz w:val="24"/>
                <w:szCs w:val="24"/>
              </w:rPr>
            </w:pPr>
            <w:r w:rsidRPr="00F9234E">
              <w:rPr>
                <w:rFonts w:asciiTheme="majorBidi" w:hAnsiTheme="majorBidi" w:cstheme="majorBidi"/>
                <w:sz w:val="24"/>
                <w:szCs w:val="24"/>
              </w:rPr>
              <w:t>14.60%</w:t>
            </w:r>
          </w:p>
        </w:tc>
      </w:tr>
      <w:tr w:rsidR="00D96FA7" w:rsidRPr="008754C3" w14:paraId="79A36C00" w14:textId="77777777" w:rsidTr="00F9234E">
        <w:tc>
          <w:tcPr>
            <w:tcW w:w="1059" w:type="pct"/>
            <w:vAlign w:val="bottom"/>
          </w:tcPr>
          <w:p w14:paraId="6C0387CB" w14:textId="5D5305B9" w:rsidR="00D96FA7" w:rsidRPr="00A3092B" w:rsidRDefault="00D96FA7" w:rsidP="00D96FA7">
            <w:pPr>
              <w:widowControl w:val="0"/>
              <w:bidi w:val="0"/>
              <w:ind w:firstLine="0"/>
              <w:jc w:val="center"/>
              <w:rPr>
                <w:rFonts w:asciiTheme="majorBidi" w:hAnsiTheme="majorBidi" w:cstheme="majorBidi"/>
                <w:sz w:val="24"/>
                <w:szCs w:val="24"/>
              </w:rPr>
            </w:pPr>
            <w:r w:rsidRPr="00F9234E">
              <w:rPr>
                <w:rFonts w:asciiTheme="majorBidi" w:hAnsiTheme="majorBidi" w:cstheme="majorBidi"/>
                <w:sz w:val="24"/>
                <w:szCs w:val="24"/>
              </w:rPr>
              <w:t>21</w:t>
            </w:r>
            <w:r w:rsidR="00EF4639">
              <w:rPr>
                <w:rFonts w:asciiTheme="majorBidi" w:hAnsiTheme="majorBidi" w:cstheme="majorBidi"/>
                <w:sz w:val="24"/>
                <w:szCs w:val="24"/>
              </w:rPr>
              <w:t>%</w:t>
            </w:r>
            <w:r w:rsidRPr="00F9234E">
              <w:rPr>
                <w:rFonts w:asciiTheme="majorBidi" w:hAnsiTheme="majorBidi" w:cstheme="majorBidi"/>
                <w:sz w:val="24"/>
                <w:szCs w:val="24"/>
              </w:rPr>
              <w:t>-30%</w:t>
            </w:r>
          </w:p>
        </w:tc>
        <w:tc>
          <w:tcPr>
            <w:tcW w:w="1173" w:type="pct"/>
            <w:vAlign w:val="bottom"/>
          </w:tcPr>
          <w:p w14:paraId="5E7D7320" w14:textId="3D9D4E5E" w:rsidR="00D96FA7" w:rsidRPr="00A3092B" w:rsidRDefault="00D96FA7" w:rsidP="00D96FA7">
            <w:pPr>
              <w:widowControl w:val="0"/>
              <w:bidi w:val="0"/>
              <w:ind w:firstLine="0"/>
              <w:jc w:val="center"/>
              <w:rPr>
                <w:rFonts w:asciiTheme="majorBidi" w:hAnsiTheme="majorBidi" w:cstheme="majorBidi"/>
                <w:sz w:val="24"/>
                <w:szCs w:val="24"/>
              </w:rPr>
            </w:pPr>
            <w:r w:rsidRPr="00F9234E">
              <w:rPr>
                <w:rFonts w:asciiTheme="majorBidi" w:hAnsiTheme="majorBidi" w:cstheme="majorBidi"/>
                <w:sz w:val="24"/>
                <w:szCs w:val="24"/>
              </w:rPr>
              <w:t>123</w:t>
            </w:r>
          </w:p>
        </w:tc>
        <w:tc>
          <w:tcPr>
            <w:tcW w:w="1563" w:type="pct"/>
            <w:vAlign w:val="bottom"/>
          </w:tcPr>
          <w:p w14:paraId="0DB6808C" w14:textId="6F946747" w:rsidR="00D96FA7" w:rsidRPr="00A3092B" w:rsidRDefault="00D96FA7" w:rsidP="00D96FA7">
            <w:pPr>
              <w:widowControl w:val="0"/>
              <w:bidi w:val="0"/>
              <w:ind w:firstLine="0"/>
              <w:jc w:val="center"/>
              <w:rPr>
                <w:rFonts w:asciiTheme="majorBidi" w:hAnsiTheme="majorBidi" w:cstheme="majorBidi"/>
                <w:sz w:val="24"/>
                <w:szCs w:val="24"/>
              </w:rPr>
            </w:pPr>
            <w:r w:rsidRPr="00F9234E">
              <w:rPr>
                <w:rFonts w:asciiTheme="majorBidi" w:hAnsiTheme="majorBidi" w:cstheme="majorBidi"/>
                <w:sz w:val="24"/>
                <w:szCs w:val="24"/>
              </w:rPr>
              <w:t>8.26%</w:t>
            </w:r>
          </w:p>
        </w:tc>
        <w:tc>
          <w:tcPr>
            <w:tcW w:w="1206" w:type="pct"/>
            <w:gridSpan w:val="2"/>
            <w:vAlign w:val="bottom"/>
          </w:tcPr>
          <w:p w14:paraId="2D6E403F" w14:textId="3A5A91FC" w:rsidR="00D96FA7" w:rsidRPr="00A3092B" w:rsidRDefault="00D96FA7" w:rsidP="00D96FA7">
            <w:pPr>
              <w:widowControl w:val="0"/>
              <w:bidi w:val="0"/>
              <w:ind w:firstLine="0"/>
              <w:jc w:val="center"/>
              <w:rPr>
                <w:rFonts w:asciiTheme="majorBidi" w:hAnsiTheme="majorBidi" w:cstheme="majorBidi"/>
                <w:sz w:val="24"/>
                <w:szCs w:val="24"/>
              </w:rPr>
            </w:pPr>
            <w:r w:rsidRPr="00F9234E">
              <w:rPr>
                <w:rFonts w:asciiTheme="majorBidi" w:hAnsiTheme="majorBidi" w:cstheme="majorBidi"/>
                <w:sz w:val="24"/>
                <w:szCs w:val="24"/>
              </w:rPr>
              <w:t>25.08%</w:t>
            </w:r>
          </w:p>
        </w:tc>
      </w:tr>
      <w:tr w:rsidR="00D96FA7" w:rsidRPr="008754C3" w14:paraId="2448D390" w14:textId="77777777" w:rsidTr="00F9234E">
        <w:tc>
          <w:tcPr>
            <w:tcW w:w="1059" w:type="pct"/>
            <w:vAlign w:val="bottom"/>
          </w:tcPr>
          <w:p w14:paraId="0D734845" w14:textId="2B7191AB" w:rsidR="00D96FA7" w:rsidRPr="00A3092B" w:rsidRDefault="00D96FA7" w:rsidP="00D96FA7">
            <w:pPr>
              <w:widowControl w:val="0"/>
              <w:bidi w:val="0"/>
              <w:ind w:firstLine="0"/>
              <w:jc w:val="center"/>
              <w:rPr>
                <w:rFonts w:asciiTheme="majorBidi" w:hAnsiTheme="majorBidi" w:cstheme="majorBidi"/>
                <w:sz w:val="24"/>
                <w:szCs w:val="24"/>
              </w:rPr>
            </w:pPr>
            <w:r w:rsidRPr="00F9234E">
              <w:rPr>
                <w:rFonts w:asciiTheme="majorBidi" w:hAnsiTheme="majorBidi" w:cstheme="majorBidi"/>
                <w:sz w:val="24"/>
                <w:szCs w:val="24"/>
              </w:rPr>
              <w:t>31</w:t>
            </w:r>
            <w:r w:rsidR="00EF4639">
              <w:rPr>
                <w:rFonts w:asciiTheme="majorBidi" w:hAnsiTheme="majorBidi" w:cstheme="majorBidi"/>
                <w:sz w:val="24"/>
                <w:szCs w:val="24"/>
              </w:rPr>
              <w:t>%</w:t>
            </w:r>
            <w:r w:rsidRPr="00F9234E">
              <w:rPr>
                <w:rFonts w:asciiTheme="majorBidi" w:hAnsiTheme="majorBidi" w:cstheme="majorBidi"/>
                <w:sz w:val="24"/>
                <w:szCs w:val="24"/>
              </w:rPr>
              <w:t>-40%</w:t>
            </w:r>
          </w:p>
        </w:tc>
        <w:tc>
          <w:tcPr>
            <w:tcW w:w="1173" w:type="pct"/>
            <w:vAlign w:val="bottom"/>
          </w:tcPr>
          <w:p w14:paraId="1AA833BE" w14:textId="29D57DD7" w:rsidR="00D96FA7" w:rsidRPr="00A3092B" w:rsidRDefault="00D96FA7" w:rsidP="00D96FA7">
            <w:pPr>
              <w:widowControl w:val="0"/>
              <w:bidi w:val="0"/>
              <w:ind w:firstLine="0"/>
              <w:jc w:val="center"/>
              <w:rPr>
                <w:rFonts w:asciiTheme="majorBidi" w:hAnsiTheme="majorBidi" w:cstheme="majorBidi"/>
                <w:sz w:val="24"/>
                <w:szCs w:val="24"/>
              </w:rPr>
            </w:pPr>
            <w:r w:rsidRPr="00F9234E">
              <w:rPr>
                <w:rFonts w:asciiTheme="majorBidi" w:hAnsiTheme="majorBidi" w:cstheme="majorBidi"/>
                <w:sz w:val="24"/>
                <w:szCs w:val="24"/>
              </w:rPr>
              <w:t>200</w:t>
            </w:r>
          </w:p>
        </w:tc>
        <w:tc>
          <w:tcPr>
            <w:tcW w:w="1563" w:type="pct"/>
            <w:vAlign w:val="bottom"/>
          </w:tcPr>
          <w:p w14:paraId="41D5CE19" w14:textId="77B0D3CB" w:rsidR="00D96FA7" w:rsidRPr="00A3092B" w:rsidRDefault="00D96FA7" w:rsidP="00D96FA7">
            <w:pPr>
              <w:widowControl w:val="0"/>
              <w:bidi w:val="0"/>
              <w:ind w:firstLine="0"/>
              <w:jc w:val="center"/>
              <w:rPr>
                <w:rFonts w:asciiTheme="majorBidi" w:hAnsiTheme="majorBidi" w:cstheme="majorBidi"/>
                <w:sz w:val="24"/>
                <w:szCs w:val="24"/>
                <w:rtl/>
              </w:rPr>
            </w:pPr>
            <w:r w:rsidRPr="00F9234E">
              <w:rPr>
                <w:rFonts w:asciiTheme="majorBidi" w:hAnsiTheme="majorBidi" w:cstheme="majorBidi"/>
                <w:sz w:val="24"/>
                <w:szCs w:val="24"/>
              </w:rPr>
              <w:t>13.43%</w:t>
            </w:r>
          </w:p>
        </w:tc>
        <w:tc>
          <w:tcPr>
            <w:tcW w:w="1206" w:type="pct"/>
            <w:gridSpan w:val="2"/>
            <w:vAlign w:val="bottom"/>
          </w:tcPr>
          <w:p w14:paraId="42507943" w14:textId="5ADEE1B1" w:rsidR="00D96FA7" w:rsidRPr="00A3092B" w:rsidRDefault="00D96FA7" w:rsidP="00D96FA7">
            <w:pPr>
              <w:widowControl w:val="0"/>
              <w:bidi w:val="0"/>
              <w:ind w:firstLine="0"/>
              <w:jc w:val="center"/>
              <w:rPr>
                <w:rFonts w:asciiTheme="majorBidi" w:hAnsiTheme="majorBidi" w:cstheme="majorBidi"/>
                <w:sz w:val="24"/>
                <w:szCs w:val="24"/>
              </w:rPr>
            </w:pPr>
            <w:r w:rsidRPr="00F9234E">
              <w:rPr>
                <w:rFonts w:asciiTheme="majorBidi" w:hAnsiTheme="majorBidi" w:cstheme="majorBidi"/>
                <w:sz w:val="24"/>
                <w:szCs w:val="24"/>
              </w:rPr>
              <w:t>40.66%</w:t>
            </w:r>
          </w:p>
        </w:tc>
      </w:tr>
      <w:tr w:rsidR="00D96FA7" w:rsidRPr="008754C3" w14:paraId="0999329C" w14:textId="77777777" w:rsidTr="00F9234E">
        <w:tc>
          <w:tcPr>
            <w:tcW w:w="1059" w:type="pct"/>
            <w:vAlign w:val="bottom"/>
          </w:tcPr>
          <w:p w14:paraId="18E8F516" w14:textId="6772DA6F" w:rsidR="00D96FA7" w:rsidRPr="00A3092B" w:rsidRDefault="00D96FA7" w:rsidP="00D96FA7">
            <w:pPr>
              <w:widowControl w:val="0"/>
              <w:bidi w:val="0"/>
              <w:ind w:firstLine="0"/>
              <w:jc w:val="center"/>
              <w:rPr>
                <w:rFonts w:asciiTheme="majorBidi" w:hAnsiTheme="majorBidi" w:cstheme="majorBidi"/>
                <w:sz w:val="24"/>
                <w:szCs w:val="24"/>
              </w:rPr>
            </w:pPr>
            <w:r w:rsidRPr="00F9234E">
              <w:rPr>
                <w:rFonts w:asciiTheme="majorBidi" w:hAnsiTheme="majorBidi" w:cstheme="majorBidi"/>
                <w:sz w:val="24"/>
                <w:szCs w:val="24"/>
              </w:rPr>
              <w:t>41</w:t>
            </w:r>
            <w:r w:rsidR="00EF4639">
              <w:rPr>
                <w:rFonts w:asciiTheme="majorBidi" w:hAnsiTheme="majorBidi" w:cstheme="majorBidi"/>
                <w:sz w:val="24"/>
                <w:szCs w:val="24"/>
              </w:rPr>
              <w:t>%</w:t>
            </w:r>
            <w:r w:rsidRPr="00F9234E">
              <w:rPr>
                <w:rFonts w:asciiTheme="majorBidi" w:hAnsiTheme="majorBidi" w:cstheme="majorBidi"/>
                <w:sz w:val="24"/>
                <w:szCs w:val="24"/>
              </w:rPr>
              <w:t>-50%</w:t>
            </w:r>
          </w:p>
        </w:tc>
        <w:tc>
          <w:tcPr>
            <w:tcW w:w="1173" w:type="pct"/>
            <w:vAlign w:val="bottom"/>
          </w:tcPr>
          <w:p w14:paraId="3C0F0231" w14:textId="6282F8A8" w:rsidR="00D96FA7" w:rsidRPr="00A3092B" w:rsidRDefault="00D96FA7" w:rsidP="00D96FA7">
            <w:pPr>
              <w:widowControl w:val="0"/>
              <w:bidi w:val="0"/>
              <w:ind w:firstLine="0"/>
              <w:jc w:val="center"/>
              <w:rPr>
                <w:rFonts w:asciiTheme="majorBidi" w:hAnsiTheme="majorBidi" w:cstheme="majorBidi"/>
                <w:sz w:val="24"/>
                <w:szCs w:val="24"/>
              </w:rPr>
            </w:pPr>
            <w:r w:rsidRPr="00F9234E">
              <w:rPr>
                <w:rFonts w:asciiTheme="majorBidi" w:hAnsiTheme="majorBidi" w:cstheme="majorBidi"/>
                <w:sz w:val="24"/>
                <w:szCs w:val="24"/>
              </w:rPr>
              <w:t>320</w:t>
            </w:r>
          </w:p>
        </w:tc>
        <w:tc>
          <w:tcPr>
            <w:tcW w:w="1563" w:type="pct"/>
            <w:vAlign w:val="bottom"/>
          </w:tcPr>
          <w:p w14:paraId="26D3EA4B" w14:textId="5EE5E10E" w:rsidR="00D96FA7" w:rsidRPr="00A3092B" w:rsidRDefault="00D96FA7" w:rsidP="00D96FA7">
            <w:pPr>
              <w:widowControl w:val="0"/>
              <w:bidi w:val="0"/>
              <w:ind w:firstLine="0"/>
              <w:jc w:val="center"/>
              <w:rPr>
                <w:rFonts w:asciiTheme="majorBidi" w:hAnsiTheme="majorBidi" w:cstheme="majorBidi"/>
                <w:sz w:val="24"/>
                <w:szCs w:val="24"/>
              </w:rPr>
            </w:pPr>
            <w:r w:rsidRPr="00F9234E">
              <w:rPr>
                <w:rFonts w:asciiTheme="majorBidi" w:hAnsiTheme="majorBidi" w:cstheme="majorBidi"/>
                <w:sz w:val="24"/>
                <w:szCs w:val="24"/>
              </w:rPr>
              <w:t>21.49%</w:t>
            </w:r>
          </w:p>
        </w:tc>
        <w:tc>
          <w:tcPr>
            <w:tcW w:w="1206" w:type="pct"/>
            <w:gridSpan w:val="2"/>
            <w:vAlign w:val="bottom"/>
          </w:tcPr>
          <w:p w14:paraId="2AD00694" w14:textId="148DC1D2" w:rsidR="00D96FA7" w:rsidRPr="00A3092B" w:rsidRDefault="00D96FA7" w:rsidP="00D96FA7">
            <w:pPr>
              <w:widowControl w:val="0"/>
              <w:bidi w:val="0"/>
              <w:ind w:firstLine="0"/>
              <w:jc w:val="center"/>
              <w:rPr>
                <w:rFonts w:asciiTheme="majorBidi" w:hAnsiTheme="majorBidi" w:cstheme="majorBidi"/>
                <w:sz w:val="24"/>
                <w:szCs w:val="24"/>
              </w:rPr>
            </w:pPr>
            <w:r w:rsidRPr="00F9234E">
              <w:rPr>
                <w:rFonts w:asciiTheme="majorBidi" w:hAnsiTheme="majorBidi" w:cstheme="majorBidi"/>
                <w:sz w:val="24"/>
                <w:szCs w:val="24"/>
              </w:rPr>
              <w:t>58.90%</w:t>
            </w:r>
          </w:p>
        </w:tc>
      </w:tr>
      <w:tr w:rsidR="00D96FA7" w:rsidRPr="008754C3" w14:paraId="3DEFF53E" w14:textId="77777777" w:rsidTr="00F9234E">
        <w:tc>
          <w:tcPr>
            <w:tcW w:w="1059" w:type="pct"/>
            <w:vAlign w:val="bottom"/>
          </w:tcPr>
          <w:p w14:paraId="55375227" w14:textId="5CA1E66A" w:rsidR="00D96FA7" w:rsidRPr="00A3092B" w:rsidRDefault="00D96FA7" w:rsidP="00D96FA7">
            <w:pPr>
              <w:widowControl w:val="0"/>
              <w:bidi w:val="0"/>
              <w:ind w:firstLine="0"/>
              <w:jc w:val="center"/>
              <w:rPr>
                <w:rFonts w:asciiTheme="majorBidi" w:hAnsiTheme="majorBidi" w:cstheme="majorBidi"/>
                <w:sz w:val="24"/>
                <w:szCs w:val="24"/>
              </w:rPr>
            </w:pPr>
            <w:r w:rsidRPr="00F9234E">
              <w:rPr>
                <w:rFonts w:asciiTheme="majorBidi" w:hAnsiTheme="majorBidi" w:cstheme="majorBidi"/>
                <w:sz w:val="24"/>
                <w:szCs w:val="24"/>
              </w:rPr>
              <w:t>51</w:t>
            </w:r>
            <w:r w:rsidR="00EF4639">
              <w:rPr>
                <w:rFonts w:asciiTheme="majorBidi" w:hAnsiTheme="majorBidi" w:cstheme="majorBidi"/>
                <w:sz w:val="24"/>
                <w:szCs w:val="24"/>
              </w:rPr>
              <w:t>%</w:t>
            </w:r>
            <w:r w:rsidRPr="00F9234E">
              <w:rPr>
                <w:rFonts w:asciiTheme="majorBidi" w:hAnsiTheme="majorBidi" w:cstheme="majorBidi"/>
                <w:sz w:val="24"/>
                <w:szCs w:val="24"/>
              </w:rPr>
              <w:t>-60%</w:t>
            </w:r>
          </w:p>
        </w:tc>
        <w:tc>
          <w:tcPr>
            <w:tcW w:w="1173" w:type="pct"/>
            <w:vAlign w:val="bottom"/>
          </w:tcPr>
          <w:p w14:paraId="465786F2" w14:textId="2FCC174E" w:rsidR="00D96FA7" w:rsidRPr="00A3092B" w:rsidRDefault="00D96FA7" w:rsidP="00D96FA7">
            <w:pPr>
              <w:widowControl w:val="0"/>
              <w:bidi w:val="0"/>
              <w:ind w:firstLine="0"/>
              <w:jc w:val="center"/>
              <w:rPr>
                <w:rFonts w:asciiTheme="majorBidi" w:hAnsiTheme="majorBidi" w:cstheme="majorBidi"/>
                <w:sz w:val="24"/>
                <w:szCs w:val="24"/>
              </w:rPr>
            </w:pPr>
            <w:r w:rsidRPr="00F9234E">
              <w:rPr>
                <w:rFonts w:asciiTheme="majorBidi" w:hAnsiTheme="majorBidi" w:cstheme="majorBidi"/>
                <w:sz w:val="24"/>
                <w:szCs w:val="24"/>
              </w:rPr>
              <w:t>394</w:t>
            </w:r>
          </w:p>
        </w:tc>
        <w:tc>
          <w:tcPr>
            <w:tcW w:w="1563" w:type="pct"/>
            <w:vAlign w:val="bottom"/>
          </w:tcPr>
          <w:p w14:paraId="26E0D785" w14:textId="41137E09" w:rsidR="00D96FA7" w:rsidRPr="00A3092B" w:rsidRDefault="00D96FA7" w:rsidP="00D96FA7">
            <w:pPr>
              <w:widowControl w:val="0"/>
              <w:bidi w:val="0"/>
              <w:ind w:firstLine="0"/>
              <w:jc w:val="center"/>
              <w:rPr>
                <w:rFonts w:asciiTheme="majorBidi" w:hAnsiTheme="majorBidi" w:cstheme="majorBidi"/>
                <w:sz w:val="24"/>
                <w:szCs w:val="24"/>
              </w:rPr>
            </w:pPr>
            <w:r w:rsidRPr="00F9234E">
              <w:rPr>
                <w:rFonts w:asciiTheme="majorBidi" w:hAnsiTheme="majorBidi" w:cstheme="majorBidi"/>
                <w:sz w:val="24"/>
                <w:szCs w:val="24"/>
              </w:rPr>
              <w:t>26.46%</w:t>
            </w:r>
          </w:p>
        </w:tc>
        <w:tc>
          <w:tcPr>
            <w:tcW w:w="1206" w:type="pct"/>
            <w:gridSpan w:val="2"/>
            <w:vAlign w:val="bottom"/>
          </w:tcPr>
          <w:p w14:paraId="1AB8C87C" w14:textId="5671EA0F" w:rsidR="00D96FA7" w:rsidRPr="00A3092B" w:rsidRDefault="00D96FA7" w:rsidP="00D96FA7">
            <w:pPr>
              <w:widowControl w:val="0"/>
              <w:bidi w:val="0"/>
              <w:ind w:firstLine="0"/>
              <w:jc w:val="center"/>
              <w:rPr>
                <w:rFonts w:asciiTheme="majorBidi" w:hAnsiTheme="majorBidi" w:cstheme="majorBidi"/>
                <w:sz w:val="24"/>
                <w:szCs w:val="24"/>
              </w:rPr>
            </w:pPr>
            <w:r w:rsidRPr="00F9234E">
              <w:rPr>
                <w:rFonts w:asciiTheme="majorBidi" w:hAnsiTheme="majorBidi" w:cstheme="majorBidi"/>
                <w:sz w:val="24"/>
                <w:szCs w:val="24"/>
              </w:rPr>
              <w:t>54.57%</w:t>
            </w:r>
          </w:p>
        </w:tc>
      </w:tr>
      <w:tr w:rsidR="00D96FA7" w:rsidRPr="008754C3" w14:paraId="3B5E802A" w14:textId="77777777" w:rsidTr="00F9234E">
        <w:tc>
          <w:tcPr>
            <w:tcW w:w="1059" w:type="pct"/>
            <w:vAlign w:val="bottom"/>
          </w:tcPr>
          <w:p w14:paraId="39A02E34" w14:textId="140491BD" w:rsidR="00D96FA7" w:rsidRPr="00A3092B" w:rsidRDefault="00D96FA7" w:rsidP="00D96FA7">
            <w:pPr>
              <w:widowControl w:val="0"/>
              <w:bidi w:val="0"/>
              <w:ind w:firstLine="0"/>
              <w:jc w:val="center"/>
              <w:rPr>
                <w:rFonts w:asciiTheme="majorBidi" w:hAnsiTheme="majorBidi" w:cstheme="majorBidi"/>
                <w:sz w:val="24"/>
                <w:szCs w:val="24"/>
              </w:rPr>
            </w:pPr>
            <w:r w:rsidRPr="00F9234E">
              <w:rPr>
                <w:rFonts w:asciiTheme="majorBidi" w:hAnsiTheme="majorBidi" w:cstheme="majorBidi"/>
                <w:sz w:val="24"/>
                <w:szCs w:val="24"/>
              </w:rPr>
              <w:t>61</w:t>
            </w:r>
            <w:r w:rsidR="00EF4639">
              <w:rPr>
                <w:rFonts w:asciiTheme="majorBidi" w:hAnsiTheme="majorBidi" w:cstheme="majorBidi"/>
                <w:sz w:val="24"/>
                <w:szCs w:val="24"/>
              </w:rPr>
              <w:t>%</w:t>
            </w:r>
            <w:r w:rsidRPr="00F9234E">
              <w:rPr>
                <w:rFonts w:asciiTheme="majorBidi" w:hAnsiTheme="majorBidi" w:cstheme="majorBidi"/>
                <w:sz w:val="24"/>
                <w:szCs w:val="24"/>
              </w:rPr>
              <w:t>-70%</w:t>
            </w:r>
          </w:p>
        </w:tc>
        <w:tc>
          <w:tcPr>
            <w:tcW w:w="1173" w:type="pct"/>
            <w:vAlign w:val="bottom"/>
          </w:tcPr>
          <w:p w14:paraId="51196332" w14:textId="72069FCC" w:rsidR="00D96FA7" w:rsidRPr="00A3092B" w:rsidRDefault="00D96FA7" w:rsidP="00D96FA7">
            <w:pPr>
              <w:widowControl w:val="0"/>
              <w:bidi w:val="0"/>
              <w:ind w:firstLine="0"/>
              <w:jc w:val="center"/>
              <w:rPr>
                <w:rFonts w:asciiTheme="majorBidi" w:hAnsiTheme="majorBidi" w:cstheme="majorBidi"/>
                <w:sz w:val="24"/>
                <w:szCs w:val="24"/>
              </w:rPr>
            </w:pPr>
            <w:r w:rsidRPr="00F9234E">
              <w:rPr>
                <w:rFonts w:asciiTheme="majorBidi" w:hAnsiTheme="majorBidi" w:cstheme="majorBidi"/>
                <w:sz w:val="24"/>
                <w:szCs w:val="24"/>
              </w:rPr>
              <w:t>99</w:t>
            </w:r>
          </w:p>
        </w:tc>
        <w:tc>
          <w:tcPr>
            <w:tcW w:w="1563" w:type="pct"/>
            <w:vAlign w:val="bottom"/>
          </w:tcPr>
          <w:p w14:paraId="55FF5AFE" w14:textId="0989D410" w:rsidR="00D96FA7" w:rsidRPr="00A3092B" w:rsidRDefault="00D96FA7" w:rsidP="00D96FA7">
            <w:pPr>
              <w:widowControl w:val="0"/>
              <w:bidi w:val="0"/>
              <w:ind w:firstLine="0"/>
              <w:jc w:val="center"/>
              <w:rPr>
                <w:rFonts w:asciiTheme="majorBidi" w:hAnsiTheme="majorBidi" w:cstheme="majorBidi"/>
                <w:sz w:val="24"/>
                <w:szCs w:val="24"/>
              </w:rPr>
            </w:pPr>
            <w:r w:rsidRPr="00F9234E">
              <w:rPr>
                <w:rFonts w:asciiTheme="majorBidi" w:hAnsiTheme="majorBidi" w:cstheme="majorBidi"/>
                <w:sz w:val="24"/>
                <w:szCs w:val="24"/>
              </w:rPr>
              <w:t>6.65%</w:t>
            </w:r>
          </w:p>
        </w:tc>
        <w:tc>
          <w:tcPr>
            <w:tcW w:w="1206" w:type="pct"/>
            <w:gridSpan w:val="2"/>
            <w:vAlign w:val="bottom"/>
          </w:tcPr>
          <w:p w14:paraId="40529658" w14:textId="3D1230D5" w:rsidR="00D96FA7" w:rsidRPr="00A3092B" w:rsidRDefault="00D96FA7" w:rsidP="00D96FA7">
            <w:pPr>
              <w:widowControl w:val="0"/>
              <w:bidi w:val="0"/>
              <w:ind w:firstLine="0"/>
              <w:jc w:val="center"/>
              <w:rPr>
                <w:rFonts w:asciiTheme="majorBidi" w:hAnsiTheme="majorBidi" w:cstheme="majorBidi"/>
                <w:sz w:val="24"/>
                <w:szCs w:val="24"/>
              </w:rPr>
            </w:pPr>
            <w:r w:rsidRPr="00F9234E">
              <w:rPr>
                <w:rFonts w:asciiTheme="majorBidi" w:hAnsiTheme="majorBidi" w:cstheme="majorBidi"/>
                <w:sz w:val="24"/>
                <w:szCs w:val="24"/>
              </w:rPr>
              <w:t>63.49%</w:t>
            </w:r>
          </w:p>
        </w:tc>
      </w:tr>
      <w:tr w:rsidR="00D96FA7" w:rsidRPr="008754C3" w14:paraId="448F0B2F" w14:textId="77777777" w:rsidTr="00F9234E">
        <w:tc>
          <w:tcPr>
            <w:tcW w:w="1059" w:type="pct"/>
            <w:vAlign w:val="bottom"/>
          </w:tcPr>
          <w:p w14:paraId="3367AF10" w14:textId="641DCF86" w:rsidR="00D96FA7" w:rsidRPr="00A3092B" w:rsidRDefault="00D96FA7" w:rsidP="00D96FA7">
            <w:pPr>
              <w:widowControl w:val="0"/>
              <w:bidi w:val="0"/>
              <w:ind w:firstLine="0"/>
              <w:jc w:val="center"/>
              <w:rPr>
                <w:rFonts w:asciiTheme="majorBidi" w:hAnsiTheme="majorBidi" w:cstheme="majorBidi"/>
                <w:sz w:val="24"/>
                <w:szCs w:val="24"/>
              </w:rPr>
            </w:pPr>
            <w:r w:rsidRPr="00F9234E">
              <w:rPr>
                <w:rFonts w:asciiTheme="majorBidi" w:hAnsiTheme="majorBidi" w:cstheme="majorBidi"/>
                <w:sz w:val="24"/>
                <w:szCs w:val="24"/>
              </w:rPr>
              <w:t>71</w:t>
            </w:r>
            <w:r w:rsidR="00EF4639">
              <w:rPr>
                <w:rFonts w:asciiTheme="majorBidi" w:hAnsiTheme="majorBidi" w:cstheme="majorBidi"/>
                <w:sz w:val="24"/>
                <w:szCs w:val="24"/>
              </w:rPr>
              <w:t>%</w:t>
            </w:r>
            <w:r w:rsidRPr="00F9234E">
              <w:rPr>
                <w:rFonts w:asciiTheme="majorBidi" w:hAnsiTheme="majorBidi" w:cstheme="majorBidi"/>
                <w:sz w:val="24"/>
                <w:szCs w:val="24"/>
              </w:rPr>
              <w:t>-80%</w:t>
            </w:r>
          </w:p>
        </w:tc>
        <w:tc>
          <w:tcPr>
            <w:tcW w:w="1173" w:type="pct"/>
            <w:vAlign w:val="bottom"/>
          </w:tcPr>
          <w:p w14:paraId="2BB3D08E" w14:textId="7A9F4D4B" w:rsidR="00D96FA7" w:rsidRPr="00A3092B" w:rsidRDefault="00D96FA7" w:rsidP="00D96FA7">
            <w:pPr>
              <w:widowControl w:val="0"/>
              <w:bidi w:val="0"/>
              <w:ind w:firstLine="0"/>
              <w:jc w:val="center"/>
              <w:rPr>
                <w:rFonts w:asciiTheme="majorBidi" w:hAnsiTheme="majorBidi" w:cstheme="majorBidi"/>
                <w:sz w:val="24"/>
                <w:szCs w:val="24"/>
                <w:rtl/>
              </w:rPr>
            </w:pPr>
            <w:r w:rsidRPr="00F9234E">
              <w:rPr>
                <w:rFonts w:asciiTheme="majorBidi" w:hAnsiTheme="majorBidi" w:cstheme="majorBidi"/>
                <w:sz w:val="24"/>
                <w:szCs w:val="24"/>
              </w:rPr>
              <w:t>26</w:t>
            </w:r>
          </w:p>
        </w:tc>
        <w:tc>
          <w:tcPr>
            <w:tcW w:w="1563" w:type="pct"/>
            <w:vAlign w:val="bottom"/>
          </w:tcPr>
          <w:p w14:paraId="2C54A5F6" w14:textId="181990A7" w:rsidR="00D96FA7" w:rsidRPr="00A3092B" w:rsidRDefault="00D96FA7" w:rsidP="00D96FA7">
            <w:pPr>
              <w:widowControl w:val="0"/>
              <w:bidi w:val="0"/>
              <w:ind w:firstLine="0"/>
              <w:jc w:val="center"/>
              <w:rPr>
                <w:rFonts w:asciiTheme="majorBidi" w:hAnsiTheme="majorBidi" w:cstheme="majorBidi"/>
                <w:sz w:val="24"/>
                <w:szCs w:val="24"/>
              </w:rPr>
            </w:pPr>
            <w:r w:rsidRPr="00F9234E">
              <w:rPr>
                <w:rFonts w:asciiTheme="majorBidi" w:hAnsiTheme="majorBidi" w:cstheme="majorBidi"/>
                <w:sz w:val="24"/>
                <w:szCs w:val="24"/>
              </w:rPr>
              <w:t>1.75%</w:t>
            </w:r>
          </w:p>
        </w:tc>
        <w:tc>
          <w:tcPr>
            <w:tcW w:w="1206" w:type="pct"/>
            <w:gridSpan w:val="2"/>
            <w:vAlign w:val="bottom"/>
          </w:tcPr>
          <w:p w14:paraId="466FA80E" w14:textId="4CE49E55" w:rsidR="00D96FA7" w:rsidRPr="00A3092B" w:rsidRDefault="00D96FA7" w:rsidP="00D96FA7">
            <w:pPr>
              <w:widowControl w:val="0"/>
              <w:bidi w:val="0"/>
              <w:ind w:firstLine="0"/>
              <w:jc w:val="center"/>
              <w:rPr>
                <w:rFonts w:asciiTheme="majorBidi" w:hAnsiTheme="majorBidi" w:cstheme="majorBidi"/>
                <w:sz w:val="24"/>
                <w:szCs w:val="24"/>
              </w:rPr>
            </w:pPr>
            <w:r w:rsidRPr="00F9234E">
              <w:rPr>
                <w:rFonts w:asciiTheme="majorBidi" w:hAnsiTheme="majorBidi" w:cstheme="majorBidi"/>
                <w:sz w:val="24"/>
                <w:szCs w:val="24"/>
              </w:rPr>
              <w:t>77.54%</w:t>
            </w:r>
          </w:p>
        </w:tc>
      </w:tr>
      <w:tr w:rsidR="00D96FA7" w:rsidRPr="008754C3" w14:paraId="6EC5051C" w14:textId="77777777" w:rsidTr="00F9234E">
        <w:tc>
          <w:tcPr>
            <w:tcW w:w="1059" w:type="pct"/>
            <w:vAlign w:val="bottom"/>
          </w:tcPr>
          <w:p w14:paraId="3EACEBB5" w14:textId="3CB214CC" w:rsidR="00D96FA7" w:rsidRPr="00A3092B" w:rsidRDefault="00D96FA7" w:rsidP="00D96FA7">
            <w:pPr>
              <w:widowControl w:val="0"/>
              <w:bidi w:val="0"/>
              <w:ind w:firstLine="0"/>
              <w:jc w:val="center"/>
              <w:rPr>
                <w:rFonts w:asciiTheme="majorBidi" w:hAnsiTheme="majorBidi" w:cstheme="majorBidi"/>
                <w:sz w:val="24"/>
                <w:szCs w:val="24"/>
              </w:rPr>
            </w:pPr>
            <w:r w:rsidRPr="00F9234E">
              <w:rPr>
                <w:rFonts w:asciiTheme="majorBidi" w:hAnsiTheme="majorBidi" w:cstheme="majorBidi"/>
                <w:sz w:val="24"/>
                <w:szCs w:val="24"/>
              </w:rPr>
              <w:t>81</w:t>
            </w:r>
            <w:r w:rsidR="00EF4639">
              <w:rPr>
                <w:rFonts w:asciiTheme="majorBidi" w:hAnsiTheme="majorBidi" w:cstheme="majorBidi"/>
                <w:sz w:val="24"/>
                <w:szCs w:val="24"/>
              </w:rPr>
              <w:t>%</w:t>
            </w:r>
            <w:r w:rsidRPr="00F9234E">
              <w:rPr>
                <w:rFonts w:asciiTheme="majorBidi" w:hAnsiTheme="majorBidi" w:cstheme="majorBidi"/>
                <w:sz w:val="24"/>
                <w:szCs w:val="24"/>
              </w:rPr>
              <w:t>-90%</w:t>
            </w:r>
          </w:p>
        </w:tc>
        <w:tc>
          <w:tcPr>
            <w:tcW w:w="1173" w:type="pct"/>
            <w:vAlign w:val="bottom"/>
          </w:tcPr>
          <w:p w14:paraId="0ADB4C3C" w14:textId="5FF578E6" w:rsidR="00D96FA7" w:rsidRPr="00A3092B" w:rsidRDefault="00D96FA7" w:rsidP="00D96FA7">
            <w:pPr>
              <w:widowControl w:val="0"/>
              <w:bidi w:val="0"/>
              <w:ind w:firstLine="0"/>
              <w:jc w:val="center"/>
              <w:rPr>
                <w:rFonts w:asciiTheme="majorBidi" w:hAnsiTheme="majorBidi" w:cstheme="majorBidi"/>
                <w:sz w:val="24"/>
                <w:szCs w:val="24"/>
              </w:rPr>
            </w:pPr>
            <w:r w:rsidRPr="00F9234E">
              <w:rPr>
                <w:rFonts w:asciiTheme="majorBidi" w:hAnsiTheme="majorBidi" w:cstheme="majorBidi"/>
                <w:sz w:val="24"/>
                <w:szCs w:val="24"/>
              </w:rPr>
              <w:t>49</w:t>
            </w:r>
          </w:p>
        </w:tc>
        <w:tc>
          <w:tcPr>
            <w:tcW w:w="1563" w:type="pct"/>
            <w:vAlign w:val="bottom"/>
          </w:tcPr>
          <w:p w14:paraId="1A08463B" w14:textId="4E20CF77" w:rsidR="00D96FA7" w:rsidRPr="00A3092B" w:rsidRDefault="00D96FA7" w:rsidP="00D96FA7">
            <w:pPr>
              <w:widowControl w:val="0"/>
              <w:bidi w:val="0"/>
              <w:ind w:firstLine="0"/>
              <w:jc w:val="center"/>
              <w:rPr>
                <w:rFonts w:asciiTheme="majorBidi" w:hAnsiTheme="majorBidi" w:cstheme="majorBidi"/>
                <w:sz w:val="24"/>
                <w:szCs w:val="24"/>
              </w:rPr>
            </w:pPr>
            <w:r w:rsidRPr="00F9234E">
              <w:rPr>
                <w:rFonts w:asciiTheme="majorBidi" w:hAnsiTheme="majorBidi" w:cstheme="majorBidi"/>
                <w:sz w:val="24"/>
                <w:szCs w:val="24"/>
              </w:rPr>
              <w:t>3.29%</w:t>
            </w:r>
          </w:p>
        </w:tc>
        <w:tc>
          <w:tcPr>
            <w:tcW w:w="1206" w:type="pct"/>
            <w:gridSpan w:val="2"/>
            <w:vAlign w:val="bottom"/>
          </w:tcPr>
          <w:p w14:paraId="4A7B1442" w14:textId="47D887CB" w:rsidR="00D96FA7" w:rsidRPr="00A3092B" w:rsidRDefault="00D96FA7" w:rsidP="00D96FA7">
            <w:pPr>
              <w:widowControl w:val="0"/>
              <w:bidi w:val="0"/>
              <w:ind w:firstLine="0"/>
              <w:jc w:val="center"/>
              <w:rPr>
                <w:rFonts w:asciiTheme="majorBidi" w:hAnsiTheme="majorBidi" w:cstheme="majorBidi"/>
                <w:sz w:val="24"/>
                <w:szCs w:val="24"/>
              </w:rPr>
            </w:pPr>
            <w:r w:rsidRPr="00F9234E">
              <w:rPr>
                <w:rFonts w:asciiTheme="majorBidi" w:hAnsiTheme="majorBidi" w:cstheme="majorBidi"/>
                <w:sz w:val="24"/>
                <w:szCs w:val="24"/>
              </w:rPr>
              <w:t>41.14%</w:t>
            </w:r>
          </w:p>
        </w:tc>
      </w:tr>
      <w:tr w:rsidR="00D96FA7" w:rsidRPr="008754C3" w14:paraId="00975793" w14:textId="77777777" w:rsidTr="00F9234E">
        <w:tc>
          <w:tcPr>
            <w:tcW w:w="1059" w:type="pct"/>
            <w:tcBorders>
              <w:bottom w:val="single" w:sz="4" w:space="0" w:color="auto"/>
            </w:tcBorders>
            <w:vAlign w:val="bottom"/>
          </w:tcPr>
          <w:p w14:paraId="0722E17D" w14:textId="5E4F084F" w:rsidR="00D96FA7" w:rsidRPr="00F9234E" w:rsidRDefault="00D96FA7" w:rsidP="00F9234E">
            <w:pPr>
              <w:widowControl w:val="0"/>
              <w:bidi w:val="0"/>
              <w:ind w:firstLine="0"/>
              <w:jc w:val="center"/>
              <w:rPr>
                <w:rFonts w:asciiTheme="majorBidi" w:hAnsiTheme="majorBidi" w:cstheme="majorBidi"/>
                <w:sz w:val="24"/>
                <w:szCs w:val="24"/>
              </w:rPr>
            </w:pPr>
            <w:r w:rsidRPr="00F9234E">
              <w:rPr>
                <w:rFonts w:asciiTheme="majorBidi" w:hAnsiTheme="majorBidi" w:cstheme="majorBidi"/>
                <w:sz w:val="24"/>
                <w:szCs w:val="24"/>
              </w:rPr>
              <w:t>91</w:t>
            </w:r>
            <w:r w:rsidR="00EF4639">
              <w:rPr>
                <w:rFonts w:asciiTheme="majorBidi" w:hAnsiTheme="majorBidi" w:cstheme="majorBidi"/>
                <w:sz w:val="24"/>
                <w:szCs w:val="24"/>
              </w:rPr>
              <w:t>%</w:t>
            </w:r>
            <w:r w:rsidRPr="00F9234E">
              <w:rPr>
                <w:rFonts w:asciiTheme="majorBidi" w:hAnsiTheme="majorBidi" w:cstheme="majorBidi"/>
                <w:sz w:val="24"/>
                <w:szCs w:val="24"/>
              </w:rPr>
              <w:t>-100%</w:t>
            </w:r>
          </w:p>
        </w:tc>
        <w:tc>
          <w:tcPr>
            <w:tcW w:w="1173" w:type="pct"/>
            <w:tcBorders>
              <w:bottom w:val="single" w:sz="4" w:space="0" w:color="auto"/>
            </w:tcBorders>
            <w:vAlign w:val="bottom"/>
          </w:tcPr>
          <w:p w14:paraId="603134F3" w14:textId="3BB325C3" w:rsidR="00D96FA7" w:rsidRPr="00F9234E" w:rsidRDefault="00D96FA7" w:rsidP="00F9234E">
            <w:pPr>
              <w:widowControl w:val="0"/>
              <w:bidi w:val="0"/>
              <w:ind w:firstLine="0"/>
              <w:jc w:val="center"/>
              <w:rPr>
                <w:rFonts w:asciiTheme="majorBidi" w:hAnsiTheme="majorBidi" w:cstheme="majorBidi"/>
                <w:sz w:val="24"/>
                <w:szCs w:val="24"/>
                <w:u w:val="single"/>
              </w:rPr>
            </w:pPr>
            <w:r w:rsidRPr="00F9234E">
              <w:rPr>
                <w:rFonts w:asciiTheme="majorBidi" w:hAnsiTheme="majorBidi" w:cstheme="majorBidi"/>
                <w:sz w:val="24"/>
                <w:szCs w:val="24"/>
                <w:u w:val="single"/>
              </w:rPr>
              <w:t>101</w:t>
            </w:r>
          </w:p>
        </w:tc>
        <w:tc>
          <w:tcPr>
            <w:tcW w:w="1563" w:type="pct"/>
            <w:tcBorders>
              <w:bottom w:val="single" w:sz="4" w:space="0" w:color="auto"/>
            </w:tcBorders>
            <w:vAlign w:val="bottom"/>
          </w:tcPr>
          <w:p w14:paraId="5AC9457D" w14:textId="3B7EA70E" w:rsidR="00D96FA7" w:rsidRPr="00D96FA7" w:rsidRDefault="00D96FA7" w:rsidP="00F9234E">
            <w:pPr>
              <w:widowControl w:val="0"/>
              <w:bidi w:val="0"/>
              <w:ind w:firstLine="0"/>
              <w:jc w:val="center"/>
              <w:rPr>
                <w:rFonts w:asciiTheme="majorBidi" w:hAnsiTheme="majorBidi" w:cstheme="majorBidi"/>
                <w:sz w:val="24"/>
                <w:szCs w:val="24"/>
              </w:rPr>
            </w:pPr>
            <w:r w:rsidRPr="00F9234E">
              <w:rPr>
                <w:rFonts w:asciiTheme="majorBidi" w:hAnsiTheme="majorBidi" w:cstheme="majorBidi"/>
                <w:sz w:val="24"/>
                <w:szCs w:val="24"/>
              </w:rPr>
              <w:t>6.78%</w:t>
            </w:r>
          </w:p>
        </w:tc>
        <w:tc>
          <w:tcPr>
            <w:tcW w:w="1206" w:type="pct"/>
            <w:gridSpan w:val="2"/>
            <w:tcBorders>
              <w:bottom w:val="single" w:sz="4" w:space="0" w:color="auto"/>
            </w:tcBorders>
            <w:vAlign w:val="bottom"/>
          </w:tcPr>
          <w:p w14:paraId="767BA5DF" w14:textId="58DE5D2C" w:rsidR="00D96FA7" w:rsidRPr="00F9234E" w:rsidRDefault="00D96FA7" w:rsidP="00F9234E">
            <w:pPr>
              <w:widowControl w:val="0"/>
              <w:bidi w:val="0"/>
              <w:ind w:firstLine="0"/>
              <w:jc w:val="center"/>
              <w:rPr>
                <w:rFonts w:asciiTheme="majorBidi" w:hAnsiTheme="majorBidi" w:cstheme="majorBidi"/>
                <w:sz w:val="24"/>
                <w:szCs w:val="24"/>
                <w:u w:val="single"/>
              </w:rPr>
            </w:pPr>
            <w:r w:rsidRPr="00F9234E">
              <w:rPr>
                <w:rFonts w:asciiTheme="majorBidi" w:hAnsiTheme="majorBidi" w:cstheme="majorBidi"/>
                <w:sz w:val="24"/>
                <w:szCs w:val="24"/>
                <w:u w:val="single"/>
              </w:rPr>
              <w:t>95.01%</w:t>
            </w:r>
          </w:p>
        </w:tc>
      </w:tr>
      <w:tr w:rsidR="00D96FA7" w:rsidRPr="008754C3" w14:paraId="37E2496F" w14:textId="77777777" w:rsidTr="00F9234E">
        <w:tc>
          <w:tcPr>
            <w:tcW w:w="1059" w:type="pct"/>
            <w:tcBorders>
              <w:top w:val="single" w:sz="4" w:space="0" w:color="auto"/>
              <w:bottom w:val="single" w:sz="4" w:space="0" w:color="auto"/>
            </w:tcBorders>
            <w:vAlign w:val="bottom"/>
          </w:tcPr>
          <w:p w14:paraId="7C006C22" w14:textId="63A4FCAF" w:rsidR="00D96FA7" w:rsidRPr="00F9234E" w:rsidRDefault="00D96FA7" w:rsidP="00F9234E">
            <w:pPr>
              <w:widowControl w:val="0"/>
              <w:bidi w:val="0"/>
              <w:ind w:firstLine="0"/>
              <w:jc w:val="center"/>
              <w:rPr>
                <w:rFonts w:asciiTheme="majorBidi" w:hAnsiTheme="majorBidi" w:cstheme="majorBidi"/>
                <w:sz w:val="24"/>
                <w:szCs w:val="24"/>
              </w:rPr>
            </w:pPr>
            <w:r w:rsidRPr="00F9234E">
              <w:rPr>
                <w:rFonts w:asciiTheme="majorBidi" w:hAnsiTheme="majorBidi" w:cstheme="majorBidi"/>
                <w:sz w:val="24"/>
                <w:szCs w:val="24"/>
              </w:rPr>
              <w:t>Total</w:t>
            </w:r>
          </w:p>
        </w:tc>
        <w:tc>
          <w:tcPr>
            <w:tcW w:w="1173" w:type="pct"/>
            <w:tcBorders>
              <w:top w:val="single" w:sz="4" w:space="0" w:color="auto"/>
              <w:bottom w:val="single" w:sz="4" w:space="0" w:color="auto"/>
            </w:tcBorders>
            <w:vAlign w:val="bottom"/>
          </w:tcPr>
          <w:p w14:paraId="37414B57" w14:textId="60E0D3FE" w:rsidR="00D96FA7" w:rsidRPr="00F9234E" w:rsidRDefault="00D96FA7" w:rsidP="00F9234E">
            <w:pPr>
              <w:widowControl w:val="0"/>
              <w:bidi w:val="0"/>
              <w:ind w:firstLine="0"/>
              <w:jc w:val="center"/>
              <w:rPr>
                <w:rFonts w:asciiTheme="majorBidi" w:hAnsiTheme="majorBidi" w:cstheme="majorBidi"/>
                <w:sz w:val="24"/>
                <w:szCs w:val="24"/>
              </w:rPr>
            </w:pPr>
            <w:r w:rsidRPr="00F9234E">
              <w:rPr>
                <w:rFonts w:asciiTheme="majorBidi" w:hAnsiTheme="majorBidi" w:cstheme="majorBidi"/>
                <w:sz w:val="24"/>
                <w:szCs w:val="24"/>
              </w:rPr>
              <w:t>1489</w:t>
            </w:r>
          </w:p>
        </w:tc>
        <w:tc>
          <w:tcPr>
            <w:tcW w:w="1563" w:type="pct"/>
            <w:tcBorders>
              <w:top w:val="single" w:sz="4" w:space="0" w:color="auto"/>
              <w:bottom w:val="single" w:sz="4" w:space="0" w:color="auto"/>
            </w:tcBorders>
            <w:vAlign w:val="bottom"/>
          </w:tcPr>
          <w:p w14:paraId="5EF40D2A" w14:textId="77777777" w:rsidR="00D96FA7" w:rsidRPr="00A3092B" w:rsidRDefault="00D96FA7" w:rsidP="00F9234E">
            <w:pPr>
              <w:widowControl w:val="0"/>
              <w:bidi w:val="0"/>
              <w:ind w:firstLine="0"/>
              <w:jc w:val="center"/>
              <w:rPr>
                <w:rFonts w:asciiTheme="majorBidi" w:hAnsiTheme="majorBidi" w:cstheme="majorBidi"/>
                <w:sz w:val="24"/>
                <w:szCs w:val="24"/>
              </w:rPr>
            </w:pPr>
          </w:p>
        </w:tc>
        <w:tc>
          <w:tcPr>
            <w:tcW w:w="1206" w:type="pct"/>
            <w:gridSpan w:val="2"/>
            <w:tcBorders>
              <w:top w:val="single" w:sz="4" w:space="0" w:color="auto"/>
              <w:bottom w:val="single" w:sz="4" w:space="0" w:color="auto"/>
            </w:tcBorders>
            <w:vAlign w:val="bottom"/>
          </w:tcPr>
          <w:p w14:paraId="53A9E5D0" w14:textId="30111101" w:rsidR="00D96FA7" w:rsidRPr="00D96FA7" w:rsidRDefault="00D96FA7" w:rsidP="00F9234E">
            <w:pPr>
              <w:bidi w:val="0"/>
              <w:ind w:firstLine="0"/>
              <w:jc w:val="center"/>
              <w:rPr>
                <w:rFonts w:asciiTheme="majorBidi" w:hAnsiTheme="majorBidi" w:cstheme="majorBidi"/>
                <w:sz w:val="24"/>
                <w:szCs w:val="24"/>
              </w:rPr>
            </w:pPr>
            <w:r w:rsidRPr="00F9234E">
              <w:rPr>
                <w:rFonts w:asciiTheme="majorBidi" w:hAnsiTheme="majorBidi" w:cstheme="majorBidi"/>
                <w:sz w:val="24"/>
                <w:szCs w:val="24"/>
              </w:rPr>
              <w:t>47.60%</w:t>
            </w:r>
          </w:p>
        </w:tc>
      </w:tr>
      <w:tr w:rsidR="00290084" w:rsidRPr="008754C3" w14:paraId="24E37A50" w14:textId="77777777" w:rsidTr="00F9234E">
        <w:trPr>
          <w:gridAfter w:val="1"/>
          <w:wAfter w:w="110" w:type="pct"/>
        </w:trPr>
        <w:tc>
          <w:tcPr>
            <w:tcW w:w="4890" w:type="pct"/>
            <w:gridSpan w:val="4"/>
            <w:tcBorders>
              <w:bottom w:val="single" w:sz="4" w:space="0" w:color="auto"/>
            </w:tcBorders>
          </w:tcPr>
          <w:p w14:paraId="42F0F5A4" w14:textId="36FCCE50" w:rsidR="0082285F" w:rsidRDefault="00290084" w:rsidP="00216D6D">
            <w:pPr>
              <w:pStyle w:val="TableParagraph"/>
              <w:widowControl w:val="0"/>
              <w:autoSpaceDE w:val="0"/>
              <w:autoSpaceDN w:val="0"/>
              <w:spacing w:before="0" w:line="240" w:lineRule="auto"/>
              <w:ind w:left="0" w:right="0" w:firstLine="0"/>
              <w:rPr>
                <w:rFonts w:asciiTheme="majorBidi" w:hAnsiTheme="majorBidi" w:cstheme="majorBidi"/>
                <w:sz w:val="20"/>
                <w:szCs w:val="20"/>
              </w:rPr>
            </w:pPr>
            <w:r w:rsidRPr="00A3092B">
              <w:rPr>
                <w:rFonts w:asciiTheme="majorBidi" w:hAnsiTheme="majorBidi" w:cstheme="majorBidi"/>
                <w:sz w:val="24"/>
                <w:szCs w:val="24"/>
                <w:vertAlign w:val="superscript"/>
              </w:rPr>
              <w:t>a</w:t>
            </w:r>
            <w:r w:rsidRPr="00A3092B">
              <w:rPr>
                <w:rFonts w:asciiTheme="majorBidi" w:hAnsiTheme="majorBidi" w:cstheme="majorBidi"/>
                <w:sz w:val="24"/>
                <w:szCs w:val="24"/>
              </w:rPr>
              <w:t xml:space="preserve"> </w:t>
            </w:r>
            <w:r w:rsidR="00BA6A08">
              <w:rPr>
                <w:rFonts w:asciiTheme="majorBidi" w:hAnsiTheme="majorBidi" w:cstheme="majorBidi"/>
                <w:sz w:val="20"/>
                <w:szCs w:val="20"/>
              </w:rPr>
              <w:t>W</w:t>
            </w:r>
            <w:r w:rsidR="00D96FA7" w:rsidRPr="00F9234E">
              <w:rPr>
                <w:rFonts w:asciiTheme="majorBidi" w:hAnsiTheme="majorBidi" w:cstheme="majorBidi"/>
                <w:sz w:val="20"/>
                <w:szCs w:val="20"/>
              </w:rPr>
              <w:t xml:space="preserve">edge </w:t>
            </w:r>
            <w:r w:rsidR="0082285F">
              <w:rPr>
                <w:rFonts w:asciiTheme="majorBidi" w:hAnsiTheme="majorBidi" w:cstheme="majorBidi"/>
                <w:sz w:val="20"/>
                <w:szCs w:val="20"/>
              </w:rPr>
              <w:t>within specified range.</w:t>
            </w:r>
          </w:p>
          <w:p w14:paraId="1B18CE02" w14:textId="28C1EBC0" w:rsidR="00290084" w:rsidRPr="00F9234E" w:rsidRDefault="0082285F" w:rsidP="00216D6D">
            <w:pPr>
              <w:pStyle w:val="TableParagraph"/>
              <w:widowControl w:val="0"/>
              <w:autoSpaceDE w:val="0"/>
              <w:autoSpaceDN w:val="0"/>
              <w:spacing w:before="0" w:line="240" w:lineRule="auto"/>
              <w:ind w:left="0" w:right="0" w:firstLine="0"/>
              <w:rPr>
                <w:rFonts w:asciiTheme="majorBidi" w:hAnsiTheme="majorBidi" w:cstheme="majorBidi"/>
                <w:sz w:val="20"/>
                <w:szCs w:val="20"/>
              </w:rPr>
            </w:pPr>
            <w:r>
              <w:rPr>
                <w:rFonts w:asciiTheme="majorBidi" w:hAnsiTheme="majorBidi" w:cstheme="majorBidi"/>
                <w:sz w:val="24"/>
                <w:szCs w:val="24"/>
                <w:vertAlign w:val="superscript"/>
              </w:rPr>
              <w:t xml:space="preserve">b </w:t>
            </w:r>
            <w:r w:rsidRPr="00F9234E">
              <w:rPr>
                <w:rFonts w:asciiTheme="majorBidi" w:hAnsiTheme="majorBidi" w:cstheme="majorBidi"/>
                <w:sz w:val="20"/>
                <w:szCs w:val="20"/>
              </w:rPr>
              <w:t>Number of observations within specified range.</w:t>
            </w:r>
            <w:r w:rsidR="00D96FA7" w:rsidRPr="00F9234E">
              <w:rPr>
                <w:rFonts w:asciiTheme="majorBidi" w:hAnsiTheme="majorBidi" w:cstheme="majorBidi"/>
                <w:sz w:val="20"/>
                <w:szCs w:val="20"/>
              </w:rPr>
              <w:t xml:space="preserve"> </w:t>
            </w:r>
          </w:p>
          <w:p w14:paraId="1761FAE9" w14:textId="2719526F" w:rsidR="0082285F" w:rsidRPr="0082285F" w:rsidRDefault="0082285F" w:rsidP="00216D6D">
            <w:pPr>
              <w:pStyle w:val="TableParagraph"/>
              <w:widowControl w:val="0"/>
              <w:autoSpaceDE w:val="0"/>
              <w:autoSpaceDN w:val="0"/>
              <w:spacing w:before="0" w:line="240" w:lineRule="auto"/>
              <w:ind w:left="0" w:right="0" w:firstLine="0"/>
              <w:rPr>
                <w:rFonts w:asciiTheme="majorBidi" w:hAnsiTheme="majorBidi" w:cstheme="majorBidi"/>
                <w:sz w:val="24"/>
                <w:szCs w:val="24"/>
                <w:rtl/>
              </w:rPr>
            </w:pPr>
            <w:r w:rsidRPr="0082285F">
              <w:rPr>
                <w:rFonts w:asciiTheme="majorBidi" w:hAnsiTheme="majorBidi" w:cstheme="majorBidi"/>
                <w:sz w:val="24"/>
                <w:szCs w:val="24"/>
                <w:vertAlign w:val="superscript"/>
              </w:rPr>
              <w:t xml:space="preserve">c </w:t>
            </w:r>
            <w:r w:rsidRPr="00F9234E">
              <w:rPr>
                <w:rFonts w:asciiTheme="majorBidi" w:hAnsiTheme="majorBidi" w:cstheme="majorBidi"/>
                <w:sz w:val="20"/>
                <w:szCs w:val="20"/>
              </w:rPr>
              <w:t>Average wedge within range.</w:t>
            </w:r>
          </w:p>
        </w:tc>
      </w:tr>
    </w:tbl>
    <w:p w14:paraId="0731154D" w14:textId="355CDD63" w:rsidR="00AB07DB" w:rsidRDefault="00EF4639" w:rsidP="003203CB">
      <w:pPr>
        <w:pStyle w:val="LSbodytext"/>
        <w:spacing w:before="240" w:line="480" w:lineRule="auto"/>
      </w:pPr>
      <w:r>
        <w:t xml:space="preserve">Almost 48% of observations are within the range of 41%-60% and only 18.5% of observations had a wedge larger than 60% (Table </w:t>
      </w:r>
      <w:r w:rsidR="0024742E">
        <w:t>1</w:t>
      </w:r>
      <w:r>
        <w:t xml:space="preserve">). </w:t>
      </w:r>
    </w:p>
    <w:p w14:paraId="5DDBD902" w14:textId="562EC6DB" w:rsidR="00290084" w:rsidRDefault="00EF4639" w:rsidP="003203CB">
      <w:pPr>
        <w:pStyle w:val="LSbodytext"/>
        <w:spacing w:before="240" w:line="480" w:lineRule="auto"/>
      </w:pPr>
      <w:r>
        <w:t xml:space="preserve">Over the </w:t>
      </w:r>
      <w:r w:rsidR="00AB07DB">
        <w:t>time-period examined the companies</w:t>
      </w:r>
      <w:r w:rsidR="00D15014" w:rsidRPr="008754C3">
        <w:t>’</w:t>
      </w:r>
      <w:r w:rsidR="00AB07DB">
        <w:t xml:space="preserve"> wedge increased by 4.89% on average. 41% of the companies had an average decrease in wedge size of 16%, while 59% of the companies increased their wedge size by an average of 20%.</w:t>
      </w:r>
    </w:p>
    <w:bookmarkEnd w:id="3"/>
    <w:bookmarkEnd w:id="4"/>
    <w:p w14:paraId="7622D014" w14:textId="5F994E44" w:rsidR="00C663FD" w:rsidRDefault="005C32E8" w:rsidP="003203CB">
      <w:pPr>
        <w:pStyle w:val="LSbodytext"/>
        <w:spacing w:before="240" w:line="480" w:lineRule="auto"/>
      </w:pPr>
      <w:r w:rsidRPr="008754C3">
        <w:t xml:space="preserve">We use six well-known main characteristics </w:t>
      </w:r>
      <w:r w:rsidRPr="008754C3">
        <w:fldChar w:fldCharType="begin" w:fldLock="1"/>
      </w:r>
      <w:r w:rsidR="004F4C2D" w:rsidRPr="008754C3">
        <w:instrText xml:space="preserve">ADDIN CSL_CITATION {"citationItems":[{"id":"ITEM-1","itemData":{"DOI":"10.1016/j.jacceco.2005.01.001","ISBN":"9788578110796","ISSN":"01654101","PMID":"25246403","abstract":"We contrast the informativeness of earnings and dividends for firms with dual class and single class ownership structures. Results of both across-sample tests (which explicitly control for factors influencing ownership structure and informativeness) and within-sample tests (which implicitly control for factors associated with ownership structure) show that earnings are generally less informative, and dividends are at least as (if not more) informative, for dual class firms. We interpret these results as suggesting that the net effect of dual class structures is to reduce the credibility of earnings and to enhance the salience of dividends as measures of performance. © 2005 Elsevier B.V. All rights reserved.","author":[{"dropping-particle":"","family":"Francis","given":"Jennifer","non-dropping-particle":"","parse-names":false,"suffix":""},{"dropping-particle":"","family":"Schipper","given":"Katherine","non-dropping-particle":"","parse-names":false,"suffix":""},{"dropping-particle":"","family":"Vincent","given":"Linda","non-dropping-particle":"","parse-names":false,"suffix":""}],"container-title":"Journal of Accounting and Economics","id":"ITEM-1","issue":"2","issued":{"date-parts":[["2005"]]},"page":"329-360","title":"Earnings and Dividend Informativeness when Cash Flow Rights are Separated from Voting Rights","type":"article-journal","volume":"39"},"uris":["http://www.mendeley.com/documents/?uuid=b6a8853b-582e-44c1-a305-86b50dc7e005"]},{"id":"ITEM-2","itemData":{"abstract":"In a dual-class share structure, one class of common stock typically has more votes per share than the other, but both classes have equal or similar cash flow rights per share. While this dual-class structure is likely to entrench management, it potentially reduces capital market pressures on managers thereby reducing the need for managers to manipulate earnings. In this study, I compare the earnings management behavior among dual-class firms relative to a matched sample of single-class firms. I find that dual-class firms report a lower level of abnormal accruals, are less likely to produce small positive earnings surprises, and are less likely to release hidden earnings reserves. Further supporting the notion of reduced capital market pressures, when dual-class firms miss analysts' consensus forecasts, their three-day abnormal returns around earnings announcements are significantly less negative compared to their single-class counterparts. Dual-class firms also attract more long-term institutional investors, and have higher future operating and stock return performance. Overall, the results support the hypothesis that reduced capital market pressures lead to less short-term earnings manipulation among dualclass firms.","author":[{"dropping-particle":"","family":"Chen","given":"Feng","non-dropping-particle":"","parse-names":false,"suffix":""}],"id":"ITEM-2","issued":{"date-parts":[["2008"]]},"publisher":"PhD. Dissertation, Columbia University, NY","title":"Capital Market Pressures and Earnings Management : Evidence from U.S. Dual-Class Firms","type":"thesis"},"uris":["http://www.mendeley.com/documents/?uuid=142385f5-4be1-411a-b768-fedd3490bb99"]},{"id":"ITEM-3","itemData":{"DOI":"10.1016/j.jcorpfin.2016.10.003","ISSN":"09291199","abstract":"We test the hypothesis that dual-class shares can help managers focus on the implementation of long-term projects while avoiding short-term market pressure. Consistent with this idea, we find that dual-class firms face lower short-term market pressure (fewer transient or short-term institutional holdings, a lower probability of being taken over, and lower analyst coverage) than propensity-matched single-class firms. Dual-class firms also tend to have more growth opportunities (higher sales growth and R&amp;D intensity). The dual-class share structure increases the market valuation of high growth firms, in contrast to the finding in the literature that dual-class firms trade at lower valuations. To address endogeneity concerns, we evaluate a sample of dual-class share unifications and find that growth opportunities decline while short-term market pressure increases after share unifications.","author":[{"dropping-particle":"","family":"Jordan","given":"Bradford D.","non-dropping-particle":"","parse-names":false,"suffix":""},{"dropping-particle":"","family":"Kim","given":"Soohyung","non-dropping-particle":"","parse-names":false,"suffix":""},{"dropping-particle":"","family":"Liu","given":"Mark H.","non-dropping-particle":"","parse-names":false,"suffix":""}],"container-title":"Journal of Corporate Finance","id":"ITEM-3","issued":{"date-parts":[["2016"]]},"page":"304-328","publisher":"Elsevier B.V.","title":"Growth Opportunities, Short-Term Market Pressure, and Dual-Class Share Structure","type":"article-journal","volume":"41"},"uris":["http://www.mendeley.com/documents/?uuid=cf7c4996-6cca-41f6-9ddc-e8b23b9afb8f"]},{"id":"ITEM-4","itemData":{"author":[{"dropping-particle":"","family":"Cremers","given":"KJ Martijn","non-dropping-particle":"","parse-names":false,"suffix":""},{"dropping-particle":"","family":"Lauterbach","given":"Beni","non-dropping-particle":"","parse-names":false,"suffix":""},{"dropping-particle":"","family":"Pajuste","given":"Anete","non-dropping-particle":"","parse-names":false,"suffix":""}],"container-title":"ECGI Working Paper Series in Finance","id":"ITEM-4","issue":"October","issued":{"date-parts":[["2020"]]},"title":"The Life-Cycle of Dual Class Firm Valuation October 2020","type":"article-journal","volume":"550/2018"},"uris":["http://www.mendeley.com/documents/?uuid=96264104-7c43-48bf-956e-3929001e7e99"]},{"id":"ITEM-5","itemData":{"DOI":"10.1561/108.00000059","abstract":"A dual-class firm structure, in which one class of shares confers more votes per share than the other, creates a gap between vot- ing rights and cash flow rights. In this paper, we examine the quality of the financial reports of dual- versus single-class firms publicly traded in the U.S. over the 2012–2017 period, as measured by persistence and predictive ability of earnings and cash flows. The results are based on comprehensive information from financial statements analyzed using across-sample and within-sample tests. An additional external indicator of financial restatement filings is also used to support the results. The findings demonstrate that the quality of financial reports is higher for dual-class firms than for single-class firms and increases over time. This suggests that the freedom from market pressures is stronger than agency costs, encouraging founders to provide investors with higher-quality infor- mation in exchange for superior voting rights. The results uncover important and counterintuitive evidence about the existence of a tradeoff between the dilution of voting rights and enhancement of the credibility of information provided to investors. </w:instrText>
      </w:r>
      <w:r w:rsidR="004F4C2D" w:rsidRPr="008754C3">
        <w:rPr>
          <w:rFonts w:ascii="Cambria Math" w:hAnsi="Cambria Math" w:cs="Cambria Math"/>
        </w:rPr>
        <w:instrText>∗</w:instrText>
      </w:r>
      <w:r w:rsidR="004F4C2D" w:rsidRPr="008754C3">
        <w:instrText>Corresponding","author":[{"dropping-particle":"","family":"Palas","given":"Rimona","non-dropping-particle":"","parse-names":false,"suffix":""},{"dropping-particle":"","family":"Solomon","given":"Dov","non-dropping-particle":"","parse-names":false,"suffix":""}],"container-title":"Journal of Law, Finance, and Accounting","id":"ITEM-5","issue":"1","issued":{"date-parts":[["2022"]]},"page":"127-164","title":"The Quality of Earnings Information in Dual-Class Firms : Persistence and Predictability","type":"article-journal","volume":"7"},"uris":["http://www.mendeley.com/documents/?uuid=6d71f758-dab6-4825-a845-d6d4d0e01297"]}],"mendeley":{"formattedCitation":"(Chen, 2008; Cremers et al., 2020; Francis et al., 2005; Jordan et al., 2016; Palas &amp; Solomon, 2022)","plainTextFormattedCitation":"(Chen, 2008; Cremers et al., 2020; Francis et al., 2005; Jordan et al., 2016; Palas &amp; Solomon, 2022)","previouslyFormattedCitation":"(Chen, 2008; Cremers et al., 2020; Francis et al., 2005; Jordan et al., 2016; Palas &amp; Solomon, 2022)"},"properties":{"noteIndex":0},"schema":"https://github.com/citation-style-language/schema/raw/master/csl-citation.json"}</w:instrText>
      </w:r>
      <w:r w:rsidRPr="008754C3">
        <w:fldChar w:fldCharType="separate"/>
      </w:r>
      <w:r w:rsidR="004F4C2D" w:rsidRPr="008754C3">
        <w:rPr>
          <w:noProof/>
        </w:rPr>
        <w:t>(Chen, 2008; Cremers et al., 2020; Francis et al., 2005; Jordan et al., 2016; Palas &amp; Solomon, 2022)</w:t>
      </w:r>
      <w:r w:rsidRPr="008754C3">
        <w:fldChar w:fldCharType="end"/>
      </w:r>
      <w:r w:rsidRPr="008754C3">
        <w:t xml:space="preserve"> to analyze characteristics of the wedge: listing age, size, profitability, leverage, growth, and valuation.</w:t>
      </w:r>
    </w:p>
    <w:p w14:paraId="4AC1E583" w14:textId="19AD5962" w:rsidR="005C32E8" w:rsidRPr="00A3092B" w:rsidRDefault="005C32E8" w:rsidP="00B92AEC">
      <w:pPr>
        <w:pStyle w:val="LSbodytext"/>
        <w:spacing w:before="240" w:line="480" w:lineRule="auto"/>
        <w:rPr>
          <w:rFonts w:asciiTheme="majorBidi" w:hAnsiTheme="majorBidi" w:cstheme="majorBidi"/>
          <w:b/>
          <w:bCs/>
        </w:rPr>
      </w:pPr>
      <w:r w:rsidRPr="00A3092B">
        <w:rPr>
          <w:rFonts w:asciiTheme="majorBidi" w:hAnsiTheme="majorBidi" w:cstheme="majorBidi"/>
          <w:b/>
          <w:bCs/>
        </w:rPr>
        <w:t xml:space="preserve">Table </w:t>
      </w:r>
      <w:r w:rsidR="0024742E">
        <w:rPr>
          <w:rFonts w:asciiTheme="majorBidi" w:hAnsiTheme="majorBidi" w:cstheme="majorBidi"/>
          <w:b/>
          <w:bCs/>
        </w:rPr>
        <w:t>2</w:t>
      </w:r>
    </w:p>
    <w:p w14:paraId="0B8EB6EC" w14:textId="612EEF08" w:rsidR="005C32E8" w:rsidRPr="00F9234E" w:rsidRDefault="005C32E8" w:rsidP="00711306">
      <w:pPr>
        <w:widowControl w:val="0"/>
        <w:bidi w:val="0"/>
        <w:spacing w:line="240" w:lineRule="auto"/>
        <w:rPr>
          <w:rFonts w:asciiTheme="majorBidi" w:hAnsiTheme="majorBidi" w:cstheme="majorBidi"/>
          <w:b/>
          <w:bCs/>
          <w:color w:val="000000" w:themeColor="text1"/>
          <w:sz w:val="24"/>
          <w:szCs w:val="24"/>
        </w:rPr>
      </w:pPr>
      <w:r w:rsidRPr="00F9234E">
        <w:rPr>
          <w:rFonts w:asciiTheme="majorBidi" w:hAnsiTheme="majorBidi" w:cstheme="majorBidi"/>
          <w:b/>
          <w:bCs/>
          <w:color w:val="000000" w:themeColor="text1"/>
          <w:sz w:val="24"/>
          <w:szCs w:val="24"/>
        </w:rPr>
        <w:t xml:space="preserve">Characteristics </w:t>
      </w:r>
      <w:r w:rsidR="00833D2B" w:rsidRPr="00F9234E">
        <w:rPr>
          <w:rFonts w:asciiTheme="majorBidi" w:hAnsiTheme="majorBidi" w:cstheme="majorBidi"/>
          <w:b/>
          <w:bCs/>
          <w:color w:val="000000" w:themeColor="text1"/>
          <w:sz w:val="24"/>
          <w:szCs w:val="24"/>
        </w:rPr>
        <w:t xml:space="preserve">correlation with </w:t>
      </w:r>
      <w:r w:rsidR="00FE2730" w:rsidRPr="00F9234E">
        <w:rPr>
          <w:rFonts w:asciiTheme="majorBidi" w:hAnsiTheme="majorBidi" w:cstheme="majorBidi"/>
          <w:b/>
          <w:bCs/>
          <w:color w:val="000000" w:themeColor="text1"/>
          <w:sz w:val="24"/>
          <w:szCs w:val="24"/>
        </w:rPr>
        <w:t>wedge size</w:t>
      </w:r>
      <w:r w:rsidR="00B657A7" w:rsidRPr="00F9234E">
        <w:rPr>
          <w:rFonts w:asciiTheme="majorBidi" w:hAnsiTheme="majorBidi" w:cstheme="majorBidi"/>
          <w:b/>
          <w:bCs/>
          <w:color w:val="000000" w:themeColor="text1"/>
          <w:sz w:val="24"/>
          <w:szCs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2"/>
        <w:gridCol w:w="3047"/>
        <w:gridCol w:w="1487"/>
        <w:gridCol w:w="2040"/>
      </w:tblGrid>
      <w:tr w:rsidR="00C10A98" w:rsidRPr="008754C3" w14:paraId="3C0DAD2F" w14:textId="77777777" w:rsidTr="00B92AEC">
        <w:tc>
          <w:tcPr>
            <w:tcW w:w="1043" w:type="pct"/>
            <w:tcBorders>
              <w:top w:val="single" w:sz="4" w:space="0" w:color="auto"/>
              <w:bottom w:val="single" w:sz="4" w:space="0" w:color="auto"/>
            </w:tcBorders>
            <w:vAlign w:val="center"/>
          </w:tcPr>
          <w:p w14:paraId="58BB0DEF" w14:textId="77777777" w:rsidR="00C10A98" w:rsidRPr="00A3092B" w:rsidRDefault="00C10A98" w:rsidP="003405F4">
            <w:pPr>
              <w:widowControl w:val="0"/>
              <w:bidi w:val="0"/>
              <w:ind w:firstLine="0"/>
              <w:rPr>
                <w:rFonts w:asciiTheme="majorBidi" w:hAnsiTheme="majorBidi" w:cstheme="majorBidi"/>
                <w:b/>
                <w:bCs/>
                <w:sz w:val="24"/>
                <w:szCs w:val="24"/>
              </w:rPr>
            </w:pPr>
            <w:bookmarkStart w:id="5" w:name="_Hlk4962781"/>
            <w:r w:rsidRPr="00A3092B">
              <w:rPr>
                <w:rFonts w:asciiTheme="majorBidi" w:hAnsiTheme="majorBidi" w:cstheme="majorBidi"/>
                <w:b/>
                <w:bCs/>
                <w:sz w:val="24"/>
                <w:szCs w:val="24"/>
              </w:rPr>
              <w:t>Category</w:t>
            </w:r>
          </w:p>
        </w:tc>
        <w:tc>
          <w:tcPr>
            <w:tcW w:w="1834" w:type="pct"/>
            <w:tcBorders>
              <w:top w:val="single" w:sz="4" w:space="0" w:color="auto"/>
              <w:bottom w:val="single" w:sz="4" w:space="0" w:color="auto"/>
            </w:tcBorders>
            <w:vAlign w:val="center"/>
          </w:tcPr>
          <w:p w14:paraId="1B126637" w14:textId="77777777" w:rsidR="00C10A98" w:rsidRPr="00A3092B" w:rsidRDefault="00C10A98" w:rsidP="003405F4">
            <w:pPr>
              <w:widowControl w:val="0"/>
              <w:bidi w:val="0"/>
              <w:ind w:firstLine="0"/>
              <w:jc w:val="center"/>
              <w:rPr>
                <w:rFonts w:asciiTheme="majorBidi" w:hAnsiTheme="majorBidi" w:cstheme="majorBidi"/>
                <w:b/>
                <w:bCs/>
                <w:sz w:val="24"/>
                <w:szCs w:val="24"/>
              </w:rPr>
            </w:pPr>
            <w:r w:rsidRPr="00A3092B">
              <w:rPr>
                <w:rFonts w:asciiTheme="majorBidi" w:hAnsiTheme="majorBidi" w:cstheme="majorBidi"/>
                <w:b/>
                <w:bCs/>
                <w:sz w:val="24"/>
                <w:szCs w:val="24"/>
              </w:rPr>
              <w:t>Measurement</w:t>
            </w:r>
          </w:p>
        </w:tc>
        <w:tc>
          <w:tcPr>
            <w:tcW w:w="895" w:type="pct"/>
            <w:tcBorders>
              <w:top w:val="single" w:sz="4" w:space="0" w:color="auto"/>
              <w:bottom w:val="single" w:sz="4" w:space="0" w:color="auto"/>
            </w:tcBorders>
            <w:vAlign w:val="center"/>
          </w:tcPr>
          <w:p w14:paraId="2BE7FE09" w14:textId="77777777" w:rsidR="00C10A98" w:rsidRPr="00A3092B" w:rsidRDefault="00C10A98" w:rsidP="003405F4">
            <w:pPr>
              <w:widowControl w:val="0"/>
              <w:bidi w:val="0"/>
              <w:ind w:firstLine="0"/>
              <w:jc w:val="center"/>
              <w:rPr>
                <w:rFonts w:asciiTheme="majorBidi" w:hAnsiTheme="majorBidi" w:cstheme="majorBidi"/>
                <w:b/>
                <w:bCs/>
                <w:sz w:val="24"/>
                <w:szCs w:val="24"/>
                <w:vertAlign w:val="superscript"/>
              </w:rPr>
            </w:pPr>
            <w:r w:rsidRPr="00A3092B">
              <w:rPr>
                <w:rFonts w:asciiTheme="majorBidi" w:hAnsiTheme="majorBidi" w:cstheme="majorBidi"/>
                <w:b/>
                <w:bCs/>
                <w:sz w:val="24"/>
                <w:szCs w:val="24"/>
              </w:rPr>
              <w:t>Average</w:t>
            </w:r>
          </w:p>
        </w:tc>
        <w:tc>
          <w:tcPr>
            <w:tcW w:w="1229" w:type="pct"/>
            <w:tcBorders>
              <w:top w:val="single" w:sz="4" w:space="0" w:color="auto"/>
              <w:bottom w:val="single" w:sz="4" w:space="0" w:color="auto"/>
            </w:tcBorders>
            <w:vAlign w:val="center"/>
          </w:tcPr>
          <w:p w14:paraId="7E095FA1" w14:textId="2109943C" w:rsidR="00C10A98" w:rsidRPr="00B92AEC" w:rsidRDefault="00C10A98" w:rsidP="003405F4">
            <w:pPr>
              <w:widowControl w:val="0"/>
              <w:bidi w:val="0"/>
              <w:ind w:firstLine="0"/>
              <w:jc w:val="center"/>
              <w:rPr>
                <w:rFonts w:asciiTheme="majorBidi" w:hAnsiTheme="majorBidi" w:cstheme="majorBidi"/>
                <w:b/>
                <w:bCs/>
                <w:sz w:val="24"/>
                <w:szCs w:val="24"/>
                <w:vertAlign w:val="superscript"/>
              </w:rPr>
            </w:pPr>
            <w:proofErr w:type="spellStart"/>
            <w:r w:rsidRPr="00A3092B">
              <w:rPr>
                <w:rFonts w:asciiTheme="majorBidi" w:hAnsiTheme="majorBidi" w:cstheme="majorBidi"/>
                <w:b/>
                <w:bCs/>
                <w:sz w:val="24"/>
                <w:szCs w:val="24"/>
              </w:rPr>
              <w:t>Correlation</w:t>
            </w:r>
            <w:r>
              <w:rPr>
                <w:rFonts w:asciiTheme="majorBidi" w:hAnsiTheme="majorBidi" w:cstheme="majorBidi"/>
                <w:b/>
                <w:bCs/>
                <w:sz w:val="24"/>
                <w:szCs w:val="24"/>
                <w:vertAlign w:val="superscript"/>
              </w:rPr>
              <w:t>j</w:t>
            </w:r>
            <w:proofErr w:type="spellEnd"/>
          </w:p>
        </w:tc>
      </w:tr>
      <w:tr w:rsidR="00C10A98" w:rsidRPr="008754C3" w14:paraId="4D002C5C" w14:textId="77777777" w:rsidTr="00B92AEC">
        <w:tblPrEx>
          <w:tblCellMar>
            <w:left w:w="85" w:type="dxa"/>
            <w:right w:w="0" w:type="dxa"/>
          </w:tblCellMar>
        </w:tblPrEx>
        <w:tc>
          <w:tcPr>
            <w:tcW w:w="1043" w:type="pct"/>
            <w:tcBorders>
              <w:top w:val="single" w:sz="4" w:space="0" w:color="auto"/>
            </w:tcBorders>
            <w:vAlign w:val="center"/>
          </w:tcPr>
          <w:p w14:paraId="73B9B3F2" w14:textId="0BF4A0CF" w:rsidR="00C10A98" w:rsidRPr="00A3092B" w:rsidRDefault="00C10A98" w:rsidP="00B92AEC">
            <w:pPr>
              <w:widowControl w:val="0"/>
              <w:bidi w:val="0"/>
              <w:ind w:firstLine="0"/>
              <w:jc w:val="left"/>
              <w:rPr>
                <w:rFonts w:asciiTheme="majorBidi" w:hAnsiTheme="majorBidi" w:cstheme="majorBidi"/>
                <w:sz w:val="24"/>
                <w:szCs w:val="24"/>
              </w:rPr>
            </w:pPr>
            <w:r w:rsidRPr="00A3092B">
              <w:rPr>
                <w:rFonts w:asciiTheme="majorBidi" w:hAnsiTheme="majorBidi" w:cstheme="majorBidi"/>
                <w:sz w:val="24"/>
                <w:szCs w:val="24"/>
              </w:rPr>
              <w:t>Listing Age</w:t>
            </w:r>
          </w:p>
        </w:tc>
        <w:tc>
          <w:tcPr>
            <w:tcW w:w="1834" w:type="pct"/>
            <w:tcBorders>
              <w:top w:val="single" w:sz="4" w:space="0" w:color="auto"/>
            </w:tcBorders>
            <w:vAlign w:val="bottom"/>
          </w:tcPr>
          <w:p w14:paraId="36393CE2" w14:textId="77777777" w:rsidR="00C10A98" w:rsidRPr="00A3092B" w:rsidRDefault="00C10A98" w:rsidP="003405F4">
            <w:pPr>
              <w:widowControl w:val="0"/>
              <w:bidi w:val="0"/>
              <w:ind w:firstLine="0"/>
              <w:jc w:val="center"/>
              <w:rPr>
                <w:rFonts w:asciiTheme="majorBidi" w:hAnsiTheme="majorBidi" w:cstheme="majorBidi"/>
                <w:sz w:val="24"/>
                <w:szCs w:val="24"/>
              </w:rPr>
            </w:pPr>
            <w:r w:rsidRPr="00A3092B">
              <w:rPr>
                <w:rFonts w:asciiTheme="majorBidi" w:hAnsiTheme="majorBidi" w:cstheme="majorBidi"/>
                <w:sz w:val="24"/>
                <w:szCs w:val="24"/>
              </w:rPr>
              <w:t>Years Since IPO</w:t>
            </w:r>
          </w:p>
        </w:tc>
        <w:tc>
          <w:tcPr>
            <w:tcW w:w="895" w:type="pct"/>
            <w:tcBorders>
              <w:top w:val="single" w:sz="4" w:space="0" w:color="auto"/>
            </w:tcBorders>
            <w:vAlign w:val="bottom"/>
          </w:tcPr>
          <w:p w14:paraId="4CE16837" w14:textId="77777777" w:rsidR="00C10A98" w:rsidRPr="00A3092B" w:rsidRDefault="00C10A98" w:rsidP="00216A30">
            <w:pPr>
              <w:widowControl w:val="0"/>
              <w:bidi w:val="0"/>
              <w:ind w:firstLine="0"/>
              <w:jc w:val="center"/>
              <w:rPr>
                <w:rFonts w:asciiTheme="majorBidi" w:hAnsiTheme="majorBidi" w:cstheme="majorBidi"/>
                <w:sz w:val="24"/>
                <w:szCs w:val="24"/>
              </w:rPr>
            </w:pPr>
            <w:r w:rsidRPr="00A3092B">
              <w:rPr>
                <w:rFonts w:asciiTheme="majorBidi" w:hAnsiTheme="majorBidi" w:cstheme="majorBidi"/>
                <w:sz w:val="24"/>
                <w:szCs w:val="24"/>
              </w:rPr>
              <w:t>18.12</w:t>
            </w:r>
          </w:p>
        </w:tc>
        <w:tc>
          <w:tcPr>
            <w:tcW w:w="1229" w:type="pct"/>
            <w:tcBorders>
              <w:top w:val="single" w:sz="4" w:space="0" w:color="auto"/>
            </w:tcBorders>
            <w:vAlign w:val="bottom"/>
          </w:tcPr>
          <w:p w14:paraId="7E67F612" w14:textId="121D2393" w:rsidR="00C10A98" w:rsidRPr="00A3092B" w:rsidRDefault="00C10A98" w:rsidP="00216A30">
            <w:pPr>
              <w:widowControl w:val="0"/>
              <w:bidi w:val="0"/>
              <w:ind w:firstLine="0"/>
              <w:jc w:val="center"/>
              <w:rPr>
                <w:rFonts w:asciiTheme="majorBidi" w:hAnsiTheme="majorBidi" w:cstheme="majorBidi"/>
                <w:sz w:val="24"/>
                <w:szCs w:val="24"/>
              </w:rPr>
            </w:pPr>
            <w:r w:rsidRPr="00A3092B">
              <w:rPr>
                <w:rFonts w:asciiTheme="majorBidi" w:hAnsiTheme="majorBidi" w:cstheme="majorBidi"/>
                <w:sz w:val="24"/>
                <w:szCs w:val="24"/>
              </w:rPr>
              <w:t>***</w:t>
            </w:r>
          </w:p>
        </w:tc>
      </w:tr>
      <w:tr w:rsidR="00C10A98" w:rsidRPr="008754C3" w14:paraId="577B5482" w14:textId="77777777" w:rsidTr="00B92AEC">
        <w:tblPrEx>
          <w:tblCellMar>
            <w:left w:w="85" w:type="dxa"/>
            <w:right w:w="0" w:type="dxa"/>
          </w:tblCellMar>
        </w:tblPrEx>
        <w:tc>
          <w:tcPr>
            <w:tcW w:w="1043" w:type="pct"/>
            <w:vMerge w:val="restart"/>
            <w:vAlign w:val="center"/>
          </w:tcPr>
          <w:p w14:paraId="1AB296DF" w14:textId="77777777" w:rsidR="00C10A98" w:rsidRPr="00A3092B" w:rsidRDefault="00C10A98" w:rsidP="003405F4">
            <w:pPr>
              <w:widowControl w:val="0"/>
              <w:bidi w:val="0"/>
              <w:ind w:firstLine="0"/>
              <w:rPr>
                <w:rFonts w:asciiTheme="majorBidi" w:hAnsiTheme="majorBidi" w:cstheme="majorBidi"/>
                <w:sz w:val="24"/>
                <w:szCs w:val="24"/>
              </w:rPr>
            </w:pPr>
            <w:proofErr w:type="spellStart"/>
            <w:r w:rsidRPr="00A3092B">
              <w:rPr>
                <w:rFonts w:asciiTheme="majorBidi" w:hAnsiTheme="majorBidi" w:cstheme="majorBidi"/>
                <w:sz w:val="24"/>
                <w:szCs w:val="24"/>
              </w:rPr>
              <w:t>Size</w:t>
            </w:r>
            <w:r w:rsidRPr="00A3092B">
              <w:rPr>
                <w:rFonts w:asciiTheme="majorBidi" w:hAnsiTheme="majorBidi" w:cstheme="majorBidi"/>
                <w:sz w:val="24"/>
                <w:szCs w:val="24"/>
                <w:vertAlign w:val="superscript"/>
              </w:rPr>
              <w:t>a</w:t>
            </w:r>
            <w:proofErr w:type="spellEnd"/>
          </w:p>
        </w:tc>
        <w:tc>
          <w:tcPr>
            <w:tcW w:w="1834" w:type="pct"/>
            <w:vAlign w:val="bottom"/>
          </w:tcPr>
          <w:p w14:paraId="5052AD7F" w14:textId="77777777" w:rsidR="00C10A98" w:rsidRPr="00A3092B" w:rsidRDefault="00C10A98" w:rsidP="003405F4">
            <w:pPr>
              <w:widowControl w:val="0"/>
              <w:bidi w:val="0"/>
              <w:ind w:firstLine="0"/>
              <w:jc w:val="center"/>
              <w:rPr>
                <w:rFonts w:asciiTheme="majorBidi" w:hAnsiTheme="majorBidi" w:cstheme="majorBidi"/>
                <w:sz w:val="24"/>
                <w:szCs w:val="24"/>
                <w:vertAlign w:val="superscript"/>
              </w:rPr>
            </w:pPr>
            <w:r w:rsidRPr="00A3092B">
              <w:rPr>
                <w:rFonts w:asciiTheme="majorBidi" w:hAnsiTheme="majorBidi" w:cstheme="majorBidi"/>
                <w:sz w:val="24"/>
                <w:szCs w:val="24"/>
              </w:rPr>
              <w:t>Sales Revenue</w:t>
            </w:r>
          </w:p>
        </w:tc>
        <w:tc>
          <w:tcPr>
            <w:tcW w:w="895" w:type="pct"/>
            <w:vAlign w:val="bottom"/>
          </w:tcPr>
          <w:p w14:paraId="0ED6BBBA" w14:textId="77777777" w:rsidR="00C10A98" w:rsidRPr="00A3092B" w:rsidRDefault="00C10A98" w:rsidP="00216A30">
            <w:pPr>
              <w:widowControl w:val="0"/>
              <w:bidi w:val="0"/>
              <w:ind w:firstLine="0"/>
              <w:jc w:val="center"/>
              <w:rPr>
                <w:rFonts w:asciiTheme="majorBidi" w:hAnsiTheme="majorBidi" w:cstheme="majorBidi"/>
                <w:sz w:val="24"/>
                <w:szCs w:val="24"/>
              </w:rPr>
            </w:pPr>
            <w:r w:rsidRPr="00A3092B">
              <w:rPr>
                <w:rFonts w:asciiTheme="majorBidi" w:hAnsiTheme="majorBidi" w:cstheme="majorBidi"/>
                <w:sz w:val="24"/>
                <w:szCs w:val="24"/>
              </w:rPr>
              <w:t>1,098</w:t>
            </w:r>
          </w:p>
        </w:tc>
        <w:tc>
          <w:tcPr>
            <w:tcW w:w="1229" w:type="pct"/>
            <w:vAlign w:val="bottom"/>
          </w:tcPr>
          <w:p w14:paraId="5EEC9933" w14:textId="02EA666B" w:rsidR="00C10A98" w:rsidRPr="00A3092B" w:rsidRDefault="00C10A98" w:rsidP="00216A30">
            <w:pPr>
              <w:widowControl w:val="0"/>
              <w:bidi w:val="0"/>
              <w:ind w:firstLine="0"/>
              <w:jc w:val="center"/>
              <w:rPr>
                <w:rFonts w:asciiTheme="majorBidi" w:hAnsiTheme="majorBidi" w:cstheme="majorBidi"/>
                <w:sz w:val="24"/>
                <w:szCs w:val="24"/>
              </w:rPr>
            </w:pPr>
            <w:r w:rsidRPr="00A3092B">
              <w:rPr>
                <w:rFonts w:asciiTheme="majorBidi" w:hAnsiTheme="majorBidi" w:cstheme="majorBidi"/>
                <w:sz w:val="24"/>
                <w:szCs w:val="24"/>
              </w:rPr>
              <w:t>**</w:t>
            </w:r>
          </w:p>
        </w:tc>
      </w:tr>
      <w:tr w:rsidR="00C10A98" w:rsidRPr="008754C3" w14:paraId="40D00D80" w14:textId="77777777" w:rsidTr="00B92AEC">
        <w:tblPrEx>
          <w:tblCellMar>
            <w:left w:w="85" w:type="dxa"/>
            <w:right w:w="0" w:type="dxa"/>
          </w:tblCellMar>
        </w:tblPrEx>
        <w:tc>
          <w:tcPr>
            <w:tcW w:w="1043" w:type="pct"/>
            <w:vMerge/>
            <w:vAlign w:val="center"/>
          </w:tcPr>
          <w:p w14:paraId="3165F47E" w14:textId="77777777" w:rsidR="00C10A98" w:rsidRPr="00A3092B" w:rsidRDefault="00C10A98" w:rsidP="003405F4">
            <w:pPr>
              <w:widowControl w:val="0"/>
              <w:bidi w:val="0"/>
              <w:ind w:firstLine="0"/>
              <w:rPr>
                <w:rFonts w:asciiTheme="majorBidi" w:hAnsiTheme="majorBidi" w:cstheme="majorBidi"/>
                <w:sz w:val="24"/>
                <w:szCs w:val="24"/>
              </w:rPr>
            </w:pPr>
          </w:p>
        </w:tc>
        <w:tc>
          <w:tcPr>
            <w:tcW w:w="1834" w:type="pct"/>
            <w:vAlign w:val="bottom"/>
          </w:tcPr>
          <w:p w14:paraId="2F614384" w14:textId="77777777" w:rsidR="00C10A98" w:rsidRPr="00A3092B" w:rsidRDefault="00C10A98" w:rsidP="003405F4">
            <w:pPr>
              <w:widowControl w:val="0"/>
              <w:bidi w:val="0"/>
              <w:ind w:firstLine="0"/>
              <w:jc w:val="center"/>
              <w:rPr>
                <w:rFonts w:asciiTheme="majorBidi" w:hAnsiTheme="majorBidi" w:cstheme="majorBidi"/>
                <w:sz w:val="24"/>
                <w:szCs w:val="24"/>
              </w:rPr>
            </w:pPr>
            <w:r w:rsidRPr="00A3092B">
              <w:rPr>
                <w:rFonts w:asciiTheme="majorBidi" w:hAnsiTheme="majorBidi" w:cstheme="majorBidi"/>
                <w:sz w:val="24"/>
                <w:szCs w:val="24"/>
              </w:rPr>
              <w:t>Market Value</w:t>
            </w:r>
          </w:p>
        </w:tc>
        <w:tc>
          <w:tcPr>
            <w:tcW w:w="895" w:type="pct"/>
            <w:vAlign w:val="bottom"/>
          </w:tcPr>
          <w:p w14:paraId="4167EC34" w14:textId="77777777" w:rsidR="00C10A98" w:rsidRPr="00A3092B" w:rsidRDefault="00C10A98" w:rsidP="00216A30">
            <w:pPr>
              <w:widowControl w:val="0"/>
              <w:bidi w:val="0"/>
              <w:ind w:firstLine="0"/>
              <w:jc w:val="center"/>
              <w:rPr>
                <w:rFonts w:asciiTheme="majorBidi" w:hAnsiTheme="majorBidi" w:cstheme="majorBidi"/>
                <w:sz w:val="24"/>
                <w:szCs w:val="24"/>
              </w:rPr>
            </w:pPr>
            <w:r w:rsidRPr="00A3092B">
              <w:rPr>
                <w:rFonts w:asciiTheme="majorBidi" w:hAnsiTheme="majorBidi" w:cstheme="majorBidi"/>
                <w:sz w:val="24"/>
                <w:szCs w:val="24"/>
              </w:rPr>
              <w:t>7,763</w:t>
            </w:r>
          </w:p>
        </w:tc>
        <w:tc>
          <w:tcPr>
            <w:tcW w:w="1229" w:type="pct"/>
            <w:vAlign w:val="bottom"/>
          </w:tcPr>
          <w:p w14:paraId="4ADD6B25" w14:textId="7567CA32" w:rsidR="00C10A98" w:rsidRPr="00A3092B" w:rsidRDefault="00C10A98" w:rsidP="00216A30">
            <w:pPr>
              <w:widowControl w:val="0"/>
              <w:bidi w:val="0"/>
              <w:ind w:firstLine="0"/>
              <w:jc w:val="center"/>
              <w:rPr>
                <w:rFonts w:asciiTheme="majorBidi" w:hAnsiTheme="majorBidi" w:cstheme="majorBidi"/>
                <w:sz w:val="24"/>
                <w:szCs w:val="24"/>
              </w:rPr>
            </w:pPr>
            <w:r w:rsidRPr="00A3092B">
              <w:rPr>
                <w:rFonts w:asciiTheme="majorBidi" w:hAnsiTheme="majorBidi" w:cstheme="majorBidi"/>
                <w:sz w:val="24"/>
                <w:szCs w:val="24"/>
              </w:rPr>
              <w:t>***</w:t>
            </w:r>
          </w:p>
        </w:tc>
      </w:tr>
      <w:tr w:rsidR="00C10A98" w:rsidRPr="008754C3" w14:paraId="4D562801" w14:textId="77777777" w:rsidTr="00B92AEC">
        <w:tblPrEx>
          <w:tblCellMar>
            <w:left w:w="85" w:type="dxa"/>
            <w:right w:w="0" w:type="dxa"/>
          </w:tblCellMar>
        </w:tblPrEx>
        <w:tc>
          <w:tcPr>
            <w:tcW w:w="1043" w:type="pct"/>
            <w:vMerge/>
            <w:vAlign w:val="center"/>
          </w:tcPr>
          <w:p w14:paraId="08A2C371" w14:textId="77777777" w:rsidR="00C10A98" w:rsidRPr="00A3092B" w:rsidRDefault="00C10A98" w:rsidP="003405F4">
            <w:pPr>
              <w:widowControl w:val="0"/>
              <w:bidi w:val="0"/>
              <w:ind w:firstLine="0"/>
              <w:rPr>
                <w:rFonts w:asciiTheme="majorBidi" w:hAnsiTheme="majorBidi" w:cstheme="majorBidi"/>
                <w:sz w:val="24"/>
                <w:szCs w:val="24"/>
              </w:rPr>
            </w:pPr>
          </w:p>
        </w:tc>
        <w:tc>
          <w:tcPr>
            <w:tcW w:w="1834" w:type="pct"/>
            <w:vAlign w:val="bottom"/>
          </w:tcPr>
          <w:p w14:paraId="673074A7" w14:textId="77777777" w:rsidR="00C10A98" w:rsidRPr="00A3092B" w:rsidRDefault="00C10A98" w:rsidP="003405F4">
            <w:pPr>
              <w:widowControl w:val="0"/>
              <w:bidi w:val="0"/>
              <w:ind w:firstLine="0"/>
              <w:jc w:val="center"/>
              <w:rPr>
                <w:rFonts w:asciiTheme="majorBidi" w:hAnsiTheme="majorBidi" w:cstheme="majorBidi"/>
                <w:sz w:val="24"/>
                <w:szCs w:val="24"/>
                <w:vertAlign w:val="superscript"/>
              </w:rPr>
            </w:pPr>
            <w:r w:rsidRPr="00A3092B">
              <w:rPr>
                <w:rFonts w:asciiTheme="majorBidi" w:hAnsiTheme="majorBidi" w:cstheme="majorBidi"/>
                <w:sz w:val="24"/>
                <w:szCs w:val="24"/>
              </w:rPr>
              <w:t>Total Assets</w:t>
            </w:r>
          </w:p>
        </w:tc>
        <w:tc>
          <w:tcPr>
            <w:tcW w:w="895" w:type="pct"/>
            <w:vAlign w:val="bottom"/>
          </w:tcPr>
          <w:p w14:paraId="48F82A1F" w14:textId="77777777" w:rsidR="00C10A98" w:rsidRPr="00A3092B" w:rsidRDefault="00C10A98" w:rsidP="00216A30">
            <w:pPr>
              <w:widowControl w:val="0"/>
              <w:bidi w:val="0"/>
              <w:ind w:firstLine="0"/>
              <w:jc w:val="center"/>
              <w:rPr>
                <w:rFonts w:asciiTheme="majorBidi" w:hAnsiTheme="majorBidi" w:cstheme="majorBidi"/>
                <w:sz w:val="24"/>
                <w:szCs w:val="24"/>
              </w:rPr>
            </w:pPr>
            <w:r w:rsidRPr="00A3092B">
              <w:rPr>
                <w:rFonts w:asciiTheme="majorBidi" w:hAnsiTheme="majorBidi" w:cstheme="majorBidi"/>
                <w:sz w:val="24"/>
                <w:szCs w:val="24"/>
              </w:rPr>
              <w:t>7,748</w:t>
            </w:r>
          </w:p>
        </w:tc>
        <w:tc>
          <w:tcPr>
            <w:tcW w:w="1229" w:type="pct"/>
            <w:vAlign w:val="bottom"/>
          </w:tcPr>
          <w:p w14:paraId="7374BFF9" w14:textId="29C4CA44" w:rsidR="00C10A98" w:rsidRPr="00A3092B" w:rsidRDefault="00C10A98" w:rsidP="00216A30">
            <w:pPr>
              <w:widowControl w:val="0"/>
              <w:bidi w:val="0"/>
              <w:ind w:firstLine="0"/>
              <w:jc w:val="center"/>
              <w:rPr>
                <w:rFonts w:asciiTheme="majorBidi" w:hAnsiTheme="majorBidi" w:cstheme="majorBidi"/>
                <w:sz w:val="24"/>
                <w:szCs w:val="24"/>
              </w:rPr>
            </w:pPr>
            <w:r w:rsidRPr="00A3092B">
              <w:rPr>
                <w:rFonts w:asciiTheme="majorBidi" w:hAnsiTheme="majorBidi" w:cstheme="majorBidi"/>
                <w:sz w:val="24"/>
                <w:szCs w:val="24"/>
              </w:rPr>
              <w:t>***</w:t>
            </w:r>
          </w:p>
        </w:tc>
      </w:tr>
      <w:tr w:rsidR="00C10A98" w:rsidRPr="008754C3" w14:paraId="665FBF2A" w14:textId="77777777" w:rsidTr="00B92AEC">
        <w:tblPrEx>
          <w:tblCellMar>
            <w:left w:w="85" w:type="dxa"/>
            <w:right w:w="0" w:type="dxa"/>
          </w:tblCellMar>
        </w:tblPrEx>
        <w:tc>
          <w:tcPr>
            <w:tcW w:w="1043" w:type="pct"/>
            <w:vMerge w:val="restart"/>
            <w:vAlign w:val="center"/>
          </w:tcPr>
          <w:p w14:paraId="7D497DEF" w14:textId="77777777" w:rsidR="00C10A98" w:rsidRPr="00A3092B" w:rsidRDefault="00C10A98" w:rsidP="003405F4">
            <w:pPr>
              <w:widowControl w:val="0"/>
              <w:bidi w:val="0"/>
              <w:ind w:firstLine="0"/>
              <w:rPr>
                <w:rFonts w:asciiTheme="majorBidi" w:hAnsiTheme="majorBidi" w:cstheme="majorBidi"/>
                <w:sz w:val="24"/>
                <w:szCs w:val="24"/>
                <w:vertAlign w:val="superscript"/>
              </w:rPr>
            </w:pPr>
            <w:r w:rsidRPr="00A3092B">
              <w:rPr>
                <w:rFonts w:asciiTheme="majorBidi" w:hAnsiTheme="majorBidi" w:cstheme="majorBidi"/>
                <w:sz w:val="24"/>
                <w:szCs w:val="24"/>
              </w:rPr>
              <w:t>Profitability</w:t>
            </w:r>
          </w:p>
        </w:tc>
        <w:tc>
          <w:tcPr>
            <w:tcW w:w="1834" w:type="pct"/>
            <w:vAlign w:val="bottom"/>
          </w:tcPr>
          <w:p w14:paraId="07713649" w14:textId="77777777" w:rsidR="00C10A98" w:rsidRPr="00A3092B" w:rsidRDefault="00C10A98" w:rsidP="003405F4">
            <w:pPr>
              <w:widowControl w:val="0"/>
              <w:bidi w:val="0"/>
              <w:ind w:firstLine="0"/>
              <w:jc w:val="center"/>
              <w:rPr>
                <w:rFonts w:asciiTheme="majorBidi" w:hAnsiTheme="majorBidi" w:cstheme="majorBidi"/>
                <w:sz w:val="24"/>
                <w:szCs w:val="24"/>
                <w:vertAlign w:val="superscript"/>
              </w:rPr>
            </w:pPr>
            <w:r w:rsidRPr="00A3092B">
              <w:rPr>
                <w:rFonts w:asciiTheme="majorBidi" w:hAnsiTheme="majorBidi" w:cstheme="majorBidi"/>
                <w:sz w:val="24"/>
                <w:szCs w:val="24"/>
              </w:rPr>
              <w:t xml:space="preserve">Profit </w:t>
            </w:r>
            <w:proofErr w:type="spellStart"/>
            <w:r w:rsidRPr="00A3092B">
              <w:rPr>
                <w:rFonts w:asciiTheme="majorBidi" w:hAnsiTheme="majorBidi" w:cstheme="majorBidi"/>
                <w:sz w:val="24"/>
                <w:szCs w:val="24"/>
              </w:rPr>
              <w:t>Margin</w:t>
            </w:r>
            <w:r w:rsidRPr="00A3092B">
              <w:rPr>
                <w:rFonts w:asciiTheme="majorBidi" w:hAnsiTheme="majorBidi" w:cstheme="majorBidi"/>
                <w:sz w:val="24"/>
                <w:szCs w:val="24"/>
                <w:vertAlign w:val="superscript"/>
              </w:rPr>
              <w:t>b</w:t>
            </w:r>
            <w:proofErr w:type="spellEnd"/>
          </w:p>
        </w:tc>
        <w:tc>
          <w:tcPr>
            <w:tcW w:w="895" w:type="pct"/>
            <w:vAlign w:val="bottom"/>
          </w:tcPr>
          <w:p w14:paraId="1D3C36C2" w14:textId="77777777" w:rsidR="00C10A98" w:rsidRPr="00A3092B" w:rsidRDefault="00C10A98" w:rsidP="00216A30">
            <w:pPr>
              <w:widowControl w:val="0"/>
              <w:bidi w:val="0"/>
              <w:ind w:firstLine="0"/>
              <w:jc w:val="center"/>
              <w:rPr>
                <w:rFonts w:asciiTheme="majorBidi" w:hAnsiTheme="majorBidi" w:cstheme="majorBidi"/>
                <w:sz w:val="24"/>
                <w:szCs w:val="24"/>
              </w:rPr>
            </w:pPr>
            <w:r w:rsidRPr="00A3092B">
              <w:rPr>
                <w:rFonts w:asciiTheme="majorBidi" w:hAnsiTheme="majorBidi" w:cstheme="majorBidi"/>
                <w:sz w:val="24"/>
                <w:szCs w:val="24"/>
              </w:rPr>
              <w:t>0.07</w:t>
            </w:r>
          </w:p>
        </w:tc>
        <w:tc>
          <w:tcPr>
            <w:tcW w:w="1229" w:type="pct"/>
            <w:vAlign w:val="bottom"/>
          </w:tcPr>
          <w:p w14:paraId="2A0D78B6" w14:textId="7D90650C" w:rsidR="00C10A98" w:rsidRPr="00A3092B" w:rsidRDefault="00C10A98" w:rsidP="00216A30">
            <w:pPr>
              <w:widowControl w:val="0"/>
              <w:bidi w:val="0"/>
              <w:ind w:firstLine="0"/>
              <w:jc w:val="center"/>
              <w:rPr>
                <w:rFonts w:asciiTheme="majorBidi" w:hAnsiTheme="majorBidi" w:cstheme="majorBidi"/>
                <w:sz w:val="24"/>
                <w:szCs w:val="24"/>
              </w:rPr>
            </w:pPr>
          </w:p>
        </w:tc>
      </w:tr>
      <w:tr w:rsidR="00C10A98" w:rsidRPr="008754C3" w14:paraId="13962350" w14:textId="77777777" w:rsidTr="00B92AEC">
        <w:tblPrEx>
          <w:tblCellMar>
            <w:left w:w="85" w:type="dxa"/>
            <w:right w:w="0" w:type="dxa"/>
          </w:tblCellMar>
        </w:tblPrEx>
        <w:tc>
          <w:tcPr>
            <w:tcW w:w="1043" w:type="pct"/>
            <w:vMerge/>
            <w:vAlign w:val="center"/>
          </w:tcPr>
          <w:p w14:paraId="02359789" w14:textId="77777777" w:rsidR="00C10A98" w:rsidRPr="00A3092B" w:rsidRDefault="00C10A98" w:rsidP="003405F4">
            <w:pPr>
              <w:widowControl w:val="0"/>
              <w:bidi w:val="0"/>
              <w:ind w:firstLine="0"/>
              <w:rPr>
                <w:rFonts w:asciiTheme="majorBidi" w:hAnsiTheme="majorBidi" w:cstheme="majorBidi"/>
                <w:sz w:val="24"/>
                <w:szCs w:val="24"/>
              </w:rPr>
            </w:pPr>
          </w:p>
        </w:tc>
        <w:tc>
          <w:tcPr>
            <w:tcW w:w="1834" w:type="pct"/>
            <w:vAlign w:val="bottom"/>
          </w:tcPr>
          <w:p w14:paraId="5D031E1C" w14:textId="77777777" w:rsidR="00C10A98" w:rsidRPr="00A3092B" w:rsidRDefault="00C10A98" w:rsidP="003405F4">
            <w:pPr>
              <w:widowControl w:val="0"/>
              <w:bidi w:val="0"/>
              <w:ind w:firstLine="0"/>
              <w:jc w:val="center"/>
              <w:rPr>
                <w:rFonts w:asciiTheme="majorBidi" w:hAnsiTheme="majorBidi" w:cstheme="majorBidi"/>
                <w:sz w:val="24"/>
                <w:szCs w:val="24"/>
                <w:vertAlign w:val="superscript"/>
              </w:rPr>
            </w:pPr>
            <w:proofErr w:type="spellStart"/>
            <w:r w:rsidRPr="00A3092B">
              <w:rPr>
                <w:rFonts w:asciiTheme="majorBidi" w:hAnsiTheme="majorBidi" w:cstheme="majorBidi"/>
                <w:sz w:val="24"/>
                <w:szCs w:val="24"/>
              </w:rPr>
              <w:t>ROA</w:t>
            </w:r>
            <w:r w:rsidRPr="00A3092B">
              <w:rPr>
                <w:rFonts w:asciiTheme="majorBidi" w:hAnsiTheme="majorBidi" w:cstheme="majorBidi"/>
                <w:sz w:val="24"/>
                <w:szCs w:val="24"/>
                <w:vertAlign w:val="superscript"/>
              </w:rPr>
              <w:t>c</w:t>
            </w:r>
            <w:proofErr w:type="spellEnd"/>
          </w:p>
        </w:tc>
        <w:tc>
          <w:tcPr>
            <w:tcW w:w="895" w:type="pct"/>
            <w:vAlign w:val="bottom"/>
          </w:tcPr>
          <w:p w14:paraId="5BA712FB" w14:textId="77777777" w:rsidR="00C10A98" w:rsidRPr="00A3092B" w:rsidRDefault="00C10A98" w:rsidP="00216A30">
            <w:pPr>
              <w:widowControl w:val="0"/>
              <w:bidi w:val="0"/>
              <w:ind w:firstLine="0"/>
              <w:jc w:val="center"/>
              <w:rPr>
                <w:rFonts w:asciiTheme="majorBidi" w:hAnsiTheme="majorBidi" w:cstheme="majorBidi"/>
                <w:sz w:val="24"/>
                <w:szCs w:val="24"/>
              </w:rPr>
            </w:pPr>
            <w:r w:rsidRPr="00A3092B">
              <w:rPr>
                <w:rFonts w:asciiTheme="majorBidi" w:hAnsiTheme="majorBidi" w:cstheme="majorBidi"/>
                <w:sz w:val="24"/>
                <w:szCs w:val="24"/>
              </w:rPr>
              <w:t>0.01</w:t>
            </w:r>
          </w:p>
        </w:tc>
        <w:tc>
          <w:tcPr>
            <w:tcW w:w="1229" w:type="pct"/>
            <w:vAlign w:val="bottom"/>
          </w:tcPr>
          <w:p w14:paraId="33900CDD" w14:textId="27816F1A" w:rsidR="00C10A98" w:rsidRPr="00A3092B" w:rsidRDefault="00C10A98" w:rsidP="00216A30">
            <w:pPr>
              <w:widowControl w:val="0"/>
              <w:bidi w:val="0"/>
              <w:ind w:firstLine="0"/>
              <w:jc w:val="center"/>
              <w:rPr>
                <w:rFonts w:asciiTheme="majorBidi" w:hAnsiTheme="majorBidi" w:cstheme="majorBidi"/>
                <w:sz w:val="24"/>
                <w:szCs w:val="24"/>
              </w:rPr>
            </w:pPr>
            <w:r w:rsidRPr="00A3092B">
              <w:rPr>
                <w:rFonts w:asciiTheme="majorBidi" w:hAnsiTheme="majorBidi" w:cstheme="majorBidi"/>
                <w:sz w:val="24"/>
                <w:szCs w:val="24"/>
              </w:rPr>
              <w:t>***</w:t>
            </w:r>
          </w:p>
        </w:tc>
      </w:tr>
      <w:tr w:rsidR="00C10A98" w:rsidRPr="008754C3" w14:paraId="279BB3BB" w14:textId="77777777" w:rsidTr="00B92AEC">
        <w:tblPrEx>
          <w:tblCellMar>
            <w:left w:w="85" w:type="dxa"/>
            <w:right w:w="0" w:type="dxa"/>
          </w:tblCellMar>
        </w:tblPrEx>
        <w:tc>
          <w:tcPr>
            <w:tcW w:w="1043" w:type="pct"/>
            <w:vMerge/>
            <w:vAlign w:val="center"/>
          </w:tcPr>
          <w:p w14:paraId="01D570C2" w14:textId="77777777" w:rsidR="00C10A98" w:rsidRPr="00A3092B" w:rsidRDefault="00C10A98" w:rsidP="003405F4">
            <w:pPr>
              <w:widowControl w:val="0"/>
              <w:bidi w:val="0"/>
              <w:ind w:firstLine="0"/>
              <w:rPr>
                <w:rFonts w:asciiTheme="majorBidi" w:hAnsiTheme="majorBidi" w:cstheme="majorBidi"/>
                <w:sz w:val="24"/>
                <w:szCs w:val="24"/>
              </w:rPr>
            </w:pPr>
          </w:p>
        </w:tc>
        <w:tc>
          <w:tcPr>
            <w:tcW w:w="1834" w:type="pct"/>
            <w:vAlign w:val="bottom"/>
          </w:tcPr>
          <w:p w14:paraId="74537AE5" w14:textId="77777777" w:rsidR="00C10A98" w:rsidRPr="00A3092B" w:rsidRDefault="00C10A98" w:rsidP="003405F4">
            <w:pPr>
              <w:widowControl w:val="0"/>
              <w:bidi w:val="0"/>
              <w:ind w:firstLine="0"/>
              <w:jc w:val="center"/>
              <w:rPr>
                <w:rFonts w:asciiTheme="majorBidi" w:hAnsiTheme="majorBidi" w:cstheme="majorBidi"/>
                <w:sz w:val="24"/>
                <w:szCs w:val="24"/>
                <w:vertAlign w:val="superscript"/>
              </w:rPr>
            </w:pPr>
            <w:proofErr w:type="spellStart"/>
            <w:r w:rsidRPr="00A3092B">
              <w:rPr>
                <w:rFonts w:asciiTheme="majorBidi" w:hAnsiTheme="majorBidi" w:cstheme="majorBidi"/>
                <w:sz w:val="24"/>
                <w:szCs w:val="24"/>
              </w:rPr>
              <w:t>ROE</w:t>
            </w:r>
            <w:r w:rsidRPr="00A3092B">
              <w:rPr>
                <w:rFonts w:asciiTheme="majorBidi" w:hAnsiTheme="majorBidi" w:cstheme="majorBidi"/>
                <w:sz w:val="24"/>
                <w:szCs w:val="24"/>
                <w:vertAlign w:val="superscript"/>
              </w:rPr>
              <w:t>d</w:t>
            </w:r>
            <w:proofErr w:type="spellEnd"/>
          </w:p>
        </w:tc>
        <w:tc>
          <w:tcPr>
            <w:tcW w:w="895" w:type="pct"/>
            <w:vAlign w:val="bottom"/>
          </w:tcPr>
          <w:p w14:paraId="419E9AC8" w14:textId="77777777" w:rsidR="00C10A98" w:rsidRPr="00A3092B" w:rsidRDefault="00C10A98" w:rsidP="00216A30">
            <w:pPr>
              <w:widowControl w:val="0"/>
              <w:bidi w:val="0"/>
              <w:ind w:firstLine="0"/>
              <w:jc w:val="center"/>
              <w:rPr>
                <w:rFonts w:asciiTheme="majorBidi" w:hAnsiTheme="majorBidi" w:cstheme="majorBidi"/>
                <w:sz w:val="24"/>
                <w:szCs w:val="24"/>
              </w:rPr>
            </w:pPr>
            <w:r w:rsidRPr="00A3092B">
              <w:rPr>
                <w:rFonts w:asciiTheme="majorBidi" w:hAnsiTheme="majorBidi" w:cstheme="majorBidi"/>
                <w:sz w:val="24"/>
                <w:szCs w:val="24"/>
              </w:rPr>
              <w:t>0.04</w:t>
            </w:r>
          </w:p>
        </w:tc>
        <w:tc>
          <w:tcPr>
            <w:tcW w:w="1229" w:type="pct"/>
            <w:vAlign w:val="bottom"/>
          </w:tcPr>
          <w:p w14:paraId="7CA4B14F" w14:textId="2B900818" w:rsidR="00C10A98" w:rsidRPr="00A3092B" w:rsidRDefault="00C10A98" w:rsidP="00216A30">
            <w:pPr>
              <w:widowControl w:val="0"/>
              <w:bidi w:val="0"/>
              <w:ind w:firstLine="0"/>
              <w:jc w:val="center"/>
              <w:rPr>
                <w:rFonts w:asciiTheme="majorBidi" w:hAnsiTheme="majorBidi" w:cstheme="majorBidi"/>
                <w:sz w:val="24"/>
                <w:szCs w:val="24"/>
              </w:rPr>
            </w:pPr>
          </w:p>
        </w:tc>
      </w:tr>
      <w:tr w:rsidR="00C10A98" w:rsidRPr="008754C3" w14:paraId="21E03483" w14:textId="77777777" w:rsidTr="00B92AEC">
        <w:tblPrEx>
          <w:tblCellMar>
            <w:left w:w="85" w:type="dxa"/>
            <w:right w:w="0" w:type="dxa"/>
          </w:tblCellMar>
        </w:tblPrEx>
        <w:tc>
          <w:tcPr>
            <w:tcW w:w="1043" w:type="pct"/>
            <w:vAlign w:val="center"/>
          </w:tcPr>
          <w:p w14:paraId="1B4AD5EB" w14:textId="77777777" w:rsidR="00C10A98" w:rsidRPr="00D37E79" w:rsidRDefault="00C10A98" w:rsidP="003405F4">
            <w:pPr>
              <w:widowControl w:val="0"/>
              <w:bidi w:val="0"/>
              <w:ind w:firstLine="0"/>
              <w:rPr>
                <w:rFonts w:asciiTheme="majorBidi" w:hAnsiTheme="majorBidi" w:cstheme="majorBidi"/>
                <w:sz w:val="24"/>
                <w:szCs w:val="24"/>
                <w:vertAlign w:val="superscript"/>
              </w:rPr>
            </w:pPr>
            <w:r w:rsidRPr="00D37E79">
              <w:rPr>
                <w:rFonts w:asciiTheme="majorBidi" w:hAnsiTheme="majorBidi" w:cstheme="majorBidi"/>
                <w:sz w:val="24"/>
                <w:szCs w:val="24"/>
              </w:rPr>
              <w:t>Leverage</w:t>
            </w:r>
          </w:p>
        </w:tc>
        <w:tc>
          <w:tcPr>
            <w:tcW w:w="1834" w:type="pct"/>
            <w:vAlign w:val="bottom"/>
          </w:tcPr>
          <w:p w14:paraId="20FD48B4" w14:textId="77777777" w:rsidR="00C10A98" w:rsidRPr="00D37E79" w:rsidRDefault="00C10A98" w:rsidP="003405F4">
            <w:pPr>
              <w:widowControl w:val="0"/>
              <w:bidi w:val="0"/>
              <w:ind w:firstLine="0"/>
              <w:jc w:val="center"/>
              <w:rPr>
                <w:rFonts w:asciiTheme="majorBidi" w:hAnsiTheme="majorBidi" w:cstheme="majorBidi"/>
                <w:sz w:val="24"/>
                <w:szCs w:val="24"/>
                <w:vertAlign w:val="superscript"/>
              </w:rPr>
            </w:pPr>
            <w:r w:rsidRPr="00D37E79">
              <w:rPr>
                <w:rFonts w:asciiTheme="majorBidi" w:hAnsiTheme="majorBidi" w:cstheme="majorBidi"/>
                <w:sz w:val="24"/>
                <w:szCs w:val="24"/>
              </w:rPr>
              <w:t xml:space="preserve">Debt </w:t>
            </w:r>
            <w:proofErr w:type="spellStart"/>
            <w:r w:rsidRPr="00D37E79">
              <w:rPr>
                <w:rFonts w:asciiTheme="majorBidi" w:hAnsiTheme="majorBidi" w:cstheme="majorBidi"/>
                <w:sz w:val="24"/>
                <w:szCs w:val="24"/>
              </w:rPr>
              <w:t>Percentage</w:t>
            </w:r>
            <w:r w:rsidRPr="00D37E79">
              <w:rPr>
                <w:rFonts w:asciiTheme="majorBidi" w:hAnsiTheme="majorBidi" w:cstheme="majorBidi"/>
                <w:sz w:val="24"/>
                <w:szCs w:val="24"/>
                <w:vertAlign w:val="superscript"/>
              </w:rPr>
              <w:t>e</w:t>
            </w:r>
            <w:proofErr w:type="spellEnd"/>
          </w:p>
        </w:tc>
        <w:tc>
          <w:tcPr>
            <w:tcW w:w="895" w:type="pct"/>
            <w:vAlign w:val="bottom"/>
          </w:tcPr>
          <w:p w14:paraId="2FDADAF0" w14:textId="77777777" w:rsidR="00C10A98" w:rsidRPr="00D37E79" w:rsidRDefault="00C10A98" w:rsidP="00216A30">
            <w:pPr>
              <w:widowControl w:val="0"/>
              <w:bidi w:val="0"/>
              <w:ind w:firstLine="0"/>
              <w:jc w:val="center"/>
              <w:rPr>
                <w:rFonts w:asciiTheme="majorBidi" w:hAnsiTheme="majorBidi" w:cstheme="majorBidi"/>
                <w:sz w:val="24"/>
                <w:szCs w:val="24"/>
              </w:rPr>
            </w:pPr>
            <w:r w:rsidRPr="00D37E79">
              <w:rPr>
                <w:rFonts w:asciiTheme="majorBidi" w:hAnsiTheme="majorBidi" w:cstheme="majorBidi"/>
                <w:sz w:val="24"/>
                <w:szCs w:val="24"/>
              </w:rPr>
              <w:t>0.26</w:t>
            </w:r>
          </w:p>
        </w:tc>
        <w:tc>
          <w:tcPr>
            <w:tcW w:w="1229" w:type="pct"/>
            <w:vAlign w:val="bottom"/>
          </w:tcPr>
          <w:p w14:paraId="7A0DEFD7" w14:textId="4F935DC7" w:rsidR="00C10A98" w:rsidRPr="00D37E79" w:rsidRDefault="00C10A98" w:rsidP="00216A30">
            <w:pPr>
              <w:widowControl w:val="0"/>
              <w:bidi w:val="0"/>
              <w:ind w:firstLine="0"/>
              <w:jc w:val="center"/>
              <w:rPr>
                <w:rFonts w:asciiTheme="majorBidi" w:hAnsiTheme="majorBidi" w:cstheme="majorBidi"/>
                <w:sz w:val="24"/>
                <w:szCs w:val="24"/>
              </w:rPr>
            </w:pPr>
            <w:r w:rsidRPr="00A3092B">
              <w:rPr>
                <w:rFonts w:asciiTheme="majorBidi" w:hAnsiTheme="majorBidi" w:cstheme="majorBidi"/>
                <w:sz w:val="24"/>
                <w:szCs w:val="24"/>
              </w:rPr>
              <w:t>**</w:t>
            </w:r>
          </w:p>
        </w:tc>
      </w:tr>
      <w:tr w:rsidR="00C10A98" w:rsidRPr="008754C3" w14:paraId="031B47E5" w14:textId="77777777" w:rsidTr="00B92AEC">
        <w:tblPrEx>
          <w:tblCellMar>
            <w:left w:w="85" w:type="dxa"/>
            <w:right w:w="0" w:type="dxa"/>
          </w:tblCellMar>
        </w:tblPrEx>
        <w:tc>
          <w:tcPr>
            <w:tcW w:w="1043" w:type="pct"/>
            <w:vMerge w:val="restart"/>
            <w:vAlign w:val="center"/>
          </w:tcPr>
          <w:p w14:paraId="314B4E92" w14:textId="77777777" w:rsidR="00C10A98" w:rsidRPr="00D37E79" w:rsidRDefault="00C10A98" w:rsidP="003405F4">
            <w:pPr>
              <w:widowControl w:val="0"/>
              <w:bidi w:val="0"/>
              <w:ind w:firstLine="0"/>
              <w:rPr>
                <w:rFonts w:asciiTheme="majorBidi" w:hAnsiTheme="majorBidi" w:cstheme="majorBidi"/>
                <w:sz w:val="24"/>
                <w:szCs w:val="24"/>
              </w:rPr>
            </w:pPr>
            <w:r w:rsidRPr="00D37E79">
              <w:rPr>
                <w:rFonts w:asciiTheme="majorBidi" w:hAnsiTheme="majorBidi" w:cstheme="majorBidi"/>
                <w:sz w:val="24"/>
                <w:szCs w:val="24"/>
              </w:rPr>
              <w:t>Growth</w:t>
            </w:r>
          </w:p>
        </w:tc>
        <w:tc>
          <w:tcPr>
            <w:tcW w:w="1834" w:type="pct"/>
            <w:vAlign w:val="bottom"/>
          </w:tcPr>
          <w:p w14:paraId="31120DBB" w14:textId="77777777" w:rsidR="00C10A98" w:rsidRPr="00D37E79" w:rsidRDefault="00C10A98" w:rsidP="003405F4">
            <w:pPr>
              <w:widowControl w:val="0"/>
              <w:bidi w:val="0"/>
              <w:ind w:firstLine="0"/>
              <w:jc w:val="center"/>
              <w:rPr>
                <w:rFonts w:asciiTheme="majorBidi" w:hAnsiTheme="majorBidi" w:cstheme="majorBidi"/>
                <w:sz w:val="24"/>
                <w:szCs w:val="24"/>
                <w:vertAlign w:val="superscript"/>
              </w:rPr>
            </w:pPr>
            <w:r w:rsidRPr="00D37E79">
              <w:rPr>
                <w:rFonts w:asciiTheme="majorBidi" w:hAnsiTheme="majorBidi" w:cstheme="majorBidi"/>
                <w:sz w:val="24"/>
                <w:szCs w:val="24"/>
              </w:rPr>
              <w:t xml:space="preserve">Change in </w:t>
            </w:r>
            <w:proofErr w:type="spellStart"/>
            <w:r w:rsidRPr="00D37E79">
              <w:rPr>
                <w:rFonts w:asciiTheme="majorBidi" w:hAnsiTheme="majorBidi" w:cstheme="majorBidi"/>
                <w:sz w:val="24"/>
                <w:szCs w:val="24"/>
              </w:rPr>
              <w:t>Revenues</w:t>
            </w:r>
            <w:r w:rsidRPr="00D37E79">
              <w:rPr>
                <w:rFonts w:asciiTheme="majorBidi" w:hAnsiTheme="majorBidi" w:cstheme="majorBidi"/>
                <w:sz w:val="24"/>
                <w:szCs w:val="24"/>
                <w:vertAlign w:val="superscript"/>
              </w:rPr>
              <w:t>f</w:t>
            </w:r>
            <w:proofErr w:type="spellEnd"/>
          </w:p>
        </w:tc>
        <w:tc>
          <w:tcPr>
            <w:tcW w:w="895" w:type="pct"/>
            <w:vAlign w:val="center"/>
          </w:tcPr>
          <w:p w14:paraId="1CA59ED8" w14:textId="77777777" w:rsidR="00C10A98" w:rsidRPr="00D37E79" w:rsidRDefault="00C10A98" w:rsidP="00216A30">
            <w:pPr>
              <w:widowControl w:val="0"/>
              <w:bidi w:val="0"/>
              <w:ind w:firstLine="0"/>
              <w:jc w:val="center"/>
              <w:rPr>
                <w:rFonts w:asciiTheme="majorBidi" w:hAnsiTheme="majorBidi" w:cstheme="majorBidi"/>
                <w:sz w:val="24"/>
                <w:szCs w:val="24"/>
              </w:rPr>
            </w:pPr>
            <w:r w:rsidRPr="00D37E79">
              <w:rPr>
                <w:rFonts w:asciiTheme="majorBidi" w:hAnsiTheme="majorBidi" w:cstheme="majorBidi"/>
                <w:sz w:val="24"/>
                <w:szCs w:val="24"/>
              </w:rPr>
              <w:t>0.05</w:t>
            </w:r>
          </w:p>
        </w:tc>
        <w:tc>
          <w:tcPr>
            <w:tcW w:w="1229" w:type="pct"/>
            <w:vAlign w:val="center"/>
          </w:tcPr>
          <w:p w14:paraId="18CB8B21" w14:textId="63818C0F" w:rsidR="00C10A98" w:rsidRPr="00D37E79" w:rsidRDefault="00C10A98" w:rsidP="00216A30">
            <w:pPr>
              <w:widowControl w:val="0"/>
              <w:bidi w:val="0"/>
              <w:ind w:firstLine="0"/>
              <w:jc w:val="center"/>
              <w:rPr>
                <w:rFonts w:asciiTheme="majorBidi" w:hAnsiTheme="majorBidi" w:cstheme="majorBidi"/>
                <w:sz w:val="24"/>
                <w:szCs w:val="24"/>
              </w:rPr>
            </w:pPr>
            <w:r w:rsidRPr="00A3092B">
              <w:rPr>
                <w:rFonts w:asciiTheme="majorBidi" w:hAnsiTheme="majorBidi" w:cstheme="majorBidi"/>
                <w:sz w:val="24"/>
                <w:szCs w:val="24"/>
              </w:rPr>
              <w:t>***</w:t>
            </w:r>
          </w:p>
        </w:tc>
      </w:tr>
      <w:tr w:rsidR="00C10A98" w:rsidRPr="008754C3" w14:paraId="05C15E1E" w14:textId="77777777" w:rsidTr="00B92AEC">
        <w:tblPrEx>
          <w:tblCellMar>
            <w:left w:w="85" w:type="dxa"/>
            <w:right w:w="0" w:type="dxa"/>
          </w:tblCellMar>
        </w:tblPrEx>
        <w:tc>
          <w:tcPr>
            <w:tcW w:w="1043" w:type="pct"/>
            <w:vMerge/>
            <w:vAlign w:val="center"/>
          </w:tcPr>
          <w:p w14:paraId="48A1D73C" w14:textId="77777777" w:rsidR="00C10A98" w:rsidRPr="00D37E79" w:rsidRDefault="00C10A98" w:rsidP="003405F4">
            <w:pPr>
              <w:widowControl w:val="0"/>
              <w:bidi w:val="0"/>
              <w:ind w:firstLine="0"/>
              <w:rPr>
                <w:rFonts w:asciiTheme="majorBidi" w:hAnsiTheme="majorBidi" w:cstheme="majorBidi"/>
                <w:sz w:val="24"/>
                <w:szCs w:val="24"/>
              </w:rPr>
            </w:pPr>
          </w:p>
        </w:tc>
        <w:tc>
          <w:tcPr>
            <w:tcW w:w="1834" w:type="pct"/>
            <w:vAlign w:val="bottom"/>
          </w:tcPr>
          <w:p w14:paraId="03CAF7BD" w14:textId="77777777" w:rsidR="00C10A98" w:rsidRPr="00D37E79" w:rsidRDefault="00C10A98" w:rsidP="003405F4">
            <w:pPr>
              <w:widowControl w:val="0"/>
              <w:bidi w:val="0"/>
              <w:ind w:firstLine="0"/>
              <w:jc w:val="center"/>
              <w:rPr>
                <w:rFonts w:asciiTheme="majorBidi" w:hAnsiTheme="majorBidi" w:cstheme="majorBidi"/>
                <w:sz w:val="24"/>
                <w:szCs w:val="24"/>
                <w:vertAlign w:val="superscript"/>
              </w:rPr>
            </w:pPr>
            <w:r w:rsidRPr="00D37E79">
              <w:rPr>
                <w:rFonts w:asciiTheme="majorBidi" w:hAnsiTheme="majorBidi" w:cstheme="majorBidi"/>
                <w:sz w:val="24"/>
                <w:szCs w:val="24"/>
              </w:rPr>
              <w:t xml:space="preserve">R &amp; D </w:t>
            </w:r>
            <w:proofErr w:type="spellStart"/>
            <w:r w:rsidRPr="00D37E79">
              <w:rPr>
                <w:rFonts w:asciiTheme="majorBidi" w:hAnsiTheme="majorBidi" w:cstheme="majorBidi"/>
                <w:sz w:val="24"/>
                <w:szCs w:val="24"/>
              </w:rPr>
              <w:t>Expense</w:t>
            </w:r>
            <w:r w:rsidRPr="00D37E79">
              <w:rPr>
                <w:rFonts w:asciiTheme="majorBidi" w:hAnsiTheme="majorBidi" w:cstheme="majorBidi"/>
                <w:sz w:val="24"/>
                <w:szCs w:val="24"/>
                <w:vertAlign w:val="superscript"/>
              </w:rPr>
              <w:t>g</w:t>
            </w:r>
            <w:proofErr w:type="spellEnd"/>
          </w:p>
        </w:tc>
        <w:tc>
          <w:tcPr>
            <w:tcW w:w="895" w:type="pct"/>
            <w:vAlign w:val="bottom"/>
          </w:tcPr>
          <w:p w14:paraId="1C8EB719" w14:textId="77777777" w:rsidR="00C10A98" w:rsidRPr="00D37E79" w:rsidRDefault="00C10A98" w:rsidP="00216A30">
            <w:pPr>
              <w:widowControl w:val="0"/>
              <w:bidi w:val="0"/>
              <w:ind w:firstLine="0"/>
              <w:jc w:val="center"/>
              <w:rPr>
                <w:rFonts w:asciiTheme="majorBidi" w:hAnsiTheme="majorBidi" w:cstheme="majorBidi"/>
                <w:sz w:val="24"/>
                <w:szCs w:val="24"/>
              </w:rPr>
            </w:pPr>
            <w:r w:rsidRPr="00D37E79">
              <w:rPr>
                <w:rFonts w:asciiTheme="majorBidi" w:hAnsiTheme="majorBidi" w:cstheme="majorBidi"/>
                <w:sz w:val="24"/>
                <w:szCs w:val="24"/>
              </w:rPr>
              <w:t>0.00</w:t>
            </w:r>
          </w:p>
        </w:tc>
        <w:tc>
          <w:tcPr>
            <w:tcW w:w="1229" w:type="pct"/>
            <w:vAlign w:val="bottom"/>
          </w:tcPr>
          <w:p w14:paraId="2A12FEB8" w14:textId="7BE70372" w:rsidR="00C10A98" w:rsidRPr="00D37E79" w:rsidRDefault="00C10A98" w:rsidP="00216A30">
            <w:pPr>
              <w:widowControl w:val="0"/>
              <w:bidi w:val="0"/>
              <w:ind w:firstLine="0"/>
              <w:jc w:val="center"/>
              <w:rPr>
                <w:rFonts w:asciiTheme="majorBidi" w:hAnsiTheme="majorBidi" w:cstheme="majorBidi"/>
                <w:sz w:val="24"/>
                <w:szCs w:val="24"/>
              </w:rPr>
            </w:pPr>
            <w:r w:rsidRPr="00D37E79">
              <w:rPr>
                <w:rFonts w:asciiTheme="majorBidi" w:hAnsiTheme="majorBidi" w:cstheme="majorBidi"/>
                <w:sz w:val="24"/>
                <w:szCs w:val="24"/>
              </w:rPr>
              <w:t>_</w:t>
            </w:r>
            <w:r w:rsidRPr="00A3092B">
              <w:rPr>
                <w:rFonts w:asciiTheme="majorBidi" w:hAnsiTheme="majorBidi" w:cstheme="majorBidi"/>
                <w:sz w:val="24"/>
                <w:szCs w:val="24"/>
              </w:rPr>
              <w:t>***</w:t>
            </w:r>
          </w:p>
        </w:tc>
      </w:tr>
      <w:tr w:rsidR="00C10A98" w:rsidRPr="008754C3" w14:paraId="0F336310" w14:textId="77777777" w:rsidTr="00B92AEC">
        <w:tblPrEx>
          <w:tblCellMar>
            <w:left w:w="85" w:type="dxa"/>
            <w:right w:w="0" w:type="dxa"/>
          </w:tblCellMar>
        </w:tblPrEx>
        <w:tc>
          <w:tcPr>
            <w:tcW w:w="1043" w:type="pct"/>
            <w:vMerge w:val="restart"/>
            <w:vAlign w:val="center"/>
          </w:tcPr>
          <w:p w14:paraId="664455D3" w14:textId="77777777" w:rsidR="00C10A98" w:rsidRPr="00D37E79" w:rsidRDefault="00C10A98" w:rsidP="003405F4">
            <w:pPr>
              <w:widowControl w:val="0"/>
              <w:bidi w:val="0"/>
              <w:ind w:firstLine="0"/>
              <w:rPr>
                <w:rFonts w:asciiTheme="majorBidi" w:hAnsiTheme="majorBidi" w:cstheme="majorBidi"/>
                <w:sz w:val="24"/>
                <w:szCs w:val="24"/>
              </w:rPr>
            </w:pPr>
            <w:r w:rsidRPr="00D37E79">
              <w:rPr>
                <w:rFonts w:asciiTheme="majorBidi" w:hAnsiTheme="majorBidi" w:cstheme="majorBidi"/>
                <w:sz w:val="24"/>
                <w:szCs w:val="24"/>
              </w:rPr>
              <w:t>Valuation</w:t>
            </w:r>
          </w:p>
        </w:tc>
        <w:tc>
          <w:tcPr>
            <w:tcW w:w="1834" w:type="pct"/>
            <w:vAlign w:val="bottom"/>
          </w:tcPr>
          <w:p w14:paraId="669D70F1" w14:textId="77777777" w:rsidR="00C10A98" w:rsidRPr="00D37E79" w:rsidRDefault="00C10A98" w:rsidP="003405F4">
            <w:pPr>
              <w:widowControl w:val="0"/>
              <w:bidi w:val="0"/>
              <w:ind w:firstLine="0"/>
              <w:jc w:val="center"/>
              <w:rPr>
                <w:rFonts w:asciiTheme="majorBidi" w:hAnsiTheme="majorBidi" w:cstheme="majorBidi"/>
                <w:sz w:val="24"/>
                <w:szCs w:val="24"/>
                <w:vertAlign w:val="superscript"/>
              </w:rPr>
            </w:pPr>
            <w:r w:rsidRPr="00D37E79">
              <w:rPr>
                <w:rFonts w:asciiTheme="majorBidi" w:hAnsiTheme="majorBidi" w:cstheme="majorBidi"/>
                <w:sz w:val="24"/>
                <w:szCs w:val="24"/>
              </w:rPr>
              <w:t xml:space="preserve">Price/Earnings </w:t>
            </w:r>
            <w:proofErr w:type="spellStart"/>
            <w:r w:rsidRPr="00D37E79">
              <w:rPr>
                <w:rFonts w:asciiTheme="majorBidi" w:hAnsiTheme="majorBidi" w:cstheme="majorBidi"/>
                <w:sz w:val="24"/>
                <w:szCs w:val="24"/>
              </w:rPr>
              <w:t>Ratio</w:t>
            </w:r>
            <w:r w:rsidRPr="00D37E79">
              <w:rPr>
                <w:rFonts w:asciiTheme="majorBidi" w:hAnsiTheme="majorBidi" w:cstheme="majorBidi"/>
                <w:sz w:val="24"/>
                <w:szCs w:val="24"/>
                <w:vertAlign w:val="superscript"/>
              </w:rPr>
              <w:t>h</w:t>
            </w:r>
            <w:proofErr w:type="spellEnd"/>
          </w:p>
        </w:tc>
        <w:tc>
          <w:tcPr>
            <w:tcW w:w="895" w:type="pct"/>
            <w:vAlign w:val="bottom"/>
          </w:tcPr>
          <w:p w14:paraId="4102BFF7" w14:textId="77777777" w:rsidR="00C10A98" w:rsidRPr="00D37E79" w:rsidRDefault="00C10A98" w:rsidP="00216A30">
            <w:pPr>
              <w:widowControl w:val="0"/>
              <w:bidi w:val="0"/>
              <w:ind w:firstLine="0"/>
              <w:jc w:val="center"/>
              <w:rPr>
                <w:rFonts w:asciiTheme="majorBidi" w:hAnsiTheme="majorBidi" w:cstheme="majorBidi"/>
                <w:sz w:val="24"/>
                <w:szCs w:val="24"/>
              </w:rPr>
            </w:pPr>
            <w:r w:rsidRPr="00D37E79">
              <w:rPr>
                <w:rFonts w:asciiTheme="majorBidi" w:hAnsiTheme="majorBidi" w:cstheme="majorBidi"/>
                <w:sz w:val="24"/>
                <w:szCs w:val="24"/>
              </w:rPr>
              <w:t>81.08</w:t>
            </w:r>
          </w:p>
        </w:tc>
        <w:tc>
          <w:tcPr>
            <w:tcW w:w="1229" w:type="pct"/>
            <w:vAlign w:val="bottom"/>
          </w:tcPr>
          <w:p w14:paraId="218B4E95" w14:textId="687C311C" w:rsidR="00C10A98" w:rsidRPr="00D37E79" w:rsidRDefault="00C10A98" w:rsidP="00216A30">
            <w:pPr>
              <w:widowControl w:val="0"/>
              <w:bidi w:val="0"/>
              <w:ind w:firstLine="0"/>
              <w:jc w:val="center"/>
              <w:rPr>
                <w:rFonts w:asciiTheme="majorBidi" w:hAnsiTheme="majorBidi" w:cstheme="majorBidi"/>
                <w:sz w:val="24"/>
                <w:szCs w:val="24"/>
              </w:rPr>
            </w:pPr>
          </w:p>
        </w:tc>
      </w:tr>
      <w:tr w:rsidR="00C10A98" w:rsidRPr="008754C3" w14:paraId="5FFDD654" w14:textId="77777777" w:rsidTr="00B92AEC">
        <w:tblPrEx>
          <w:tblCellMar>
            <w:left w:w="85" w:type="dxa"/>
            <w:right w:w="0" w:type="dxa"/>
          </w:tblCellMar>
        </w:tblPrEx>
        <w:tc>
          <w:tcPr>
            <w:tcW w:w="1043" w:type="pct"/>
            <w:vMerge/>
            <w:vAlign w:val="bottom"/>
          </w:tcPr>
          <w:p w14:paraId="416C245F" w14:textId="77777777" w:rsidR="00C10A98" w:rsidRPr="00D37E79" w:rsidRDefault="00C10A98" w:rsidP="003405F4">
            <w:pPr>
              <w:widowControl w:val="0"/>
              <w:bidi w:val="0"/>
              <w:ind w:firstLine="0"/>
              <w:rPr>
                <w:rFonts w:asciiTheme="majorBidi" w:hAnsiTheme="majorBidi" w:cstheme="majorBidi"/>
                <w:sz w:val="24"/>
                <w:szCs w:val="24"/>
              </w:rPr>
            </w:pPr>
          </w:p>
        </w:tc>
        <w:tc>
          <w:tcPr>
            <w:tcW w:w="1834" w:type="pct"/>
            <w:vAlign w:val="bottom"/>
          </w:tcPr>
          <w:p w14:paraId="6CBC15E5" w14:textId="77777777" w:rsidR="00C10A98" w:rsidRPr="00D37E79" w:rsidRDefault="00C10A98" w:rsidP="003405F4">
            <w:pPr>
              <w:widowControl w:val="0"/>
              <w:bidi w:val="0"/>
              <w:ind w:firstLine="0"/>
              <w:jc w:val="center"/>
              <w:rPr>
                <w:rFonts w:asciiTheme="majorBidi" w:hAnsiTheme="majorBidi" w:cstheme="majorBidi"/>
                <w:sz w:val="24"/>
                <w:szCs w:val="24"/>
                <w:vertAlign w:val="superscript"/>
              </w:rPr>
            </w:pPr>
            <w:r w:rsidRPr="00D37E79">
              <w:rPr>
                <w:rFonts w:asciiTheme="majorBidi" w:hAnsiTheme="majorBidi" w:cstheme="majorBidi"/>
                <w:sz w:val="24"/>
                <w:szCs w:val="24"/>
              </w:rPr>
              <w:t xml:space="preserve">Price/Book Value </w:t>
            </w:r>
            <w:proofErr w:type="spellStart"/>
            <w:r w:rsidRPr="00D37E79">
              <w:rPr>
                <w:rFonts w:asciiTheme="majorBidi" w:hAnsiTheme="majorBidi" w:cstheme="majorBidi"/>
                <w:sz w:val="24"/>
                <w:szCs w:val="24"/>
              </w:rPr>
              <w:t>Ratio</w:t>
            </w:r>
            <w:r w:rsidRPr="00D37E79">
              <w:rPr>
                <w:rFonts w:asciiTheme="majorBidi" w:hAnsiTheme="majorBidi" w:cstheme="majorBidi"/>
                <w:sz w:val="24"/>
                <w:szCs w:val="24"/>
                <w:vertAlign w:val="superscript"/>
              </w:rPr>
              <w:t>i</w:t>
            </w:r>
            <w:proofErr w:type="spellEnd"/>
          </w:p>
        </w:tc>
        <w:tc>
          <w:tcPr>
            <w:tcW w:w="895" w:type="pct"/>
            <w:vAlign w:val="bottom"/>
          </w:tcPr>
          <w:p w14:paraId="06A0D3AD" w14:textId="77777777" w:rsidR="00C10A98" w:rsidRPr="00D37E79" w:rsidRDefault="00C10A98" w:rsidP="00216A30">
            <w:pPr>
              <w:widowControl w:val="0"/>
              <w:bidi w:val="0"/>
              <w:ind w:firstLine="0"/>
              <w:jc w:val="center"/>
              <w:rPr>
                <w:rFonts w:asciiTheme="majorBidi" w:hAnsiTheme="majorBidi" w:cstheme="majorBidi"/>
                <w:sz w:val="24"/>
                <w:szCs w:val="24"/>
              </w:rPr>
            </w:pPr>
            <w:r w:rsidRPr="00D37E79">
              <w:rPr>
                <w:rFonts w:asciiTheme="majorBidi" w:hAnsiTheme="majorBidi" w:cstheme="majorBidi"/>
                <w:sz w:val="24"/>
                <w:szCs w:val="24"/>
              </w:rPr>
              <w:t>4.79</w:t>
            </w:r>
          </w:p>
        </w:tc>
        <w:tc>
          <w:tcPr>
            <w:tcW w:w="1229" w:type="pct"/>
            <w:vAlign w:val="bottom"/>
          </w:tcPr>
          <w:p w14:paraId="62E55376" w14:textId="7F74F362" w:rsidR="00C10A98" w:rsidRPr="00D37E79" w:rsidRDefault="00C10A98" w:rsidP="00216A30">
            <w:pPr>
              <w:widowControl w:val="0"/>
              <w:bidi w:val="0"/>
              <w:ind w:firstLine="0"/>
              <w:jc w:val="center"/>
              <w:rPr>
                <w:rFonts w:asciiTheme="majorBidi" w:hAnsiTheme="majorBidi" w:cstheme="majorBidi"/>
                <w:sz w:val="24"/>
                <w:szCs w:val="24"/>
              </w:rPr>
            </w:pPr>
            <w:r w:rsidRPr="00A3092B">
              <w:rPr>
                <w:rFonts w:asciiTheme="majorBidi" w:hAnsiTheme="majorBidi" w:cstheme="majorBidi"/>
                <w:sz w:val="24"/>
                <w:szCs w:val="24"/>
              </w:rPr>
              <w:t>***</w:t>
            </w:r>
          </w:p>
        </w:tc>
      </w:tr>
      <w:tr w:rsidR="00A27A83" w:rsidRPr="008754C3" w14:paraId="6DA16709" w14:textId="77777777" w:rsidTr="00B92AEC">
        <w:tblPrEx>
          <w:tblCellMar>
            <w:left w:w="85" w:type="dxa"/>
            <w:right w:w="0" w:type="dxa"/>
          </w:tblCellMar>
        </w:tblPrEx>
        <w:tc>
          <w:tcPr>
            <w:tcW w:w="5000" w:type="pct"/>
            <w:gridSpan w:val="4"/>
            <w:tcBorders>
              <w:bottom w:val="single" w:sz="4" w:space="0" w:color="auto"/>
            </w:tcBorders>
          </w:tcPr>
          <w:p w14:paraId="28143912" w14:textId="77777777" w:rsidR="005C32E8" w:rsidRPr="00D37E79" w:rsidRDefault="005C32E8" w:rsidP="003405F4">
            <w:pPr>
              <w:widowControl w:val="0"/>
              <w:pBdr>
                <w:top w:val="single" w:sz="4" w:space="1" w:color="auto"/>
              </w:pBdr>
              <w:bidi w:val="0"/>
              <w:ind w:firstLine="0"/>
              <w:rPr>
                <w:rFonts w:asciiTheme="majorBidi" w:hAnsiTheme="majorBidi" w:cstheme="majorBidi"/>
                <w:sz w:val="20"/>
                <w:szCs w:val="20"/>
              </w:rPr>
            </w:pPr>
            <w:r w:rsidRPr="00D37E79">
              <w:rPr>
                <w:rFonts w:asciiTheme="majorBidi" w:hAnsiTheme="majorBidi" w:cstheme="majorBidi"/>
                <w:sz w:val="20"/>
                <w:szCs w:val="20"/>
                <w:vertAlign w:val="superscript"/>
              </w:rPr>
              <w:t xml:space="preserve">a </w:t>
            </w:r>
            <w:r w:rsidRPr="00D37E79">
              <w:rPr>
                <w:rFonts w:asciiTheme="majorBidi" w:hAnsiTheme="majorBidi" w:cstheme="majorBidi"/>
                <w:sz w:val="20"/>
                <w:szCs w:val="20"/>
              </w:rPr>
              <w:t>Measured in millions of dollars.</w:t>
            </w:r>
          </w:p>
          <w:p w14:paraId="2ADE383D" w14:textId="77777777" w:rsidR="005C32E8" w:rsidRPr="00D37E79" w:rsidRDefault="005C32E8" w:rsidP="003405F4">
            <w:pPr>
              <w:widowControl w:val="0"/>
              <w:bidi w:val="0"/>
              <w:ind w:firstLine="0"/>
              <w:rPr>
                <w:rFonts w:asciiTheme="majorBidi" w:hAnsiTheme="majorBidi" w:cstheme="majorBidi"/>
                <w:sz w:val="20"/>
                <w:szCs w:val="20"/>
              </w:rPr>
            </w:pPr>
            <w:r w:rsidRPr="00D37E79">
              <w:rPr>
                <w:rFonts w:asciiTheme="majorBidi" w:hAnsiTheme="majorBidi" w:cstheme="majorBidi"/>
                <w:sz w:val="20"/>
                <w:szCs w:val="20"/>
                <w:vertAlign w:val="superscript"/>
              </w:rPr>
              <w:t xml:space="preserve">b </w:t>
            </w:r>
            <w:r w:rsidRPr="00D37E79">
              <w:rPr>
                <w:rFonts w:asciiTheme="majorBidi" w:hAnsiTheme="majorBidi" w:cstheme="majorBidi"/>
                <w:sz w:val="20"/>
                <w:szCs w:val="20"/>
              </w:rPr>
              <w:t xml:space="preserve">Net income in quarter </w:t>
            </w:r>
            <w:r w:rsidRPr="00D37E79">
              <w:rPr>
                <w:rFonts w:asciiTheme="majorBidi" w:hAnsiTheme="majorBidi" w:cstheme="majorBidi"/>
                <w:i/>
                <w:sz w:val="20"/>
                <w:szCs w:val="20"/>
              </w:rPr>
              <w:t xml:space="preserve">t </w:t>
            </w:r>
            <w:r w:rsidRPr="00D37E79">
              <w:rPr>
                <w:rFonts w:asciiTheme="majorBidi" w:hAnsiTheme="majorBidi" w:cstheme="majorBidi"/>
                <w:sz w:val="20"/>
                <w:szCs w:val="20"/>
              </w:rPr>
              <w:t xml:space="preserve">as a percentage of sales revenues in quarter </w:t>
            </w:r>
            <w:r w:rsidRPr="00D37E79">
              <w:rPr>
                <w:rFonts w:asciiTheme="majorBidi" w:hAnsiTheme="majorBidi" w:cstheme="majorBidi"/>
                <w:i/>
                <w:sz w:val="20"/>
                <w:szCs w:val="20"/>
              </w:rPr>
              <w:t>t</w:t>
            </w:r>
            <w:r w:rsidRPr="00D37E79">
              <w:rPr>
                <w:rFonts w:asciiTheme="majorBidi" w:hAnsiTheme="majorBidi" w:cstheme="majorBidi"/>
                <w:sz w:val="20"/>
                <w:szCs w:val="20"/>
              </w:rPr>
              <w:t>.</w:t>
            </w:r>
          </w:p>
          <w:p w14:paraId="2A2047B1" w14:textId="77777777" w:rsidR="005C32E8" w:rsidRPr="00D37E79" w:rsidRDefault="005C32E8" w:rsidP="003405F4">
            <w:pPr>
              <w:widowControl w:val="0"/>
              <w:bidi w:val="0"/>
              <w:ind w:firstLine="0"/>
              <w:rPr>
                <w:rFonts w:asciiTheme="majorBidi" w:hAnsiTheme="majorBidi" w:cstheme="majorBidi"/>
                <w:sz w:val="20"/>
                <w:szCs w:val="20"/>
              </w:rPr>
            </w:pPr>
            <w:r w:rsidRPr="00D37E79">
              <w:rPr>
                <w:rFonts w:asciiTheme="majorBidi" w:hAnsiTheme="majorBidi" w:cstheme="majorBidi"/>
                <w:sz w:val="20"/>
                <w:szCs w:val="20"/>
                <w:vertAlign w:val="superscript"/>
              </w:rPr>
              <w:t xml:space="preserve">c </w:t>
            </w:r>
            <w:r w:rsidRPr="00D37E79">
              <w:rPr>
                <w:rFonts w:asciiTheme="majorBidi" w:hAnsiTheme="majorBidi" w:cstheme="majorBidi"/>
                <w:sz w:val="20"/>
                <w:szCs w:val="20"/>
              </w:rPr>
              <w:t xml:space="preserve">Net income in quarter </w:t>
            </w:r>
            <w:r w:rsidRPr="00D37E79">
              <w:rPr>
                <w:rFonts w:asciiTheme="majorBidi" w:hAnsiTheme="majorBidi" w:cstheme="majorBidi"/>
                <w:i/>
                <w:sz w:val="20"/>
                <w:szCs w:val="20"/>
              </w:rPr>
              <w:t>t</w:t>
            </w:r>
            <w:r w:rsidRPr="00D37E79">
              <w:rPr>
                <w:rFonts w:asciiTheme="majorBidi" w:hAnsiTheme="majorBidi" w:cstheme="majorBidi"/>
                <w:sz w:val="20"/>
                <w:szCs w:val="20"/>
              </w:rPr>
              <w:t xml:space="preserve"> as a percentage of total assets in quarter </w:t>
            </w:r>
            <w:r w:rsidRPr="00D37E79">
              <w:rPr>
                <w:rFonts w:asciiTheme="majorBidi" w:hAnsiTheme="majorBidi" w:cstheme="majorBidi"/>
                <w:i/>
                <w:sz w:val="20"/>
                <w:szCs w:val="20"/>
              </w:rPr>
              <w:t>t</w:t>
            </w:r>
            <w:r w:rsidRPr="00D37E79">
              <w:rPr>
                <w:rFonts w:asciiTheme="majorBidi" w:hAnsiTheme="majorBidi" w:cstheme="majorBidi"/>
                <w:sz w:val="20"/>
                <w:szCs w:val="20"/>
              </w:rPr>
              <w:t>.</w:t>
            </w:r>
          </w:p>
          <w:p w14:paraId="336B0860" w14:textId="77777777" w:rsidR="005C32E8" w:rsidRPr="00D37E79" w:rsidRDefault="005C32E8" w:rsidP="003405F4">
            <w:pPr>
              <w:widowControl w:val="0"/>
              <w:bidi w:val="0"/>
              <w:ind w:firstLine="0"/>
              <w:rPr>
                <w:rFonts w:asciiTheme="majorBidi" w:hAnsiTheme="majorBidi" w:cstheme="majorBidi"/>
                <w:sz w:val="20"/>
                <w:szCs w:val="20"/>
              </w:rPr>
            </w:pPr>
            <w:r w:rsidRPr="00D37E79">
              <w:rPr>
                <w:rFonts w:asciiTheme="majorBidi" w:hAnsiTheme="majorBidi" w:cstheme="majorBidi"/>
                <w:sz w:val="20"/>
                <w:szCs w:val="20"/>
                <w:vertAlign w:val="superscript"/>
              </w:rPr>
              <w:t xml:space="preserve">d </w:t>
            </w:r>
            <w:r w:rsidRPr="00D37E79">
              <w:rPr>
                <w:rFonts w:asciiTheme="majorBidi" w:hAnsiTheme="majorBidi" w:cstheme="majorBidi"/>
                <w:sz w:val="20"/>
                <w:szCs w:val="20"/>
              </w:rPr>
              <w:t xml:space="preserve">Net income in quarter </w:t>
            </w:r>
            <w:r w:rsidRPr="00D37E79">
              <w:rPr>
                <w:rFonts w:asciiTheme="majorBidi" w:hAnsiTheme="majorBidi" w:cstheme="majorBidi"/>
                <w:i/>
                <w:sz w:val="20"/>
                <w:szCs w:val="20"/>
              </w:rPr>
              <w:t>t</w:t>
            </w:r>
            <w:r w:rsidRPr="00D37E79">
              <w:rPr>
                <w:rFonts w:asciiTheme="majorBidi" w:hAnsiTheme="majorBidi" w:cstheme="majorBidi"/>
                <w:sz w:val="20"/>
                <w:szCs w:val="20"/>
              </w:rPr>
              <w:t xml:space="preserve"> as a percentage of stockholders’ equity in quarter </w:t>
            </w:r>
            <w:r w:rsidRPr="00D37E79">
              <w:rPr>
                <w:rFonts w:asciiTheme="majorBidi" w:hAnsiTheme="majorBidi" w:cstheme="majorBidi"/>
                <w:i/>
                <w:sz w:val="20"/>
                <w:szCs w:val="20"/>
              </w:rPr>
              <w:t>t</w:t>
            </w:r>
            <w:r w:rsidRPr="00D37E79">
              <w:rPr>
                <w:rFonts w:asciiTheme="majorBidi" w:hAnsiTheme="majorBidi" w:cstheme="majorBidi"/>
                <w:sz w:val="20"/>
                <w:szCs w:val="20"/>
              </w:rPr>
              <w:t>.</w:t>
            </w:r>
          </w:p>
          <w:p w14:paraId="2C2D11C2" w14:textId="77777777" w:rsidR="005C32E8" w:rsidRPr="00D37E79" w:rsidRDefault="005C32E8" w:rsidP="003405F4">
            <w:pPr>
              <w:widowControl w:val="0"/>
              <w:bidi w:val="0"/>
              <w:ind w:firstLine="0"/>
              <w:rPr>
                <w:rFonts w:asciiTheme="majorBidi" w:hAnsiTheme="majorBidi" w:cstheme="majorBidi"/>
                <w:sz w:val="20"/>
                <w:szCs w:val="20"/>
              </w:rPr>
            </w:pPr>
            <w:r w:rsidRPr="00D37E79">
              <w:rPr>
                <w:rFonts w:asciiTheme="majorBidi" w:hAnsiTheme="majorBidi" w:cstheme="majorBidi"/>
                <w:sz w:val="20"/>
                <w:szCs w:val="20"/>
                <w:vertAlign w:val="superscript"/>
              </w:rPr>
              <w:t xml:space="preserve">e </w:t>
            </w:r>
            <w:r w:rsidRPr="00D37E79">
              <w:rPr>
                <w:rFonts w:asciiTheme="majorBidi" w:hAnsiTheme="majorBidi" w:cstheme="majorBidi"/>
                <w:sz w:val="20"/>
                <w:szCs w:val="20"/>
              </w:rPr>
              <w:t xml:space="preserve">Total debt in quarter </w:t>
            </w:r>
            <w:r w:rsidRPr="00D37E79">
              <w:rPr>
                <w:rFonts w:asciiTheme="majorBidi" w:hAnsiTheme="majorBidi" w:cstheme="majorBidi"/>
                <w:i/>
                <w:sz w:val="20"/>
                <w:szCs w:val="20"/>
              </w:rPr>
              <w:t xml:space="preserve">t </w:t>
            </w:r>
            <w:r w:rsidRPr="00D37E79">
              <w:rPr>
                <w:rFonts w:asciiTheme="majorBidi" w:hAnsiTheme="majorBidi" w:cstheme="majorBidi"/>
                <w:sz w:val="20"/>
                <w:szCs w:val="20"/>
              </w:rPr>
              <w:t xml:space="preserve">as a percentage of total assets in quarter </w:t>
            </w:r>
            <w:r w:rsidRPr="00D37E79">
              <w:rPr>
                <w:rFonts w:asciiTheme="majorBidi" w:hAnsiTheme="majorBidi" w:cstheme="majorBidi"/>
                <w:i/>
                <w:sz w:val="20"/>
                <w:szCs w:val="20"/>
              </w:rPr>
              <w:t>t</w:t>
            </w:r>
            <w:r w:rsidRPr="00D37E79">
              <w:rPr>
                <w:rFonts w:asciiTheme="majorBidi" w:hAnsiTheme="majorBidi" w:cstheme="majorBidi"/>
                <w:sz w:val="20"/>
                <w:szCs w:val="20"/>
              </w:rPr>
              <w:t>.</w:t>
            </w:r>
          </w:p>
          <w:p w14:paraId="580F12DF" w14:textId="77777777" w:rsidR="005C32E8" w:rsidRPr="00D37E79" w:rsidRDefault="005C32E8" w:rsidP="003405F4">
            <w:pPr>
              <w:widowControl w:val="0"/>
              <w:bidi w:val="0"/>
              <w:ind w:firstLine="0"/>
              <w:rPr>
                <w:rFonts w:asciiTheme="majorBidi" w:hAnsiTheme="majorBidi" w:cstheme="majorBidi"/>
                <w:sz w:val="20"/>
                <w:szCs w:val="20"/>
              </w:rPr>
            </w:pPr>
            <w:r w:rsidRPr="00D37E79">
              <w:rPr>
                <w:rFonts w:asciiTheme="majorBidi" w:hAnsiTheme="majorBidi" w:cstheme="majorBidi"/>
                <w:sz w:val="20"/>
                <w:szCs w:val="20"/>
                <w:vertAlign w:val="superscript"/>
              </w:rPr>
              <w:t xml:space="preserve">f </w:t>
            </w:r>
            <w:r w:rsidRPr="00D37E79">
              <w:rPr>
                <w:rFonts w:asciiTheme="majorBidi" w:hAnsiTheme="majorBidi" w:cstheme="majorBidi"/>
                <w:sz w:val="20"/>
                <w:szCs w:val="20"/>
              </w:rPr>
              <w:t xml:space="preserve">Sales revenues in quarter </w:t>
            </w:r>
            <w:r w:rsidRPr="00D37E79">
              <w:rPr>
                <w:rFonts w:asciiTheme="majorBidi" w:hAnsiTheme="majorBidi" w:cstheme="majorBidi"/>
                <w:i/>
                <w:sz w:val="20"/>
                <w:szCs w:val="20"/>
              </w:rPr>
              <w:t xml:space="preserve">t </w:t>
            </w:r>
            <w:r w:rsidRPr="00D37E79">
              <w:rPr>
                <w:rFonts w:asciiTheme="majorBidi" w:hAnsiTheme="majorBidi" w:cstheme="majorBidi"/>
                <w:sz w:val="20"/>
                <w:szCs w:val="20"/>
              </w:rPr>
              <w:t xml:space="preserve">minus sales revenues in quarter </w:t>
            </w:r>
            <w:r w:rsidRPr="00D37E79">
              <w:rPr>
                <w:rFonts w:asciiTheme="majorBidi" w:hAnsiTheme="majorBidi" w:cstheme="majorBidi"/>
                <w:i/>
                <w:sz w:val="20"/>
                <w:szCs w:val="20"/>
              </w:rPr>
              <w:t>t</w:t>
            </w:r>
            <w:r w:rsidRPr="00D37E79">
              <w:rPr>
                <w:rFonts w:asciiTheme="majorBidi" w:hAnsiTheme="majorBidi" w:cstheme="majorBidi"/>
                <w:sz w:val="20"/>
                <w:szCs w:val="20"/>
              </w:rPr>
              <w:t xml:space="preserve">-1 divided by sales revenues in quarter </w:t>
            </w:r>
            <w:r w:rsidRPr="00D37E79">
              <w:rPr>
                <w:rFonts w:asciiTheme="majorBidi" w:hAnsiTheme="majorBidi" w:cstheme="majorBidi"/>
                <w:i/>
                <w:sz w:val="20"/>
                <w:szCs w:val="20"/>
              </w:rPr>
              <w:t>t</w:t>
            </w:r>
            <w:r w:rsidRPr="00D37E79">
              <w:rPr>
                <w:rFonts w:asciiTheme="majorBidi" w:hAnsiTheme="majorBidi" w:cstheme="majorBidi"/>
                <w:sz w:val="20"/>
                <w:szCs w:val="20"/>
              </w:rPr>
              <w:t>-1.</w:t>
            </w:r>
          </w:p>
          <w:p w14:paraId="5553D538" w14:textId="77777777" w:rsidR="005C32E8" w:rsidRPr="00D37E79" w:rsidRDefault="005C32E8" w:rsidP="003405F4">
            <w:pPr>
              <w:widowControl w:val="0"/>
              <w:bidi w:val="0"/>
              <w:ind w:firstLine="0"/>
              <w:rPr>
                <w:rFonts w:asciiTheme="majorBidi" w:hAnsiTheme="majorBidi" w:cstheme="majorBidi"/>
                <w:sz w:val="20"/>
                <w:szCs w:val="20"/>
              </w:rPr>
            </w:pPr>
            <w:r w:rsidRPr="00D37E79">
              <w:rPr>
                <w:rFonts w:asciiTheme="majorBidi" w:hAnsiTheme="majorBidi" w:cstheme="majorBidi"/>
                <w:sz w:val="20"/>
                <w:szCs w:val="20"/>
                <w:vertAlign w:val="superscript"/>
              </w:rPr>
              <w:t xml:space="preserve">g </w:t>
            </w:r>
            <w:r w:rsidRPr="00D37E79">
              <w:rPr>
                <w:rFonts w:asciiTheme="majorBidi" w:hAnsiTheme="majorBidi" w:cstheme="majorBidi"/>
                <w:sz w:val="20"/>
                <w:szCs w:val="20"/>
              </w:rPr>
              <w:t xml:space="preserve">R&amp;D expenses in quarter </w:t>
            </w:r>
            <w:r w:rsidRPr="00D37E79">
              <w:rPr>
                <w:rFonts w:asciiTheme="majorBidi" w:hAnsiTheme="majorBidi" w:cstheme="majorBidi"/>
                <w:i/>
                <w:sz w:val="20"/>
                <w:szCs w:val="20"/>
              </w:rPr>
              <w:t>t</w:t>
            </w:r>
            <w:r w:rsidRPr="00D37E79">
              <w:rPr>
                <w:rFonts w:asciiTheme="majorBidi" w:hAnsiTheme="majorBidi" w:cstheme="majorBidi"/>
                <w:sz w:val="20"/>
                <w:szCs w:val="20"/>
              </w:rPr>
              <w:t xml:space="preserve"> as a percentage of sales revenues in quarter </w:t>
            </w:r>
            <w:r w:rsidRPr="00D37E79">
              <w:rPr>
                <w:rFonts w:asciiTheme="majorBidi" w:hAnsiTheme="majorBidi" w:cstheme="majorBidi"/>
                <w:i/>
                <w:sz w:val="20"/>
                <w:szCs w:val="20"/>
              </w:rPr>
              <w:t>t</w:t>
            </w:r>
            <w:r w:rsidRPr="00D37E79">
              <w:rPr>
                <w:rFonts w:asciiTheme="majorBidi" w:hAnsiTheme="majorBidi" w:cstheme="majorBidi"/>
                <w:sz w:val="20"/>
                <w:szCs w:val="20"/>
              </w:rPr>
              <w:t>.</w:t>
            </w:r>
          </w:p>
          <w:p w14:paraId="0C27A7E1" w14:textId="77777777" w:rsidR="005C32E8" w:rsidRPr="00D37E79" w:rsidRDefault="005C32E8" w:rsidP="003405F4">
            <w:pPr>
              <w:widowControl w:val="0"/>
              <w:bidi w:val="0"/>
              <w:ind w:firstLine="0"/>
              <w:rPr>
                <w:rFonts w:asciiTheme="majorBidi" w:hAnsiTheme="majorBidi" w:cstheme="majorBidi"/>
                <w:sz w:val="20"/>
                <w:szCs w:val="20"/>
              </w:rPr>
            </w:pPr>
            <w:r w:rsidRPr="00D37E79">
              <w:rPr>
                <w:rFonts w:asciiTheme="majorBidi" w:hAnsiTheme="majorBidi" w:cstheme="majorBidi"/>
                <w:sz w:val="20"/>
                <w:szCs w:val="20"/>
                <w:vertAlign w:val="superscript"/>
              </w:rPr>
              <w:t>h</w:t>
            </w:r>
            <w:r w:rsidRPr="00D37E79">
              <w:rPr>
                <w:rFonts w:asciiTheme="majorBidi" w:hAnsiTheme="majorBidi" w:cstheme="majorBidi"/>
                <w:sz w:val="20"/>
                <w:szCs w:val="20"/>
              </w:rPr>
              <w:t xml:space="preserve"> Market value in quarter </w:t>
            </w:r>
            <w:r w:rsidRPr="00D37E79">
              <w:rPr>
                <w:rFonts w:asciiTheme="majorBidi" w:hAnsiTheme="majorBidi" w:cstheme="majorBidi"/>
                <w:i/>
                <w:sz w:val="20"/>
                <w:szCs w:val="20"/>
              </w:rPr>
              <w:t>t</w:t>
            </w:r>
            <w:r w:rsidRPr="00D37E79">
              <w:rPr>
                <w:rFonts w:asciiTheme="majorBidi" w:hAnsiTheme="majorBidi" w:cstheme="majorBidi"/>
                <w:sz w:val="20"/>
                <w:szCs w:val="20"/>
              </w:rPr>
              <w:t xml:space="preserve"> divided by net income in in quarter </w:t>
            </w:r>
            <w:r w:rsidRPr="00D37E79">
              <w:rPr>
                <w:rFonts w:asciiTheme="majorBidi" w:hAnsiTheme="majorBidi" w:cstheme="majorBidi"/>
                <w:i/>
                <w:sz w:val="20"/>
                <w:szCs w:val="20"/>
              </w:rPr>
              <w:t>t</w:t>
            </w:r>
            <w:r w:rsidRPr="00D37E79">
              <w:rPr>
                <w:rFonts w:asciiTheme="majorBidi" w:hAnsiTheme="majorBidi" w:cstheme="majorBidi"/>
                <w:sz w:val="20"/>
                <w:szCs w:val="20"/>
              </w:rPr>
              <w:t>.</w:t>
            </w:r>
          </w:p>
          <w:p w14:paraId="686010BE" w14:textId="77777777" w:rsidR="005C32E8" w:rsidRPr="00D37E79" w:rsidRDefault="005C32E8" w:rsidP="003405F4">
            <w:pPr>
              <w:widowControl w:val="0"/>
              <w:bidi w:val="0"/>
              <w:ind w:firstLine="0"/>
              <w:rPr>
                <w:rFonts w:asciiTheme="majorBidi" w:hAnsiTheme="majorBidi" w:cstheme="majorBidi"/>
                <w:sz w:val="20"/>
                <w:szCs w:val="20"/>
              </w:rPr>
            </w:pPr>
            <w:proofErr w:type="spellStart"/>
            <w:r w:rsidRPr="00D37E79">
              <w:rPr>
                <w:rFonts w:asciiTheme="majorBidi" w:hAnsiTheme="majorBidi" w:cstheme="majorBidi"/>
                <w:sz w:val="20"/>
                <w:szCs w:val="20"/>
                <w:vertAlign w:val="superscript"/>
              </w:rPr>
              <w:t>i</w:t>
            </w:r>
            <w:proofErr w:type="spellEnd"/>
            <w:r w:rsidRPr="00D37E79">
              <w:rPr>
                <w:rFonts w:asciiTheme="majorBidi" w:hAnsiTheme="majorBidi" w:cstheme="majorBidi"/>
                <w:sz w:val="20"/>
                <w:szCs w:val="20"/>
                <w:vertAlign w:val="superscript"/>
              </w:rPr>
              <w:t xml:space="preserve"> </w:t>
            </w:r>
            <w:r w:rsidRPr="00D37E79">
              <w:rPr>
                <w:rFonts w:asciiTheme="majorBidi" w:hAnsiTheme="majorBidi" w:cstheme="majorBidi"/>
                <w:sz w:val="20"/>
                <w:szCs w:val="20"/>
              </w:rPr>
              <w:t xml:space="preserve">Market value in quarter </w:t>
            </w:r>
            <w:r w:rsidRPr="00D37E79">
              <w:rPr>
                <w:rFonts w:asciiTheme="majorBidi" w:hAnsiTheme="majorBidi" w:cstheme="majorBidi"/>
                <w:i/>
                <w:sz w:val="20"/>
                <w:szCs w:val="20"/>
              </w:rPr>
              <w:t>t</w:t>
            </w:r>
            <w:r w:rsidRPr="00D37E79">
              <w:rPr>
                <w:rFonts w:asciiTheme="majorBidi" w:hAnsiTheme="majorBidi" w:cstheme="majorBidi"/>
                <w:sz w:val="20"/>
                <w:szCs w:val="20"/>
              </w:rPr>
              <w:t xml:space="preserve"> divided by total assets in in quarter </w:t>
            </w:r>
            <w:r w:rsidRPr="00D37E79">
              <w:rPr>
                <w:rFonts w:asciiTheme="majorBidi" w:hAnsiTheme="majorBidi" w:cstheme="majorBidi"/>
                <w:i/>
                <w:sz w:val="20"/>
                <w:szCs w:val="20"/>
              </w:rPr>
              <w:t>t</w:t>
            </w:r>
            <w:r w:rsidRPr="00D37E79">
              <w:rPr>
                <w:rFonts w:asciiTheme="majorBidi" w:hAnsiTheme="majorBidi" w:cstheme="majorBidi"/>
                <w:sz w:val="20"/>
                <w:szCs w:val="20"/>
              </w:rPr>
              <w:t>.</w:t>
            </w:r>
          </w:p>
          <w:p w14:paraId="486F3718" w14:textId="77777777" w:rsidR="005C32E8" w:rsidRPr="008754C3" w:rsidRDefault="005C32E8" w:rsidP="003405F4">
            <w:pPr>
              <w:widowControl w:val="0"/>
              <w:bidi w:val="0"/>
              <w:ind w:firstLine="0"/>
              <w:rPr>
                <w:rFonts w:asciiTheme="majorBidi" w:hAnsiTheme="majorBidi" w:cstheme="majorBidi"/>
                <w:sz w:val="20"/>
                <w:szCs w:val="20"/>
              </w:rPr>
            </w:pPr>
            <w:r w:rsidRPr="00D37E79">
              <w:rPr>
                <w:rFonts w:asciiTheme="majorBidi" w:hAnsiTheme="majorBidi" w:cstheme="majorBidi"/>
                <w:sz w:val="20"/>
                <w:szCs w:val="20"/>
                <w:vertAlign w:val="superscript"/>
              </w:rPr>
              <w:t xml:space="preserve">j </w:t>
            </w:r>
            <w:proofErr w:type="gramStart"/>
            <w:r w:rsidRPr="00D37E79">
              <w:rPr>
                <w:rFonts w:asciiTheme="majorBidi" w:hAnsiTheme="majorBidi" w:cstheme="majorBidi"/>
                <w:sz w:val="20"/>
                <w:szCs w:val="20"/>
              </w:rPr>
              <w:t>*,*</w:t>
            </w:r>
            <w:proofErr w:type="gramEnd"/>
            <w:r w:rsidRPr="00D37E79">
              <w:rPr>
                <w:rFonts w:asciiTheme="majorBidi" w:hAnsiTheme="majorBidi" w:cstheme="majorBidi"/>
                <w:sz w:val="20"/>
                <w:szCs w:val="20"/>
              </w:rPr>
              <w:t xml:space="preserve">*,*** indicate significance at the 10 percent, 5 percent, and 1 percent levels, respectively, for the </w:t>
            </w:r>
            <w:r w:rsidRPr="00B92AEC">
              <w:rPr>
                <w:rFonts w:asciiTheme="majorBidi" w:hAnsiTheme="majorBidi" w:cstheme="majorBidi"/>
                <w:sz w:val="20"/>
                <w:szCs w:val="20"/>
              </w:rPr>
              <w:t>correlation specifications.</w:t>
            </w:r>
          </w:p>
        </w:tc>
      </w:tr>
      <w:bookmarkEnd w:id="5"/>
    </w:tbl>
    <w:p w14:paraId="759CCA5A" w14:textId="77777777" w:rsidR="00357F43" w:rsidRDefault="00357F43" w:rsidP="003203CB">
      <w:pPr>
        <w:pStyle w:val="LSbodytext"/>
        <w:spacing w:line="480" w:lineRule="auto"/>
      </w:pPr>
    </w:p>
    <w:p w14:paraId="022C1776" w14:textId="314F6A76" w:rsidR="00F35160" w:rsidRDefault="005C32E8" w:rsidP="003203CB">
      <w:pPr>
        <w:pStyle w:val="LSbodytext"/>
        <w:spacing w:line="480" w:lineRule="auto"/>
      </w:pPr>
      <w:bookmarkStart w:id="6" w:name="_Hlk120089699"/>
      <w:r w:rsidRPr="008754C3">
        <w:t xml:space="preserve">Table </w:t>
      </w:r>
      <w:r w:rsidR="0024742E">
        <w:t>2</w:t>
      </w:r>
      <w:r w:rsidR="0024742E" w:rsidRPr="008754C3">
        <w:t xml:space="preserve"> </w:t>
      </w:r>
      <w:r w:rsidRPr="008754C3">
        <w:t>shows that except for three measurements (</w:t>
      </w:r>
      <w:r w:rsidR="003378FC" w:rsidRPr="008754C3">
        <w:t>p</w:t>
      </w:r>
      <w:r w:rsidRPr="008754C3">
        <w:t xml:space="preserve">rofit </w:t>
      </w:r>
      <w:r w:rsidR="003378FC" w:rsidRPr="008754C3">
        <w:t>m</w:t>
      </w:r>
      <w:r w:rsidRPr="008754C3">
        <w:t xml:space="preserve">argin, ROE, and </w:t>
      </w:r>
      <w:r w:rsidR="003378FC" w:rsidRPr="008754C3">
        <w:t>p</w:t>
      </w:r>
      <w:r w:rsidRPr="008754C3">
        <w:t>rice/</w:t>
      </w:r>
      <w:r w:rsidR="003378FC" w:rsidRPr="008754C3">
        <w:t>e</w:t>
      </w:r>
      <w:r w:rsidRPr="008754C3">
        <w:t xml:space="preserve">arnings </w:t>
      </w:r>
      <w:r w:rsidR="003378FC" w:rsidRPr="008754C3">
        <w:t>r</w:t>
      </w:r>
      <w:r w:rsidRPr="008754C3">
        <w:t>atio)</w:t>
      </w:r>
      <w:r w:rsidR="00DA3D5E" w:rsidRPr="008754C3">
        <w:t>,</w:t>
      </w:r>
      <w:r w:rsidR="000874F9" w:rsidRPr="008754C3">
        <w:t xml:space="preserve"> all </w:t>
      </w:r>
      <w:r w:rsidRPr="008754C3">
        <w:t>measurements are significantly associated with the size of the wedge. We find that the larger the wedge</w:t>
      </w:r>
      <w:r w:rsidR="003378FC" w:rsidRPr="008754C3">
        <w:t>,</w:t>
      </w:r>
      <w:r w:rsidRPr="008754C3">
        <w:t xml:space="preserve"> the </w:t>
      </w:r>
      <w:r w:rsidR="0072242E" w:rsidRPr="008754C3">
        <w:rPr>
          <w:shd w:val="clear" w:color="auto" w:fill="FFFFFF"/>
        </w:rPr>
        <w:t>“</w:t>
      </w:r>
      <w:r w:rsidRPr="008754C3">
        <w:t>older</w:t>
      </w:r>
      <w:r w:rsidR="007C707D" w:rsidRPr="008754C3">
        <w:rPr>
          <w:shd w:val="clear" w:color="auto" w:fill="FFFFFF"/>
        </w:rPr>
        <w:t>”</w:t>
      </w:r>
      <w:r w:rsidRPr="008754C3">
        <w:t xml:space="preserve"> the </w:t>
      </w:r>
      <w:r w:rsidR="00844042" w:rsidRPr="008754C3">
        <w:t>firm</w:t>
      </w:r>
      <w:r w:rsidR="003378FC" w:rsidRPr="008754C3">
        <w:t>—</w:t>
      </w:r>
      <w:r w:rsidR="000874F9" w:rsidRPr="008754C3">
        <w:t>that is</w:t>
      </w:r>
      <w:r w:rsidR="003378FC" w:rsidRPr="008754C3">
        <w:t>,</w:t>
      </w:r>
      <w:r w:rsidR="000874F9" w:rsidRPr="008754C3">
        <w:t xml:space="preserve"> the longer the length of time that h</w:t>
      </w:r>
      <w:r w:rsidR="00272AB6" w:rsidRPr="008754C3">
        <w:t>a</w:t>
      </w:r>
      <w:r w:rsidR="000874F9" w:rsidRPr="008754C3">
        <w:t xml:space="preserve">s </w:t>
      </w:r>
      <w:r w:rsidR="00844042" w:rsidRPr="008754C3">
        <w:t>passed since the firm</w:t>
      </w:r>
      <w:r w:rsidR="005E54F8" w:rsidRPr="008754C3">
        <w:t>’</w:t>
      </w:r>
      <w:r w:rsidR="00844042" w:rsidRPr="008754C3">
        <w:t xml:space="preserve">s IPO. </w:t>
      </w:r>
      <w:r w:rsidR="00714F46" w:rsidRPr="008754C3">
        <w:t>This finding confirms</w:t>
      </w:r>
      <w:r w:rsidR="003378FC" w:rsidRPr="008754C3">
        <w:t xml:space="preserve"> the concern of</w:t>
      </w:r>
      <w:r w:rsidR="00714F46" w:rsidRPr="008754C3">
        <w:t xml:space="preserve"> </w:t>
      </w:r>
      <w:r w:rsidR="001C1DCC" w:rsidRPr="008754C3">
        <w:fldChar w:fldCharType="begin" w:fldLock="1"/>
      </w:r>
      <w:r w:rsidR="00507260" w:rsidRPr="008754C3">
        <w:instrText>ADDIN CSL_CITATION {"citationItems":[{"id":"ITEM-1","itemData":{"DOI":"10.2139/ssrn.3128375","abstract":"This Article contributes to the long-standing and heated debate over dual-class companies by placing a spotlight on a significant set of dual-class companies whose structures raise especially severe governance concerns: those with controllers holding a small minority of the company’s equity capital. Such small-minority controllers dominate some of the country’s largest companies, and we show that their numbers can be expected to grow. We begin by analyzing the perils of small-minority controllers, explaining how they generate considerable governance costs and risks and showing how these costs can be expected to escalate as the controller’s stake decreases. We then identify the mechanisms that enable such controllers to retain their power despite holding a small or even a tiny minority of the company’s equity capital. Based on a hand-collected analysis of governance documents of these companies, we present novel empirical evidence on the current incidence and potential growth of small-minority and tiny-minority controllers. Among other things, we show that governance arrangements at a substantial majority of dual-class companies enable the controller to reduce his equity stake to below 10% and still retain a lock on control, and a sizable fraction of such companies enable retaining control with less than a 5% stake. Finally, we examine the considerable policy implications that arise from recognizing the perils of small-minority controllers. We first discuss disclosures necessary to make transparent to investors the extent to which arrangements enable controllers to reduce their stake without forgoing control. We then identify and examine measures that public officials or institutional investors could take to ensure that controllers maintain a minimum fraction of equity capital; to provide public investors with extra protections in the presence of small-minority controllers; or to screen midstream changes that can introduce or increase the costs of small-minority controllers.","author":[{"dropping-particle":"","family":"Bebchuk","given":"Lucian A.","non-dropping-particle":"","parse-names":false,"suffix":""},{"dropping-particle":"","family":"Kastiel","given":"Kobi","non-dropping-particle":"","parse-names":false,"suffix":""}],"container-title":"Georgetown Law Journal","id":"ITEM-1","issued":{"date-parts":[["2019"]]},"page":"1453-1514","title":"The Perils of Small-Minority Controllers","type":"article-journal","volume":"107"},"uris":["http://www.mendeley.com/documents/?uuid=9d95e375-fbb0-4761-a21e-55c89dd2c31a"]}],"mendeley":{"formattedCitation":"(Bebchuk &amp; Kastiel, 2019)","manualFormatting":"Bebchuk &amp; Kastiel (2019)","plainTextFormattedCitation":"(Bebchuk &amp; Kastiel, 2019)","previouslyFormattedCitation":"(Bebchuk &amp; Kastiel, 2019)"},"properties":{"noteIndex":0},"schema":"https://github.com/citation-style-language/schema/raw/master/csl-citation.json"}</w:instrText>
      </w:r>
      <w:r w:rsidR="001C1DCC" w:rsidRPr="008754C3">
        <w:fldChar w:fldCharType="separate"/>
      </w:r>
      <w:r w:rsidR="00507260" w:rsidRPr="008754C3">
        <w:rPr>
          <w:noProof/>
        </w:rPr>
        <w:t>Bebchuk &amp; Kastiel (2019)</w:t>
      </w:r>
      <w:r w:rsidR="001C1DCC" w:rsidRPr="008754C3">
        <w:fldChar w:fldCharType="end"/>
      </w:r>
      <w:r w:rsidR="007C2467" w:rsidRPr="008754C3">
        <w:t xml:space="preserve"> </w:t>
      </w:r>
      <w:r w:rsidR="00714F46" w:rsidRPr="008754C3">
        <w:t xml:space="preserve">that </w:t>
      </w:r>
      <w:r w:rsidR="003619C4" w:rsidRPr="008754C3">
        <w:t xml:space="preserve">controllers of </w:t>
      </w:r>
      <w:r w:rsidR="007C2467" w:rsidRPr="008754C3">
        <w:t xml:space="preserve">dual-class firms </w:t>
      </w:r>
      <w:r w:rsidR="00714F46" w:rsidRPr="008754C3">
        <w:t>may increase the wedge</w:t>
      </w:r>
      <w:r w:rsidR="005A4BDB" w:rsidRPr="008754C3">
        <w:t xml:space="preserve"> </w:t>
      </w:r>
      <w:r w:rsidR="00513489" w:rsidRPr="008754C3">
        <w:t xml:space="preserve">by </w:t>
      </w:r>
      <w:r w:rsidR="005A4BDB" w:rsidRPr="008754C3">
        <w:t>reduc</w:t>
      </w:r>
      <w:r w:rsidR="00513489" w:rsidRPr="008754C3">
        <w:t>ing</w:t>
      </w:r>
      <w:r w:rsidR="005A4BDB" w:rsidRPr="008754C3">
        <w:t xml:space="preserve"> their equity stake </w:t>
      </w:r>
      <w:r w:rsidR="00A72719" w:rsidRPr="008754C3">
        <w:t>while</w:t>
      </w:r>
      <w:r w:rsidR="003378FC" w:rsidRPr="008754C3">
        <w:t xml:space="preserve"> </w:t>
      </w:r>
      <w:r w:rsidR="005A4BDB" w:rsidRPr="008754C3">
        <w:t>retain</w:t>
      </w:r>
      <w:r w:rsidR="00513489" w:rsidRPr="008754C3">
        <w:t>ing</w:t>
      </w:r>
      <w:r w:rsidR="005A4BDB" w:rsidRPr="008754C3">
        <w:t xml:space="preserve"> a lock on control</w:t>
      </w:r>
      <w:r w:rsidR="00714F46" w:rsidRPr="008754C3">
        <w:t xml:space="preserve"> as time passes </w:t>
      </w:r>
      <w:r w:rsidR="003378FC" w:rsidRPr="008754C3">
        <w:t xml:space="preserve">after </w:t>
      </w:r>
      <w:r w:rsidR="00714F46" w:rsidRPr="008754C3">
        <w:t xml:space="preserve">the </w:t>
      </w:r>
      <w:r w:rsidR="003619C4" w:rsidRPr="008754C3">
        <w:t>IPO</w:t>
      </w:r>
      <w:r w:rsidR="00714F46" w:rsidRPr="008754C3">
        <w:t>.</w:t>
      </w:r>
      <w:r w:rsidR="00AC5D4F" w:rsidRPr="008754C3">
        <w:t xml:space="preserve"> </w:t>
      </w:r>
    </w:p>
    <w:p w14:paraId="263928BE" w14:textId="5A1B0A3D" w:rsidR="005C32E8" w:rsidRPr="008754C3" w:rsidRDefault="005F6628" w:rsidP="003203CB">
      <w:pPr>
        <w:pStyle w:val="LSbodytext"/>
        <w:spacing w:line="480" w:lineRule="auto"/>
      </w:pPr>
      <w:r>
        <w:t xml:space="preserve">While dual-class firms were found to be larger </w:t>
      </w:r>
      <w:r w:rsidR="00F35160">
        <w:t xml:space="preserve"> and more leverage</w:t>
      </w:r>
      <w:r w:rsidR="00137159">
        <w:t>d</w:t>
      </w:r>
      <w:r w:rsidR="00F35160">
        <w:t xml:space="preserve"> </w:t>
      </w:r>
      <w:r>
        <w:t xml:space="preserve">than single-class firms </w:t>
      </w:r>
      <w:r>
        <w:fldChar w:fldCharType="begin" w:fldLock="1"/>
      </w:r>
      <w:r w:rsidR="00F35160">
        <w:instrText xml:space="preserve">ADDIN CSL_CITATION {"citationItems":[{"id":"ITEM-1","itemData":{"DOI":"10.1016/j.jacceco.2005.01.001","ISBN":"9788578110796","ISSN":"01654101","PMID":"25246403","abstract":"We contrast the informativeness of earnings and dividends for firms with dual class and single class ownership structures. Results of both across-sample tests (which explicitly control for factors influencing ownership structure and informativeness) and within-sample tests (which implicitly control for factors associated with ownership structure) show that earnings are generally less informative, and dividends are at least as (if not more) informative, for dual class firms. We interpret these results as suggesting that the net effect of dual class structures is to reduce the credibility of earnings and to enhance the salience of dividends as measures of performance. © 2005 Elsevier B.V. All rights reserved.","author":[{"dropping-particle":"","family":"Francis","given":"Jennifer","non-dropping-particle":"","parse-names":false,"suffix":""},{"dropping-particle":"","family":"Schipper","given":"Katherine","non-dropping-particle":"","parse-names":false,"suffix":""},{"dropping-particle":"","family":"Vincent","given":"Linda","non-dropping-particle":"","parse-names":false,"suffix":""}],"container-title":"Journal of Accounting and Economics","id":"ITEM-1","issue":"2","issued":{"date-parts":[["2005"]]},"page":"329-360","title":"Earnings and Dividend Informativeness when Cash Flow Rights are Separated from Voting Rights","type":"article-journal","volume":"39"},"uris":["http://www.mendeley.com/documents/?uuid=b6a8853b-582e-44c1-a305-86b50dc7e005"]},{"id":"ITEM-2","itemData":{"author":[{"dropping-particle":"","family":"Gompers","given":"Paul A.","non-dropping-particle":"","parse-names":false,"suffix":""},{"dropping-particle":"","family":"Ishii","given":"Joy","non-dropping-particle":"","parse-names":false,"suffix":""},{"dropping-particle":"","family":"Metrick","given":"Andrew","non-dropping-particle":"","parse-names":false,"suffix":""}],"container-title":"Review of Financial Studies","id":"ITEM-2","issue":"3","issued":{"date-parts":[["2010"]]},"page":"1051-1088","title":"Extreme Governance: An Analysis of Dual-Class Firms in the United States","type":"article-journal","volume":"23"},"uris":["http://www.mendeley.com/documents/?uuid=e150da52-bcd4-4c06-b7eb-a16757192d3b"]},{"id":"ITEM-3","itemData":{"DOI":"10.1561/108.00000059","abstract":"A dual-class firm structure, in which one class of shares confers more votes per share than the other, creates a gap between vot- ing rights and cash flow rights. In this paper, we examine the quality of the financial reports of dual- versus single-class firms publicly traded in the U.S. over the 2012–2017 period, as measured by persistence and predictive ability of earnings and cash flows. The results are based on comprehensive information from financial statements analyzed using across-sample and within-sample tests. An additional external indicator of financial restatement filings is also used to support the results. The findings demonstrate that the quality of financial reports is higher for dual-class firms than for single-class firms and increases over time. This suggests that the freedom from market pressures is stronger than agency costs, encouraging founders to provide investors with higher-quality infor- mation in exchange for superior voting rights. The results uncover important and counterintuitive evidence about the existence of a tradeoff between the dilution of voting rights and enhancement of the credibility of information provided to investors. </w:instrText>
      </w:r>
      <w:r w:rsidR="00F35160">
        <w:rPr>
          <w:rFonts w:ascii="Cambria Math" w:hAnsi="Cambria Math" w:cs="Cambria Math"/>
        </w:rPr>
        <w:instrText>∗</w:instrText>
      </w:r>
      <w:r w:rsidR="00F35160">
        <w:instrText>Corresponding","author":[{"dropping-particle":"","family":"Palas","given":"Rimona","non-dropping-particle":"","parse-names":false,"suffix":""},{"dropping-particle":"","family":"Solomon","given":"Dov","non-dropping-particle":"","parse-names":false,"suffix":""}],"container-title":"Journal of Law, Finance, and Accounting","id":"ITEM-3","issue":"1","issued":{"date-parts":[["2022"]]},"page":"127-164","title":"The Quality of Earnings Information in Dual-Class Firms : Persistence and Predictability","type":"article-journal","volume":"7"},"uris":["http://www.mendeley.com/documents/?uuid=6d71f758-dab6-4825-a845-d6d4d0e01297"]}],"mendeley":{"formattedCitation":"(Francis et al., 2005; Gompers et al., 2010; Palas &amp; Solomon, 2022)","plainTextFormattedCitation":"(Francis et al., 2005; Gompers et al., 2010; Palas &amp; Solomon, 2022)","previouslyFormattedCitation":"(Francis et al., 2005; Gompers et al., 2010; Palas &amp; Solomon, 2022)"},"properties":{"noteIndex":0},"schema":"https://github.com/citation-style-language/schema/raw/master/csl-citation.json"}</w:instrText>
      </w:r>
      <w:r>
        <w:fldChar w:fldCharType="separate"/>
      </w:r>
      <w:r w:rsidRPr="005F6628">
        <w:rPr>
          <w:noProof/>
        </w:rPr>
        <w:t>(Francis et al., 2005; Gompers et al., 2010; Palas &amp; Solomon, 2022)</w:t>
      </w:r>
      <w:r>
        <w:fldChar w:fldCharType="end"/>
      </w:r>
      <w:r w:rsidR="00E13646">
        <w:t>,</w:t>
      </w:r>
      <w:r>
        <w:t xml:space="preserve"> </w:t>
      </w:r>
      <w:r w:rsidR="00F35160">
        <w:t>within dual-class firms</w:t>
      </w:r>
      <w:r>
        <w:t xml:space="preserve"> the wedge is larger for smaller </w:t>
      </w:r>
      <w:r w:rsidR="00796985">
        <w:t>and less leveraged firms</w:t>
      </w:r>
      <w:r>
        <w:t xml:space="preserve">. Dual-class firms were found to be </w:t>
      </w:r>
      <w:r w:rsidR="00F35160">
        <w:t xml:space="preserve">more profitable than single-class firms </w:t>
      </w:r>
      <w:r w:rsidR="00F35160">
        <w:fldChar w:fldCharType="begin" w:fldLock="1"/>
      </w:r>
      <w:r w:rsidR="00875C12">
        <w:instrText xml:space="preserve">ADDIN CSL_CITATION {"citationItems":[{"id":"ITEM-1","itemData":{"DOI":"10.1016/j.jacceco.2005.01.001","ISBN":"9788578110796","ISSN":"01654101","PMID":"25246403","abstract":"We contrast the informativeness of earnings and dividends for firms with dual class and single class ownership structures. Results of both across-sample tests (which explicitly control for factors influencing ownership structure and informativeness) and within-sample tests (which implicitly control for factors associated with ownership structure) show that earnings are generally less informative, and dividends are at least as (if not more) informative, for dual class firms. We interpret these results as suggesting that the net effect of dual class structures is to reduce the credibility of earnings and to enhance the salience of dividends as measures of performance. © 2005 Elsevier B.V. All rights reserved.","author":[{"dropping-particle":"","family":"Francis","given":"Jennifer","non-dropping-particle":"","parse-names":false,"suffix":""},{"dropping-particle":"","family":"Schipper","given":"Katherine","non-dropping-particle":"","parse-names":false,"suffix":""},{"dropping-particle":"","family":"Vincent","given":"Linda","non-dropping-particle":"","parse-names":false,"suffix":""}],"container-title":"Journal of Accounting and Economics","id":"ITEM-1","issue":"2","issued":{"date-parts":[["2005"]]},"page":"329-360","title":"Earnings and Dividend Informativeness when Cash Flow Rights are Separated from Voting Rights","type":"article-journal","volume":"39"},"uris":["http://www.mendeley.com/documents/?uuid=b6a8853b-582e-44c1-a305-86b50dc7e005"]},{"id":"ITEM-2","itemData":{"author":[{"dropping-particle":"","family":"Gompers","given":"Paul A.","non-dropping-particle":"","parse-names":false,"suffix":""},{"dropping-particle":"","family":"Ishii","given":"Joy","non-dropping-particle":"","parse-names":false,"suffix":""},{"dropping-particle":"","family":"Metrick","given":"Andrew","non-dropping-particle":"","parse-names":false,"suffix":""}],"container-title":"Review of Financial Studies","id":"ITEM-2","issue":"3","issued":{"date-parts":[["2010"]]},"page":"1051-1088","title":"Extreme Governance: An Analysis of Dual-Class Firms in the United States","type":"article-journal","volume":"23"},"uris":["http://www.mendeley.com/documents/?uuid=e150da52-bcd4-4c06-b7eb-a16757192d3b"]},{"id":"ITEM-3","itemData":{"DOI":"10.1561/108.00000059","abstract":"A dual-class firm structure, in which one class of shares confers more votes per share than the other, creates a gap between vot- ing rights and cash flow rights. In this paper, we examine the quality of the financial reports of dual- versus single-class firms publicly traded in the U.S. over the 2012–2017 period, as measured by persistence and predictive ability of earnings and cash flows. The results are based on comprehensive information from financial statements analyzed using across-sample and within-sample tests. An additional external indicator of financial restatement filings is also used to support the results. The findings demonstrate that the quality of financial reports is higher for dual-class firms than for single-class firms and increases over time. This suggests that the freedom from market pressures is stronger than agency costs, encouraging founders to provide investors with higher-quality infor- mation in exchange for superior voting rights. The results uncover important and counterintuitive evidence about the existence of a tradeoff between the dilution of voting rights and enhancement of the credibility of information provided to investors. </w:instrText>
      </w:r>
      <w:r w:rsidR="00875C12">
        <w:rPr>
          <w:rFonts w:ascii="Cambria Math" w:hAnsi="Cambria Math" w:cs="Cambria Math"/>
        </w:rPr>
        <w:instrText>∗</w:instrText>
      </w:r>
      <w:r w:rsidR="00875C12">
        <w:instrText>Corresponding","author":[{"dropping-particle":"","family":"Palas","given":"Rimona","non-dropping-particle":"","parse-names":false,"suffix":""},{"dropping-particle":"","family":"Solomon","given":"Dov","non-dropping-particle":"","parse-names":false,"suffix":""}],"container-title":"Journal of Law, Finance, and Accounting","id":"ITEM-3","issue":"1","issued":{"date-parts":[["2022"]]},"page":"127-164","title":"The Quality of Earnings Information in Dual-Class Firms : Persistence and Predictability","type":"article-journal","volume":"7"},"uris":["http://www.mendeley.com/documents/?uuid=6d71f758-dab6-4825-a845-d6d4d0e01297"]}],"mendeley":{"formattedCitation":"(Francis et al., 2005; Gompers et al., 2010; Palas &amp; Solomon, 2022)","plainTextFormattedCitation":"(Francis et al., 2005; Gompers et al., 2010; Palas &amp; Solomon, 2022)","previouslyFormattedCitation":"(Francis et al., 2005; Gompers et al., 2010; Palas &amp; Solomon, 2022)"},"properties":{"noteIndex":0},"schema":"https://github.com/citation-style-language/schema/raw/master/csl-citation.json"}</w:instrText>
      </w:r>
      <w:r w:rsidR="00F35160">
        <w:fldChar w:fldCharType="separate"/>
      </w:r>
      <w:r w:rsidR="00F35160" w:rsidRPr="00F35160">
        <w:rPr>
          <w:noProof/>
        </w:rPr>
        <w:t>(Francis et al., 2005; Gompers et al., 2010; Palas &amp; Solomon, 2022)</w:t>
      </w:r>
      <w:r w:rsidR="00F35160">
        <w:fldChar w:fldCharType="end"/>
      </w:r>
      <w:r w:rsidR="00F35160">
        <w:t xml:space="preserve"> and these findings are consistent as the wedge increases within dual-class firms. </w:t>
      </w:r>
      <w:r w:rsidR="00796985">
        <w:t>G</w:t>
      </w:r>
      <w:r w:rsidR="005C32E8" w:rsidRPr="008754C3">
        <w:t xml:space="preserve">rowth and valuation measurements present conflicting results. </w:t>
      </w:r>
    </w:p>
    <w:bookmarkEnd w:id="6"/>
    <w:p w14:paraId="2330823C" w14:textId="1459ADE4" w:rsidR="005C32E8" w:rsidRPr="008754C3" w:rsidRDefault="005C32E8" w:rsidP="003203CB">
      <w:pPr>
        <w:pStyle w:val="LSbodytext"/>
        <w:spacing w:line="480" w:lineRule="auto"/>
      </w:pPr>
      <w:r w:rsidRPr="008754C3">
        <w:t xml:space="preserve">In </w:t>
      </w:r>
      <w:r w:rsidR="0064081C" w:rsidRPr="008754C3">
        <w:t xml:space="preserve">further </w:t>
      </w:r>
      <w:r w:rsidRPr="008754C3">
        <w:t>analysis, we include all twelve measurements as control</w:t>
      </w:r>
      <w:r w:rsidR="00F44531" w:rsidRPr="008754C3">
        <w:t xml:space="preserve"> variables</w:t>
      </w:r>
      <w:r w:rsidRPr="008754C3">
        <w:t xml:space="preserve"> </w:t>
      </w:r>
      <w:r w:rsidR="00F44531" w:rsidRPr="008754C3">
        <w:t>when examining the association</w:t>
      </w:r>
      <w:r w:rsidRPr="008754C3">
        <w:t xml:space="preserve"> between</w:t>
      </w:r>
      <w:r w:rsidR="00682EE1" w:rsidRPr="008754C3">
        <w:t xml:space="preserve"> the</w:t>
      </w:r>
      <w:r w:rsidRPr="008754C3">
        <w:t xml:space="preserve"> size of the wedge and </w:t>
      </w:r>
      <w:r w:rsidR="00682EE1" w:rsidRPr="008754C3">
        <w:t xml:space="preserve">the </w:t>
      </w:r>
      <w:r w:rsidRPr="008754C3">
        <w:t>quality of reporting.</w:t>
      </w:r>
    </w:p>
    <w:p w14:paraId="0BD633A0" w14:textId="376EB0C3" w:rsidR="005C32E8" w:rsidRPr="008754C3" w:rsidRDefault="005C32E8" w:rsidP="003203CB">
      <w:pPr>
        <w:pStyle w:val="Heading1"/>
      </w:pPr>
      <w:r w:rsidRPr="008754C3">
        <w:lastRenderedPageBreak/>
        <w:t xml:space="preserve">Quality of </w:t>
      </w:r>
      <w:r w:rsidR="00C223B7" w:rsidRPr="008754C3">
        <w:t>reporting</w:t>
      </w:r>
    </w:p>
    <w:p w14:paraId="33874B4E" w14:textId="58E4CE56" w:rsidR="005C32E8" w:rsidRPr="008754C3" w:rsidRDefault="0064081C" w:rsidP="003203CB">
      <w:pPr>
        <w:pStyle w:val="LSbodytext"/>
        <w:spacing w:line="480" w:lineRule="auto"/>
      </w:pPr>
      <w:r w:rsidRPr="008754C3">
        <w:t>There</w:t>
      </w:r>
      <w:r w:rsidR="008B66D9" w:rsidRPr="008754C3">
        <w:t xml:space="preserve"> is no agreement in the literature </w:t>
      </w:r>
      <w:r w:rsidRPr="008754C3">
        <w:t>about</w:t>
      </w:r>
      <w:r w:rsidR="008B66D9" w:rsidRPr="008754C3">
        <w:t xml:space="preserve"> the measure of </w:t>
      </w:r>
      <w:r w:rsidR="00245F63" w:rsidRPr="008754C3">
        <w:rPr>
          <w:shd w:val="clear" w:color="auto" w:fill="FFFFFF"/>
        </w:rPr>
        <w:t>“</w:t>
      </w:r>
      <w:r w:rsidR="008B66D9" w:rsidRPr="008754C3">
        <w:t>earnings quality</w:t>
      </w:r>
      <w:r w:rsidR="00E959AB" w:rsidRPr="008754C3">
        <w:rPr>
          <w:shd w:val="clear" w:color="auto" w:fill="FFFFFF"/>
        </w:rPr>
        <w:t>”</w:t>
      </w:r>
      <w:r w:rsidRPr="008754C3">
        <w:rPr>
          <w:shd w:val="clear" w:color="auto" w:fill="FFFFFF"/>
        </w:rPr>
        <w:t>;</w:t>
      </w:r>
      <w:r w:rsidR="008B66D9" w:rsidRPr="008754C3">
        <w:t xml:space="preserve"> w</w:t>
      </w:r>
      <w:r w:rsidR="005C32E8" w:rsidRPr="008754C3">
        <w:t xml:space="preserve">e use </w:t>
      </w:r>
      <w:r w:rsidR="00F44531" w:rsidRPr="008754C3">
        <w:t>three</w:t>
      </w:r>
      <w:r w:rsidR="005C32E8" w:rsidRPr="008754C3">
        <w:t xml:space="preserve"> </w:t>
      </w:r>
      <w:r w:rsidR="008B66D9" w:rsidRPr="008754C3">
        <w:t>well</w:t>
      </w:r>
      <w:r w:rsidR="005E2D5F" w:rsidRPr="008754C3">
        <w:t>-</w:t>
      </w:r>
      <w:r w:rsidR="008B66D9" w:rsidRPr="008754C3">
        <w:t xml:space="preserve">known proxies for financial information </w:t>
      </w:r>
      <w:r w:rsidR="005C32E8" w:rsidRPr="008754C3">
        <w:t>quality</w:t>
      </w:r>
      <w:r w:rsidR="008B66D9" w:rsidRPr="008754C3">
        <w:t>.</w:t>
      </w:r>
      <w:r w:rsidR="005C32E8" w:rsidRPr="008754C3">
        <w:t xml:space="preserve"> </w:t>
      </w:r>
    </w:p>
    <w:p w14:paraId="630FE0A8" w14:textId="4272B93D" w:rsidR="005C32E8" w:rsidRPr="008754C3" w:rsidRDefault="005C32E8" w:rsidP="003203CB">
      <w:pPr>
        <w:pStyle w:val="Heading2"/>
        <w:spacing w:line="480" w:lineRule="auto"/>
      </w:pPr>
      <w:r w:rsidRPr="008754C3">
        <w:t xml:space="preserve">Earnings </w:t>
      </w:r>
      <w:r w:rsidR="00C223B7" w:rsidRPr="008754C3">
        <w:t>persistence</w:t>
      </w:r>
    </w:p>
    <w:p w14:paraId="732A800B" w14:textId="381636DF" w:rsidR="005C32E8" w:rsidRDefault="00552E47" w:rsidP="003203CB">
      <w:pPr>
        <w:pStyle w:val="LSbodytext"/>
        <w:spacing w:line="480" w:lineRule="auto"/>
        <w:rPr>
          <w:rFonts w:asciiTheme="majorBidi" w:hAnsiTheme="majorBidi" w:cstheme="majorBidi"/>
        </w:rPr>
      </w:pPr>
      <w:r w:rsidRPr="008754C3">
        <w:rPr>
          <w:lang w:val="en-GB"/>
        </w:rPr>
        <w:t xml:space="preserve">Earnings persistence fits well with the view of earnings as a summary metric of expected cash flows useful for equity valuation. Firms with more persistent earnings have more sustainable earnings/cash flow streams that will </w:t>
      </w:r>
      <w:r w:rsidR="0064081C" w:rsidRPr="008754C3">
        <w:rPr>
          <w:lang w:val="en-GB"/>
        </w:rPr>
        <w:t>be</w:t>
      </w:r>
      <w:r w:rsidRPr="008754C3">
        <w:rPr>
          <w:lang w:val="en-GB"/>
        </w:rPr>
        <w:t xml:space="preserve"> a more useful input into DCF-based equity valuation </w:t>
      </w:r>
      <w:r w:rsidR="00B23BAC" w:rsidRPr="008754C3">
        <w:rPr>
          <w:lang w:val="en-GB"/>
        </w:rPr>
        <w:fldChar w:fldCharType="begin" w:fldLock="1"/>
      </w:r>
      <w:r w:rsidR="005B2FD3" w:rsidRPr="008754C3">
        <w:rPr>
          <w:lang w:val="en-GB"/>
        </w:rPr>
        <w:instrText>ADDIN CSL_CITATION {"citationItems":[{"id":"ITEM-1","itemData":{"DOI":"10.1016/j.jacceco.2010.09.001","ISSN":"01654101","abstract":"Researchers have used various measures as indications of \"earnings quality\" including persistence, accruals, smoothness, timeliness, loss avoidance, investor responsiveness, and external indicators such as restatements and SEC enforcement releases. For each measure, we discuss causes of variation in the measure as well as consequences. We reach no single conclusion on what earnings quality is because \"quality\" is contingent on the decision context. We also point out that the \"quality\" of earnings is a function of the firm's fundamental performance. The contribution of a firm's fundamental performance to its earnings quality is suggested as one area for future work. © 2010 Elsevier B.V.","author":[{"dropping-particle":"","family":"Dechow","given":"Patricia","non-dropping-particle":"","parse-names":false,"suffix":""},{"dropping-particle":"","family":"Ge","given":"Weili","non-dropping-particle":"","parse-names":false,"suffix":""},{"dropping-particle":"","family":"Schrand","given":"Catherine","non-dropping-particle":"","parse-names":false,"suffix":""}],"container-title":"Journal of Accounting and Economics","id":"ITEM-1","issue":"2-3","issued":{"date-parts":[["2010"]]},"page":"344-401","publisher":"Elsevier","title":"Understanding Earnings Quality: A Review of the Proxies, their Determinants and their Consequences","type":"article-journal","volume":"50"},"uris":["http://www.mendeley.com/documents/?uuid=c200c5c4-3470-4b1f-9177-3ef6391d2873"]}],"mendeley":{"formattedCitation":"(P. Dechow et al., 2010)","manualFormatting":"(Dechow et al., 2010)","plainTextFormattedCitation":"(P. Dechow et al., 2010)","previouslyFormattedCitation":"(P. Dechow et al., 2010)"},"properties":{"noteIndex":0},"schema":"https://github.com/citation-style-language/schema/raw/master/csl-citation.json"}</w:instrText>
      </w:r>
      <w:r w:rsidR="00B23BAC" w:rsidRPr="008754C3">
        <w:rPr>
          <w:lang w:val="en-GB"/>
        </w:rPr>
        <w:fldChar w:fldCharType="separate"/>
      </w:r>
      <w:r w:rsidR="00B23BAC" w:rsidRPr="008754C3">
        <w:rPr>
          <w:noProof/>
          <w:lang w:val="en-GB"/>
        </w:rPr>
        <w:t>(Dechow et al., 2010)</w:t>
      </w:r>
      <w:r w:rsidR="00B23BAC" w:rsidRPr="008754C3">
        <w:rPr>
          <w:lang w:val="en-GB"/>
        </w:rPr>
        <w:fldChar w:fldCharType="end"/>
      </w:r>
      <w:r w:rsidRPr="008754C3">
        <w:rPr>
          <w:lang w:val="en-GB"/>
        </w:rPr>
        <w:t xml:space="preserve">. </w:t>
      </w:r>
      <w:bookmarkStart w:id="7" w:name="_Hlk120089942"/>
      <w:r w:rsidR="005C32E8" w:rsidRPr="008754C3">
        <w:rPr>
          <w:rFonts w:asciiTheme="majorBidi" w:hAnsiTheme="majorBidi" w:cstheme="majorBidi"/>
        </w:rPr>
        <w:t>Similar</w:t>
      </w:r>
      <w:r w:rsidR="0064081C" w:rsidRPr="008754C3">
        <w:rPr>
          <w:rFonts w:asciiTheme="majorBidi" w:hAnsiTheme="majorBidi" w:cstheme="majorBidi"/>
        </w:rPr>
        <w:t>ly</w:t>
      </w:r>
      <w:r w:rsidR="005B2FD3" w:rsidRPr="008754C3">
        <w:rPr>
          <w:rFonts w:asciiTheme="majorBidi" w:hAnsiTheme="majorBidi" w:cstheme="majorBidi" w:hint="cs"/>
          <w:rtl/>
        </w:rPr>
        <w:t xml:space="preserve"> </w:t>
      </w:r>
      <w:r w:rsidR="005B2FD3" w:rsidRPr="008754C3">
        <w:rPr>
          <w:rFonts w:asciiTheme="majorBidi" w:hAnsiTheme="majorBidi" w:cstheme="majorBidi"/>
        </w:rPr>
        <w:t xml:space="preserve">to </w:t>
      </w:r>
      <w:r w:rsidR="005B2FD3" w:rsidRPr="008754C3">
        <w:rPr>
          <w:rFonts w:asciiTheme="majorBidi" w:hAnsiTheme="majorBidi" w:cstheme="majorBidi"/>
        </w:rPr>
        <w:fldChar w:fldCharType="begin" w:fldLock="1"/>
      </w:r>
      <w:r w:rsidR="005B2FD3" w:rsidRPr="008754C3">
        <w:rPr>
          <w:rFonts w:asciiTheme="majorBidi" w:hAnsiTheme="majorBidi" w:cstheme="majorBidi"/>
        </w:rPr>
        <w:instrText>ADDIN CSL_CITATION {"citationItems":[{"id":"ITEM-1","itemData":{"DOI":"10.2308/accr.2002.77.s-1.61","ISSN":"00014826","abstract":"This paper suggests a new measure of one aspect of the quality of working capital accruals and earnings. One role of accruals is to shift or adjust the recognition of cash flows over time so that the adjusted numbers (earnings) better measure firm performance. However, accruals require assumptions and estimates of future cash flows. We argue that the quality of accruals and earnings is decreasing in the magnitude of estimation error in accruals. We derive an empirical measure of accrual quality as the residuals from firm-specific regressions of changes in working capital on past, present, and future operating cash flows. We document that observable firm characteristics can be used as instruments for accrual quality (e.g., volatility of accruals and volatility of earnings). Finally, we show that our measure of accrual quality is positively related to earnings persistence.","author":[{"dropping-particle":"","family":"Dechow","given":"Patricia M.","non-dropping-particle":"","parse-names":false,"suffix":""},{"dropping-particle":"","family":"Dichev","given":"Ilia D.","non-dropping-particle":"","parse-names":false,"suffix":""}],"container-title":"Accounting Review","id":"ITEM-1","issue":"SUPPL.","issued":{"date-parts":[["2002"]]},"page":"35-59","title":"The Quality of Accruals and Earnings: The Role of Accrual Estimation Errors","type":"article-journal","volume":"77"},"uris":["http://www.mendeley.com/documents/?uuid=f34998b0-1b70-41e1-8a34-bfab33177b9f"]}],"mendeley":{"formattedCitation":"(P. M. Dechow &amp; Dichev, 2002)","manualFormatting":" Dechow &amp; Dichev (2002)","plainTextFormattedCitation":"(P. M. Dechow &amp; Dichev, 2002)","previouslyFormattedCitation":"(P. M. Dechow &amp; Dichev, 2002)"},"properties":{"noteIndex":0},"schema":"https://github.com/citation-style-language/schema/raw/master/csl-citation.json"}</w:instrText>
      </w:r>
      <w:r w:rsidR="005B2FD3" w:rsidRPr="008754C3">
        <w:rPr>
          <w:rFonts w:asciiTheme="majorBidi" w:hAnsiTheme="majorBidi" w:cstheme="majorBidi"/>
        </w:rPr>
        <w:fldChar w:fldCharType="separate"/>
      </w:r>
      <w:r w:rsidR="005B2FD3" w:rsidRPr="008754C3">
        <w:rPr>
          <w:rFonts w:asciiTheme="majorBidi" w:hAnsiTheme="majorBidi" w:cstheme="majorBidi"/>
          <w:noProof/>
        </w:rPr>
        <w:t>Dechow &amp; Dichev (2002)</w:t>
      </w:r>
      <w:r w:rsidR="005B2FD3" w:rsidRPr="008754C3">
        <w:rPr>
          <w:rFonts w:asciiTheme="majorBidi" w:hAnsiTheme="majorBidi" w:cstheme="majorBidi"/>
        </w:rPr>
        <w:fldChar w:fldCharType="end"/>
      </w:r>
      <w:r w:rsidR="005C32E8" w:rsidRPr="008754C3">
        <w:rPr>
          <w:rStyle w:val="FootnoteReference"/>
          <w:rFonts w:asciiTheme="majorBidi" w:hAnsiTheme="majorBidi" w:cstheme="majorBidi"/>
        </w:rPr>
        <w:fldChar w:fldCharType="begin" w:fldLock="1"/>
      </w:r>
      <w:r w:rsidR="005C32E8" w:rsidRPr="008754C3">
        <w:rPr>
          <w:rStyle w:val="FootnoteReference"/>
          <w:rFonts w:asciiTheme="majorBidi" w:hAnsiTheme="majorBidi" w:cstheme="majorBidi"/>
        </w:rPr>
        <w:fldChar w:fldCharType="separate"/>
      </w:r>
      <w:r w:rsidR="00507260" w:rsidRPr="008754C3">
        <w:rPr>
          <w:rFonts w:asciiTheme="majorBidi" w:hAnsiTheme="majorBidi" w:cstheme="majorBidi"/>
          <w:noProof/>
        </w:rPr>
        <w:t>Dechow &amp; Dichev (2002)</w:t>
      </w:r>
      <w:r w:rsidR="005C32E8" w:rsidRPr="008754C3">
        <w:rPr>
          <w:rStyle w:val="FootnoteReference"/>
          <w:rFonts w:asciiTheme="majorBidi" w:hAnsiTheme="majorBidi" w:cstheme="majorBidi"/>
        </w:rPr>
        <w:fldChar w:fldCharType="end"/>
      </w:r>
      <w:r w:rsidR="005C32E8" w:rsidRPr="008754C3">
        <w:rPr>
          <w:rFonts w:asciiTheme="majorBidi" w:hAnsiTheme="majorBidi" w:cstheme="majorBidi"/>
        </w:rPr>
        <w:t xml:space="preserve">, we measure persistence as the regression of future earnings on current earnings. </w:t>
      </w:r>
      <w:r w:rsidR="0064081C" w:rsidRPr="008754C3">
        <w:rPr>
          <w:rFonts w:asciiTheme="majorBidi" w:hAnsiTheme="majorBidi" w:cstheme="majorBidi"/>
        </w:rPr>
        <w:t>W</w:t>
      </w:r>
      <w:r w:rsidR="008B66D9" w:rsidRPr="008754C3">
        <w:rPr>
          <w:rFonts w:asciiTheme="majorBidi" w:hAnsiTheme="majorBidi" w:cstheme="majorBidi"/>
        </w:rPr>
        <w:t>e use</w:t>
      </w:r>
      <w:r w:rsidR="005C32E8" w:rsidRPr="008754C3">
        <w:rPr>
          <w:rFonts w:asciiTheme="majorBidi" w:hAnsiTheme="majorBidi" w:cstheme="majorBidi"/>
        </w:rPr>
        <w:t xml:space="preserve"> </w:t>
      </w:r>
      <w:bookmarkStart w:id="8" w:name="_Hlk89870302"/>
      <w:r w:rsidR="0064081C" w:rsidRPr="008754C3">
        <w:rPr>
          <w:rFonts w:asciiTheme="majorBidi" w:hAnsiTheme="majorBidi" w:cstheme="majorBidi"/>
        </w:rPr>
        <w:t>e</w:t>
      </w:r>
      <w:r w:rsidR="005C32E8" w:rsidRPr="008754C3">
        <w:rPr>
          <w:rFonts w:asciiTheme="majorBidi" w:hAnsiTheme="majorBidi" w:cstheme="majorBidi"/>
        </w:rPr>
        <w:t xml:space="preserve">arnings per share (EPS) as a proxy measure for earnings </w:t>
      </w:r>
      <w:r w:rsidR="005C32E8" w:rsidRPr="008754C3">
        <w:rPr>
          <w:rFonts w:asciiTheme="majorBidi" w:hAnsiTheme="majorBidi" w:cstheme="majorBidi"/>
        </w:rPr>
        <w:fldChar w:fldCharType="begin" w:fldLock="1"/>
      </w:r>
      <w:r w:rsidR="00131044" w:rsidRPr="008754C3">
        <w:rPr>
          <w:rFonts w:asciiTheme="majorBidi" w:hAnsiTheme="majorBidi" w:cstheme="majorBidi"/>
        </w:rPr>
        <w:instrText>ADDIN CSL_CITATION {"citationItems":[{"id":"ITEM-1","itemData":{"DOI":"10.2307/2491464","ISBN":"00218456","ISSN":"00218456","PMID":"9708246164","abstract":"This article presents the authors' study of how detailed financial statement data enter the decisions of market participants by examining whether current changes in the signals are informative about subsequent earnings changes. By examining the relations between the fundamental signals and future earnings, the authors also establish a benchmark for assessing how efficiently analysts use the signals. The study's results suggest that analysts' forecast revisions fail to impound all the information, about future earnings contained in the fundamental signals. Furthermore, the results support the validity of much of the economic intuition that has been used to link current accounting information to earnings. The authors conclude that analysts' revisions of earnings forecasts are associated with many of the signals that predict future earnings.","author":[{"dropping-particle":"","family":"Abarbanell","given":"Jeffrey S.","non-dropping-particle":"","parse-names":false,"suffix":""},{"dropping-particle":"","family":"Bushee","given":"Brian J.","non-dropping-particle":"","parse-names":false,"suffix":""}],"container-title":"Journal of Accounting Research","id":"ITEM-1","issue":"1","issued":{"date-parts":[["1997"]]},"page":"1-24","title":"Fundamental Analysis, Future Earnings, and Stock Prices","type":"article-journal","volume":"35"},"uris":["http://www.mendeley.com/documents/?uuid=31e31d27-cca6-4559-888a-861dd71c7c81"]}],"mendeley":{"formattedCitation":"(Abarbanell &amp; Bushee, 1997)","plainTextFormattedCitation":"(Abarbanell &amp; Bushee, 1997)","previouslyFormattedCitation":"(Abarbanell &amp; Bushee, 1997)"},"properties":{"noteIndex":0},"schema":"https://github.com/citation-style-language/schema/raw/master/csl-citation.json"}</w:instrText>
      </w:r>
      <w:r w:rsidR="005C32E8" w:rsidRPr="008754C3">
        <w:rPr>
          <w:rFonts w:asciiTheme="majorBidi" w:hAnsiTheme="majorBidi" w:cstheme="majorBidi"/>
        </w:rPr>
        <w:fldChar w:fldCharType="separate"/>
      </w:r>
      <w:r w:rsidR="00131044" w:rsidRPr="008754C3">
        <w:rPr>
          <w:rFonts w:asciiTheme="majorBidi" w:hAnsiTheme="majorBidi" w:cstheme="majorBidi"/>
          <w:noProof/>
        </w:rPr>
        <w:t>(Abarbanell &amp; Bushee, 1997)</w:t>
      </w:r>
      <w:r w:rsidR="005C32E8" w:rsidRPr="008754C3">
        <w:rPr>
          <w:rFonts w:asciiTheme="majorBidi" w:hAnsiTheme="majorBidi" w:cstheme="majorBidi"/>
        </w:rPr>
        <w:fldChar w:fldCharType="end"/>
      </w:r>
      <w:r w:rsidR="005C32E8" w:rsidRPr="008754C3">
        <w:rPr>
          <w:rFonts w:asciiTheme="majorBidi" w:hAnsiTheme="majorBidi" w:cstheme="majorBidi"/>
        </w:rPr>
        <w:t xml:space="preserve">. </w:t>
      </w:r>
      <w:bookmarkEnd w:id="8"/>
    </w:p>
    <w:p w14:paraId="0CC1779F" w14:textId="2F4C3073" w:rsidR="00875C12" w:rsidRPr="008754C3" w:rsidRDefault="00875C12" w:rsidP="003203CB">
      <w:pPr>
        <w:pStyle w:val="LSbodytext"/>
        <w:spacing w:line="480" w:lineRule="auto"/>
        <w:rPr>
          <w:rFonts w:asciiTheme="majorBidi" w:hAnsiTheme="majorBidi" w:cstheme="majorBidi"/>
        </w:rPr>
      </w:pPr>
      <w:bookmarkStart w:id="9" w:name="_Hlk119056410"/>
      <w:r>
        <w:t xml:space="preserve">While there may be concern that EPS can be manipulated through stock repurchases </w:t>
      </w:r>
      <w:r>
        <w:fldChar w:fldCharType="begin" w:fldLock="1"/>
      </w:r>
      <w:r w:rsidR="008C158B">
        <w:instrText>ADDIN CSL_CITATION {"citationItems":[{"id":"ITEM-1","itemData":{"DOI":"10.1093/rcfs/cfy010","ISSN":"20469136","abstract":"This paper discusses recent empirical evidence showing that the presence of earnings-per-share (EPS) targets is associated with short-termist behavior. EPS targets affect stock repurchases, R&amp;D investments, capital expenditures, employment, and the structure of M&amp;A deals. The practice of chasing EPS with changes in real investments appears to lead to long-term underperformance and can significantly affect economic growth and welfare. This discussion suggests that analysts, investors, and companies should stop focusing on EPS as a measure of performance. I also discuss how to break the link between performance targets and short-termism.","author":[{"dropping-particle":"","family":"Almeida","given":"Heitor","non-dropping-particle":"","parse-names":false,"suffix":""}],"container-title":"Review of Corporate Finance Studies","id":"ITEM-1","issue":"1","issued":{"date-parts":[["2019"]]},"page":"174-206","title":"Is it Time to Get Rid of Earnings-Per-Share (EPS)?","type":"article-journal","volume":"8"},"uris":["http://www.mendeley.com/documents/?uuid=625b5986-0b86-4715-bf97-04a5abe44b58"]}],"mendeley":{"formattedCitation":"(Almeida, 2019)","plainTextFormattedCitation":"(Almeida, 2019)","previouslyFormattedCitation":"(Almeida, 2019)"},"properties":{"noteIndex":0},"schema":"https://github.com/citation-style-language/schema/raw/master/csl-citation.json"}</w:instrText>
      </w:r>
      <w:r>
        <w:fldChar w:fldCharType="separate"/>
      </w:r>
      <w:r w:rsidRPr="00875C12">
        <w:rPr>
          <w:noProof/>
        </w:rPr>
        <w:t>(Almeida, 2019)</w:t>
      </w:r>
      <w:r>
        <w:fldChar w:fldCharType="end"/>
      </w:r>
      <w:r>
        <w:t xml:space="preserve">, EPS is still considered the most important performance target </w:t>
      </w:r>
      <w:r>
        <w:fldChar w:fldCharType="begin" w:fldLock="1"/>
      </w:r>
      <w:r w:rsidR="008C158B">
        <w:instrText>ADDIN CSL_CITATION {"citationItems":[{"id":"ITEM-1","itemData":{"DOI":"10.1016/j.jacceco.2005.01.002","ISSN":"01654101","abstract":"We survey and interview more than 400 executives to determine the factors that drive reported earnings and disclosure decisions. We find that managers would rather take economic actions that could have negative long-term consequences than make within-GAAP accounting choices to manage earnings. A surprising 78% of our sample admits to sacrificing long-term value to smooth earnings. Managers also work to maintain predictability in earnings and financial disclosures. We also find that managers make voluntary disclosures to reduce information risk and boost stock price but at the same time, try to avoid setting disclosure precedents that will be difficult to maintain. © 2005 Elsevier B.V. All rights reserved.","author":[{"dropping-particle":"","family":"Graham","given":"John R.","non-dropping-particle":"","parse-names":false,"suffix":""},{"dropping-particle":"","family":"Harvey","given":"Campbell R.","non-dropping-particle":"","parse-names":false,"suffix":""},{"dropping-particle":"","family":"Rajgopal","given":"Shiva","non-dropping-particle":"","parse-names":false,"suffix":""}],"container-title":"Journal of Accounting and Economics","id":"ITEM-1","issue":"1-3","issued":{"date-parts":[["2005"]]},"page":"3-73","title":"The Economic Implications of Corporate Financial Reporting","type":"article-journal","volume":"40"},"uris":["http://www.mendeley.com/documents/?uuid=7100bbaa-610e-45f8-b743-9bda110345ac"]}],"mendeley":{"formattedCitation":"(Graham et al., 2005)","plainTextFormattedCitation":"(Graham et al., 2005)","previouslyFormattedCitation":"(Graham et al., 2005)"},"properties":{"noteIndex":0},"schema":"https://github.com/citation-style-language/schema/raw/master/csl-citation.json"}</w:instrText>
      </w:r>
      <w:r>
        <w:fldChar w:fldCharType="separate"/>
      </w:r>
      <w:r w:rsidRPr="00875C12">
        <w:rPr>
          <w:noProof/>
        </w:rPr>
        <w:t>(Graham et al., 2005)</w:t>
      </w:r>
      <w:r>
        <w:fldChar w:fldCharType="end"/>
      </w:r>
      <w:r>
        <w:t xml:space="preserve">. In addition, manipulation through repurchases is often associated with real economic actions, which affect earnings as well as EPS </w:t>
      </w:r>
      <w:r>
        <w:fldChar w:fldCharType="begin" w:fldLock="1"/>
      </w:r>
      <w:r w:rsidR="008C158B">
        <w:instrText>ADDIN CSL_CITATION {"citationItems":[{"id":"ITEM-1","itemData":{"DOI":"10.1093/rcfs/cfy010","ISSN":"20469136","abstract":"This paper discusses recent empirical evidence showing that the presence of earnings-per-share (EPS) targets is associated with short-termist behavior. EPS targets affect stock repurchases, R&amp;D investments, capital expenditures, employment, and the structure of M&amp;A deals. The practice of chasing EPS with changes in real investments appears to lead to long-term underperformance and can significantly affect economic growth and welfare. This discussion suggests that analysts, investors, and companies should stop focusing on EPS as a measure of performance. I also discuss how to break the link between performance targets and short-termism.","author":[{"dropping-particle":"","family":"Almeida","given":"Heitor","non-dropping-particle":"","parse-names":false,"suffix":""}],"container-title":"Review of Corporate Finance Studies","id":"ITEM-1","issue":"1","issued":{"date-parts":[["2019"]]},"page":"174-206","title":"Is it Time to Get Rid of Earnings-Per-Share (EPS)?","type":"article-journal","volume":"8"},"uris":["http://www.mendeley.com/documents/?uuid=625b5986-0b86-4715-bf97-04a5abe44b58"]},{"id":"ITEM-2","itemData":{"DOI":"10.1007/s11156-017-0624-2","ISSN":"15737179","abstract":"This study examines whether firms engage in income-decreasing real earnings management before open market stock repurchases to reduce the cost of stock buybacks. In the short run, managers have the ability to underproduce inventory and increase discretionary expenditures, thus decreasing current period earnings. We find that managers engage in both of these activities before repurchasing their firms’ shares, especially the latter. Also, companies increase their discretionary spending before making repurchases to a greater extent following the passage of the Sarbanes–Oxley Act of 2002 as well as when they are financially healthy and have high marginal tax rates. Finally, we document that firms with the most income-decreasing real earnings management experience the largest positive abnormal returns during the subsequent period. Our findings highlight the importance of considering firms’ use of real operating decisions, as opposed to just opportunistic disclosure practices, around significant corporate events, such as the repurchase of their own stock.","author":[{"dropping-particle":"","family":"Cooper","given":"Lauren A.","non-dropping-particle":"","parse-names":false,"suffix":""},{"dropping-particle":"","family":"Downes","given":"Jimmy F.","non-dropping-particle":"","parse-names":false,"suffix":""},{"dropping-particle":"","family":"Rao","given":"Ramesh P.","non-dropping-particle":"","parse-names":false,"suffix":""}],"container-title":"Review of Quantitative Finance and Accounting","id":"ITEM-2","issue":"1","issued":{"date-parts":[["2018"]]},"page":"95-128","publisher":"Springer US","title":"Short Term Real Earnings Management Prior to Stock Repurchases","type":"article-journal","volume":"50"},"uris":["http://www.mendeley.com/documents/?uuid=b89f94fa-1c27-48e2-a12a-863b89e67967"]}],"mendeley":{"formattedCitation":"(Almeida, 2019; Cooper et al., 2018)","manualFormatting":"(Cooper, Downes, and Rao 2018; Almeida 2019)","plainTextFormattedCitation":"(Almeida, 2019; Cooper et al., 2018)","previouslyFormattedCitation":"(Almeida, 2019; Cooper et al., 2018)"},"properties":{"noteIndex":0},"schema":"https://github.com/citation-style-language/schema/raw/master/csl-citation.json"}</w:instrText>
      </w:r>
      <w:r>
        <w:fldChar w:fldCharType="separate"/>
      </w:r>
      <w:r w:rsidRPr="002406F4">
        <w:rPr>
          <w:noProof/>
        </w:rPr>
        <w:t>(Cooper, Downes, and Rao 2018</w:t>
      </w:r>
      <w:r>
        <w:rPr>
          <w:noProof/>
        </w:rPr>
        <w:t xml:space="preserve">; </w:t>
      </w:r>
      <w:r w:rsidRPr="002406F4">
        <w:rPr>
          <w:noProof/>
        </w:rPr>
        <w:t>Almeida 2019)</w:t>
      </w:r>
      <w:r>
        <w:fldChar w:fldCharType="end"/>
      </w:r>
      <w:r>
        <w:t xml:space="preserve">, and the repurchase effect seems to be discounted by the market </w:t>
      </w:r>
      <w:r>
        <w:fldChar w:fldCharType="begin" w:fldLock="1"/>
      </w:r>
      <w:r w:rsidR="008C158B">
        <w:instrText>ADDIN CSL_CITATION {"citationItems":[{"id":"ITEM-1","itemData":{"DOI":"10.1016/j.jacceco.2005.10.002","ISSN":"01654101","abstract":"We investigate whether firms use stock repurchases to meet or beat analysts' earnings per share (EPS) forecasts. We identify conditions under which repurchases increase EPS and document the frequency of accretive repurchases from 1988 to 2001. We find a disproportionately large number of accretive stock repurchases among firms that would have missed analysts' forecasts without the repurchase. The repurchase-induced component of earnings surprises appears to be discounted by the market, and this discount is larger when the repurchase seems motivated by EPS management, although using the repurchase to avoid missing analyst forecasts appears to mitigate some of the negative stock price response. © 2006 Elsevier B.V. All rights reserved.","author":[{"dropping-particle":"","family":"Hribar","given":"Paul","non-dropping-particle":"","parse-names":false,"suffix":""},{"dropping-particle":"","family":"Jenkins","given":"Nicole Thorne","non-dropping-particle":"","parse-names":false,"suffix":""},{"dropping-particle":"","family":"Johnson","given":"W. Bruce","non-dropping-particle":"","parse-names":false,"suffix":""}],"container-title":"Journal of Accounting and Economics","id":"ITEM-1","issue":"1-2","issued":{"date-parts":[["2006"]]},"page":"3-27","title":"Stock Repurchases as an Earnings Management Device","type":"article-journal","volume":"41"},"uris":["http://www.mendeley.com/documents/?uuid=c990be53-3b87-4b14-8307-6f64cfd7adef"]}],"mendeley":{"formattedCitation":"(Hribar et al., 2006)","plainTextFormattedCitation":"(Hribar et al., 2006)","previouslyFormattedCitation":"(Hribar et al., 2006)"},"properties":{"noteIndex":0},"schema":"https://github.com/citation-style-language/schema/raw/master/csl-citation.json"}</w:instrText>
      </w:r>
      <w:r>
        <w:fldChar w:fldCharType="separate"/>
      </w:r>
      <w:r w:rsidRPr="00875C12">
        <w:rPr>
          <w:noProof/>
        </w:rPr>
        <w:t>(Hribar et al., 2006)</w:t>
      </w:r>
      <w:r>
        <w:fldChar w:fldCharType="end"/>
      </w:r>
      <w:r>
        <w:t xml:space="preserve">. It therefore seems unlikely that any single measure of performance can completely eliminate manipulation </w:t>
      </w:r>
      <w:r>
        <w:fldChar w:fldCharType="begin" w:fldLock="1"/>
      </w:r>
      <w:r w:rsidR="008C158B">
        <w:instrText>ADDIN CSL_CITATION {"citationItems":[{"id":"ITEM-1","itemData":{"DOI":"10.1093/rcfs/cfy010","ISSN":"20469136","abstract":"This paper discusses recent empirical evidence showing that the presence of earnings-per-share (EPS) targets is associated with short-termist behavior. EPS targets affect stock repurchases, R&amp;D investments, capital expenditures, employment, and the structure of M&amp;A deals. The practice of chasing EPS with changes in real investments appears to lead to long-term underperformance and can significantly affect economic growth and welfare. This discussion suggests that analysts, investors, and companies should stop focusing on EPS as a measure of performance. I also discuss how to break the link between performance targets and short-termism.","author":[{"dropping-particle":"","family":"Almeida","given":"Heitor","non-dropping-particle":"","parse-names":false,"suffix":""}],"container-title":"Review of Corporate Finance Studies","id":"ITEM-1","issue":"1","issued":{"date-parts":[["2019"]]},"page":"174-206","title":"Is it Time to Get Rid of Earnings-Per-Share (EPS)?","type":"article-journal","volume":"8"},"uris":["http://www.mendeley.com/documents/?uuid=625b5986-0b86-4715-bf97-04a5abe44b58"]}],"mendeley":{"formattedCitation":"(Almeida, 2019)","plainTextFormattedCitation":"(Almeida, 2019)","previouslyFormattedCitation":"(Almeida, 2019)"},"properties":{"noteIndex":0},"schema":"https://github.com/citation-style-language/schema/raw/master/csl-citation.json"}</w:instrText>
      </w:r>
      <w:r>
        <w:fldChar w:fldCharType="separate"/>
      </w:r>
      <w:r w:rsidRPr="00875C12">
        <w:rPr>
          <w:noProof/>
        </w:rPr>
        <w:t>(Almeida, 2019)</w:t>
      </w:r>
      <w:r>
        <w:fldChar w:fldCharType="end"/>
      </w:r>
      <w:r>
        <w:t xml:space="preserve">.  </w:t>
      </w:r>
      <w:bookmarkEnd w:id="9"/>
    </w:p>
    <w:bookmarkEnd w:id="7"/>
    <w:p w14:paraId="407F1F3B" w14:textId="7F57695E" w:rsidR="005C32E8" w:rsidRPr="008754C3" w:rsidRDefault="005C32E8" w:rsidP="003203CB">
      <w:pPr>
        <w:pStyle w:val="LSbodytext"/>
        <w:spacing w:line="480" w:lineRule="auto"/>
      </w:pPr>
      <w:r w:rsidRPr="008754C3">
        <w:t>The main regression equation</w:t>
      </w:r>
      <w:r w:rsidR="00CE727F" w:rsidRPr="008754C3">
        <w:t xml:space="preserve"> </w:t>
      </w:r>
      <w:r w:rsidRPr="008754C3">
        <w:t xml:space="preserve">is </w:t>
      </w:r>
    </w:p>
    <w:p w14:paraId="67DDF060" w14:textId="4E52E543" w:rsidR="005C32E8" w:rsidRPr="008754C3" w:rsidRDefault="00000000" w:rsidP="003203CB">
      <w:pPr>
        <w:pStyle w:val="LSbodytext"/>
        <w:spacing w:line="480" w:lineRule="auto"/>
        <w:rPr>
          <w:rFonts w:asciiTheme="majorBidi" w:hAnsiTheme="majorBidi"/>
        </w:rPr>
      </w:pPr>
      <m:oMath>
        <m:sSub>
          <m:sSubPr>
            <m:ctrlPr>
              <w:rPr>
                <w:rFonts w:ascii="Cambria Math" w:hAnsi="Cambria Math"/>
              </w:rPr>
            </m:ctrlPr>
          </m:sSubPr>
          <m:e>
            <m:r>
              <w:rPr>
                <w:rFonts w:ascii="Cambria Math" w:hAnsi="Cambria Math"/>
              </w:rPr>
              <m:t>EPS</m:t>
            </m:r>
          </m:e>
          <m:sub>
            <m:r>
              <w:rPr>
                <w:rFonts w:ascii="Cambria Math" w:hAnsi="Cambria Math"/>
              </w:rPr>
              <m:t>j</m:t>
            </m:r>
            <m:r>
              <m:rPr>
                <m:sty m:val="p"/>
              </m:rPr>
              <w:rPr>
                <w:rFonts w:ascii="Cambria Math" w:hAnsi="Cambria Math"/>
              </w:rPr>
              <m:t>,</m:t>
            </m:r>
            <m:r>
              <w:rPr>
                <w:rFonts w:ascii="Cambria Math" w:hAnsi="Cambria Math"/>
              </w:rPr>
              <m:t>t</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0</m:t>
            </m:r>
          </m:sub>
        </m:sSub>
        <m:r>
          <m:rPr>
            <m:sty m:val="p"/>
          </m:rPr>
          <w:rPr>
            <w:rFonts w:ascii="Cambria Math" w:hAnsi="Cambria Math"/>
          </w:rPr>
          <m:t xml:space="preserve">+ </m:t>
        </m:r>
        <w:bookmarkStart w:id="10" w:name="_Hlk90893395"/>
        <m:sSub>
          <m:sSubPr>
            <m:ctrlPr>
              <w:rPr>
                <w:rFonts w:ascii="Cambria Math" w:hAnsi="Cambria Math"/>
              </w:rPr>
            </m:ctrlPr>
          </m:sSubPr>
          <m:e>
            <m:r>
              <m:rPr>
                <m:sty m:val="p"/>
              </m:rPr>
              <w:rPr>
                <w:rFonts w:ascii="Cambria Math" w:hAnsi="Cambria Math"/>
              </w:rPr>
              <m:t>∝</m:t>
            </m:r>
          </m:e>
          <m:sub>
            <m:r>
              <m:rPr>
                <m:sty m:val="p"/>
              </m:rPr>
              <w:rPr>
                <w:rFonts w:ascii="Cambria Math" w:hAnsi="Cambria Math"/>
              </w:rPr>
              <m:t xml:space="preserve">1 </m:t>
            </m:r>
          </m:sub>
        </m:sSub>
        <w:bookmarkEnd w:id="10"/>
        <m:sSub>
          <m:sSubPr>
            <m:ctrlPr>
              <w:rPr>
                <w:rFonts w:ascii="Cambria Math" w:hAnsi="Cambria Math"/>
              </w:rPr>
            </m:ctrlPr>
          </m:sSubPr>
          <m:e>
            <m:r>
              <w:rPr>
                <w:rFonts w:ascii="Cambria Math" w:hAnsi="Cambria Math"/>
              </w:rPr>
              <m:t>EPS</m:t>
            </m:r>
          </m:e>
          <m:sub>
            <m:r>
              <w:rPr>
                <w:rFonts w:ascii="Cambria Math" w:hAnsi="Cambria Math"/>
              </w:rPr>
              <m:t>j</m:t>
            </m:r>
            <m:r>
              <m:rPr>
                <m:sty m:val="p"/>
              </m:rPr>
              <w:rPr>
                <w:rFonts w:ascii="Cambria Math" w:hAnsi="Cambria Math"/>
              </w:rPr>
              <m:t>,</m:t>
            </m:r>
            <m:r>
              <w:rPr>
                <w:rFonts w:ascii="Cambria Math" w:hAnsi="Cambria Math"/>
              </w:rPr>
              <m:t>t</m:t>
            </m:r>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2</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WEDGE</m:t>
            </m:r>
          </m:e>
          <m:sub>
            <m:r>
              <w:rPr>
                <w:rFonts w:ascii="Cambria Math" w:hAnsi="Cambria Math"/>
              </w:rPr>
              <m:t>j</m:t>
            </m:r>
            <m:r>
              <m:rPr>
                <m:sty m:val="p"/>
              </m:rPr>
              <w:rPr>
                <w:rFonts w:ascii="Cambria Math" w:hAnsi="Cambria Math"/>
              </w:rPr>
              <m:t>,</m:t>
            </m:r>
            <m:r>
              <w:rPr>
                <w:rFonts w:ascii="Cambria Math" w:hAnsi="Cambria Math"/>
              </w:rPr>
              <m:t>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 xml:space="preserve">3 </m:t>
            </m:r>
          </m:sub>
        </m:sSub>
        <m:sSub>
          <m:sSubPr>
            <m:ctrlPr>
              <w:rPr>
                <w:rFonts w:ascii="Cambria Math" w:hAnsi="Cambria Math"/>
              </w:rPr>
            </m:ctrlPr>
          </m:sSubPr>
          <m:e>
            <m:r>
              <w:rPr>
                <w:rFonts w:ascii="Cambria Math" w:hAnsi="Cambria Math"/>
              </w:rPr>
              <m:t>EPS</m:t>
            </m:r>
          </m:e>
          <m:sub>
            <m:r>
              <w:rPr>
                <w:rFonts w:ascii="Cambria Math" w:hAnsi="Cambria Math"/>
              </w:rPr>
              <m:t>j</m:t>
            </m:r>
            <m:r>
              <m:rPr>
                <m:sty m:val="p"/>
              </m:rPr>
              <w:rPr>
                <w:rFonts w:ascii="Cambria Math" w:hAnsi="Cambria Math"/>
              </w:rPr>
              <m:t>,</m:t>
            </m:r>
            <m:r>
              <w:rPr>
                <w:rFonts w:ascii="Cambria Math" w:hAnsi="Cambria Math"/>
              </w:rPr>
              <m:t>t</m:t>
            </m:r>
            <m:r>
              <m:rPr>
                <m:sty m:val="p"/>
              </m:rPr>
              <w:rPr>
                <w:rFonts w:ascii="Cambria Math" w:hAnsi="Cambria Math"/>
              </w:rPr>
              <m:t>-1</m:t>
            </m:r>
          </m:sub>
        </m:sSub>
        <m:r>
          <m:rPr>
            <m:sty m:val="p"/>
          </m:rPr>
          <w:rPr>
            <w:rFonts w:ascii="Cambria Math" w:hAnsi="Cambria Math"/>
          </w:rPr>
          <m:t xml:space="preserve"> </m:t>
        </m:r>
      </m:oMath>
      <w:r w:rsidR="005C32E8" w:rsidRPr="008754C3">
        <w:rPr>
          <w:rFonts w:asciiTheme="majorBidi" w:hAnsiTheme="majorBidi"/>
        </w:rPr>
        <w:t>*</w:t>
      </w:r>
      <m:oMath>
        <m:sSub>
          <m:sSubPr>
            <m:ctrlPr>
              <w:rPr>
                <w:rFonts w:ascii="Cambria Math" w:hAnsi="Cambria Math"/>
              </w:rPr>
            </m:ctrlPr>
          </m:sSubPr>
          <m:e>
            <m:r>
              <w:rPr>
                <w:rFonts w:ascii="Cambria Math" w:hAnsi="Cambria Math"/>
              </w:rPr>
              <m:t>WEDGE</m:t>
            </m:r>
          </m:e>
          <m:sub>
            <m:r>
              <w:rPr>
                <w:rFonts w:ascii="Cambria Math" w:hAnsi="Cambria Math"/>
              </w:rPr>
              <m:t>j</m:t>
            </m:r>
            <m:r>
              <m:rPr>
                <m:sty m:val="p"/>
              </m:rPr>
              <w:rPr>
                <w:rFonts w:ascii="Cambria Math" w:hAnsi="Cambria Math"/>
              </w:rPr>
              <m:t>,</m:t>
            </m:r>
            <m:r>
              <w:rPr>
                <w:rFonts w:ascii="Cambria Math" w:hAnsi="Cambria Math"/>
              </w:rPr>
              <m:t>t</m:t>
            </m:r>
          </m:sub>
        </m:sSub>
        <m:r>
          <m:rPr>
            <m:sty m:val="p"/>
          </m:rPr>
          <w:rPr>
            <w:rFonts w:ascii="Cambria Math" w:hAnsi="Cambria Math"/>
          </w:rPr>
          <m:t xml:space="preserve">+ </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m:t>
                </m:r>
              </m:e>
              <m:sub>
                <m:r>
                  <m:rPr>
                    <m:sty m:val="p"/>
                  </m:rPr>
                  <w:rPr>
                    <w:rFonts w:ascii="Cambria Math" w:hAnsi="Cambria Math"/>
                  </w:rPr>
                  <m:t xml:space="preserve">4 </m:t>
                </m:r>
              </m:sub>
            </m:sSub>
            <m:sSub>
              <m:sSubPr>
                <m:ctrlPr>
                  <w:rPr>
                    <w:rFonts w:ascii="Cambria Math" w:hAnsi="Cambria Math"/>
                  </w:rPr>
                </m:ctrlPr>
              </m:sSubPr>
              <m:e>
                <m:r>
                  <w:rPr>
                    <w:rFonts w:ascii="Cambria Math" w:hAnsi="Cambria Math"/>
                  </w:rPr>
                  <m:t>CONTROLS</m:t>
                </m:r>
                <m:r>
                  <m:rPr>
                    <m:sty m:val="p"/>
                  </m:rPr>
                  <w:rPr>
                    <w:rFonts w:ascii="Cambria Math" w:hAnsi="Cambria Math"/>
                  </w:rPr>
                  <m:t xml:space="preserve"> </m:t>
                </m:r>
              </m:e>
              <m:sub>
                <m:r>
                  <w:rPr>
                    <w:rFonts w:ascii="Cambria Math" w:hAnsi="Cambria Math"/>
                  </w:rPr>
                  <m:t>j</m:t>
                </m:r>
                <m:r>
                  <m:rPr>
                    <m:sty m:val="p"/>
                  </m:rPr>
                  <w:rPr>
                    <w:rFonts w:ascii="Cambria Math" w:hAnsi="Cambria Math"/>
                  </w:rPr>
                  <m:t>,</m:t>
                </m:r>
                <m:r>
                  <w:rPr>
                    <w:rFonts w:ascii="Cambria Math" w:hAnsi="Cambria Math"/>
                  </w:rPr>
                  <m:t>t</m:t>
                </m:r>
              </m:sub>
            </m:sSub>
            <m:r>
              <m:rPr>
                <m:sty m:val="p"/>
              </m:rPr>
              <w:rPr>
                <w:rFonts w:ascii="Cambria Math" w:hAnsi="Cambria Math"/>
              </w:rPr>
              <m:t xml:space="preserve">+ </m:t>
            </m:r>
            <m:r>
              <w:rPr>
                <w:rFonts w:ascii="Cambria Math" w:hAnsi="Cambria Math"/>
              </w:rPr>
              <m:t>e</m:t>
            </m:r>
          </m:e>
          <m:sub>
            <m:r>
              <w:rPr>
                <w:rFonts w:ascii="Cambria Math" w:hAnsi="Cambria Math"/>
              </w:rPr>
              <m:t>j</m:t>
            </m:r>
            <m:r>
              <m:rPr>
                <m:sty m:val="p"/>
              </m:rPr>
              <w:rPr>
                <w:rFonts w:ascii="Cambria Math" w:hAnsi="Cambria Math"/>
              </w:rPr>
              <m:t>.</m:t>
            </m:r>
            <m:r>
              <w:rPr>
                <w:rFonts w:ascii="Cambria Math" w:hAnsi="Cambria Math"/>
              </w:rPr>
              <m:t>t</m:t>
            </m:r>
          </m:sub>
        </m:sSub>
      </m:oMath>
      <w:r w:rsidR="005C32E8" w:rsidRPr="008754C3">
        <w:rPr>
          <w:rFonts w:asciiTheme="majorBidi" w:hAnsiTheme="majorBidi"/>
        </w:rPr>
        <w:t xml:space="preserve"> </w:t>
      </w:r>
      <w:r w:rsidR="00216A30">
        <w:rPr>
          <w:rFonts w:asciiTheme="majorBidi" w:hAnsiTheme="majorBidi"/>
        </w:rPr>
        <w:t xml:space="preserve">                                                                               </w:t>
      </w:r>
      <w:proofErr w:type="gramStart"/>
      <w:r w:rsidR="00216A30">
        <w:rPr>
          <w:rFonts w:asciiTheme="majorBidi" w:hAnsiTheme="majorBidi"/>
        </w:rPr>
        <w:t xml:space="preserve">   </w:t>
      </w:r>
      <w:r w:rsidR="005C32E8" w:rsidRPr="008754C3">
        <w:rPr>
          <w:rFonts w:asciiTheme="majorBidi" w:hAnsiTheme="majorBidi"/>
        </w:rPr>
        <w:t>(</w:t>
      </w:r>
      <w:proofErr w:type="gramEnd"/>
      <w:r w:rsidR="005C32E8" w:rsidRPr="008754C3">
        <w:rPr>
          <w:rFonts w:asciiTheme="majorBidi" w:hAnsiTheme="majorBidi"/>
        </w:rPr>
        <w:t>1)</w:t>
      </w:r>
    </w:p>
    <w:p w14:paraId="559569EA" w14:textId="15019763" w:rsidR="00CE727F" w:rsidRPr="008754C3" w:rsidRDefault="00000000" w:rsidP="003203CB">
      <w:pPr>
        <w:pStyle w:val="LSbodytext"/>
        <w:spacing w:line="480" w:lineRule="auto"/>
      </w:pPr>
      <m:oMath>
        <m:sSub>
          <m:sSubPr>
            <m:ctrlPr>
              <w:rPr>
                <w:rFonts w:ascii="Cambria Math" w:hAnsi="Cambria Math"/>
                <w:i/>
              </w:rPr>
            </m:ctrlPr>
          </m:sSubPr>
          <m:e>
            <m:r>
              <w:rPr>
                <w:rFonts w:ascii="Cambria Math" w:hAnsi="Cambria Math"/>
              </w:rPr>
              <m:t>EPS</m:t>
            </m:r>
          </m:e>
          <m:sub>
            <m:r>
              <w:rPr>
                <w:rFonts w:ascii="Cambria Math" w:hAnsi="Cambria Math"/>
              </w:rPr>
              <m:t>j,t(t-1)</m:t>
            </m:r>
          </m:sub>
        </m:sSub>
      </m:oMath>
      <w:r w:rsidR="005C32E8" w:rsidRPr="008754C3">
        <w:t xml:space="preserve"> is firm </w:t>
      </w:r>
      <w:bookmarkStart w:id="11" w:name="_Hlk102739438"/>
      <w:r w:rsidR="005C32E8" w:rsidRPr="008754C3">
        <w:rPr>
          <w:i/>
        </w:rPr>
        <w:t>j</w:t>
      </w:r>
      <w:bookmarkEnd w:id="11"/>
      <w:r w:rsidR="005C32E8" w:rsidRPr="008754C3">
        <w:t xml:space="preserve">’s </w:t>
      </w:r>
      <w:r w:rsidR="005C32E8" w:rsidRPr="008754C3">
        <w:rPr>
          <w:i/>
          <w:iCs/>
        </w:rPr>
        <w:t>EPS</w:t>
      </w:r>
      <w:r w:rsidR="005C32E8" w:rsidRPr="008754C3">
        <w:t xml:space="preserve"> for year </w:t>
      </w:r>
      <w:proofErr w:type="gramStart"/>
      <w:r w:rsidR="005C32E8" w:rsidRPr="008754C3">
        <w:rPr>
          <w:i/>
        </w:rPr>
        <w:t>t</w:t>
      </w:r>
      <w:r w:rsidR="00131044" w:rsidRPr="008754C3">
        <w:t>(</w:t>
      </w:r>
      <w:r w:rsidR="005C32E8" w:rsidRPr="008754C3">
        <w:t xml:space="preserve"> </w:t>
      </w:r>
      <w:r w:rsidR="005C32E8" w:rsidRPr="008754C3">
        <w:rPr>
          <w:i/>
        </w:rPr>
        <w:t>t</w:t>
      </w:r>
      <w:proofErr w:type="gramEnd"/>
      <w:r w:rsidR="005C32E8" w:rsidRPr="008754C3">
        <w:t>-1</w:t>
      </w:r>
      <w:r w:rsidR="00131044" w:rsidRPr="008754C3">
        <w:t>)</w:t>
      </w:r>
      <w:r w:rsidR="005C32E8" w:rsidRPr="008754C3">
        <w:t xml:space="preserve">, and </w:t>
      </w:r>
      <m:oMath>
        <m:sSub>
          <m:sSubPr>
            <m:ctrlPr>
              <w:rPr>
                <w:rFonts w:ascii="Cambria Math" w:hAnsi="Cambria Math"/>
                <w:i/>
              </w:rPr>
            </m:ctrlPr>
          </m:sSubPr>
          <m:e>
            <m:r>
              <w:rPr>
                <w:rFonts w:ascii="Cambria Math" w:hAnsi="Cambria Math"/>
              </w:rPr>
              <m:t>WEDGE</m:t>
            </m:r>
          </m:e>
          <m:sub>
            <m:r>
              <w:rPr>
                <w:rFonts w:ascii="Cambria Math" w:hAnsi="Cambria Math"/>
              </w:rPr>
              <m:t>j,t</m:t>
            </m:r>
          </m:sub>
        </m:sSub>
      </m:oMath>
      <w:r w:rsidR="005C32E8" w:rsidRPr="008754C3">
        <w:t xml:space="preserve"> is measured as the size of the wedge for firm </w:t>
      </w:r>
      <w:r w:rsidR="005C32E8" w:rsidRPr="008754C3">
        <w:rPr>
          <w:i/>
        </w:rPr>
        <w:t>j</w:t>
      </w:r>
      <w:r w:rsidR="005C32E8" w:rsidRPr="008754C3">
        <w:t xml:space="preserve"> in year </w:t>
      </w:r>
      <w:r w:rsidR="005C32E8" w:rsidRPr="008754C3">
        <w:rPr>
          <w:i/>
        </w:rPr>
        <w:t>t</w:t>
      </w:r>
      <w:r w:rsidR="005C32E8" w:rsidRPr="008754C3">
        <w:t xml:space="preserve">. The main variable of interest is the interaction variable, </w:t>
      </w:r>
      <w:r w:rsidR="005C32E8" w:rsidRPr="008754C3">
        <w:lastRenderedPageBreak/>
        <w:t xml:space="preserve">which answers the question </w:t>
      </w:r>
      <w:r w:rsidR="005C32E8" w:rsidRPr="008754C3">
        <w:rPr>
          <w:i/>
          <w:iCs/>
        </w:rPr>
        <w:t>are earnings more persistent for firms with a greater wedge?</w:t>
      </w:r>
      <w:r w:rsidR="005C32E8" w:rsidRPr="008754C3">
        <w:t xml:space="preserve"> A </w:t>
      </w:r>
      <w:r w:rsidR="00C20B8F" w:rsidRPr="008754C3">
        <w:t xml:space="preserve">positive </w:t>
      </w:r>
      <m:oMath>
        <m:sSub>
          <m:sSubPr>
            <m:ctrlPr>
              <w:rPr>
                <w:rFonts w:ascii="Cambria Math" w:hAnsi="Cambria Math"/>
                <w:i/>
              </w:rPr>
            </m:ctrlPr>
          </m:sSubPr>
          <m:e>
            <m:r>
              <w:rPr>
                <w:rFonts w:ascii="Cambria Math" w:hAnsi="Cambria Math"/>
              </w:rPr>
              <m:t>∝</m:t>
            </m:r>
          </m:e>
          <m:sub>
            <m:r>
              <w:rPr>
                <w:rFonts w:ascii="Cambria Math" w:hAnsi="Cambria Math"/>
              </w:rPr>
              <m:t xml:space="preserve">3 </m:t>
            </m:r>
          </m:sub>
        </m:sSub>
      </m:oMath>
      <w:r w:rsidR="005C32E8" w:rsidRPr="008754C3">
        <w:t xml:space="preserve"> suggests that the larger the wedge</w:t>
      </w:r>
      <w:r w:rsidR="0064081C" w:rsidRPr="008754C3">
        <w:t>,</w:t>
      </w:r>
      <w:r w:rsidR="005C32E8" w:rsidRPr="008754C3">
        <w:t xml:space="preserve"> the </w:t>
      </w:r>
      <w:r w:rsidR="00C20B8F" w:rsidRPr="008754C3">
        <w:t xml:space="preserve">more </w:t>
      </w:r>
      <w:r w:rsidR="005C32E8" w:rsidRPr="008754C3">
        <w:t>persistent the earnings.</w:t>
      </w:r>
      <w:r w:rsidR="00B56C4C" w:rsidRPr="008754C3">
        <w:t xml:space="preserve"> </w:t>
      </w:r>
      <w:r w:rsidR="00B81F2C" w:rsidRPr="008754C3">
        <w:t>Twelve</w:t>
      </w:r>
      <w:r w:rsidR="00552E47" w:rsidRPr="008754C3">
        <w:t xml:space="preserve"> </w:t>
      </w:r>
      <w:r w:rsidR="00CE727F" w:rsidRPr="008754C3">
        <w:t xml:space="preserve">variables representing listing age, size, profitability, leverage, growth, and valuation </w:t>
      </w:r>
      <w:r w:rsidR="00B56C4C" w:rsidRPr="008754C3">
        <w:t xml:space="preserve">(the variables presented in Table </w:t>
      </w:r>
      <w:r w:rsidR="00EC19B4">
        <w:t>2</w:t>
      </w:r>
      <w:r w:rsidR="00B56C4C" w:rsidRPr="008754C3">
        <w:t xml:space="preserve">) </w:t>
      </w:r>
      <w:r w:rsidR="00CE727F" w:rsidRPr="008754C3">
        <w:t>were entered as controls</w:t>
      </w:r>
      <w:r w:rsidR="009C55B7">
        <w:t>.</w:t>
      </w:r>
      <w:r w:rsidR="00FE2730">
        <w:rPr>
          <w:rStyle w:val="FootnoteReference"/>
        </w:rPr>
        <w:footnoteReference w:id="6"/>
      </w:r>
      <w:r w:rsidR="00CE727F" w:rsidRPr="008754C3">
        <w:t xml:space="preserve"> </w:t>
      </w:r>
    </w:p>
    <w:p w14:paraId="661FEF4B" w14:textId="324C3C0C" w:rsidR="00C20B8F" w:rsidRPr="008754C3" w:rsidRDefault="00C20B8F" w:rsidP="003203CB">
      <w:pPr>
        <w:pStyle w:val="LSbodytext"/>
        <w:spacing w:line="480" w:lineRule="auto"/>
      </w:pPr>
      <w:r w:rsidRPr="008754C3">
        <w:t xml:space="preserve">We use a linear model with panel data (a sample of firms over time) to determine </w:t>
      </w:r>
      <w:r w:rsidR="00E701FC" w:rsidRPr="008754C3">
        <w:t xml:space="preserve">the effect of the wedge on </w:t>
      </w:r>
      <w:r w:rsidRPr="008754C3">
        <w:t>the relation between current and past earnings. We also include a fixed firm effect</w:t>
      </w:r>
      <w:r w:rsidR="00FE2730">
        <w:rPr>
          <w:rStyle w:val="FootnoteReference"/>
        </w:rPr>
        <w:footnoteReference w:id="7"/>
      </w:r>
      <w:r w:rsidRPr="008754C3">
        <w:t xml:space="preserve"> </w:t>
      </w:r>
      <w:r w:rsidR="00E701FC" w:rsidRPr="008754C3">
        <w:t>(</w:t>
      </w:r>
      <w:r w:rsidRPr="008754C3">
        <w:t>effects not reflected in the firm data</w:t>
      </w:r>
      <w:r w:rsidR="00E701FC" w:rsidRPr="008754C3">
        <w:t>)</w:t>
      </w:r>
      <w:r w:rsidRPr="008754C3">
        <w:t xml:space="preserve"> and a fixed year effect </w:t>
      </w:r>
      <w:r w:rsidR="00E701FC" w:rsidRPr="008754C3">
        <w:t>(</w:t>
      </w:r>
      <w:r w:rsidRPr="008754C3">
        <w:t>events during a specific year that are unrelated to the firm, such as an economic crisis or national security event</w:t>
      </w:r>
      <w:r w:rsidR="00E701FC" w:rsidRPr="008754C3">
        <w:t>)</w:t>
      </w:r>
      <w:r w:rsidRPr="008754C3">
        <w:t>.</w:t>
      </w:r>
    </w:p>
    <w:p w14:paraId="7B37C122" w14:textId="4C2D2E7F" w:rsidR="000E5FE2" w:rsidRPr="00E20D3C" w:rsidRDefault="000E5FE2" w:rsidP="00C25C27">
      <w:pPr>
        <w:keepNext/>
        <w:keepLines/>
        <w:widowControl w:val="0"/>
        <w:bidi w:val="0"/>
        <w:spacing w:before="240" w:after="0" w:line="240" w:lineRule="auto"/>
        <w:rPr>
          <w:rFonts w:ascii="Times New Roman" w:hAnsi="Times New Roman"/>
          <w:b/>
          <w:bCs/>
          <w:sz w:val="24"/>
          <w:szCs w:val="24"/>
          <w:rtl/>
        </w:rPr>
      </w:pPr>
      <w:r w:rsidRPr="00E20D3C">
        <w:rPr>
          <w:rFonts w:ascii="Times New Roman" w:hAnsi="Times New Roman"/>
          <w:b/>
          <w:bCs/>
          <w:sz w:val="24"/>
          <w:szCs w:val="24"/>
        </w:rPr>
        <w:lastRenderedPageBreak/>
        <w:t xml:space="preserve">Table </w:t>
      </w:r>
      <w:r w:rsidR="0024742E">
        <w:rPr>
          <w:rFonts w:ascii="Times New Roman" w:hAnsi="Times New Roman"/>
          <w:b/>
          <w:bCs/>
          <w:sz w:val="24"/>
          <w:szCs w:val="24"/>
        </w:rPr>
        <w:t>3</w:t>
      </w:r>
    </w:p>
    <w:p w14:paraId="24F9321C" w14:textId="0BA8535B" w:rsidR="000E5FE2" w:rsidRPr="00F9234E" w:rsidRDefault="005327F7" w:rsidP="009F1746">
      <w:pPr>
        <w:keepNext/>
        <w:keepLines/>
        <w:widowControl w:val="0"/>
        <w:bidi w:val="0"/>
        <w:spacing w:line="240" w:lineRule="auto"/>
        <w:rPr>
          <w:rFonts w:ascii="Times New Roman" w:hAnsi="Times New Roman"/>
          <w:b/>
          <w:bCs/>
          <w:sz w:val="24"/>
          <w:szCs w:val="24"/>
        </w:rPr>
      </w:pPr>
      <w:r w:rsidRPr="00F9234E">
        <w:rPr>
          <w:rFonts w:ascii="Times New Roman" w:hAnsi="Times New Roman"/>
          <w:b/>
          <w:bCs/>
          <w:sz w:val="24"/>
          <w:szCs w:val="24"/>
        </w:rPr>
        <w:t>T</w:t>
      </w:r>
      <w:r w:rsidR="000F4BCF" w:rsidRPr="00F9234E">
        <w:rPr>
          <w:rFonts w:ascii="Times New Roman" w:hAnsi="Times New Roman"/>
          <w:b/>
          <w:bCs/>
          <w:sz w:val="24"/>
          <w:szCs w:val="24"/>
        </w:rPr>
        <w:t xml:space="preserve">ests of the relation between current earnings and past earnings and </w:t>
      </w:r>
      <w:r w:rsidR="00FE2730" w:rsidRPr="00F9234E">
        <w:rPr>
          <w:rFonts w:ascii="Times New Roman" w:hAnsi="Times New Roman"/>
          <w:b/>
          <w:bCs/>
          <w:sz w:val="24"/>
          <w:szCs w:val="24"/>
        </w:rPr>
        <w:t>wedge size</w:t>
      </w:r>
      <w:r w:rsidR="00D6538F" w:rsidRPr="00F9234E">
        <w:rPr>
          <w:rFonts w:ascii="Times New Roman" w:hAnsi="Times New Roman"/>
          <w:b/>
          <w:bCs/>
          <w:sz w:val="24"/>
          <w:szCs w:val="24"/>
        </w:rPr>
        <w:t>.</w:t>
      </w:r>
    </w:p>
    <w:tbl>
      <w:tblPr>
        <w:tblW w:w="6288" w:type="dxa"/>
        <w:jc w:val="center"/>
        <w:tblLook w:val="04A0" w:firstRow="1" w:lastRow="0" w:firstColumn="1" w:lastColumn="0" w:noHBand="0" w:noVBand="1"/>
      </w:tblPr>
      <w:tblGrid>
        <w:gridCol w:w="2624"/>
        <w:gridCol w:w="1118"/>
        <w:gridCol w:w="1522"/>
        <w:gridCol w:w="1024"/>
      </w:tblGrid>
      <w:tr w:rsidR="009F1746" w:rsidRPr="008754C3" w14:paraId="0941BBF3" w14:textId="77777777" w:rsidTr="00C7587E">
        <w:trPr>
          <w:trHeight w:val="354"/>
          <w:jc w:val="center"/>
        </w:trPr>
        <w:tc>
          <w:tcPr>
            <w:tcW w:w="2624" w:type="dxa"/>
            <w:tcBorders>
              <w:top w:val="single" w:sz="4" w:space="0" w:color="auto"/>
              <w:bottom w:val="single" w:sz="4" w:space="0" w:color="auto"/>
            </w:tcBorders>
            <w:noWrap/>
            <w:tcMar>
              <w:top w:w="0" w:type="dxa"/>
              <w:left w:w="58" w:type="dxa"/>
              <w:bottom w:w="115" w:type="dxa"/>
              <w:right w:w="58" w:type="dxa"/>
            </w:tcMar>
            <w:vAlign w:val="center"/>
            <w:hideMark/>
          </w:tcPr>
          <w:p w14:paraId="62D7F334" w14:textId="77777777" w:rsidR="009F1746" w:rsidRPr="00E20D3C" w:rsidRDefault="009F1746" w:rsidP="00C7587E">
            <w:pPr>
              <w:keepNext/>
              <w:keepLines/>
              <w:bidi w:val="0"/>
              <w:spacing w:after="0" w:line="240" w:lineRule="auto"/>
              <w:rPr>
                <w:rFonts w:asciiTheme="majorBidi" w:hAnsiTheme="majorBidi" w:cstheme="majorBidi"/>
                <w:b/>
                <w:bCs/>
                <w:sz w:val="24"/>
                <w:szCs w:val="24"/>
                <w:lang w:bidi="ar-SA"/>
              </w:rPr>
            </w:pPr>
            <w:bookmarkStart w:id="13" w:name="_Hlk24980176"/>
            <w:bookmarkStart w:id="14" w:name="OLE_LINK1"/>
            <w:r w:rsidRPr="00E20D3C">
              <w:rPr>
                <w:rFonts w:asciiTheme="majorBidi" w:hAnsiTheme="majorBidi" w:cstheme="majorBidi"/>
                <w:b/>
                <w:bCs/>
                <w:sz w:val="24"/>
                <w:szCs w:val="24"/>
                <w:lang w:bidi="ar-SA"/>
              </w:rPr>
              <w:t>Variable</w:t>
            </w:r>
          </w:p>
        </w:tc>
        <w:tc>
          <w:tcPr>
            <w:tcW w:w="1118" w:type="dxa"/>
            <w:tcBorders>
              <w:top w:val="single" w:sz="4" w:space="0" w:color="auto"/>
              <w:bottom w:val="single" w:sz="4" w:space="0" w:color="auto"/>
            </w:tcBorders>
            <w:tcMar>
              <w:top w:w="0" w:type="dxa"/>
              <w:left w:w="58" w:type="dxa"/>
              <w:bottom w:w="115" w:type="dxa"/>
              <w:right w:w="58" w:type="dxa"/>
            </w:tcMar>
            <w:vAlign w:val="center"/>
            <w:hideMark/>
          </w:tcPr>
          <w:p w14:paraId="1199F7D5" w14:textId="77777777" w:rsidR="009F1746" w:rsidRPr="00E20D3C" w:rsidRDefault="009F1746" w:rsidP="00C7587E">
            <w:pPr>
              <w:keepNext/>
              <w:keepLines/>
              <w:bidi w:val="0"/>
              <w:spacing w:after="0" w:line="240" w:lineRule="auto"/>
              <w:rPr>
                <w:rFonts w:asciiTheme="majorBidi" w:hAnsiTheme="majorBidi" w:cstheme="majorBidi"/>
                <w:b/>
                <w:bCs/>
                <w:sz w:val="24"/>
                <w:szCs w:val="24"/>
              </w:rPr>
            </w:pPr>
            <w:r w:rsidRPr="00E20D3C">
              <w:rPr>
                <w:rFonts w:asciiTheme="majorBidi" w:hAnsiTheme="majorBidi" w:cstheme="majorBidi"/>
                <w:b/>
                <w:bCs/>
                <w:sz w:val="24"/>
                <w:szCs w:val="24"/>
                <w:lang w:bidi="ar-SA"/>
              </w:rPr>
              <w:t>Model 1</w:t>
            </w:r>
          </w:p>
        </w:tc>
        <w:tc>
          <w:tcPr>
            <w:tcW w:w="1522" w:type="dxa"/>
            <w:tcBorders>
              <w:top w:val="single" w:sz="4" w:space="0" w:color="auto"/>
              <w:bottom w:val="single" w:sz="4" w:space="0" w:color="auto"/>
            </w:tcBorders>
            <w:noWrap/>
            <w:tcMar>
              <w:top w:w="0" w:type="dxa"/>
              <w:left w:w="58" w:type="dxa"/>
              <w:bottom w:w="115" w:type="dxa"/>
              <w:right w:w="58" w:type="dxa"/>
            </w:tcMar>
            <w:vAlign w:val="center"/>
            <w:hideMark/>
          </w:tcPr>
          <w:p w14:paraId="5AC571C1" w14:textId="77777777" w:rsidR="009F1746" w:rsidRPr="00E20D3C" w:rsidRDefault="009F1746" w:rsidP="00C7587E">
            <w:pPr>
              <w:keepNext/>
              <w:keepLines/>
              <w:bidi w:val="0"/>
              <w:spacing w:after="0" w:line="240" w:lineRule="auto"/>
              <w:rPr>
                <w:rFonts w:asciiTheme="majorBidi" w:hAnsiTheme="majorBidi" w:cstheme="majorBidi"/>
                <w:b/>
                <w:bCs/>
                <w:sz w:val="24"/>
                <w:szCs w:val="24"/>
                <w:rtl/>
              </w:rPr>
            </w:pPr>
            <w:r w:rsidRPr="00E20D3C">
              <w:rPr>
                <w:rFonts w:asciiTheme="majorBidi" w:hAnsiTheme="majorBidi" w:cstheme="majorBidi"/>
                <w:b/>
                <w:bCs/>
                <w:sz w:val="24"/>
                <w:szCs w:val="24"/>
                <w:lang w:bidi="ar-SA"/>
              </w:rPr>
              <w:t>Model 2</w:t>
            </w:r>
          </w:p>
        </w:tc>
        <w:tc>
          <w:tcPr>
            <w:tcW w:w="1024" w:type="dxa"/>
            <w:tcBorders>
              <w:top w:val="single" w:sz="4" w:space="0" w:color="auto"/>
              <w:bottom w:val="single" w:sz="4" w:space="0" w:color="auto"/>
            </w:tcBorders>
            <w:tcMar>
              <w:top w:w="0" w:type="dxa"/>
              <w:left w:w="58" w:type="dxa"/>
              <w:bottom w:w="115" w:type="dxa"/>
              <w:right w:w="58" w:type="dxa"/>
            </w:tcMar>
            <w:vAlign w:val="center"/>
            <w:hideMark/>
          </w:tcPr>
          <w:p w14:paraId="63A9EEF9" w14:textId="77777777" w:rsidR="009F1746" w:rsidRPr="00E20D3C" w:rsidRDefault="009F1746" w:rsidP="00C7587E">
            <w:pPr>
              <w:keepNext/>
              <w:keepLines/>
              <w:bidi w:val="0"/>
              <w:spacing w:after="0" w:line="240" w:lineRule="auto"/>
              <w:rPr>
                <w:rFonts w:asciiTheme="majorBidi" w:hAnsiTheme="majorBidi" w:cstheme="majorBidi"/>
                <w:b/>
                <w:bCs/>
                <w:sz w:val="24"/>
                <w:szCs w:val="24"/>
                <w:rtl/>
              </w:rPr>
            </w:pPr>
            <w:r w:rsidRPr="00E20D3C">
              <w:rPr>
                <w:rFonts w:asciiTheme="majorBidi" w:hAnsiTheme="majorBidi" w:cstheme="majorBidi"/>
                <w:b/>
                <w:bCs/>
                <w:sz w:val="24"/>
                <w:szCs w:val="24"/>
                <w:lang w:bidi="ar-SA"/>
              </w:rPr>
              <w:t>Model 3</w:t>
            </w:r>
          </w:p>
        </w:tc>
      </w:tr>
      <w:tr w:rsidR="009F1746" w:rsidRPr="008754C3" w14:paraId="6064E822" w14:textId="77777777" w:rsidTr="00C7587E">
        <w:trPr>
          <w:trHeight w:val="124"/>
          <w:jc w:val="center"/>
        </w:trPr>
        <w:tc>
          <w:tcPr>
            <w:tcW w:w="2624" w:type="dxa"/>
            <w:tcBorders>
              <w:top w:val="single" w:sz="4" w:space="0" w:color="auto"/>
              <w:left w:val="nil"/>
              <w:bottom w:val="nil"/>
              <w:right w:val="nil"/>
            </w:tcBorders>
            <w:noWrap/>
            <w:tcMar>
              <w:top w:w="0" w:type="dxa"/>
              <w:left w:w="58" w:type="dxa"/>
              <w:bottom w:w="115" w:type="dxa"/>
              <w:right w:w="58" w:type="dxa"/>
            </w:tcMar>
            <w:hideMark/>
          </w:tcPr>
          <w:p w14:paraId="39D40590" w14:textId="77777777" w:rsidR="009F1746" w:rsidRPr="00E20D3C" w:rsidRDefault="009F1746" w:rsidP="00C7587E">
            <w:pPr>
              <w:keepNext/>
              <w:keepLines/>
              <w:bidi w:val="0"/>
              <w:spacing w:before="23" w:after="0" w:line="240" w:lineRule="auto"/>
              <w:rPr>
                <w:rFonts w:asciiTheme="majorBidi" w:hAnsiTheme="majorBidi" w:cstheme="majorBidi"/>
                <w:b/>
                <w:bCs/>
                <w:sz w:val="24"/>
                <w:szCs w:val="24"/>
                <w:rtl/>
              </w:rPr>
            </w:pPr>
            <w:r w:rsidRPr="00E20D3C">
              <w:rPr>
                <w:rFonts w:asciiTheme="majorBidi" w:hAnsiTheme="majorBidi" w:cstheme="majorBidi"/>
                <w:b/>
                <w:bCs/>
                <w:sz w:val="24"/>
                <w:szCs w:val="24"/>
                <w:lang w:bidi="ar-SA"/>
              </w:rPr>
              <w:t>Constant</w:t>
            </w:r>
          </w:p>
        </w:tc>
        <w:tc>
          <w:tcPr>
            <w:tcW w:w="1118" w:type="dxa"/>
            <w:tcBorders>
              <w:top w:val="single" w:sz="4" w:space="0" w:color="auto"/>
              <w:left w:val="nil"/>
              <w:bottom w:val="nil"/>
              <w:right w:val="nil"/>
            </w:tcBorders>
            <w:tcMar>
              <w:top w:w="0" w:type="dxa"/>
              <w:left w:w="58" w:type="dxa"/>
              <w:bottom w:w="115" w:type="dxa"/>
              <w:right w:w="58" w:type="dxa"/>
            </w:tcMar>
            <w:hideMark/>
          </w:tcPr>
          <w:p w14:paraId="15E62634" w14:textId="77777777" w:rsidR="009F1746" w:rsidRPr="00E20D3C" w:rsidRDefault="009F1746" w:rsidP="00C7587E">
            <w:pPr>
              <w:keepNext/>
              <w:keepLines/>
              <w:autoSpaceDE w:val="0"/>
              <w:autoSpaceDN w:val="0"/>
              <w:bidi w:val="0"/>
              <w:adjustRightInd w:val="0"/>
              <w:spacing w:before="23" w:after="0" w:line="240" w:lineRule="auto"/>
              <w:jc w:val="center"/>
              <w:rPr>
                <w:rFonts w:asciiTheme="majorBidi" w:hAnsiTheme="majorBidi" w:cstheme="majorBidi"/>
                <w:sz w:val="24"/>
                <w:szCs w:val="24"/>
                <w:rtl/>
                <w:lang w:bidi="ar-SA"/>
              </w:rPr>
            </w:pPr>
            <w:r w:rsidRPr="00E20D3C">
              <w:rPr>
                <w:rFonts w:asciiTheme="majorBidi" w:hAnsiTheme="majorBidi" w:cstheme="majorBidi"/>
                <w:sz w:val="24"/>
                <w:szCs w:val="24"/>
                <w:rtl/>
              </w:rPr>
              <w:t>***0.24</w:t>
            </w:r>
          </w:p>
          <w:p w14:paraId="395457E8" w14:textId="77777777" w:rsidR="009F1746" w:rsidRPr="00E20D3C" w:rsidRDefault="009F1746" w:rsidP="00C7587E">
            <w:pPr>
              <w:keepNext/>
              <w:keepLines/>
              <w:autoSpaceDE w:val="0"/>
              <w:autoSpaceDN w:val="0"/>
              <w:bidi w:val="0"/>
              <w:adjustRightInd w:val="0"/>
              <w:spacing w:before="23" w:after="0" w:line="240" w:lineRule="auto"/>
              <w:jc w:val="center"/>
              <w:rPr>
                <w:rFonts w:asciiTheme="majorBidi" w:hAnsiTheme="majorBidi" w:cstheme="majorBidi"/>
                <w:sz w:val="24"/>
                <w:szCs w:val="24"/>
              </w:rPr>
            </w:pPr>
            <w:r w:rsidRPr="00E20D3C">
              <w:rPr>
                <w:rFonts w:asciiTheme="majorBidi" w:hAnsiTheme="majorBidi" w:cstheme="majorBidi"/>
                <w:sz w:val="24"/>
                <w:szCs w:val="24"/>
                <w:rtl/>
              </w:rPr>
              <w:t>(0.05)</w:t>
            </w:r>
          </w:p>
        </w:tc>
        <w:tc>
          <w:tcPr>
            <w:tcW w:w="1522" w:type="dxa"/>
            <w:tcBorders>
              <w:top w:val="single" w:sz="4" w:space="0" w:color="auto"/>
              <w:left w:val="nil"/>
              <w:bottom w:val="nil"/>
              <w:right w:val="nil"/>
            </w:tcBorders>
            <w:noWrap/>
            <w:tcMar>
              <w:top w:w="0" w:type="dxa"/>
              <w:left w:w="58" w:type="dxa"/>
              <w:bottom w:w="115" w:type="dxa"/>
              <w:right w:w="58" w:type="dxa"/>
            </w:tcMar>
            <w:hideMark/>
          </w:tcPr>
          <w:p w14:paraId="73BD2FE7" w14:textId="77777777" w:rsidR="009F1746" w:rsidRPr="00E20D3C" w:rsidRDefault="009F1746" w:rsidP="00C7587E">
            <w:pPr>
              <w:keepNext/>
              <w:keepLines/>
              <w:autoSpaceDE w:val="0"/>
              <w:autoSpaceDN w:val="0"/>
              <w:bidi w:val="0"/>
              <w:adjustRightInd w:val="0"/>
              <w:spacing w:before="23" w:after="0" w:line="240" w:lineRule="auto"/>
              <w:jc w:val="center"/>
              <w:rPr>
                <w:rFonts w:asciiTheme="majorBidi" w:hAnsiTheme="majorBidi" w:cstheme="majorBidi"/>
                <w:sz w:val="24"/>
                <w:szCs w:val="24"/>
                <w:rtl/>
                <w:lang w:bidi="ar-SA"/>
              </w:rPr>
            </w:pPr>
            <w:r w:rsidRPr="00E20D3C">
              <w:rPr>
                <w:rFonts w:asciiTheme="majorBidi" w:hAnsiTheme="majorBidi" w:cstheme="majorBidi"/>
                <w:sz w:val="24"/>
                <w:szCs w:val="24"/>
                <w:rtl/>
              </w:rPr>
              <w:t>*0.14</w:t>
            </w:r>
          </w:p>
          <w:p w14:paraId="3BE39BD7" w14:textId="77777777" w:rsidR="009F1746" w:rsidRPr="00E20D3C" w:rsidRDefault="009F1746" w:rsidP="00C7587E">
            <w:pPr>
              <w:keepNext/>
              <w:keepLines/>
              <w:autoSpaceDE w:val="0"/>
              <w:autoSpaceDN w:val="0"/>
              <w:bidi w:val="0"/>
              <w:adjustRightInd w:val="0"/>
              <w:spacing w:before="23" w:after="0" w:line="240" w:lineRule="auto"/>
              <w:jc w:val="center"/>
              <w:rPr>
                <w:rFonts w:asciiTheme="majorBidi" w:hAnsiTheme="majorBidi" w:cstheme="majorBidi"/>
                <w:sz w:val="24"/>
                <w:szCs w:val="24"/>
                <w:rtl/>
              </w:rPr>
            </w:pPr>
            <w:r w:rsidRPr="00E20D3C">
              <w:rPr>
                <w:rFonts w:asciiTheme="majorBidi" w:hAnsiTheme="majorBidi" w:cstheme="majorBidi"/>
                <w:sz w:val="24"/>
                <w:szCs w:val="24"/>
                <w:rtl/>
              </w:rPr>
              <w:t>(0.07)</w:t>
            </w:r>
          </w:p>
        </w:tc>
        <w:tc>
          <w:tcPr>
            <w:tcW w:w="1024" w:type="dxa"/>
            <w:tcBorders>
              <w:top w:val="single" w:sz="4" w:space="0" w:color="auto"/>
              <w:left w:val="nil"/>
              <w:bottom w:val="nil"/>
              <w:right w:val="nil"/>
            </w:tcBorders>
            <w:tcMar>
              <w:top w:w="0" w:type="dxa"/>
              <w:left w:w="58" w:type="dxa"/>
              <w:bottom w:w="115" w:type="dxa"/>
              <w:right w:w="58" w:type="dxa"/>
            </w:tcMar>
          </w:tcPr>
          <w:p w14:paraId="25DE68BD" w14:textId="77777777" w:rsidR="009F1746" w:rsidRPr="00E20D3C" w:rsidRDefault="009F1746" w:rsidP="00C7587E">
            <w:pPr>
              <w:keepNext/>
              <w:keepLines/>
              <w:autoSpaceDE w:val="0"/>
              <w:autoSpaceDN w:val="0"/>
              <w:bidi w:val="0"/>
              <w:adjustRightInd w:val="0"/>
              <w:spacing w:before="23" w:after="0" w:line="240" w:lineRule="auto"/>
              <w:jc w:val="center"/>
              <w:rPr>
                <w:rFonts w:asciiTheme="majorBidi" w:hAnsiTheme="majorBidi" w:cstheme="majorBidi"/>
                <w:sz w:val="24"/>
                <w:szCs w:val="24"/>
                <w:rtl/>
              </w:rPr>
            </w:pPr>
          </w:p>
        </w:tc>
      </w:tr>
      <w:tr w:rsidR="009F1746" w:rsidRPr="008754C3" w14:paraId="7D537693" w14:textId="77777777" w:rsidTr="00C7587E">
        <w:trPr>
          <w:trHeight w:val="124"/>
          <w:jc w:val="center"/>
        </w:trPr>
        <w:tc>
          <w:tcPr>
            <w:tcW w:w="2624" w:type="dxa"/>
            <w:noWrap/>
            <w:tcMar>
              <w:top w:w="0" w:type="dxa"/>
              <w:left w:w="58" w:type="dxa"/>
              <w:bottom w:w="115" w:type="dxa"/>
              <w:right w:w="58" w:type="dxa"/>
            </w:tcMar>
            <w:hideMark/>
          </w:tcPr>
          <w:p w14:paraId="1A2A5983" w14:textId="77777777" w:rsidR="009F1746" w:rsidRPr="00E20D3C" w:rsidRDefault="00000000" w:rsidP="00C7587E">
            <w:pPr>
              <w:keepNext/>
              <w:keepLines/>
              <w:bidi w:val="0"/>
              <w:spacing w:before="23" w:after="0" w:line="240" w:lineRule="auto"/>
              <w:rPr>
                <w:rFonts w:asciiTheme="majorBidi" w:hAnsiTheme="majorBidi" w:cstheme="majorBidi"/>
                <w:b/>
                <w:bCs/>
                <w:sz w:val="24"/>
                <w:szCs w:val="24"/>
                <w:rtl/>
              </w:rPr>
            </w:pPr>
            <m:oMath>
              <m:sSub>
                <m:sSubPr>
                  <m:ctrlPr>
                    <w:rPr>
                      <w:rFonts w:ascii="Cambria Math" w:hAnsi="Cambria Math" w:cstheme="majorBidi"/>
                      <w:i/>
                      <w:sz w:val="24"/>
                      <w:szCs w:val="24"/>
                      <w:lang w:bidi="ar-SA"/>
                    </w:rPr>
                  </m:ctrlPr>
                </m:sSubPr>
                <m:e>
                  <m:r>
                    <w:rPr>
                      <w:rFonts w:ascii="Cambria Math" w:hAnsi="Cambria Math" w:cstheme="majorBidi"/>
                      <w:sz w:val="24"/>
                      <w:szCs w:val="24"/>
                      <w:lang w:bidi="ar-SA"/>
                    </w:rPr>
                    <m:t>EPS</m:t>
                  </m:r>
                </m:e>
                <m:sub>
                  <m:r>
                    <w:rPr>
                      <w:rFonts w:ascii="Cambria Math" w:hAnsi="Cambria Math" w:cstheme="majorBidi"/>
                      <w:sz w:val="24"/>
                      <w:szCs w:val="24"/>
                      <w:lang w:bidi="ar-SA"/>
                    </w:rPr>
                    <m:t>j,t-1</m:t>
                  </m:r>
                </m:sub>
              </m:sSub>
            </m:oMath>
            <w:r w:rsidR="009F1746" w:rsidRPr="00E20D3C">
              <w:rPr>
                <w:rFonts w:asciiTheme="majorBidi" w:hAnsiTheme="majorBidi" w:cstheme="majorBidi"/>
                <w:sz w:val="24"/>
                <w:szCs w:val="24"/>
                <w:vertAlign w:val="superscript"/>
                <w:lang w:bidi="ar-SA"/>
              </w:rPr>
              <w:t>a</w:t>
            </w:r>
          </w:p>
        </w:tc>
        <w:tc>
          <w:tcPr>
            <w:tcW w:w="1118" w:type="dxa"/>
            <w:tcMar>
              <w:top w:w="0" w:type="dxa"/>
              <w:left w:w="58" w:type="dxa"/>
              <w:bottom w:w="115" w:type="dxa"/>
              <w:right w:w="58" w:type="dxa"/>
            </w:tcMar>
            <w:hideMark/>
          </w:tcPr>
          <w:p w14:paraId="65B8C56A" w14:textId="77777777" w:rsidR="009F1746" w:rsidRPr="00E20D3C" w:rsidRDefault="009F1746" w:rsidP="00C7587E">
            <w:pPr>
              <w:keepNext/>
              <w:keepLines/>
              <w:autoSpaceDE w:val="0"/>
              <w:autoSpaceDN w:val="0"/>
              <w:bidi w:val="0"/>
              <w:adjustRightInd w:val="0"/>
              <w:spacing w:before="23" w:after="0" w:line="240" w:lineRule="auto"/>
              <w:jc w:val="center"/>
              <w:rPr>
                <w:rFonts w:asciiTheme="majorBidi" w:hAnsiTheme="majorBidi" w:cstheme="majorBidi"/>
                <w:sz w:val="24"/>
                <w:szCs w:val="24"/>
                <w:rtl/>
              </w:rPr>
            </w:pPr>
            <w:r w:rsidRPr="00E20D3C">
              <w:rPr>
                <w:rFonts w:asciiTheme="majorBidi" w:hAnsiTheme="majorBidi" w:cstheme="majorBidi"/>
                <w:sz w:val="24"/>
                <w:szCs w:val="24"/>
                <w:rtl/>
              </w:rPr>
              <w:t>***0.47</w:t>
            </w:r>
          </w:p>
          <w:p w14:paraId="7C7A50A4" w14:textId="77777777" w:rsidR="009F1746" w:rsidRPr="00E20D3C" w:rsidRDefault="009F1746" w:rsidP="00C7587E">
            <w:pPr>
              <w:keepNext/>
              <w:keepLines/>
              <w:autoSpaceDE w:val="0"/>
              <w:autoSpaceDN w:val="0"/>
              <w:bidi w:val="0"/>
              <w:adjustRightInd w:val="0"/>
              <w:spacing w:before="23" w:after="0" w:line="240" w:lineRule="auto"/>
              <w:jc w:val="center"/>
              <w:rPr>
                <w:rFonts w:asciiTheme="majorBidi" w:hAnsiTheme="majorBidi" w:cstheme="majorBidi"/>
                <w:sz w:val="24"/>
                <w:szCs w:val="24"/>
                <w:rtl/>
              </w:rPr>
            </w:pPr>
            <w:r w:rsidRPr="00E20D3C">
              <w:rPr>
                <w:rFonts w:asciiTheme="majorBidi" w:hAnsiTheme="majorBidi" w:cstheme="majorBidi"/>
                <w:sz w:val="24"/>
                <w:szCs w:val="24"/>
                <w:rtl/>
              </w:rPr>
              <w:t xml:space="preserve"> (0.06)</w:t>
            </w:r>
          </w:p>
        </w:tc>
        <w:tc>
          <w:tcPr>
            <w:tcW w:w="1522" w:type="dxa"/>
            <w:noWrap/>
            <w:tcMar>
              <w:top w:w="0" w:type="dxa"/>
              <w:left w:w="58" w:type="dxa"/>
              <w:bottom w:w="115" w:type="dxa"/>
              <w:right w:w="58" w:type="dxa"/>
            </w:tcMar>
            <w:hideMark/>
          </w:tcPr>
          <w:p w14:paraId="7B749B4F" w14:textId="77777777" w:rsidR="009F1746" w:rsidRPr="00E20D3C" w:rsidRDefault="009F1746" w:rsidP="00C7587E">
            <w:pPr>
              <w:keepNext/>
              <w:keepLines/>
              <w:autoSpaceDE w:val="0"/>
              <w:autoSpaceDN w:val="0"/>
              <w:bidi w:val="0"/>
              <w:adjustRightInd w:val="0"/>
              <w:spacing w:before="23" w:after="0" w:line="240" w:lineRule="auto"/>
              <w:jc w:val="center"/>
              <w:rPr>
                <w:rFonts w:asciiTheme="majorBidi" w:hAnsiTheme="majorBidi" w:cstheme="majorBidi"/>
                <w:sz w:val="24"/>
                <w:szCs w:val="24"/>
                <w:rtl/>
              </w:rPr>
            </w:pPr>
            <w:r w:rsidRPr="00E20D3C">
              <w:rPr>
                <w:rFonts w:asciiTheme="majorBidi" w:hAnsiTheme="majorBidi" w:cstheme="majorBidi"/>
                <w:sz w:val="24"/>
                <w:szCs w:val="24"/>
                <w:rtl/>
              </w:rPr>
              <w:t>***0.35</w:t>
            </w:r>
          </w:p>
          <w:p w14:paraId="43773018" w14:textId="77777777" w:rsidR="009F1746" w:rsidRPr="00E20D3C" w:rsidRDefault="009F1746" w:rsidP="00C7587E">
            <w:pPr>
              <w:keepNext/>
              <w:keepLines/>
              <w:autoSpaceDE w:val="0"/>
              <w:autoSpaceDN w:val="0"/>
              <w:bidi w:val="0"/>
              <w:adjustRightInd w:val="0"/>
              <w:spacing w:before="23" w:after="0" w:line="240" w:lineRule="auto"/>
              <w:jc w:val="center"/>
              <w:rPr>
                <w:rFonts w:asciiTheme="majorBidi" w:hAnsiTheme="majorBidi" w:cstheme="majorBidi"/>
                <w:sz w:val="24"/>
                <w:szCs w:val="24"/>
                <w:rtl/>
              </w:rPr>
            </w:pPr>
            <w:r w:rsidRPr="00E20D3C">
              <w:rPr>
                <w:rFonts w:asciiTheme="majorBidi" w:hAnsiTheme="majorBidi" w:cstheme="majorBidi"/>
                <w:sz w:val="24"/>
                <w:szCs w:val="24"/>
                <w:rtl/>
              </w:rPr>
              <w:t xml:space="preserve"> (0.06)</w:t>
            </w:r>
          </w:p>
        </w:tc>
        <w:tc>
          <w:tcPr>
            <w:tcW w:w="1024" w:type="dxa"/>
            <w:tcMar>
              <w:top w:w="0" w:type="dxa"/>
              <w:left w:w="58" w:type="dxa"/>
              <w:bottom w:w="115" w:type="dxa"/>
              <w:right w:w="58" w:type="dxa"/>
            </w:tcMar>
            <w:hideMark/>
          </w:tcPr>
          <w:p w14:paraId="4E7CCF13" w14:textId="77777777" w:rsidR="009F1746" w:rsidRPr="00E20D3C" w:rsidRDefault="009F1746" w:rsidP="00C7587E">
            <w:pPr>
              <w:keepNext/>
              <w:keepLines/>
              <w:autoSpaceDE w:val="0"/>
              <w:autoSpaceDN w:val="0"/>
              <w:bidi w:val="0"/>
              <w:adjustRightInd w:val="0"/>
              <w:spacing w:before="23" w:after="0" w:line="240" w:lineRule="auto"/>
              <w:jc w:val="center"/>
              <w:rPr>
                <w:rFonts w:asciiTheme="majorBidi" w:hAnsiTheme="majorBidi" w:cstheme="majorBidi"/>
                <w:sz w:val="24"/>
                <w:szCs w:val="24"/>
                <w:rtl/>
              </w:rPr>
            </w:pPr>
            <w:r w:rsidRPr="00E20D3C">
              <w:rPr>
                <w:rFonts w:asciiTheme="majorBidi" w:hAnsiTheme="majorBidi" w:cstheme="majorBidi"/>
                <w:sz w:val="24"/>
                <w:szCs w:val="24"/>
                <w:rtl/>
              </w:rPr>
              <w:t xml:space="preserve">0.05 </w:t>
            </w:r>
          </w:p>
          <w:p w14:paraId="2520FB3F" w14:textId="77777777" w:rsidR="009F1746" w:rsidRPr="00E20D3C" w:rsidRDefault="009F1746" w:rsidP="00C7587E">
            <w:pPr>
              <w:keepNext/>
              <w:keepLines/>
              <w:autoSpaceDE w:val="0"/>
              <w:autoSpaceDN w:val="0"/>
              <w:bidi w:val="0"/>
              <w:adjustRightInd w:val="0"/>
              <w:spacing w:before="23" w:after="0" w:line="240" w:lineRule="auto"/>
              <w:jc w:val="center"/>
              <w:rPr>
                <w:rFonts w:asciiTheme="majorBidi" w:hAnsiTheme="majorBidi" w:cstheme="majorBidi"/>
                <w:sz w:val="24"/>
                <w:szCs w:val="24"/>
                <w:rtl/>
              </w:rPr>
            </w:pPr>
            <w:r w:rsidRPr="00E20D3C">
              <w:rPr>
                <w:rFonts w:asciiTheme="majorBidi" w:hAnsiTheme="majorBidi" w:cstheme="majorBidi"/>
                <w:sz w:val="24"/>
                <w:szCs w:val="24"/>
                <w:rtl/>
              </w:rPr>
              <w:t>(0.07)</w:t>
            </w:r>
          </w:p>
        </w:tc>
      </w:tr>
      <w:tr w:rsidR="009F1746" w:rsidRPr="008754C3" w14:paraId="3362F538" w14:textId="77777777" w:rsidTr="00C7587E">
        <w:trPr>
          <w:trHeight w:val="124"/>
          <w:jc w:val="center"/>
        </w:trPr>
        <w:tc>
          <w:tcPr>
            <w:tcW w:w="2624" w:type="dxa"/>
            <w:noWrap/>
            <w:tcMar>
              <w:top w:w="0" w:type="dxa"/>
              <w:left w:w="58" w:type="dxa"/>
              <w:bottom w:w="115" w:type="dxa"/>
              <w:right w:w="58" w:type="dxa"/>
            </w:tcMar>
            <w:hideMark/>
          </w:tcPr>
          <w:p w14:paraId="05F8EBAD" w14:textId="77777777" w:rsidR="009F1746" w:rsidRPr="00E20D3C" w:rsidRDefault="00000000" w:rsidP="00C7587E">
            <w:pPr>
              <w:keepNext/>
              <w:keepLines/>
              <w:bidi w:val="0"/>
              <w:spacing w:before="23" w:after="0" w:line="240" w:lineRule="auto"/>
              <w:rPr>
                <w:rFonts w:asciiTheme="majorBidi" w:hAnsiTheme="majorBidi" w:cstheme="majorBidi"/>
                <w:b/>
                <w:bCs/>
                <w:sz w:val="24"/>
                <w:szCs w:val="24"/>
                <w:rtl/>
              </w:rPr>
            </w:pPr>
            <m:oMath>
              <m:sSub>
                <m:sSubPr>
                  <m:ctrlPr>
                    <w:rPr>
                      <w:rFonts w:ascii="Cambria Math" w:hAnsi="Cambria Math" w:cstheme="majorBidi"/>
                      <w:i/>
                      <w:sz w:val="24"/>
                      <w:szCs w:val="24"/>
                      <w:lang w:bidi="ar-SA"/>
                    </w:rPr>
                  </m:ctrlPr>
                </m:sSubPr>
                <m:e>
                  <m:r>
                    <w:rPr>
                      <w:rFonts w:ascii="Cambria Math" w:hAnsi="Cambria Math" w:cstheme="majorBidi"/>
                      <w:sz w:val="24"/>
                      <w:szCs w:val="24"/>
                      <w:lang w:bidi="ar-SA"/>
                    </w:rPr>
                    <m:t>WEDGE</m:t>
                  </m:r>
                </m:e>
                <m:sub>
                  <m:r>
                    <w:rPr>
                      <w:rFonts w:ascii="Cambria Math" w:hAnsi="Cambria Math" w:cstheme="majorBidi"/>
                      <w:sz w:val="24"/>
                      <w:szCs w:val="24"/>
                      <w:lang w:bidi="ar-SA"/>
                    </w:rPr>
                    <m:t>j,t</m:t>
                  </m:r>
                </m:sub>
              </m:sSub>
            </m:oMath>
            <w:r w:rsidR="009F1746" w:rsidRPr="00E20D3C">
              <w:rPr>
                <w:rFonts w:asciiTheme="majorBidi" w:hAnsiTheme="majorBidi" w:cstheme="majorBidi"/>
                <w:sz w:val="24"/>
                <w:szCs w:val="24"/>
                <w:vertAlign w:val="superscript"/>
                <w:lang w:bidi="ar-SA"/>
              </w:rPr>
              <w:t>b</w:t>
            </w:r>
          </w:p>
        </w:tc>
        <w:tc>
          <w:tcPr>
            <w:tcW w:w="1118" w:type="dxa"/>
            <w:tcMar>
              <w:top w:w="0" w:type="dxa"/>
              <w:left w:w="58" w:type="dxa"/>
              <w:bottom w:w="115" w:type="dxa"/>
              <w:right w:w="58" w:type="dxa"/>
            </w:tcMar>
            <w:hideMark/>
          </w:tcPr>
          <w:p w14:paraId="39761281" w14:textId="77777777" w:rsidR="009F1746" w:rsidRPr="00E20D3C" w:rsidRDefault="009F1746" w:rsidP="00C7587E">
            <w:pPr>
              <w:keepNext/>
              <w:keepLines/>
              <w:autoSpaceDE w:val="0"/>
              <w:autoSpaceDN w:val="0"/>
              <w:bidi w:val="0"/>
              <w:adjustRightInd w:val="0"/>
              <w:spacing w:before="23" w:after="0" w:line="240" w:lineRule="auto"/>
              <w:jc w:val="center"/>
              <w:rPr>
                <w:rFonts w:asciiTheme="majorBidi" w:hAnsiTheme="majorBidi" w:cstheme="majorBidi"/>
                <w:sz w:val="24"/>
                <w:szCs w:val="24"/>
                <w:rtl/>
              </w:rPr>
            </w:pPr>
            <w:r w:rsidRPr="00E20D3C">
              <w:rPr>
                <w:rFonts w:asciiTheme="majorBidi" w:hAnsiTheme="majorBidi" w:cstheme="majorBidi"/>
                <w:sz w:val="24"/>
                <w:szCs w:val="24"/>
                <w:rtl/>
              </w:rPr>
              <w:t>**0.23-</w:t>
            </w:r>
          </w:p>
          <w:p w14:paraId="01B0C3B9" w14:textId="77777777" w:rsidR="009F1746" w:rsidRPr="00E20D3C" w:rsidRDefault="009F1746" w:rsidP="00C7587E">
            <w:pPr>
              <w:keepNext/>
              <w:keepLines/>
              <w:autoSpaceDE w:val="0"/>
              <w:autoSpaceDN w:val="0"/>
              <w:bidi w:val="0"/>
              <w:adjustRightInd w:val="0"/>
              <w:spacing w:before="23" w:after="0" w:line="240" w:lineRule="auto"/>
              <w:jc w:val="center"/>
              <w:rPr>
                <w:rFonts w:asciiTheme="majorBidi" w:hAnsiTheme="majorBidi" w:cstheme="majorBidi"/>
                <w:sz w:val="24"/>
                <w:szCs w:val="24"/>
                <w:rtl/>
              </w:rPr>
            </w:pPr>
            <w:r w:rsidRPr="00E20D3C">
              <w:rPr>
                <w:rFonts w:asciiTheme="majorBidi" w:hAnsiTheme="majorBidi" w:cstheme="majorBidi"/>
                <w:sz w:val="24"/>
                <w:szCs w:val="24"/>
                <w:rtl/>
              </w:rPr>
              <w:t>(0.10)</w:t>
            </w:r>
          </w:p>
        </w:tc>
        <w:tc>
          <w:tcPr>
            <w:tcW w:w="1522" w:type="dxa"/>
            <w:noWrap/>
            <w:tcMar>
              <w:top w:w="0" w:type="dxa"/>
              <w:left w:w="58" w:type="dxa"/>
              <w:bottom w:w="115" w:type="dxa"/>
              <w:right w:w="58" w:type="dxa"/>
            </w:tcMar>
            <w:hideMark/>
          </w:tcPr>
          <w:p w14:paraId="7551300C" w14:textId="77777777" w:rsidR="009F1746" w:rsidRPr="00E20D3C" w:rsidRDefault="009F1746" w:rsidP="00C7587E">
            <w:pPr>
              <w:keepNext/>
              <w:keepLines/>
              <w:autoSpaceDE w:val="0"/>
              <w:autoSpaceDN w:val="0"/>
              <w:bidi w:val="0"/>
              <w:adjustRightInd w:val="0"/>
              <w:spacing w:before="23" w:after="0" w:line="240" w:lineRule="auto"/>
              <w:jc w:val="center"/>
              <w:rPr>
                <w:rFonts w:asciiTheme="majorBidi" w:hAnsiTheme="majorBidi" w:cstheme="majorBidi"/>
                <w:sz w:val="24"/>
                <w:szCs w:val="24"/>
                <w:rtl/>
              </w:rPr>
            </w:pPr>
            <w:r w:rsidRPr="00E20D3C">
              <w:rPr>
                <w:rFonts w:asciiTheme="majorBidi" w:hAnsiTheme="majorBidi" w:cstheme="majorBidi"/>
                <w:sz w:val="24"/>
                <w:szCs w:val="24"/>
                <w:rtl/>
              </w:rPr>
              <w:t>***0.36-</w:t>
            </w:r>
          </w:p>
          <w:p w14:paraId="46AD4422" w14:textId="77777777" w:rsidR="009F1746" w:rsidRPr="00E20D3C" w:rsidRDefault="009F1746" w:rsidP="00C7587E">
            <w:pPr>
              <w:keepNext/>
              <w:keepLines/>
              <w:autoSpaceDE w:val="0"/>
              <w:autoSpaceDN w:val="0"/>
              <w:bidi w:val="0"/>
              <w:adjustRightInd w:val="0"/>
              <w:spacing w:before="23" w:after="0" w:line="240" w:lineRule="auto"/>
              <w:jc w:val="center"/>
              <w:rPr>
                <w:rFonts w:asciiTheme="majorBidi" w:hAnsiTheme="majorBidi" w:cstheme="majorBidi"/>
                <w:sz w:val="24"/>
                <w:szCs w:val="24"/>
                <w:rtl/>
              </w:rPr>
            </w:pPr>
            <w:r w:rsidRPr="00E20D3C">
              <w:rPr>
                <w:rFonts w:asciiTheme="majorBidi" w:hAnsiTheme="majorBidi" w:cstheme="majorBidi"/>
                <w:sz w:val="24"/>
                <w:szCs w:val="24"/>
                <w:rtl/>
              </w:rPr>
              <w:t>(0.10)</w:t>
            </w:r>
          </w:p>
        </w:tc>
        <w:tc>
          <w:tcPr>
            <w:tcW w:w="1024" w:type="dxa"/>
            <w:tcMar>
              <w:top w:w="0" w:type="dxa"/>
              <w:left w:w="58" w:type="dxa"/>
              <w:bottom w:w="115" w:type="dxa"/>
              <w:right w:w="58" w:type="dxa"/>
            </w:tcMar>
            <w:hideMark/>
          </w:tcPr>
          <w:p w14:paraId="001B9C01" w14:textId="77777777" w:rsidR="009F1746" w:rsidRPr="00E20D3C" w:rsidRDefault="009F1746" w:rsidP="00C7587E">
            <w:pPr>
              <w:keepNext/>
              <w:keepLines/>
              <w:autoSpaceDE w:val="0"/>
              <w:autoSpaceDN w:val="0"/>
              <w:bidi w:val="0"/>
              <w:adjustRightInd w:val="0"/>
              <w:spacing w:before="23" w:after="0" w:line="240" w:lineRule="auto"/>
              <w:jc w:val="center"/>
              <w:rPr>
                <w:rFonts w:asciiTheme="majorBidi" w:hAnsiTheme="majorBidi" w:cstheme="majorBidi"/>
                <w:sz w:val="24"/>
                <w:szCs w:val="24"/>
                <w:rtl/>
              </w:rPr>
            </w:pPr>
            <w:r w:rsidRPr="00E20D3C">
              <w:rPr>
                <w:rFonts w:asciiTheme="majorBidi" w:hAnsiTheme="majorBidi" w:cstheme="majorBidi"/>
                <w:sz w:val="24"/>
                <w:szCs w:val="24"/>
                <w:rtl/>
              </w:rPr>
              <w:t>0.36-</w:t>
            </w:r>
          </w:p>
          <w:p w14:paraId="3E3C8910" w14:textId="77777777" w:rsidR="009F1746" w:rsidRPr="00E20D3C" w:rsidRDefault="009F1746" w:rsidP="00C7587E">
            <w:pPr>
              <w:keepNext/>
              <w:keepLines/>
              <w:autoSpaceDE w:val="0"/>
              <w:autoSpaceDN w:val="0"/>
              <w:bidi w:val="0"/>
              <w:adjustRightInd w:val="0"/>
              <w:spacing w:before="23" w:after="0" w:line="240" w:lineRule="auto"/>
              <w:jc w:val="center"/>
              <w:rPr>
                <w:rFonts w:asciiTheme="majorBidi" w:hAnsiTheme="majorBidi" w:cstheme="majorBidi"/>
                <w:sz w:val="24"/>
                <w:szCs w:val="24"/>
                <w:rtl/>
              </w:rPr>
            </w:pPr>
            <w:r w:rsidRPr="00E20D3C">
              <w:rPr>
                <w:rFonts w:asciiTheme="majorBidi" w:hAnsiTheme="majorBidi" w:cstheme="majorBidi"/>
                <w:sz w:val="24"/>
                <w:szCs w:val="24"/>
                <w:rtl/>
              </w:rPr>
              <w:t>(0.40)</w:t>
            </w:r>
          </w:p>
        </w:tc>
      </w:tr>
      <w:tr w:rsidR="009F1746" w:rsidRPr="008754C3" w14:paraId="1BB3A33E" w14:textId="77777777" w:rsidTr="00C7587E">
        <w:trPr>
          <w:trHeight w:val="124"/>
          <w:jc w:val="center"/>
        </w:trPr>
        <w:tc>
          <w:tcPr>
            <w:tcW w:w="2624" w:type="dxa"/>
            <w:noWrap/>
            <w:tcMar>
              <w:top w:w="0" w:type="dxa"/>
              <w:left w:w="58" w:type="dxa"/>
              <w:bottom w:w="115" w:type="dxa"/>
              <w:right w:w="58" w:type="dxa"/>
            </w:tcMar>
            <w:hideMark/>
          </w:tcPr>
          <w:p w14:paraId="7666355D" w14:textId="77777777" w:rsidR="009F1746" w:rsidRPr="00E20D3C" w:rsidRDefault="00000000" w:rsidP="00C7587E">
            <w:pPr>
              <w:keepNext/>
              <w:keepLines/>
              <w:bidi w:val="0"/>
              <w:spacing w:before="23" w:after="0" w:line="240" w:lineRule="auto"/>
              <w:rPr>
                <w:rFonts w:asciiTheme="majorBidi" w:hAnsiTheme="majorBidi" w:cstheme="majorBidi"/>
                <w:b/>
                <w:bCs/>
                <w:sz w:val="24"/>
                <w:szCs w:val="24"/>
                <w:rtl/>
              </w:rPr>
            </w:pPr>
            <m:oMath>
              <m:sSub>
                <m:sSubPr>
                  <m:ctrlPr>
                    <w:rPr>
                      <w:rFonts w:ascii="Cambria Math" w:hAnsi="Cambria Math" w:cstheme="majorBidi"/>
                      <w:i/>
                      <w:sz w:val="24"/>
                      <w:szCs w:val="24"/>
                      <w:lang w:bidi="ar-SA"/>
                    </w:rPr>
                  </m:ctrlPr>
                </m:sSubPr>
                <m:e>
                  <m:r>
                    <w:rPr>
                      <w:rFonts w:ascii="Cambria Math" w:hAnsi="Cambria Math" w:cstheme="majorBidi"/>
                      <w:sz w:val="24"/>
                      <w:szCs w:val="24"/>
                      <w:lang w:bidi="ar-SA"/>
                    </w:rPr>
                    <m:t>EPS</m:t>
                  </m:r>
                </m:e>
                <m:sub>
                  <m:r>
                    <w:rPr>
                      <w:rFonts w:ascii="Cambria Math" w:hAnsi="Cambria Math" w:cstheme="majorBidi"/>
                      <w:sz w:val="24"/>
                      <w:szCs w:val="24"/>
                      <w:lang w:bidi="ar-SA"/>
                    </w:rPr>
                    <m:t>j,t-1</m:t>
                  </m:r>
                </m:sub>
              </m:sSub>
            </m:oMath>
            <w:r w:rsidR="009F1746" w:rsidRPr="00E20D3C">
              <w:rPr>
                <w:rFonts w:asciiTheme="majorBidi" w:hAnsiTheme="majorBidi" w:cstheme="majorBidi"/>
                <w:sz w:val="24"/>
                <w:szCs w:val="24"/>
                <w:lang w:bidi="ar-SA"/>
              </w:rPr>
              <w:t>*</w:t>
            </w:r>
            <m:oMath>
              <m:sSub>
                <m:sSubPr>
                  <m:ctrlPr>
                    <w:rPr>
                      <w:rFonts w:ascii="Cambria Math" w:hAnsi="Cambria Math" w:cstheme="majorBidi"/>
                      <w:i/>
                      <w:sz w:val="24"/>
                      <w:szCs w:val="24"/>
                      <w:lang w:bidi="ar-SA"/>
                    </w:rPr>
                  </m:ctrlPr>
                </m:sSubPr>
                <m:e>
                  <m:r>
                    <w:rPr>
                      <w:rFonts w:ascii="Cambria Math" w:hAnsi="Cambria Math" w:cstheme="majorBidi"/>
                      <w:sz w:val="24"/>
                      <w:szCs w:val="24"/>
                      <w:lang w:bidi="ar-SA"/>
                    </w:rPr>
                    <m:t>WEDGE</m:t>
                  </m:r>
                </m:e>
                <m:sub>
                  <m:r>
                    <w:rPr>
                      <w:rFonts w:ascii="Cambria Math" w:hAnsi="Cambria Math" w:cstheme="majorBidi"/>
                      <w:sz w:val="24"/>
                      <w:szCs w:val="24"/>
                      <w:lang w:bidi="ar-SA"/>
                    </w:rPr>
                    <m:t>j,t</m:t>
                  </m:r>
                </m:sub>
              </m:sSub>
            </m:oMath>
            <w:r w:rsidR="009F1746" w:rsidRPr="00E20D3C">
              <w:rPr>
                <w:rFonts w:asciiTheme="majorBidi" w:hAnsiTheme="majorBidi" w:cstheme="majorBidi"/>
                <w:sz w:val="24"/>
                <w:szCs w:val="24"/>
                <w:vertAlign w:val="superscript"/>
                <w:lang w:bidi="ar-SA"/>
              </w:rPr>
              <w:t>c</w:t>
            </w:r>
          </w:p>
        </w:tc>
        <w:tc>
          <w:tcPr>
            <w:tcW w:w="1118" w:type="dxa"/>
            <w:tcMar>
              <w:top w:w="0" w:type="dxa"/>
              <w:left w:w="58" w:type="dxa"/>
              <w:bottom w:w="115" w:type="dxa"/>
              <w:right w:w="58" w:type="dxa"/>
            </w:tcMar>
            <w:hideMark/>
          </w:tcPr>
          <w:p w14:paraId="4A1A30B0" w14:textId="77777777" w:rsidR="009F1746" w:rsidRPr="00E20D3C" w:rsidRDefault="009F1746" w:rsidP="00C7587E">
            <w:pPr>
              <w:keepNext/>
              <w:keepLines/>
              <w:autoSpaceDE w:val="0"/>
              <w:autoSpaceDN w:val="0"/>
              <w:bidi w:val="0"/>
              <w:adjustRightInd w:val="0"/>
              <w:spacing w:before="23" w:after="0" w:line="240" w:lineRule="auto"/>
              <w:jc w:val="center"/>
              <w:rPr>
                <w:rFonts w:asciiTheme="majorBidi" w:hAnsiTheme="majorBidi" w:cstheme="majorBidi"/>
                <w:sz w:val="24"/>
                <w:szCs w:val="24"/>
                <w:rtl/>
              </w:rPr>
            </w:pPr>
            <w:r w:rsidRPr="00E20D3C">
              <w:rPr>
                <w:rFonts w:asciiTheme="majorBidi" w:hAnsiTheme="majorBidi" w:cstheme="majorBidi"/>
                <w:sz w:val="24"/>
                <w:szCs w:val="24"/>
                <w:rtl/>
              </w:rPr>
              <w:t>***0.69</w:t>
            </w:r>
          </w:p>
          <w:p w14:paraId="69CAAC2C" w14:textId="77777777" w:rsidR="009F1746" w:rsidRPr="00E20D3C" w:rsidRDefault="009F1746" w:rsidP="00C7587E">
            <w:pPr>
              <w:keepNext/>
              <w:keepLines/>
              <w:autoSpaceDE w:val="0"/>
              <w:autoSpaceDN w:val="0"/>
              <w:bidi w:val="0"/>
              <w:adjustRightInd w:val="0"/>
              <w:spacing w:before="23" w:after="0" w:line="240" w:lineRule="auto"/>
              <w:jc w:val="center"/>
              <w:rPr>
                <w:rFonts w:asciiTheme="majorBidi" w:hAnsiTheme="majorBidi" w:cstheme="majorBidi"/>
                <w:sz w:val="24"/>
                <w:szCs w:val="24"/>
                <w:rtl/>
              </w:rPr>
            </w:pPr>
            <w:r w:rsidRPr="00E20D3C">
              <w:rPr>
                <w:rFonts w:asciiTheme="majorBidi" w:hAnsiTheme="majorBidi" w:cstheme="majorBidi"/>
                <w:sz w:val="24"/>
                <w:szCs w:val="24"/>
                <w:rtl/>
              </w:rPr>
              <w:t>(0.12)</w:t>
            </w:r>
          </w:p>
        </w:tc>
        <w:tc>
          <w:tcPr>
            <w:tcW w:w="1522" w:type="dxa"/>
            <w:noWrap/>
            <w:tcMar>
              <w:top w:w="0" w:type="dxa"/>
              <w:left w:w="58" w:type="dxa"/>
              <w:bottom w:w="115" w:type="dxa"/>
              <w:right w:w="58" w:type="dxa"/>
            </w:tcMar>
            <w:hideMark/>
          </w:tcPr>
          <w:p w14:paraId="1F3C04D4" w14:textId="77777777" w:rsidR="009F1746" w:rsidRPr="00E20D3C" w:rsidRDefault="009F1746" w:rsidP="00C7587E">
            <w:pPr>
              <w:keepNext/>
              <w:keepLines/>
              <w:autoSpaceDE w:val="0"/>
              <w:autoSpaceDN w:val="0"/>
              <w:bidi w:val="0"/>
              <w:adjustRightInd w:val="0"/>
              <w:spacing w:before="23" w:after="0" w:line="240" w:lineRule="auto"/>
              <w:jc w:val="center"/>
              <w:rPr>
                <w:rFonts w:asciiTheme="majorBidi" w:hAnsiTheme="majorBidi" w:cstheme="majorBidi"/>
                <w:sz w:val="24"/>
                <w:szCs w:val="24"/>
                <w:rtl/>
              </w:rPr>
            </w:pPr>
            <w:r w:rsidRPr="00E20D3C">
              <w:rPr>
                <w:rFonts w:asciiTheme="majorBidi" w:hAnsiTheme="majorBidi" w:cstheme="majorBidi"/>
                <w:sz w:val="24"/>
                <w:szCs w:val="24"/>
                <w:rtl/>
              </w:rPr>
              <w:t>***0.71</w:t>
            </w:r>
          </w:p>
          <w:p w14:paraId="5C92019F" w14:textId="77777777" w:rsidR="009F1746" w:rsidRPr="00E20D3C" w:rsidRDefault="009F1746" w:rsidP="00C7587E">
            <w:pPr>
              <w:keepNext/>
              <w:keepLines/>
              <w:autoSpaceDE w:val="0"/>
              <w:autoSpaceDN w:val="0"/>
              <w:bidi w:val="0"/>
              <w:adjustRightInd w:val="0"/>
              <w:spacing w:before="23" w:after="0" w:line="240" w:lineRule="auto"/>
              <w:jc w:val="center"/>
              <w:rPr>
                <w:rFonts w:asciiTheme="majorBidi" w:hAnsiTheme="majorBidi" w:cstheme="majorBidi"/>
                <w:sz w:val="24"/>
                <w:szCs w:val="24"/>
                <w:rtl/>
                <w:lang w:bidi="ar-SA"/>
              </w:rPr>
            </w:pPr>
            <w:r w:rsidRPr="00E20D3C">
              <w:rPr>
                <w:rFonts w:asciiTheme="majorBidi" w:hAnsiTheme="majorBidi" w:cstheme="majorBidi"/>
                <w:sz w:val="24"/>
                <w:szCs w:val="24"/>
                <w:rtl/>
              </w:rPr>
              <w:t>(0.12)</w:t>
            </w:r>
          </w:p>
        </w:tc>
        <w:tc>
          <w:tcPr>
            <w:tcW w:w="1024" w:type="dxa"/>
            <w:tcMar>
              <w:top w:w="0" w:type="dxa"/>
              <w:left w:w="58" w:type="dxa"/>
              <w:bottom w:w="115" w:type="dxa"/>
              <w:right w:w="58" w:type="dxa"/>
            </w:tcMar>
            <w:hideMark/>
          </w:tcPr>
          <w:p w14:paraId="68550AF9" w14:textId="77777777" w:rsidR="009F1746" w:rsidRPr="00E20D3C" w:rsidRDefault="009F1746" w:rsidP="00C7587E">
            <w:pPr>
              <w:keepNext/>
              <w:keepLines/>
              <w:autoSpaceDE w:val="0"/>
              <w:autoSpaceDN w:val="0"/>
              <w:bidi w:val="0"/>
              <w:adjustRightInd w:val="0"/>
              <w:spacing w:before="23" w:after="0" w:line="240" w:lineRule="auto"/>
              <w:jc w:val="center"/>
              <w:rPr>
                <w:rFonts w:asciiTheme="majorBidi" w:hAnsiTheme="majorBidi" w:cstheme="majorBidi"/>
                <w:sz w:val="24"/>
                <w:szCs w:val="24"/>
              </w:rPr>
            </w:pPr>
            <w:r w:rsidRPr="00E20D3C">
              <w:rPr>
                <w:rFonts w:asciiTheme="majorBidi" w:hAnsiTheme="majorBidi" w:cstheme="majorBidi"/>
                <w:sz w:val="24"/>
                <w:szCs w:val="24"/>
                <w:rtl/>
              </w:rPr>
              <w:t>***0.61</w:t>
            </w:r>
          </w:p>
          <w:p w14:paraId="2192E6F9" w14:textId="77777777" w:rsidR="009F1746" w:rsidRPr="00E20D3C" w:rsidRDefault="009F1746" w:rsidP="00C7587E">
            <w:pPr>
              <w:keepNext/>
              <w:keepLines/>
              <w:autoSpaceDE w:val="0"/>
              <w:autoSpaceDN w:val="0"/>
              <w:bidi w:val="0"/>
              <w:adjustRightInd w:val="0"/>
              <w:spacing w:before="23" w:after="0" w:line="240" w:lineRule="auto"/>
              <w:jc w:val="center"/>
              <w:rPr>
                <w:rFonts w:asciiTheme="majorBidi" w:hAnsiTheme="majorBidi" w:cstheme="majorBidi"/>
                <w:sz w:val="24"/>
                <w:szCs w:val="24"/>
                <w:rtl/>
              </w:rPr>
            </w:pPr>
            <w:r w:rsidRPr="00E20D3C">
              <w:rPr>
                <w:rFonts w:asciiTheme="majorBidi" w:hAnsiTheme="majorBidi" w:cstheme="majorBidi"/>
                <w:sz w:val="24"/>
                <w:szCs w:val="24"/>
                <w:rtl/>
              </w:rPr>
              <w:t>(0.17)</w:t>
            </w:r>
          </w:p>
        </w:tc>
      </w:tr>
      <w:tr w:rsidR="009F1746" w:rsidRPr="008754C3" w14:paraId="157DF2A8" w14:textId="77777777" w:rsidTr="00C7587E">
        <w:trPr>
          <w:trHeight w:val="289"/>
          <w:jc w:val="center"/>
        </w:trPr>
        <w:tc>
          <w:tcPr>
            <w:tcW w:w="2624" w:type="dxa"/>
            <w:noWrap/>
            <w:tcMar>
              <w:top w:w="0" w:type="dxa"/>
              <w:left w:w="58" w:type="dxa"/>
              <w:bottom w:w="115" w:type="dxa"/>
              <w:right w:w="58" w:type="dxa"/>
            </w:tcMar>
            <w:hideMark/>
          </w:tcPr>
          <w:p w14:paraId="558A519F" w14:textId="77777777" w:rsidR="009F1746" w:rsidRPr="00E20D3C" w:rsidRDefault="009F1746" w:rsidP="00C7587E">
            <w:pPr>
              <w:keepNext/>
              <w:keepLines/>
              <w:bidi w:val="0"/>
              <w:spacing w:after="0" w:line="240" w:lineRule="auto"/>
              <w:rPr>
                <w:rFonts w:asciiTheme="majorBidi" w:hAnsiTheme="majorBidi" w:cstheme="majorBidi"/>
                <w:b/>
                <w:bCs/>
                <w:sz w:val="24"/>
                <w:szCs w:val="24"/>
                <w:rtl/>
              </w:rPr>
            </w:pPr>
            <w:r w:rsidRPr="00E20D3C">
              <w:rPr>
                <w:rFonts w:asciiTheme="majorBidi" w:hAnsiTheme="majorBidi" w:cstheme="majorBidi"/>
                <w:b/>
                <w:bCs/>
                <w:sz w:val="24"/>
                <w:szCs w:val="24"/>
                <w:lang w:bidi="ar-SA"/>
              </w:rPr>
              <w:t xml:space="preserve">Control </w:t>
            </w:r>
            <w:proofErr w:type="spellStart"/>
            <w:r w:rsidRPr="00E20D3C">
              <w:rPr>
                <w:rFonts w:asciiTheme="majorBidi" w:hAnsiTheme="majorBidi" w:cstheme="majorBidi"/>
                <w:b/>
                <w:bCs/>
                <w:sz w:val="24"/>
                <w:szCs w:val="24"/>
                <w:lang w:bidi="ar-SA"/>
              </w:rPr>
              <w:t>variables</w:t>
            </w:r>
            <w:r w:rsidRPr="00E20D3C">
              <w:rPr>
                <w:rFonts w:asciiTheme="majorBidi" w:hAnsiTheme="majorBidi" w:cstheme="majorBidi"/>
                <w:sz w:val="24"/>
                <w:szCs w:val="24"/>
                <w:vertAlign w:val="superscript"/>
                <w:lang w:bidi="ar-SA"/>
              </w:rPr>
              <w:t>d</w:t>
            </w:r>
            <w:proofErr w:type="spellEnd"/>
          </w:p>
        </w:tc>
        <w:tc>
          <w:tcPr>
            <w:tcW w:w="1118" w:type="dxa"/>
            <w:tcMar>
              <w:top w:w="0" w:type="dxa"/>
              <w:left w:w="58" w:type="dxa"/>
              <w:bottom w:w="115" w:type="dxa"/>
              <w:right w:w="58" w:type="dxa"/>
            </w:tcMar>
          </w:tcPr>
          <w:p w14:paraId="366A2145" w14:textId="77777777" w:rsidR="009F1746" w:rsidRPr="00E20D3C" w:rsidRDefault="009F1746" w:rsidP="00C7587E">
            <w:pPr>
              <w:keepNext/>
              <w:keepLines/>
              <w:autoSpaceDE w:val="0"/>
              <w:autoSpaceDN w:val="0"/>
              <w:bidi w:val="0"/>
              <w:adjustRightInd w:val="0"/>
              <w:spacing w:before="23" w:after="0" w:line="240" w:lineRule="auto"/>
              <w:jc w:val="center"/>
              <w:rPr>
                <w:rFonts w:asciiTheme="majorBidi" w:hAnsiTheme="majorBidi" w:cstheme="majorBidi"/>
                <w:sz w:val="24"/>
                <w:szCs w:val="24"/>
                <w:rtl/>
              </w:rPr>
            </w:pPr>
          </w:p>
        </w:tc>
        <w:tc>
          <w:tcPr>
            <w:tcW w:w="1522" w:type="dxa"/>
            <w:noWrap/>
            <w:tcMar>
              <w:top w:w="0" w:type="dxa"/>
              <w:left w:w="58" w:type="dxa"/>
              <w:bottom w:w="115" w:type="dxa"/>
              <w:right w:w="58" w:type="dxa"/>
            </w:tcMar>
            <w:hideMark/>
          </w:tcPr>
          <w:p w14:paraId="208B2C1C" w14:textId="77777777" w:rsidR="009F1746" w:rsidRPr="00E20D3C" w:rsidRDefault="009F1746" w:rsidP="00C7587E">
            <w:pPr>
              <w:keepNext/>
              <w:keepLines/>
              <w:autoSpaceDE w:val="0"/>
              <w:autoSpaceDN w:val="0"/>
              <w:bidi w:val="0"/>
              <w:adjustRightInd w:val="0"/>
              <w:spacing w:after="0" w:line="240" w:lineRule="auto"/>
              <w:jc w:val="center"/>
              <w:rPr>
                <w:rFonts w:asciiTheme="majorBidi" w:hAnsiTheme="majorBidi" w:cstheme="majorBidi"/>
                <w:sz w:val="24"/>
                <w:szCs w:val="24"/>
                <w:rtl/>
                <w:lang w:bidi="ar-SA"/>
              </w:rPr>
            </w:pPr>
            <w:r w:rsidRPr="00E20D3C">
              <w:rPr>
                <w:rFonts w:asciiTheme="majorBidi" w:hAnsiTheme="majorBidi" w:cstheme="majorBidi"/>
                <w:sz w:val="24"/>
                <w:szCs w:val="24"/>
                <w:rtl/>
              </w:rPr>
              <w:t>+</w:t>
            </w:r>
          </w:p>
        </w:tc>
        <w:tc>
          <w:tcPr>
            <w:tcW w:w="1024" w:type="dxa"/>
            <w:tcMar>
              <w:top w:w="0" w:type="dxa"/>
              <w:left w:w="58" w:type="dxa"/>
              <w:bottom w:w="115" w:type="dxa"/>
              <w:right w:w="58" w:type="dxa"/>
            </w:tcMar>
            <w:hideMark/>
          </w:tcPr>
          <w:p w14:paraId="1627F20F" w14:textId="77777777" w:rsidR="009F1746" w:rsidRPr="00E20D3C" w:rsidRDefault="009F1746" w:rsidP="00C7587E">
            <w:pPr>
              <w:keepNext/>
              <w:keepLines/>
              <w:autoSpaceDE w:val="0"/>
              <w:autoSpaceDN w:val="0"/>
              <w:bidi w:val="0"/>
              <w:adjustRightInd w:val="0"/>
              <w:spacing w:before="23" w:after="0" w:line="240" w:lineRule="auto"/>
              <w:jc w:val="center"/>
              <w:rPr>
                <w:rFonts w:asciiTheme="majorBidi" w:hAnsiTheme="majorBidi" w:cstheme="majorBidi"/>
                <w:sz w:val="24"/>
                <w:szCs w:val="24"/>
              </w:rPr>
            </w:pPr>
            <w:r w:rsidRPr="00E20D3C">
              <w:rPr>
                <w:rFonts w:asciiTheme="majorBidi" w:hAnsiTheme="majorBidi" w:cstheme="majorBidi"/>
                <w:sz w:val="24"/>
                <w:szCs w:val="24"/>
                <w:rtl/>
              </w:rPr>
              <w:t>+</w:t>
            </w:r>
          </w:p>
        </w:tc>
      </w:tr>
      <w:tr w:rsidR="009F1746" w:rsidRPr="008754C3" w14:paraId="0B0D5349" w14:textId="77777777" w:rsidTr="00C7587E">
        <w:trPr>
          <w:trHeight w:val="315"/>
          <w:jc w:val="center"/>
        </w:trPr>
        <w:tc>
          <w:tcPr>
            <w:tcW w:w="2624" w:type="dxa"/>
            <w:noWrap/>
            <w:tcMar>
              <w:top w:w="0" w:type="dxa"/>
              <w:left w:w="58" w:type="dxa"/>
              <w:bottom w:w="115" w:type="dxa"/>
              <w:right w:w="58" w:type="dxa"/>
            </w:tcMar>
            <w:hideMark/>
          </w:tcPr>
          <w:p w14:paraId="1BD2DC44" w14:textId="77777777" w:rsidR="009F1746" w:rsidRPr="00E20D3C" w:rsidRDefault="009F1746" w:rsidP="00C7587E">
            <w:pPr>
              <w:keepNext/>
              <w:keepLines/>
              <w:bidi w:val="0"/>
              <w:spacing w:after="0" w:line="240" w:lineRule="auto"/>
              <w:rPr>
                <w:rFonts w:asciiTheme="majorBidi" w:hAnsiTheme="majorBidi" w:cstheme="majorBidi"/>
                <w:b/>
                <w:bCs/>
                <w:sz w:val="24"/>
                <w:szCs w:val="24"/>
              </w:rPr>
            </w:pPr>
            <w:r w:rsidRPr="00E20D3C">
              <w:rPr>
                <w:rFonts w:asciiTheme="majorBidi" w:hAnsiTheme="majorBidi" w:cstheme="majorBidi"/>
                <w:b/>
                <w:bCs/>
                <w:sz w:val="24"/>
                <w:szCs w:val="24"/>
                <w:lang w:bidi="ar-SA"/>
              </w:rPr>
              <w:t>Fixed year effect</w:t>
            </w:r>
          </w:p>
        </w:tc>
        <w:tc>
          <w:tcPr>
            <w:tcW w:w="1118" w:type="dxa"/>
            <w:tcMar>
              <w:top w:w="0" w:type="dxa"/>
              <w:left w:w="58" w:type="dxa"/>
              <w:bottom w:w="115" w:type="dxa"/>
              <w:right w:w="58" w:type="dxa"/>
            </w:tcMar>
          </w:tcPr>
          <w:p w14:paraId="0358F041" w14:textId="77777777" w:rsidR="009F1746" w:rsidRPr="00E20D3C" w:rsidRDefault="009F1746" w:rsidP="00C7587E">
            <w:pPr>
              <w:keepNext/>
              <w:keepLines/>
              <w:autoSpaceDE w:val="0"/>
              <w:autoSpaceDN w:val="0"/>
              <w:bidi w:val="0"/>
              <w:adjustRightInd w:val="0"/>
              <w:spacing w:before="23" w:after="0" w:line="240" w:lineRule="auto"/>
              <w:jc w:val="center"/>
              <w:rPr>
                <w:rFonts w:asciiTheme="majorBidi" w:hAnsiTheme="majorBidi" w:cstheme="majorBidi"/>
                <w:sz w:val="24"/>
                <w:szCs w:val="24"/>
                <w:rtl/>
              </w:rPr>
            </w:pPr>
          </w:p>
        </w:tc>
        <w:tc>
          <w:tcPr>
            <w:tcW w:w="1522" w:type="dxa"/>
            <w:noWrap/>
            <w:tcMar>
              <w:top w:w="0" w:type="dxa"/>
              <w:left w:w="58" w:type="dxa"/>
              <w:bottom w:w="115" w:type="dxa"/>
              <w:right w:w="58" w:type="dxa"/>
            </w:tcMar>
            <w:hideMark/>
          </w:tcPr>
          <w:p w14:paraId="06058F09" w14:textId="77777777" w:rsidR="009F1746" w:rsidRPr="00E20D3C" w:rsidRDefault="009F1746" w:rsidP="00C7587E">
            <w:pPr>
              <w:keepNext/>
              <w:keepLines/>
              <w:autoSpaceDE w:val="0"/>
              <w:autoSpaceDN w:val="0"/>
              <w:bidi w:val="0"/>
              <w:adjustRightInd w:val="0"/>
              <w:spacing w:after="0" w:line="240" w:lineRule="auto"/>
              <w:jc w:val="center"/>
              <w:rPr>
                <w:rFonts w:asciiTheme="majorBidi" w:hAnsiTheme="majorBidi" w:cstheme="majorBidi"/>
                <w:sz w:val="24"/>
                <w:szCs w:val="24"/>
                <w:rtl/>
                <w:lang w:bidi="ar-SA"/>
              </w:rPr>
            </w:pPr>
            <w:r w:rsidRPr="00E20D3C">
              <w:rPr>
                <w:rFonts w:asciiTheme="majorBidi" w:hAnsiTheme="majorBidi" w:cstheme="majorBidi"/>
                <w:sz w:val="24"/>
                <w:szCs w:val="24"/>
                <w:rtl/>
              </w:rPr>
              <w:t>+</w:t>
            </w:r>
          </w:p>
        </w:tc>
        <w:tc>
          <w:tcPr>
            <w:tcW w:w="1024" w:type="dxa"/>
            <w:tcMar>
              <w:top w:w="0" w:type="dxa"/>
              <w:left w:w="58" w:type="dxa"/>
              <w:bottom w:w="115" w:type="dxa"/>
              <w:right w:w="58" w:type="dxa"/>
            </w:tcMar>
            <w:hideMark/>
          </w:tcPr>
          <w:p w14:paraId="1E4D0032" w14:textId="77777777" w:rsidR="009F1746" w:rsidRPr="00E20D3C" w:rsidRDefault="009F1746" w:rsidP="00C7587E">
            <w:pPr>
              <w:keepNext/>
              <w:keepLines/>
              <w:autoSpaceDE w:val="0"/>
              <w:autoSpaceDN w:val="0"/>
              <w:bidi w:val="0"/>
              <w:adjustRightInd w:val="0"/>
              <w:spacing w:before="23" w:after="0" w:line="240" w:lineRule="auto"/>
              <w:jc w:val="center"/>
              <w:rPr>
                <w:rFonts w:asciiTheme="majorBidi" w:hAnsiTheme="majorBidi" w:cstheme="majorBidi"/>
                <w:sz w:val="24"/>
                <w:szCs w:val="24"/>
              </w:rPr>
            </w:pPr>
            <w:r w:rsidRPr="00E20D3C">
              <w:rPr>
                <w:rFonts w:asciiTheme="majorBidi" w:hAnsiTheme="majorBidi" w:cstheme="majorBidi"/>
                <w:sz w:val="24"/>
                <w:szCs w:val="24"/>
                <w:rtl/>
              </w:rPr>
              <w:t>+</w:t>
            </w:r>
          </w:p>
        </w:tc>
      </w:tr>
      <w:tr w:rsidR="009F1746" w:rsidRPr="008754C3" w14:paraId="25DAB2D4" w14:textId="77777777" w:rsidTr="00C7587E">
        <w:trPr>
          <w:trHeight w:val="315"/>
          <w:jc w:val="center"/>
        </w:trPr>
        <w:tc>
          <w:tcPr>
            <w:tcW w:w="2624" w:type="dxa"/>
            <w:noWrap/>
            <w:tcMar>
              <w:top w:w="0" w:type="dxa"/>
              <w:left w:w="58" w:type="dxa"/>
              <w:bottom w:w="115" w:type="dxa"/>
              <w:right w:w="58" w:type="dxa"/>
            </w:tcMar>
            <w:hideMark/>
          </w:tcPr>
          <w:p w14:paraId="1940D82F" w14:textId="77777777" w:rsidR="009F1746" w:rsidRPr="00E20D3C" w:rsidRDefault="009F1746" w:rsidP="00C7587E">
            <w:pPr>
              <w:keepNext/>
              <w:keepLines/>
              <w:bidi w:val="0"/>
              <w:spacing w:after="0" w:line="240" w:lineRule="auto"/>
              <w:rPr>
                <w:rFonts w:asciiTheme="majorBidi" w:hAnsiTheme="majorBidi" w:cstheme="majorBidi"/>
                <w:b/>
                <w:bCs/>
                <w:sz w:val="24"/>
                <w:szCs w:val="24"/>
                <w:rtl/>
              </w:rPr>
            </w:pPr>
            <w:r w:rsidRPr="00E20D3C">
              <w:rPr>
                <w:rFonts w:asciiTheme="majorBidi" w:hAnsiTheme="majorBidi" w:cstheme="majorBidi"/>
                <w:b/>
                <w:bCs/>
                <w:sz w:val="24"/>
                <w:szCs w:val="24"/>
                <w:lang w:bidi="ar-SA"/>
              </w:rPr>
              <w:t>Fixed company effect</w:t>
            </w:r>
          </w:p>
        </w:tc>
        <w:tc>
          <w:tcPr>
            <w:tcW w:w="1118" w:type="dxa"/>
            <w:tcMar>
              <w:top w:w="0" w:type="dxa"/>
              <w:left w:w="58" w:type="dxa"/>
              <w:bottom w:w="115" w:type="dxa"/>
              <w:right w:w="58" w:type="dxa"/>
            </w:tcMar>
          </w:tcPr>
          <w:p w14:paraId="67B2538C" w14:textId="77777777" w:rsidR="009F1746" w:rsidRPr="00E20D3C" w:rsidRDefault="009F1746" w:rsidP="00C7587E">
            <w:pPr>
              <w:keepNext/>
              <w:keepLines/>
              <w:autoSpaceDE w:val="0"/>
              <w:autoSpaceDN w:val="0"/>
              <w:bidi w:val="0"/>
              <w:adjustRightInd w:val="0"/>
              <w:spacing w:before="23" w:after="0" w:line="240" w:lineRule="auto"/>
              <w:jc w:val="center"/>
              <w:rPr>
                <w:rFonts w:asciiTheme="majorBidi" w:hAnsiTheme="majorBidi" w:cstheme="majorBidi"/>
                <w:sz w:val="24"/>
                <w:szCs w:val="24"/>
                <w:rtl/>
              </w:rPr>
            </w:pPr>
          </w:p>
        </w:tc>
        <w:tc>
          <w:tcPr>
            <w:tcW w:w="1522" w:type="dxa"/>
            <w:noWrap/>
            <w:tcMar>
              <w:top w:w="0" w:type="dxa"/>
              <w:left w:w="58" w:type="dxa"/>
              <w:bottom w:w="115" w:type="dxa"/>
              <w:right w:w="58" w:type="dxa"/>
            </w:tcMar>
          </w:tcPr>
          <w:p w14:paraId="3F3BFED9" w14:textId="77777777" w:rsidR="009F1746" w:rsidRPr="00E20D3C" w:rsidRDefault="009F1746" w:rsidP="00C7587E">
            <w:pPr>
              <w:keepNext/>
              <w:keepLines/>
              <w:autoSpaceDE w:val="0"/>
              <w:autoSpaceDN w:val="0"/>
              <w:bidi w:val="0"/>
              <w:adjustRightInd w:val="0"/>
              <w:spacing w:before="23" w:after="0" w:line="240" w:lineRule="auto"/>
              <w:jc w:val="center"/>
              <w:rPr>
                <w:rFonts w:asciiTheme="majorBidi" w:hAnsiTheme="majorBidi" w:cstheme="majorBidi"/>
                <w:sz w:val="24"/>
                <w:szCs w:val="24"/>
                <w:rtl/>
              </w:rPr>
            </w:pPr>
          </w:p>
        </w:tc>
        <w:tc>
          <w:tcPr>
            <w:tcW w:w="1024" w:type="dxa"/>
            <w:tcMar>
              <w:top w:w="0" w:type="dxa"/>
              <w:left w:w="58" w:type="dxa"/>
              <w:bottom w:w="115" w:type="dxa"/>
              <w:right w:w="58" w:type="dxa"/>
            </w:tcMar>
            <w:hideMark/>
          </w:tcPr>
          <w:p w14:paraId="7BAC8E44" w14:textId="77777777" w:rsidR="009F1746" w:rsidRPr="00E20D3C" w:rsidRDefault="009F1746" w:rsidP="00C7587E">
            <w:pPr>
              <w:keepNext/>
              <w:keepLines/>
              <w:autoSpaceDE w:val="0"/>
              <w:autoSpaceDN w:val="0"/>
              <w:bidi w:val="0"/>
              <w:adjustRightInd w:val="0"/>
              <w:spacing w:before="23" w:after="0" w:line="240" w:lineRule="auto"/>
              <w:jc w:val="center"/>
              <w:rPr>
                <w:rFonts w:asciiTheme="majorBidi" w:hAnsiTheme="majorBidi" w:cstheme="majorBidi"/>
                <w:sz w:val="24"/>
                <w:szCs w:val="24"/>
                <w:rtl/>
              </w:rPr>
            </w:pPr>
            <w:r w:rsidRPr="00E20D3C">
              <w:rPr>
                <w:rFonts w:asciiTheme="majorBidi" w:hAnsiTheme="majorBidi" w:cstheme="majorBidi"/>
                <w:sz w:val="24"/>
                <w:szCs w:val="24"/>
                <w:rtl/>
              </w:rPr>
              <w:t>+</w:t>
            </w:r>
          </w:p>
        </w:tc>
      </w:tr>
      <w:tr w:rsidR="009F1746" w:rsidRPr="008754C3" w14:paraId="683B463A" w14:textId="77777777" w:rsidTr="00C7587E">
        <w:trPr>
          <w:trHeight w:val="289"/>
          <w:jc w:val="center"/>
        </w:trPr>
        <w:tc>
          <w:tcPr>
            <w:tcW w:w="2624" w:type="dxa"/>
            <w:noWrap/>
            <w:tcMar>
              <w:top w:w="0" w:type="dxa"/>
              <w:left w:w="58" w:type="dxa"/>
              <w:bottom w:w="115" w:type="dxa"/>
              <w:right w:w="58" w:type="dxa"/>
            </w:tcMar>
            <w:hideMark/>
          </w:tcPr>
          <w:p w14:paraId="520B26B0" w14:textId="77777777" w:rsidR="009F1746" w:rsidRPr="00E20D3C" w:rsidRDefault="009F1746" w:rsidP="00C7587E">
            <w:pPr>
              <w:keepNext/>
              <w:keepLines/>
              <w:bidi w:val="0"/>
              <w:spacing w:after="0" w:line="240" w:lineRule="auto"/>
              <w:rPr>
                <w:rFonts w:asciiTheme="majorBidi" w:hAnsiTheme="majorBidi" w:cstheme="majorBidi"/>
                <w:b/>
                <w:bCs/>
                <w:sz w:val="24"/>
                <w:szCs w:val="24"/>
                <w:rtl/>
                <w:lang w:bidi="ar-SA"/>
              </w:rPr>
            </w:pPr>
            <w:r w:rsidRPr="00E20D3C">
              <w:rPr>
                <w:rFonts w:asciiTheme="majorBidi" w:hAnsiTheme="majorBidi" w:cstheme="majorBidi"/>
                <w:b/>
                <w:bCs/>
                <w:sz w:val="24"/>
                <w:szCs w:val="24"/>
                <w:lang w:bidi="ar-SA"/>
              </w:rPr>
              <w:t xml:space="preserve"># </w:t>
            </w:r>
            <w:proofErr w:type="gramStart"/>
            <w:r w:rsidRPr="00E20D3C">
              <w:rPr>
                <w:rFonts w:asciiTheme="majorBidi" w:hAnsiTheme="majorBidi" w:cstheme="majorBidi"/>
                <w:b/>
                <w:bCs/>
                <w:sz w:val="24"/>
                <w:szCs w:val="24"/>
                <w:lang w:bidi="ar-SA"/>
              </w:rPr>
              <w:t>of</w:t>
            </w:r>
            <w:proofErr w:type="gramEnd"/>
            <w:r w:rsidRPr="00E20D3C">
              <w:rPr>
                <w:rFonts w:asciiTheme="majorBidi" w:hAnsiTheme="majorBidi" w:cstheme="majorBidi"/>
                <w:b/>
                <w:bCs/>
                <w:sz w:val="24"/>
                <w:szCs w:val="24"/>
                <w:lang w:bidi="ar-SA"/>
              </w:rPr>
              <w:t xml:space="preserve"> observations</w:t>
            </w:r>
          </w:p>
        </w:tc>
        <w:tc>
          <w:tcPr>
            <w:tcW w:w="1118" w:type="dxa"/>
            <w:tcMar>
              <w:top w:w="0" w:type="dxa"/>
              <w:left w:w="58" w:type="dxa"/>
              <w:bottom w:w="115" w:type="dxa"/>
              <w:right w:w="58" w:type="dxa"/>
            </w:tcMar>
            <w:hideMark/>
          </w:tcPr>
          <w:p w14:paraId="10D80635" w14:textId="77777777" w:rsidR="009F1746" w:rsidRPr="00E20D3C" w:rsidRDefault="009F1746" w:rsidP="00C7587E">
            <w:pPr>
              <w:keepNext/>
              <w:keepLines/>
              <w:autoSpaceDE w:val="0"/>
              <w:autoSpaceDN w:val="0"/>
              <w:bidi w:val="0"/>
              <w:adjustRightInd w:val="0"/>
              <w:spacing w:after="0" w:line="240" w:lineRule="auto"/>
              <w:jc w:val="center"/>
              <w:rPr>
                <w:rFonts w:asciiTheme="majorBidi" w:hAnsiTheme="majorBidi" w:cstheme="majorBidi"/>
                <w:sz w:val="24"/>
                <w:szCs w:val="24"/>
              </w:rPr>
            </w:pPr>
            <w:r w:rsidRPr="00E20D3C">
              <w:rPr>
                <w:rFonts w:asciiTheme="majorBidi" w:hAnsiTheme="majorBidi" w:cstheme="majorBidi"/>
                <w:sz w:val="24"/>
                <w:szCs w:val="24"/>
                <w:rtl/>
              </w:rPr>
              <w:t>1489</w:t>
            </w:r>
          </w:p>
        </w:tc>
        <w:tc>
          <w:tcPr>
            <w:tcW w:w="1522" w:type="dxa"/>
            <w:noWrap/>
            <w:tcMar>
              <w:top w:w="0" w:type="dxa"/>
              <w:left w:w="58" w:type="dxa"/>
              <w:bottom w:w="115" w:type="dxa"/>
              <w:right w:w="58" w:type="dxa"/>
            </w:tcMar>
            <w:hideMark/>
          </w:tcPr>
          <w:p w14:paraId="4A72D1AE" w14:textId="77777777" w:rsidR="009F1746" w:rsidRPr="00E20D3C" w:rsidRDefault="009F1746" w:rsidP="00C7587E">
            <w:pPr>
              <w:keepNext/>
              <w:keepLines/>
              <w:autoSpaceDE w:val="0"/>
              <w:autoSpaceDN w:val="0"/>
              <w:bidi w:val="0"/>
              <w:adjustRightInd w:val="0"/>
              <w:spacing w:after="0" w:line="240" w:lineRule="auto"/>
              <w:jc w:val="center"/>
              <w:rPr>
                <w:rFonts w:asciiTheme="majorBidi" w:hAnsiTheme="majorBidi" w:cstheme="majorBidi"/>
                <w:sz w:val="24"/>
                <w:szCs w:val="24"/>
                <w:rtl/>
              </w:rPr>
            </w:pPr>
            <w:r w:rsidRPr="00E20D3C">
              <w:rPr>
                <w:rFonts w:asciiTheme="majorBidi" w:hAnsiTheme="majorBidi" w:cstheme="majorBidi"/>
                <w:sz w:val="24"/>
                <w:szCs w:val="24"/>
                <w:rtl/>
              </w:rPr>
              <w:t>1489</w:t>
            </w:r>
          </w:p>
        </w:tc>
        <w:tc>
          <w:tcPr>
            <w:tcW w:w="1024" w:type="dxa"/>
            <w:tcMar>
              <w:top w:w="0" w:type="dxa"/>
              <w:left w:w="58" w:type="dxa"/>
              <w:bottom w:w="115" w:type="dxa"/>
              <w:right w:w="58" w:type="dxa"/>
            </w:tcMar>
            <w:hideMark/>
          </w:tcPr>
          <w:p w14:paraId="31E2E36B" w14:textId="77777777" w:rsidR="009F1746" w:rsidRPr="00E20D3C" w:rsidRDefault="009F1746" w:rsidP="00C7587E">
            <w:pPr>
              <w:keepNext/>
              <w:keepLines/>
              <w:autoSpaceDE w:val="0"/>
              <w:autoSpaceDN w:val="0"/>
              <w:bidi w:val="0"/>
              <w:adjustRightInd w:val="0"/>
              <w:spacing w:after="0" w:line="240" w:lineRule="auto"/>
              <w:jc w:val="center"/>
              <w:rPr>
                <w:rFonts w:asciiTheme="majorBidi" w:hAnsiTheme="majorBidi" w:cstheme="majorBidi"/>
                <w:sz w:val="24"/>
                <w:szCs w:val="24"/>
                <w:rtl/>
              </w:rPr>
            </w:pPr>
            <w:r w:rsidRPr="00E20D3C">
              <w:rPr>
                <w:rFonts w:asciiTheme="majorBidi" w:hAnsiTheme="majorBidi" w:cstheme="majorBidi"/>
                <w:sz w:val="24"/>
                <w:szCs w:val="24"/>
                <w:rtl/>
              </w:rPr>
              <w:t>1489</w:t>
            </w:r>
          </w:p>
        </w:tc>
      </w:tr>
      <w:tr w:rsidR="009F1746" w:rsidRPr="008754C3" w14:paraId="34FD82DD" w14:textId="77777777" w:rsidTr="00C7587E">
        <w:trPr>
          <w:trHeight w:val="289"/>
          <w:jc w:val="center"/>
        </w:trPr>
        <w:tc>
          <w:tcPr>
            <w:tcW w:w="2624" w:type="dxa"/>
            <w:noWrap/>
            <w:tcMar>
              <w:top w:w="0" w:type="dxa"/>
              <w:left w:w="58" w:type="dxa"/>
              <w:bottom w:w="115" w:type="dxa"/>
              <w:right w:w="58" w:type="dxa"/>
            </w:tcMar>
            <w:hideMark/>
          </w:tcPr>
          <w:p w14:paraId="45020E6A" w14:textId="77777777" w:rsidR="009F1746" w:rsidRPr="00E20D3C" w:rsidRDefault="00000000" w:rsidP="00C7587E">
            <w:pPr>
              <w:keepNext/>
              <w:keepLines/>
              <w:bidi w:val="0"/>
              <w:spacing w:after="0" w:line="240" w:lineRule="auto"/>
              <w:rPr>
                <w:rFonts w:asciiTheme="majorBidi" w:hAnsiTheme="majorBidi" w:cstheme="majorBidi"/>
                <w:b/>
                <w:bCs/>
                <w:sz w:val="24"/>
                <w:szCs w:val="24"/>
                <w:rtl/>
              </w:rPr>
            </w:pPr>
            <m:oMathPara>
              <m:oMathParaPr>
                <m:jc m:val="left"/>
              </m:oMathParaPr>
              <m:oMath>
                <m:sSup>
                  <m:sSupPr>
                    <m:ctrlPr>
                      <w:rPr>
                        <w:rFonts w:ascii="Cambria Math" w:hAnsi="Cambria Math" w:cstheme="majorBidi"/>
                        <w:b/>
                        <w:bCs/>
                        <w:sz w:val="24"/>
                        <w:szCs w:val="24"/>
                        <w:lang w:bidi="ar-SA"/>
                      </w:rPr>
                    </m:ctrlPr>
                  </m:sSupPr>
                  <m:e>
                    <m:r>
                      <m:rPr>
                        <m:sty m:val="bi"/>
                      </m:rPr>
                      <w:rPr>
                        <w:rFonts w:ascii="Cambria Math" w:hAnsi="Cambria Math" w:cstheme="majorBidi"/>
                        <w:sz w:val="24"/>
                        <w:szCs w:val="24"/>
                        <w:lang w:bidi="ar-SA"/>
                      </w:rPr>
                      <m:t>R</m:t>
                    </m:r>
                  </m:e>
                  <m:sup>
                    <m:r>
                      <m:rPr>
                        <m:sty m:val="bi"/>
                      </m:rPr>
                      <w:rPr>
                        <w:rFonts w:ascii="Cambria Math" w:hAnsi="Cambria Math" w:cstheme="majorBidi"/>
                        <w:sz w:val="24"/>
                        <w:szCs w:val="24"/>
                        <w:lang w:bidi="ar-SA"/>
                      </w:rPr>
                      <m:t>2</m:t>
                    </m:r>
                  </m:sup>
                </m:sSup>
              </m:oMath>
            </m:oMathPara>
          </w:p>
        </w:tc>
        <w:tc>
          <w:tcPr>
            <w:tcW w:w="1118" w:type="dxa"/>
            <w:tcMar>
              <w:top w:w="0" w:type="dxa"/>
              <w:left w:w="58" w:type="dxa"/>
              <w:bottom w:w="115" w:type="dxa"/>
              <w:right w:w="58" w:type="dxa"/>
            </w:tcMar>
          </w:tcPr>
          <w:p w14:paraId="7AEFCF32" w14:textId="77777777" w:rsidR="009F1746" w:rsidRPr="00E20D3C" w:rsidRDefault="009F1746" w:rsidP="00C7587E">
            <w:pPr>
              <w:keepNext/>
              <w:keepLines/>
              <w:bidi w:val="0"/>
              <w:spacing w:line="240" w:lineRule="auto"/>
              <w:jc w:val="center"/>
              <w:rPr>
                <w:rFonts w:asciiTheme="majorBidi" w:hAnsiTheme="majorBidi" w:cstheme="majorBidi"/>
                <w:color w:val="000000"/>
                <w:sz w:val="24"/>
                <w:szCs w:val="24"/>
                <w:rtl/>
                <w:lang w:bidi="ar-SA"/>
              </w:rPr>
            </w:pPr>
            <w:r w:rsidRPr="00E20D3C">
              <w:rPr>
                <w:rFonts w:asciiTheme="majorBidi" w:hAnsiTheme="majorBidi" w:cstheme="majorBidi"/>
                <w:color w:val="000000"/>
                <w:sz w:val="24"/>
                <w:szCs w:val="24"/>
                <w:lang w:bidi="ar-SA"/>
              </w:rPr>
              <w:t>0.48</w:t>
            </w:r>
          </w:p>
          <w:p w14:paraId="5CECB76F" w14:textId="77777777" w:rsidR="009F1746" w:rsidRPr="00E20D3C" w:rsidRDefault="009F1746" w:rsidP="00C7587E">
            <w:pPr>
              <w:keepNext/>
              <w:keepLines/>
              <w:autoSpaceDE w:val="0"/>
              <w:autoSpaceDN w:val="0"/>
              <w:bidi w:val="0"/>
              <w:adjustRightInd w:val="0"/>
              <w:spacing w:after="0" w:line="240" w:lineRule="auto"/>
              <w:jc w:val="center"/>
              <w:rPr>
                <w:rFonts w:asciiTheme="majorBidi" w:hAnsiTheme="majorBidi" w:cstheme="majorBidi"/>
                <w:sz w:val="24"/>
                <w:szCs w:val="24"/>
              </w:rPr>
            </w:pPr>
          </w:p>
        </w:tc>
        <w:tc>
          <w:tcPr>
            <w:tcW w:w="1522" w:type="dxa"/>
            <w:noWrap/>
            <w:tcMar>
              <w:top w:w="0" w:type="dxa"/>
              <w:left w:w="58" w:type="dxa"/>
              <w:bottom w:w="115" w:type="dxa"/>
              <w:right w:w="58" w:type="dxa"/>
            </w:tcMar>
            <w:hideMark/>
          </w:tcPr>
          <w:p w14:paraId="00460A59" w14:textId="77777777" w:rsidR="009F1746" w:rsidRPr="00E20D3C" w:rsidRDefault="009F1746" w:rsidP="00C7587E">
            <w:pPr>
              <w:keepNext/>
              <w:keepLines/>
              <w:autoSpaceDE w:val="0"/>
              <w:autoSpaceDN w:val="0"/>
              <w:bidi w:val="0"/>
              <w:adjustRightInd w:val="0"/>
              <w:spacing w:after="0" w:line="240" w:lineRule="auto"/>
              <w:jc w:val="center"/>
              <w:rPr>
                <w:rFonts w:asciiTheme="majorBidi" w:hAnsiTheme="majorBidi" w:cstheme="majorBidi"/>
                <w:sz w:val="24"/>
                <w:szCs w:val="24"/>
                <w:rtl/>
              </w:rPr>
            </w:pPr>
            <w:r w:rsidRPr="00E20D3C">
              <w:rPr>
                <w:rFonts w:asciiTheme="majorBidi" w:hAnsiTheme="majorBidi" w:cstheme="majorBidi"/>
                <w:sz w:val="24"/>
                <w:szCs w:val="24"/>
                <w:rtl/>
              </w:rPr>
              <w:t>0.55</w:t>
            </w:r>
          </w:p>
        </w:tc>
        <w:tc>
          <w:tcPr>
            <w:tcW w:w="1024" w:type="dxa"/>
            <w:tcMar>
              <w:top w:w="0" w:type="dxa"/>
              <w:left w:w="58" w:type="dxa"/>
              <w:bottom w:w="115" w:type="dxa"/>
              <w:right w:w="58" w:type="dxa"/>
            </w:tcMar>
            <w:hideMark/>
          </w:tcPr>
          <w:p w14:paraId="1A07B6D3" w14:textId="77777777" w:rsidR="009F1746" w:rsidRPr="00E20D3C" w:rsidRDefault="009F1746" w:rsidP="00C7587E">
            <w:pPr>
              <w:keepNext/>
              <w:keepLines/>
              <w:autoSpaceDE w:val="0"/>
              <w:autoSpaceDN w:val="0"/>
              <w:bidi w:val="0"/>
              <w:adjustRightInd w:val="0"/>
              <w:spacing w:after="0" w:line="240" w:lineRule="auto"/>
              <w:jc w:val="center"/>
              <w:rPr>
                <w:rFonts w:asciiTheme="majorBidi" w:hAnsiTheme="majorBidi" w:cstheme="majorBidi"/>
                <w:sz w:val="24"/>
                <w:szCs w:val="24"/>
                <w:rtl/>
              </w:rPr>
            </w:pPr>
            <w:r w:rsidRPr="00E20D3C">
              <w:rPr>
                <w:rFonts w:asciiTheme="majorBidi" w:hAnsiTheme="majorBidi" w:cstheme="majorBidi"/>
                <w:sz w:val="24"/>
                <w:szCs w:val="24"/>
                <w:rtl/>
              </w:rPr>
              <w:t>0.68</w:t>
            </w:r>
          </w:p>
        </w:tc>
      </w:tr>
    </w:tbl>
    <w:bookmarkEnd w:id="13"/>
    <w:bookmarkEnd w:id="14"/>
    <w:p w14:paraId="7C9221B1" w14:textId="77777777" w:rsidR="009F1746" w:rsidRPr="00E20D3C" w:rsidRDefault="009F1746" w:rsidP="009F1746">
      <w:pPr>
        <w:keepNext/>
        <w:keepLines/>
        <w:bidi w:val="0"/>
        <w:spacing w:after="0" w:line="240" w:lineRule="auto"/>
        <w:jc w:val="both"/>
        <w:rPr>
          <w:rFonts w:asciiTheme="majorBidi" w:hAnsiTheme="majorBidi" w:cstheme="majorBidi"/>
          <w:sz w:val="20"/>
          <w:szCs w:val="20"/>
          <w:rtl/>
        </w:rPr>
      </w:pPr>
      <w:r w:rsidRPr="00E20D3C">
        <w:rPr>
          <w:rFonts w:asciiTheme="majorBidi" w:hAnsiTheme="majorBidi" w:cstheme="majorBidi"/>
          <w:sz w:val="20"/>
          <w:szCs w:val="20"/>
        </w:rPr>
        <w:t xml:space="preserve">***significant at 1%; **significant at 5%; *significant at 10% </w:t>
      </w:r>
    </w:p>
    <w:p w14:paraId="0D238BAC" w14:textId="77777777" w:rsidR="009F1746" w:rsidRPr="00E20D3C" w:rsidRDefault="009F1746" w:rsidP="009F1746">
      <w:pPr>
        <w:pStyle w:val="IBBodyStyle1stpar"/>
        <w:keepNext/>
        <w:keepLines/>
        <w:rPr>
          <w:sz w:val="22"/>
          <w:szCs w:val="22"/>
        </w:rPr>
      </w:pPr>
      <w:r w:rsidRPr="00E20D3C">
        <w:rPr>
          <w:sz w:val="22"/>
          <w:szCs w:val="22"/>
        </w:rPr>
        <w:t xml:space="preserve">The numbers in parentheses are the estimate’s </w:t>
      </w:r>
      <w:r w:rsidRPr="00E20D3C">
        <w:rPr>
          <w:sz w:val="22"/>
          <w:szCs w:val="22"/>
          <w:shd w:val="clear" w:color="auto" w:fill="FFFFFF"/>
        </w:rPr>
        <w:t>standard errors</w:t>
      </w:r>
      <w:r w:rsidRPr="00E20D3C">
        <w:rPr>
          <w:sz w:val="22"/>
          <w:szCs w:val="22"/>
        </w:rPr>
        <w:t xml:space="preserve">. </w:t>
      </w:r>
    </w:p>
    <w:p w14:paraId="27B20F71" w14:textId="77777777" w:rsidR="009F1746" w:rsidRPr="00E20D3C" w:rsidRDefault="009F1746" w:rsidP="009F1746">
      <w:pPr>
        <w:keepNext/>
        <w:keepLines/>
        <w:widowControl w:val="0"/>
        <w:bidi w:val="0"/>
        <w:spacing w:after="0" w:line="240" w:lineRule="auto"/>
        <w:rPr>
          <w:rFonts w:ascii="Times New Roman" w:hAnsi="Times New Roman"/>
          <w:sz w:val="20"/>
          <w:szCs w:val="20"/>
        </w:rPr>
      </w:pPr>
      <w:r w:rsidRPr="00E20D3C">
        <w:rPr>
          <w:rFonts w:ascii="Times New Roman" w:hAnsi="Times New Roman"/>
          <w:sz w:val="24"/>
          <w:szCs w:val="24"/>
          <w:vertAlign w:val="superscript"/>
        </w:rPr>
        <w:t>a</w:t>
      </w:r>
      <w:r w:rsidRPr="00E20D3C">
        <w:rPr>
          <w:rFonts w:ascii="Times New Roman" w:hAnsi="Times New Roman"/>
          <w:sz w:val="20"/>
          <w:szCs w:val="20"/>
          <w:vertAlign w:val="superscript"/>
        </w:rPr>
        <w:t xml:space="preserve"> </w:t>
      </w:r>
      <w:r w:rsidRPr="00E20D3C">
        <w:rPr>
          <w:rFonts w:ascii="Times New Roman" w:hAnsi="Times New Roman"/>
          <w:sz w:val="20"/>
          <w:szCs w:val="20"/>
        </w:rPr>
        <w:t xml:space="preserve">Firm </w:t>
      </w:r>
      <w:r w:rsidRPr="00E20D3C">
        <w:rPr>
          <w:rFonts w:ascii="Times New Roman" w:hAnsi="Times New Roman"/>
          <w:i/>
          <w:sz w:val="20"/>
          <w:szCs w:val="20"/>
        </w:rPr>
        <w:t>j</w:t>
      </w:r>
      <w:r w:rsidRPr="00E20D3C">
        <w:rPr>
          <w:rFonts w:ascii="Times New Roman" w:hAnsi="Times New Roman"/>
          <w:sz w:val="20"/>
          <w:szCs w:val="20"/>
        </w:rPr>
        <w:t xml:space="preserve"> earnings per share for year </w:t>
      </w:r>
      <w:r w:rsidRPr="00E20D3C">
        <w:rPr>
          <w:rFonts w:ascii="Times New Roman" w:hAnsi="Times New Roman"/>
          <w:i/>
          <w:iCs/>
          <w:sz w:val="20"/>
          <w:szCs w:val="20"/>
        </w:rPr>
        <w:t>t-1</w:t>
      </w:r>
      <w:r w:rsidRPr="00E20D3C">
        <w:rPr>
          <w:rFonts w:ascii="Times New Roman" w:hAnsi="Times New Roman"/>
          <w:sz w:val="20"/>
          <w:szCs w:val="20"/>
        </w:rPr>
        <w:t>.</w:t>
      </w:r>
    </w:p>
    <w:p w14:paraId="7507203D" w14:textId="77777777" w:rsidR="009F1746" w:rsidRPr="00E20D3C" w:rsidRDefault="009F1746" w:rsidP="009F1746">
      <w:pPr>
        <w:keepNext/>
        <w:keepLines/>
        <w:widowControl w:val="0"/>
        <w:bidi w:val="0"/>
        <w:spacing w:after="0" w:line="240" w:lineRule="auto"/>
        <w:rPr>
          <w:rFonts w:ascii="Times New Roman" w:hAnsi="Times New Roman"/>
          <w:sz w:val="20"/>
          <w:szCs w:val="20"/>
        </w:rPr>
      </w:pPr>
      <w:r w:rsidRPr="00E20D3C">
        <w:rPr>
          <w:rFonts w:ascii="Times New Roman" w:hAnsi="Times New Roman"/>
          <w:sz w:val="20"/>
          <w:szCs w:val="20"/>
          <w:vertAlign w:val="superscript"/>
        </w:rPr>
        <w:t xml:space="preserve">b </w:t>
      </w:r>
      <w:r w:rsidRPr="00E20D3C">
        <w:rPr>
          <w:rFonts w:ascii="Times New Roman" w:hAnsi="Times New Roman"/>
          <w:sz w:val="20"/>
          <w:szCs w:val="20"/>
        </w:rPr>
        <w:t xml:space="preserve">Firm </w:t>
      </w:r>
      <w:r w:rsidRPr="00E20D3C">
        <w:rPr>
          <w:rFonts w:ascii="Times New Roman" w:hAnsi="Times New Roman"/>
          <w:i/>
          <w:sz w:val="20"/>
          <w:szCs w:val="20"/>
        </w:rPr>
        <w:t>j</w:t>
      </w:r>
      <w:r w:rsidRPr="00E20D3C">
        <w:rPr>
          <w:rFonts w:ascii="Times New Roman" w:hAnsi="Times New Roman"/>
          <w:sz w:val="20"/>
          <w:szCs w:val="20"/>
        </w:rPr>
        <w:t xml:space="preserve"> wedge for year </w:t>
      </w:r>
      <w:r w:rsidRPr="00E20D3C">
        <w:rPr>
          <w:rFonts w:ascii="Times New Roman" w:hAnsi="Times New Roman"/>
          <w:i/>
          <w:iCs/>
          <w:sz w:val="20"/>
          <w:szCs w:val="20"/>
        </w:rPr>
        <w:t>t</w:t>
      </w:r>
      <w:r w:rsidRPr="00E20D3C">
        <w:rPr>
          <w:rFonts w:ascii="Times New Roman" w:hAnsi="Times New Roman"/>
          <w:sz w:val="20"/>
          <w:szCs w:val="20"/>
        </w:rPr>
        <w:t>.</w:t>
      </w:r>
    </w:p>
    <w:p w14:paraId="2D6CBB39" w14:textId="77777777" w:rsidR="009F1746" w:rsidRPr="00E20D3C" w:rsidRDefault="009F1746" w:rsidP="009F1746">
      <w:pPr>
        <w:keepNext/>
        <w:keepLines/>
        <w:widowControl w:val="0"/>
        <w:bidi w:val="0"/>
        <w:spacing w:after="0" w:line="240" w:lineRule="auto"/>
        <w:rPr>
          <w:rFonts w:ascii="Times New Roman" w:hAnsi="Times New Roman"/>
          <w:sz w:val="20"/>
          <w:szCs w:val="20"/>
        </w:rPr>
      </w:pPr>
      <w:r w:rsidRPr="00E20D3C">
        <w:rPr>
          <w:rFonts w:ascii="Times New Roman" w:hAnsi="Times New Roman"/>
          <w:sz w:val="20"/>
          <w:szCs w:val="20"/>
          <w:vertAlign w:val="superscript"/>
        </w:rPr>
        <w:t xml:space="preserve">c </w:t>
      </w:r>
      <w:proofErr w:type="gramStart"/>
      <w:r w:rsidRPr="00E20D3C">
        <w:rPr>
          <w:rFonts w:ascii="Times New Roman" w:hAnsi="Times New Roman"/>
          <w:sz w:val="20"/>
          <w:szCs w:val="20"/>
        </w:rPr>
        <w:t>The</w:t>
      </w:r>
      <w:proofErr w:type="gramEnd"/>
      <w:r w:rsidRPr="00E20D3C">
        <w:rPr>
          <w:rFonts w:ascii="Times New Roman" w:hAnsi="Times New Roman"/>
          <w:sz w:val="20"/>
          <w:szCs w:val="20"/>
        </w:rPr>
        <w:t xml:space="preserve"> interaction between the two independent variables.</w:t>
      </w:r>
    </w:p>
    <w:p w14:paraId="3F57454F" w14:textId="77777777" w:rsidR="009F1746" w:rsidRPr="00E20D3C" w:rsidRDefault="009F1746" w:rsidP="009F1746">
      <w:pPr>
        <w:keepNext/>
        <w:keepLines/>
        <w:bidi w:val="0"/>
        <w:spacing w:after="0" w:line="240" w:lineRule="auto"/>
        <w:rPr>
          <w:rFonts w:asciiTheme="majorBidi" w:hAnsiTheme="majorBidi" w:cstheme="majorBidi"/>
          <w:sz w:val="20"/>
          <w:szCs w:val="20"/>
        </w:rPr>
      </w:pPr>
      <w:r w:rsidRPr="00E20D3C">
        <w:rPr>
          <w:rFonts w:ascii="Times New Roman" w:hAnsi="Times New Roman"/>
          <w:sz w:val="20"/>
          <w:szCs w:val="20"/>
          <w:vertAlign w:val="superscript"/>
        </w:rPr>
        <w:t xml:space="preserve">d </w:t>
      </w:r>
      <w:r w:rsidRPr="00E20D3C">
        <w:rPr>
          <w:rFonts w:asciiTheme="majorBidi" w:hAnsiTheme="majorBidi" w:cstheme="majorBidi"/>
          <w:sz w:val="20"/>
          <w:szCs w:val="20"/>
        </w:rPr>
        <w:t>1</w:t>
      </w:r>
      <w:r>
        <w:rPr>
          <w:rFonts w:asciiTheme="majorBidi" w:hAnsiTheme="majorBidi" w:cstheme="majorBidi"/>
          <w:sz w:val="20"/>
          <w:szCs w:val="20"/>
        </w:rPr>
        <w:t>2</w:t>
      </w:r>
      <w:r w:rsidRPr="00E20D3C">
        <w:rPr>
          <w:rFonts w:asciiTheme="majorBidi" w:hAnsiTheme="majorBidi" w:cstheme="majorBidi"/>
          <w:sz w:val="20"/>
          <w:szCs w:val="20"/>
        </w:rPr>
        <w:t xml:space="preserve"> variables representing listing age, size, profitability, leverage, growth, and valuation</w:t>
      </w:r>
    </w:p>
    <w:p w14:paraId="120ACC1B" w14:textId="77777777" w:rsidR="009F1746" w:rsidRPr="008754C3" w:rsidRDefault="009F1746" w:rsidP="009F1746">
      <w:pPr>
        <w:keepNext/>
        <w:keepLines/>
        <w:widowControl w:val="0"/>
        <w:pBdr>
          <w:bottom w:val="single" w:sz="4" w:space="1" w:color="auto"/>
        </w:pBdr>
        <w:bidi w:val="0"/>
        <w:spacing w:after="0" w:line="240" w:lineRule="auto"/>
        <w:rPr>
          <w:rFonts w:asciiTheme="majorBidi" w:hAnsiTheme="majorBidi" w:cstheme="majorBidi"/>
          <w:noProof/>
          <w:sz w:val="24"/>
          <w:szCs w:val="24"/>
        </w:rPr>
      </w:pPr>
      <w:r w:rsidRPr="00E20D3C">
        <w:rPr>
          <w:rFonts w:asciiTheme="majorBidi" w:hAnsiTheme="majorBidi" w:cstheme="majorBidi"/>
          <w:sz w:val="20"/>
          <w:szCs w:val="20"/>
        </w:rPr>
        <w:t>Listing age (</w:t>
      </w:r>
      <m:oMath>
        <m:sSub>
          <m:sSubPr>
            <m:ctrlPr>
              <w:rPr>
                <w:rFonts w:ascii="Cambria Math" w:hAnsi="Cambria Math" w:cstheme="majorBidi"/>
                <w:i/>
                <w:sz w:val="20"/>
                <w:szCs w:val="20"/>
              </w:rPr>
            </m:ctrlPr>
          </m:sSubPr>
          <m:e>
            <m:r>
              <w:rPr>
                <w:rFonts w:ascii="Cambria Math" w:hAnsi="Cambria Math" w:cstheme="majorBidi"/>
                <w:sz w:val="20"/>
                <w:szCs w:val="20"/>
              </w:rPr>
              <m:t xml:space="preserve">IPO </m:t>
            </m:r>
          </m:e>
          <m:sub>
            <m:r>
              <w:rPr>
                <w:rFonts w:ascii="Cambria Math" w:hAnsi="Cambria Math" w:cstheme="majorBidi"/>
                <w:sz w:val="20"/>
                <w:szCs w:val="20"/>
              </w:rPr>
              <m:t>j,t</m:t>
            </m:r>
          </m:sub>
        </m:sSub>
      </m:oMath>
      <w:r w:rsidRPr="00E20D3C">
        <w:rPr>
          <w:rFonts w:asciiTheme="majorBidi" w:hAnsiTheme="majorBidi" w:cstheme="majorBidi"/>
          <w:sz w:val="20"/>
          <w:szCs w:val="20"/>
        </w:rPr>
        <w:t xml:space="preserve">) denotes the number of years since IPO. Size is represented by three variables: </w:t>
      </w:r>
      <m:oMath>
        <m:sSub>
          <m:sSubPr>
            <m:ctrlPr>
              <w:rPr>
                <w:rFonts w:ascii="Cambria Math" w:hAnsi="Cambria Math" w:cstheme="majorBidi"/>
                <w:i/>
                <w:sz w:val="20"/>
                <w:szCs w:val="20"/>
              </w:rPr>
            </m:ctrlPr>
          </m:sSubPr>
          <m:e>
            <m:r>
              <w:rPr>
                <w:rFonts w:ascii="Cambria Math" w:hAnsi="Cambria Math" w:cstheme="majorBidi"/>
                <w:sz w:val="20"/>
                <w:szCs w:val="20"/>
              </w:rPr>
              <m:t>REV</m:t>
            </m:r>
          </m:e>
          <m:sub>
            <m:r>
              <w:rPr>
                <w:rFonts w:ascii="Cambria Math" w:hAnsi="Cambria Math" w:cstheme="majorBidi"/>
                <w:sz w:val="20"/>
                <w:szCs w:val="20"/>
              </w:rPr>
              <m:t>j,t</m:t>
            </m:r>
          </m:sub>
        </m:sSub>
      </m:oMath>
      <w:r w:rsidRPr="00E20D3C">
        <w:rPr>
          <w:rFonts w:asciiTheme="majorBidi" w:hAnsiTheme="majorBidi" w:cstheme="majorBidi"/>
          <w:sz w:val="20"/>
          <w:szCs w:val="20"/>
        </w:rPr>
        <w:t xml:space="preserve"> is the total revenues of firm </w:t>
      </w:r>
      <w:r w:rsidRPr="00E20D3C">
        <w:rPr>
          <w:rFonts w:asciiTheme="majorBidi" w:hAnsiTheme="majorBidi" w:cstheme="majorBidi"/>
          <w:i/>
          <w:sz w:val="20"/>
          <w:szCs w:val="20"/>
        </w:rPr>
        <w:t>j</w:t>
      </w:r>
      <w:r w:rsidRPr="00E20D3C">
        <w:rPr>
          <w:rFonts w:asciiTheme="majorBidi" w:hAnsiTheme="majorBidi" w:cstheme="majorBidi"/>
          <w:sz w:val="20"/>
          <w:szCs w:val="20"/>
        </w:rPr>
        <w:t xml:space="preserve"> at year </w:t>
      </w:r>
      <w:r w:rsidRPr="00E20D3C">
        <w:rPr>
          <w:rFonts w:asciiTheme="majorBidi" w:hAnsiTheme="majorBidi" w:cstheme="majorBidi"/>
          <w:i/>
          <w:sz w:val="20"/>
          <w:szCs w:val="20"/>
        </w:rPr>
        <w:t>t</w:t>
      </w:r>
      <w:r w:rsidRPr="00E20D3C">
        <w:rPr>
          <w:rFonts w:asciiTheme="majorBidi" w:hAnsiTheme="majorBidi" w:cstheme="majorBidi"/>
          <w:sz w:val="20"/>
          <w:szCs w:val="20"/>
        </w:rPr>
        <w:t xml:space="preserve">, </w:t>
      </w:r>
      <m:oMath>
        <m:sSub>
          <m:sSubPr>
            <m:ctrlPr>
              <w:rPr>
                <w:rFonts w:ascii="Cambria Math" w:hAnsi="Cambria Math" w:cstheme="majorBidi"/>
                <w:i/>
                <w:sz w:val="20"/>
                <w:szCs w:val="20"/>
              </w:rPr>
            </m:ctrlPr>
          </m:sSubPr>
          <m:e>
            <m:r>
              <w:rPr>
                <w:rFonts w:ascii="Cambria Math" w:hAnsi="Cambria Math" w:cstheme="majorBidi"/>
                <w:sz w:val="20"/>
                <w:szCs w:val="20"/>
              </w:rPr>
              <m:t>MCAP</m:t>
            </m:r>
          </m:e>
          <m:sub>
            <m:r>
              <w:rPr>
                <w:rFonts w:ascii="Cambria Math" w:hAnsi="Cambria Math" w:cstheme="majorBidi"/>
                <w:sz w:val="20"/>
                <w:szCs w:val="20"/>
              </w:rPr>
              <m:t>j,t</m:t>
            </m:r>
          </m:sub>
        </m:sSub>
      </m:oMath>
      <w:r w:rsidRPr="00E20D3C">
        <w:rPr>
          <w:rFonts w:asciiTheme="majorBidi" w:hAnsiTheme="majorBidi" w:cstheme="majorBidi"/>
          <w:sz w:val="20"/>
          <w:szCs w:val="20"/>
        </w:rPr>
        <w:t xml:space="preserve"> is the market value of firm </w:t>
      </w:r>
      <w:r w:rsidRPr="00E20D3C">
        <w:rPr>
          <w:rFonts w:asciiTheme="majorBidi" w:hAnsiTheme="majorBidi" w:cstheme="majorBidi"/>
          <w:i/>
          <w:sz w:val="20"/>
          <w:szCs w:val="20"/>
        </w:rPr>
        <w:t>j</w:t>
      </w:r>
      <w:r w:rsidRPr="00E20D3C">
        <w:rPr>
          <w:rFonts w:asciiTheme="majorBidi" w:hAnsiTheme="majorBidi" w:cstheme="majorBidi"/>
          <w:sz w:val="20"/>
          <w:szCs w:val="20"/>
        </w:rPr>
        <w:t xml:space="preserve"> at year </w:t>
      </w:r>
      <w:r w:rsidRPr="00E20D3C">
        <w:rPr>
          <w:rFonts w:asciiTheme="majorBidi" w:hAnsiTheme="majorBidi" w:cstheme="majorBidi"/>
          <w:i/>
          <w:sz w:val="20"/>
          <w:szCs w:val="20"/>
        </w:rPr>
        <w:t>t</w:t>
      </w:r>
      <w:r w:rsidRPr="00E20D3C">
        <w:rPr>
          <w:rFonts w:asciiTheme="majorBidi" w:hAnsiTheme="majorBidi" w:cstheme="majorBidi"/>
          <w:sz w:val="20"/>
          <w:szCs w:val="20"/>
        </w:rPr>
        <w:t xml:space="preserve">, </w:t>
      </w:r>
      <m:oMath>
        <m:sSub>
          <m:sSubPr>
            <m:ctrlPr>
              <w:rPr>
                <w:rFonts w:ascii="Cambria Math" w:hAnsi="Cambria Math" w:cstheme="majorBidi"/>
                <w:i/>
                <w:sz w:val="20"/>
                <w:szCs w:val="20"/>
              </w:rPr>
            </m:ctrlPr>
          </m:sSubPr>
          <m:e>
            <m:r>
              <w:rPr>
                <w:rFonts w:ascii="Cambria Math" w:hAnsi="Cambria Math" w:cstheme="majorBidi"/>
                <w:sz w:val="20"/>
                <w:szCs w:val="20"/>
              </w:rPr>
              <m:t>AST</m:t>
            </m:r>
          </m:e>
          <m:sub>
            <m:r>
              <w:rPr>
                <w:rFonts w:ascii="Cambria Math" w:hAnsi="Cambria Math" w:cstheme="majorBidi"/>
                <w:sz w:val="20"/>
                <w:szCs w:val="20"/>
              </w:rPr>
              <m:t>j,t</m:t>
            </m:r>
          </m:sub>
        </m:sSub>
      </m:oMath>
      <w:r w:rsidRPr="00E20D3C">
        <w:rPr>
          <w:rFonts w:asciiTheme="majorBidi" w:hAnsiTheme="majorBidi" w:cstheme="majorBidi"/>
          <w:sz w:val="20"/>
          <w:szCs w:val="20"/>
        </w:rPr>
        <w:t xml:space="preserve"> is the total assets of firm </w:t>
      </w:r>
      <w:r w:rsidRPr="00E20D3C">
        <w:rPr>
          <w:rFonts w:asciiTheme="majorBidi" w:hAnsiTheme="majorBidi" w:cstheme="majorBidi"/>
          <w:i/>
          <w:sz w:val="20"/>
          <w:szCs w:val="20"/>
        </w:rPr>
        <w:t>j</w:t>
      </w:r>
      <w:r w:rsidRPr="00E20D3C">
        <w:rPr>
          <w:rFonts w:asciiTheme="majorBidi" w:hAnsiTheme="majorBidi" w:cstheme="majorBidi"/>
          <w:sz w:val="20"/>
          <w:szCs w:val="20"/>
        </w:rPr>
        <w:t xml:space="preserve"> at year </w:t>
      </w:r>
      <w:r w:rsidRPr="00E20D3C">
        <w:rPr>
          <w:rFonts w:asciiTheme="majorBidi" w:hAnsiTheme="majorBidi" w:cstheme="majorBidi"/>
          <w:i/>
          <w:sz w:val="20"/>
          <w:szCs w:val="20"/>
        </w:rPr>
        <w:t>t</w:t>
      </w:r>
      <w:r w:rsidRPr="00E20D3C">
        <w:rPr>
          <w:rFonts w:asciiTheme="majorBidi" w:hAnsiTheme="majorBidi" w:cstheme="majorBidi"/>
          <w:sz w:val="20"/>
          <w:szCs w:val="20"/>
        </w:rPr>
        <w:t xml:space="preserve">. Profitability is represented by three variables: </w:t>
      </w:r>
      <m:oMath>
        <m:sSub>
          <m:sSubPr>
            <m:ctrlPr>
              <w:rPr>
                <w:rFonts w:ascii="Cambria Math" w:hAnsi="Cambria Math" w:cstheme="majorBidi"/>
                <w:i/>
                <w:sz w:val="20"/>
                <w:szCs w:val="20"/>
              </w:rPr>
            </m:ctrlPr>
          </m:sSubPr>
          <m:e>
            <m:r>
              <w:rPr>
                <w:rFonts w:ascii="Cambria Math" w:hAnsi="Cambria Math" w:cstheme="majorBidi"/>
                <w:sz w:val="20"/>
                <w:szCs w:val="20"/>
              </w:rPr>
              <m:t>PRM</m:t>
            </m:r>
          </m:e>
          <m:sub>
            <m:r>
              <w:rPr>
                <w:rFonts w:ascii="Cambria Math" w:hAnsi="Cambria Math" w:cstheme="majorBidi"/>
                <w:sz w:val="20"/>
                <w:szCs w:val="20"/>
              </w:rPr>
              <m:t>j,t</m:t>
            </m:r>
          </m:sub>
        </m:sSub>
      </m:oMath>
      <w:r w:rsidRPr="00E20D3C">
        <w:rPr>
          <w:rFonts w:asciiTheme="majorBidi" w:hAnsiTheme="majorBidi" w:cstheme="majorBidi"/>
          <w:sz w:val="20"/>
          <w:szCs w:val="20"/>
        </w:rPr>
        <w:t xml:space="preserve"> is the profit margin (net income divided by revenues) of firm </w:t>
      </w:r>
      <w:r w:rsidRPr="00E20D3C">
        <w:rPr>
          <w:rFonts w:asciiTheme="majorBidi" w:hAnsiTheme="majorBidi" w:cstheme="majorBidi"/>
          <w:i/>
          <w:sz w:val="20"/>
          <w:szCs w:val="20"/>
        </w:rPr>
        <w:t>j</w:t>
      </w:r>
      <w:r w:rsidRPr="00E20D3C">
        <w:rPr>
          <w:rFonts w:asciiTheme="majorBidi" w:hAnsiTheme="majorBidi" w:cstheme="majorBidi"/>
          <w:sz w:val="20"/>
          <w:szCs w:val="20"/>
        </w:rPr>
        <w:t xml:space="preserve"> at year </w:t>
      </w:r>
      <w:r w:rsidRPr="00E20D3C">
        <w:rPr>
          <w:rFonts w:asciiTheme="majorBidi" w:hAnsiTheme="majorBidi" w:cstheme="majorBidi"/>
          <w:i/>
          <w:sz w:val="20"/>
          <w:szCs w:val="20"/>
        </w:rPr>
        <w:t>t</w:t>
      </w:r>
      <w:r w:rsidRPr="00E20D3C">
        <w:rPr>
          <w:rFonts w:asciiTheme="majorBidi" w:hAnsiTheme="majorBidi" w:cstheme="majorBidi"/>
          <w:sz w:val="20"/>
          <w:szCs w:val="20"/>
        </w:rPr>
        <w:t xml:space="preserve">, </w:t>
      </w:r>
      <m:oMath>
        <m:sSub>
          <m:sSubPr>
            <m:ctrlPr>
              <w:rPr>
                <w:rFonts w:ascii="Cambria Math" w:hAnsi="Cambria Math" w:cstheme="majorBidi"/>
                <w:i/>
                <w:sz w:val="20"/>
                <w:szCs w:val="20"/>
              </w:rPr>
            </m:ctrlPr>
          </m:sSubPr>
          <m:e>
            <m:r>
              <w:rPr>
                <w:rFonts w:ascii="Cambria Math" w:hAnsi="Cambria Math" w:cstheme="majorBidi"/>
                <w:sz w:val="20"/>
                <w:szCs w:val="20"/>
              </w:rPr>
              <m:t>ROA</m:t>
            </m:r>
          </m:e>
          <m:sub>
            <m:r>
              <w:rPr>
                <w:rFonts w:ascii="Cambria Math" w:hAnsi="Cambria Math" w:cstheme="majorBidi"/>
                <w:sz w:val="20"/>
                <w:szCs w:val="20"/>
              </w:rPr>
              <m:t>j,t</m:t>
            </m:r>
          </m:sub>
        </m:sSub>
      </m:oMath>
      <w:r w:rsidRPr="00E20D3C">
        <w:rPr>
          <w:rFonts w:asciiTheme="majorBidi" w:hAnsiTheme="majorBidi" w:cstheme="majorBidi"/>
          <w:sz w:val="20"/>
          <w:szCs w:val="20"/>
        </w:rPr>
        <w:t xml:space="preserve"> is the return on assets (net income divided by total assets) of company</w:t>
      </w:r>
      <w:r w:rsidRPr="00E20D3C">
        <w:rPr>
          <w:rFonts w:asciiTheme="majorBidi" w:hAnsiTheme="majorBidi" w:cstheme="majorBidi"/>
          <w:i/>
          <w:sz w:val="20"/>
          <w:szCs w:val="20"/>
        </w:rPr>
        <w:t xml:space="preserve"> j</w:t>
      </w:r>
      <w:r w:rsidRPr="00E20D3C">
        <w:rPr>
          <w:rFonts w:asciiTheme="majorBidi" w:hAnsiTheme="majorBidi" w:cstheme="majorBidi"/>
          <w:sz w:val="20"/>
          <w:szCs w:val="20"/>
        </w:rPr>
        <w:t xml:space="preserve"> at year </w:t>
      </w:r>
      <w:r w:rsidRPr="00E20D3C">
        <w:rPr>
          <w:rFonts w:asciiTheme="majorBidi" w:hAnsiTheme="majorBidi" w:cstheme="majorBidi"/>
          <w:i/>
          <w:iCs/>
          <w:sz w:val="20"/>
          <w:szCs w:val="20"/>
        </w:rPr>
        <w:t>t</w:t>
      </w:r>
      <w:r w:rsidRPr="00E20D3C">
        <w:rPr>
          <w:rFonts w:asciiTheme="majorBidi" w:hAnsiTheme="majorBidi" w:cstheme="majorBidi"/>
          <w:sz w:val="20"/>
          <w:szCs w:val="20"/>
        </w:rPr>
        <w:t xml:space="preserve">, and </w:t>
      </w:r>
      <m:oMath>
        <m:sSub>
          <m:sSubPr>
            <m:ctrlPr>
              <w:rPr>
                <w:rFonts w:ascii="Cambria Math" w:hAnsi="Cambria Math" w:cstheme="majorBidi"/>
                <w:i/>
                <w:sz w:val="20"/>
                <w:szCs w:val="20"/>
              </w:rPr>
            </m:ctrlPr>
          </m:sSubPr>
          <m:e>
            <m:r>
              <w:rPr>
                <w:rFonts w:ascii="Cambria Math" w:hAnsi="Cambria Math" w:cstheme="majorBidi"/>
                <w:sz w:val="20"/>
                <w:szCs w:val="20"/>
              </w:rPr>
              <m:t>ROE</m:t>
            </m:r>
          </m:e>
          <m:sub>
            <m:r>
              <w:rPr>
                <w:rFonts w:ascii="Cambria Math" w:hAnsi="Cambria Math" w:cstheme="majorBidi"/>
                <w:sz w:val="20"/>
                <w:szCs w:val="20"/>
              </w:rPr>
              <m:t>j,t</m:t>
            </m:r>
          </m:sub>
        </m:sSub>
      </m:oMath>
      <w:r w:rsidRPr="00E20D3C">
        <w:rPr>
          <w:rFonts w:asciiTheme="majorBidi" w:hAnsiTheme="majorBidi" w:cstheme="majorBidi"/>
          <w:sz w:val="20"/>
          <w:szCs w:val="20"/>
        </w:rPr>
        <w:t xml:space="preserve"> is the return on equity (net income divided by total equity) of firm </w:t>
      </w:r>
      <w:r w:rsidRPr="00E20D3C">
        <w:rPr>
          <w:rFonts w:asciiTheme="majorBidi" w:hAnsiTheme="majorBidi" w:cstheme="majorBidi"/>
          <w:i/>
          <w:sz w:val="20"/>
          <w:szCs w:val="20"/>
        </w:rPr>
        <w:t>j</w:t>
      </w:r>
      <w:r w:rsidRPr="00E20D3C">
        <w:rPr>
          <w:rFonts w:asciiTheme="majorBidi" w:hAnsiTheme="majorBidi" w:cstheme="majorBidi"/>
          <w:sz w:val="20"/>
          <w:szCs w:val="20"/>
        </w:rPr>
        <w:t xml:space="preserve"> at year </w:t>
      </w:r>
      <w:r w:rsidRPr="00E20D3C">
        <w:rPr>
          <w:rFonts w:asciiTheme="majorBidi" w:hAnsiTheme="majorBidi" w:cstheme="majorBidi"/>
          <w:i/>
          <w:sz w:val="20"/>
          <w:szCs w:val="20"/>
        </w:rPr>
        <w:t>t</w:t>
      </w:r>
      <w:r w:rsidRPr="00E20D3C">
        <w:rPr>
          <w:rFonts w:asciiTheme="majorBidi" w:hAnsiTheme="majorBidi" w:cstheme="majorBidi"/>
          <w:sz w:val="20"/>
          <w:szCs w:val="20"/>
        </w:rPr>
        <w:t xml:space="preserve">. Leverage is denoted by </w:t>
      </w:r>
      <m:oMath>
        <m:sSub>
          <m:sSubPr>
            <m:ctrlPr>
              <w:rPr>
                <w:rFonts w:ascii="Cambria Math" w:hAnsi="Cambria Math" w:cstheme="majorBidi"/>
                <w:i/>
                <w:sz w:val="20"/>
                <w:szCs w:val="20"/>
              </w:rPr>
            </m:ctrlPr>
          </m:sSubPr>
          <m:e>
            <m:r>
              <w:rPr>
                <w:rFonts w:ascii="Cambria Math" w:hAnsi="Cambria Math" w:cstheme="majorBidi"/>
                <w:sz w:val="20"/>
                <w:szCs w:val="20"/>
              </w:rPr>
              <m:t>DAS</m:t>
            </m:r>
          </m:e>
          <m:sub>
            <m:r>
              <w:rPr>
                <w:rFonts w:ascii="Cambria Math" w:hAnsi="Cambria Math" w:cstheme="majorBidi"/>
                <w:sz w:val="20"/>
                <w:szCs w:val="20"/>
              </w:rPr>
              <m:t xml:space="preserve">j,t </m:t>
            </m:r>
          </m:sub>
        </m:sSub>
      </m:oMath>
      <w:r w:rsidRPr="00E20D3C">
        <w:rPr>
          <w:rFonts w:asciiTheme="majorBidi" w:hAnsiTheme="majorBidi" w:cstheme="majorBidi"/>
          <w:sz w:val="20"/>
          <w:szCs w:val="20"/>
        </w:rPr>
        <w:t xml:space="preserve">, measured total debt as a percentage of total assets of firm </w:t>
      </w:r>
      <w:r w:rsidRPr="00E20D3C">
        <w:rPr>
          <w:rFonts w:asciiTheme="majorBidi" w:hAnsiTheme="majorBidi" w:cstheme="majorBidi"/>
          <w:i/>
          <w:sz w:val="20"/>
          <w:szCs w:val="20"/>
        </w:rPr>
        <w:t>j</w:t>
      </w:r>
      <w:r w:rsidRPr="00E20D3C">
        <w:rPr>
          <w:rFonts w:asciiTheme="majorBidi" w:hAnsiTheme="majorBidi" w:cstheme="majorBidi"/>
          <w:sz w:val="20"/>
          <w:szCs w:val="20"/>
        </w:rPr>
        <w:t xml:space="preserve"> at year </w:t>
      </w:r>
      <w:r w:rsidRPr="00E20D3C">
        <w:rPr>
          <w:rFonts w:asciiTheme="majorBidi" w:hAnsiTheme="majorBidi" w:cstheme="majorBidi"/>
          <w:i/>
          <w:sz w:val="20"/>
          <w:szCs w:val="20"/>
        </w:rPr>
        <w:t>t</w:t>
      </w:r>
      <w:r w:rsidRPr="00E20D3C">
        <w:rPr>
          <w:rFonts w:asciiTheme="majorBidi" w:hAnsiTheme="majorBidi" w:cstheme="majorBidi"/>
          <w:sz w:val="20"/>
          <w:szCs w:val="20"/>
        </w:rPr>
        <w:t xml:space="preserve">. Growth includes two variables: </w:t>
      </w:r>
      <w:r w:rsidRPr="00E20D3C">
        <w:rPr>
          <w:rFonts w:asciiTheme="majorBidi" w:hAnsiTheme="majorBidi" w:cstheme="majorBidi"/>
          <w:iCs/>
          <w:sz w:val="20"/>
          <w:szCs w:val="20"/>
        </w:rPr>
        <w:t>Change in Revenues</w:t>
      </w:r>
      <w:r w:rsidRPr="00E20D3C">
        <w:rPr>
          <w:rFonts w:asciiTheme="majorBidi" w:hAnsiTheme="majorBidi" w:cstheme="majorBidi"/>
          <w:sz w:val="20"/>
          <w:szCs w:val="20"/>
        </w:rPr>
        <w:t xml:space="preserve">, measured as </w:t>
      </w:r>
      <w:r w:rsidRPr="00E20D3C">
        <w:rPr>
          <w:rFonts w:asciiTheme="majorBidi" w:hAnsiTheme="majorBidi" w:cstheme="majorBidi"/>
          <w:iCs/>
          <w:sz w:val="20"/>
          <w:szCs w:val="20"/>
        </w:rPr>
        <w:t>Sales Revenues</w:t>
      </w:r>
      <w:r w:rsidRPr="00E20D3C">
        <w:rPr>
          <w:rFonts w:asciiTheme="majorBidi" w:hAnsiTheme="majorBidi" w:cstheme="majorBidi"/>
          <w:sz w:val="20"/>
          <w:szCs w:val="20"/>
        </w:rPr>
        <w:t xml:space="preserve"> in year </w:t>
      </w:r>
      <w:r w:rsidRPr="00E20D3C">
        <w:rPr>
          <w:rFonts w:asciiTheme="majorBidi" w:hAnsiTheme="majorBidi" w:cstheme="majorBidi"/>
          <w:i/>
          <w:sz w:val="20"/>
          <w:szCs w:val="20"/>
        </w:rPr>
        <w:t>t</w:t>
      </w:r>
      <w:r w:rsidRPr="00E20D3C">
        <w:rPr>
          <w:rFonts w:asciiTheme="majorBidi" w:hAnsiTheme="majorBidi" w:cstheme="majorBidi"/>
          <w:sz w:val="20"/>
          <w:szCs w:val="20"/>
        </w:rPr>
        <w:t xml:space="preserve"> minus </w:t>
      </w:r>
      <w:r w:rsidRPr="00E20D3C">
        <w:rPr>
          <w:rFonts w:asciiTheme="majorBidi" w:hAnsiTheme="majorBidi" w:cstheme="majorBidi"/>
          <w:iCs/>
          <w:sz w:val="20"/>
          <w:szCs w:val="20"/>
        </w:rPr>
        <w:t>Sales Revenues</w:t>
      </w:r>
      <w:r w:rsidRPr="00E20D3C">
        <w:rPr>
          <w:rFonts w:asciiTheme="majorBidi" w:hAnsiTheme="majorBidi" w:cstheme="majorBidi"/>
          <w:sz w:val="20"/>
          <w:szCs w:val="20"/>
        </w:rPr>
        <w:t xml:space="preserve"> in year </w:t>
      </w:r>
      <w:r w:rsidRPr="00E20D3C">
        <w:rPr>
          <w:rFonts w:asciiTheme="majorBidi" w:hAnsiTheme="majorBidi" w:cstheme="majorBidi"/>
          <w:i/>
          <w:sz w:val="20"/>
          <w:szCs w:val="20"/>
        </w:rPr>
        <w:t>t</w:t>
      </w:r>
      <w:r w:rsidRPr="00E20D3C">
        <w:rPr>
          <w:rFonts w:asciiTheme="majorBidi" w:hAnsiTheme="majorBidi" w:cstheme="majorBidi"/>
          <w:sz w:val="20"/>
          <w:szCs w:val="20"/>
        </w:rPr>
        <w:t xml:space="preserve">-1 divided by </w:t>
      </w:r>
      <w:r w:rsidRPr="00E20D3C">
        <w:rPr>
          <w:rFonts w:asciiTheme="majorBidi" w:hAnsiTheme="majorBidi" w:cstheme="majorBidi"/>
          <w:iCs/>
          <w:sz w:val="20"/>
          <w:szCs w:val="20"/>
        </w:rPr>
        <w:t>Sales Revenues</w:t>
      </w:r>
      <w:r w:rsidRPr="00E20D3C">
        <w:rPr>
          <w:rFonts w:asciiTheme="majorBidi" w:hAnsiTheme="majorBidi" w:cstheme="majorBidi"/>
          <w:sz w:val="20"/>
          <w:szCs w:val="20"/>
        </w:rPr>
        <w:t xml:space="preserve"> in year </w:t>
      </w:r>
      <w:r w:rsidRPr="00E20D3C">
        <w:rPr>
          <w:rFonts w:asciiTheme="majorBidi" w:hAnsiTheme="majorBidi" w:cstheme="majorBidi"/>
          <w:i/>
          <w:sz w:val="20"/>
          <w:szCs w:val="20"/>
        </w:rPr>
        <w:t>t</w:t>
      </w:r>
      <w:r w:rsidRPr="00E20D3C">
        <w:rPr>
          <w:rFonts w:asciiTheme="majorBidi" w:hAnsiTheme="majorBidi" w:cstheme="majorBidi"/>
          <w:sz w:val="20"/>
          <w:szCs w:val="20"/>
        </w:rPr>
        <w:t xml:space="preserve">-1, and R&amp;D expense, measured as </w:t>
      </w:r>
      <w:r w:rsidRPr="00E20D3C">
        <w:rPr>
          <w:rFonts w:asciiTheme="majorBidi" w:hAnsiTheme="majorBidi" w:cstheme="majorBidi"/>
          <w:iCs/>
          <w:sz w:val="20"/>
          <w:szCs w:val="20"/>
        </w:rPr>
        <w:t>R&amp;D Expense</w:t>
      </w:r>
      <w:r w:rsidRPr="00E20D3C">
        <w:rPr>
          <w:rFonts w:asciiTheme="majorBidi" w:hAnsiTheme="majorBidi" w:cstheme="majorBidi"/>
          <w:sz w:val="20"/>
          <w:szCs w:val="20"/>
        </w:rPr>
        <w:t xml:space="preserve"> in year </w:t>
      </w:r>
      <w:r w:rsidRPr="00E20D3C">
        <w:rPr>
          <w:rFonts w:asciiTheme="majorBidi" w:hAnsiTheme="majorBidi" w:cstheme="majorBidi"/>
          <w:i/>
          <w:sz w:val="20"/>
          <w:szCs w:val="20"/>
        </w:rPr>
        <w:t>t</w:t>
      </w:r>
      <w:r w:rsidRPr="00E20D3C">
        <w:rPr>
          <w:rFonts w:asciiTheme="majorBidi" w:hAnsiTheme="majorBidi" w:cstheme="majorBidi"/>
          <w:sz w:val="20"/>
          <w:szCs w:val="20"/>
        </w:rPr>
        <w:t xml:space="preserve"> as a percentage of </w:t>
      </w:r>
      <w:r w:rsidRPr="00E20D3C">
        <w:rPr>
          <w:rFonts w:asciiTheme="majorBidi" w:hAnsiTheme="majorBidi" w:cstheme="majorBidi"/>
          <w:iCs/>
          <w:sz w:val="20"/>
          <w:szCs w:val="20"/>
        </w:rPr>
        <w:t>Sales Revenues</w:t>
      </w:r>
      <w:r w:rsidRPr="00E20D3C">
        <w:rPr>
          <w:rFonts w:asciiTheme="majorBidi" w:hAnsiTheme="majorBidi" w:cstheme="majorBidi"/>
          <w:i/>
          <w:sz w:val="20"/>
          <w:szCs w:val="20"/>
        </w:rPr>
        <w:t xml:space="preserve"> </w:t>
      </w:r>
      <w:r w:rsidRPr="00E20D3C">
        <w:rPr>
          <w:rFonts w:asciiTheme="majorBidi" w:hAnsiTheme="majorBidi" w:cstheme="majorBidi"/>
          <w:sz w:val="20"/>
          <w:szCs w:val="20"/>
        </w:rPr>
        <w:t xml:space="preserve">in year </w:t>
      </w:r>
      <w:r w:rsidRPr="00E20D3C">
        <w:rPr>
          <w:rFonts w:asciiTheme="majorBidi" w:hAnsiTheme="majorBidi" w:cstheme="majorBidi"/>
          <w:i/>
          <w:sz w:val="20"/>
          <w:szCs w:val="20"/>
        </w:rPr>
        <w:t>t</w:t>
      </w:r>
      <w:r w:rsidRPr="00E20D3C">
        <w:rPr>
          <w:rFonts w:asciiTheme="majorBidi" w:hAnsiTheme="majorBidi" w:cstheme="majorBidi"/>
          <w:sz w:val="20"/>
          <w:szCs w:val="20"/>
        </w:rPr>
        <w:t xml:space="preserve">  (</w:t>
      </w:r>
      <m:oMath>
        <m:sSub>
          <m:sSubPr>
            <m:ctrlPr>
              <w:rPr>
                <w:rFonts w:ascii="Cambria Math" w:hAnsi="Cambria Math" w:cstheme="majorBidi"/>
                <w:i/>
                <w:sz w:val="20"/>
                <w:szCs w:val="20"/>
              </w:rPr>
            </m:ctrlPr>
          </m:sSubPr>
          <m:e>
            <m:r>
              <w:rPr>
                <w:rFonts w:ascii="Cambria Math" w:hAnsi="Cambria Math" w:cstheme="majorBidi"/>
                <w:sz w:val="20"/>
                <w:szCs w:val="20"/>
              </w:rPr>
              <m:t>CRV</m:t>
            </m:r>
          </m:e>
          <m:sub>
            <m:r>
              <w:rPr>
                <w:rFonts w:ascii="Cambria Math" w:hAnsi="Cambria Math" w:cstheme="majorBidi"/>
                <w:sz w:val="20"/>
                <w:szCs w:val="20"/>
              </w:rPr>
              <m:t>j,t</m:t>
            </m:r>
          </m:sub>
        </m:sSub>
        <m:r>
          <w:rPr>
            <w:rFonts w:ascii="Cambria Math" w:hAnsi="Cambria Math" w:cstheme="majorBidi"/>
            <w:sz w:val="20"/>
            <w:szCs w:val="20"/>
          </w:rPr>
          <m:t xml:space="preserve"> </m:t>
        </m:r>
      </m:oMath>
      <w:r w:rsidRPr="00E20D3C">
        <w:rPr>
          <w:rFonts w:asciiTheme="majorBidi" w:hAnsiTheme="majorBidi" w:cstheme="majorBidi"/>
          <w:sz w:val="20"/>
          <w:szCs w:val="20"/>
        </w:rPr>
        <w:t xml:space="preserve">and </w:t>
      </w:r>
      <m:oMath>
        <m:sSub>
          <m:sSubPr>
            <m:ctrlPr>
              <w:rPr>
                <w:rFonts w:ascii="Cambria Math" w:hAnsi="Cambria Math" w:cstheme="majorBidi"/>
                <w:i/>
                <w:sz w:val="20"/>
                <w:szCs w:val="20"/>
              </w:rPr>
            </m:ctrlPr>
          </m:sSubPr>
          <m:e>
            <m:r>
              <w:rPr>
                <w:rFonts w:ascii="Cambria Math" w:hAnsi="Cambria Math" w:cstheme="majorBidi"/>
                <w:sz w:val="20"/>
                <w:szCs w:val="20"/>
              </w:rPr>
              <m:t>R&amp;D</m:t>
            </m:r>
          </m:e>
          <m:sub>
            <m:r>
              <w:rPr>
                <w:rFonts w:ascii="Cambria Math" w:hAnsi="Cambria Math" w:cstheme="majorBidi"/>
                <w:sz w:val="20"/>
                <w:szCs w:val="20"/>
              </w:rPr>
              <m:t>j,t</m:t>
            </m:r>
          </m:sub>
        </m:sSub>
        <m:r>
          <w:rPr>
            <w:rFonts w:ascii="Cambria Math" w:hAnsi="Cambria Math" w:cstheme="majorBidi"/>
            <w:sz w:val="20"/>
            <w:szCs w:val="20"/>
          </w:rPr>
          <m:t xml:space="preserve">, </m:t>
        </m:r>
      </m:oMath>
      <w:r w:rsidRPr="00E20D3C">
        <w:rPr>
          <w:rFonts w:asciiTheme="majorBidi" w:hAnsiTheme="majorBidi" w:cstheme="majorBidi"/>
          <w:sz w:val="20"/>
          <w:szCs w:val="20"/>
        </w:rPr>
        <w:t xml:space="preserve">respectively). Valuation also includes two variables for firm </w:t>
      </w:r>
      <w:r w:rsidRPr="00E20D3C">
        <w:rPr>
          <w:rFonts w:asciiTheme="majorBidi" w:hAnsiTheme="majorBidi" w:cstheme="majorBidi"/>
          <w:i/>
          <w:sz w:val="20"/>
          <w:szCs w:val="20"/>
        </w:rPr>
        <w:t>j</w:t>
      </w:r>
      <w:r w:rsidRPr="00E20D3C">
        <w:rPr>
          <w:rFonts w:asciiTheme="majorBidi" w:hAnsiTheme="majorBidi" w:cstheme="majorBidi"/>
          <w:sz w:val="20"/>
          <w:szCs w:val="20"/>
        </w:rPr>
        <w:t xml:space="preserve"> at time </w:t>
      </w:r>
      <w:r w:rsidRPr="00E20D3C">
        <w:rPr>
          <w:rFonts w:asciiTheme="majorBidi" w:hAnsiTheme="majorBidi" w:cstheme="majorBidi"/>
          <w:i/>
          <w:sz w:val="20"/>
          <w:szCs w:val="20"/>
        </w:rPr>
        <w:t>t</w:t>
      </w:r>
      <w:r w:rsidRPr="00E20D3C">
        <w:rPr>
          <w:rFonts w:asciiTheme="majorBidi" w:hAnsiTheme="majorBidi" w:cstheme="majorBidi"/>
          <w:sz w:val="20"/>
          <w:szCs w:val="20"/>
        </w:rPr>
        <w:t>: Price to Earnings ratio (</w:t>
      </w:r>
      <m:oMath>
        <m:sSub>
          <m:sSubPr>
            <m:ctrlPr>
              <w:rPr>
                <w:rFonts w:ascii="Cambria Math" w:hAnsi="Cambria Math" w:cstheme="majorBidi"/>
                <w:i/>
                <w:sz w:val="20"/>
                <w:szCs w:val="20"/>
              </w:rPr>
            </m:ctrlPr>
          </m:sSubPr>
          <m:e>
            <m:r>
              <w:rPr>
                <w:rFonts w:ascii="Cambria Math" w:hAnsi="Cambria Math" w:cstheme="majorBidi"/>
                <w:sz w:val="20"/>
                <w:szCs w:val="20"/>
              </w:rPr>
              <m:t>P/E</m:t>
            </m:r>
          </m:e>
          <m:sub>
            <m:r>
              <w:rPr>
                <w:rFonts w:ascii="Cambria Math" w:hAnsi="Cambria Math" w:cstheme="majorBidi"/>
                <w:sz w:val="20"/>
                <w:szCs w:val="20"/>
              </w:rPr>
              <m:t>j,t</m:t>
            </m:r>
          </m:sub>
        </m:sSub>
      </m:oMath>
      <w:r w:rsidRPr="00E20D3C">
        <w:rPr>
          <w:rFonts w:asciiTheme="majorBidi" w:hAnsiTheme="majorBidi" w:cstheme="majorBidi"/>
          <w:sz w:val="20"/>
          <w:szCs w:val="20"/>
        </w:rPr>
        <w:t>) and Price to Book Value ratio (</w:t>
      </w:r>
      <m:oMath>
        <m:sSub>
          <m:sSubPr>
            <m:ctrlPr>
              <w:rPr>
                <w:rFonts w:ascii="Cambria Math" w:hAnsi="Cambria Math" w:cstheme="majorBidi"/>
                <w:i/>
                <w:sz w:val="20"/>
                <w:szCs w:val="20"/>
              </w:rPr>
            </m:ctrlPr>
          </m:sSubPr>
          <m:e>
            <m:r>
              <w:rPr>
                <w:rFonts w:ascii="Cambria Math" w:hAnsi="Cambria Math" w:cstheme="majorBidi"/>
                <w:sz w:val="20"/>
                <w:szCs w:val="20"/>
              </w:rPr>
              <m:t>P/B</m:t>
            </m:r>
          </m:e>
          <m:sub>
            <m:r>
              <w:rPr>
                <w:rFonts w:ascii="Cambria Math" w:hAnsi="Cambria Math" w:cstheme="majorBidi"/>
                <w:sz w:val="20"/>
                <w:szCs w:val="20"/>
              </w:rPr>
              <m:t>j,t</m:t>
            </m:r>
          </m:sub>
        </m:sSub>
        <m:r>
          <w:rPr>
            <w:rFonts w:ascii="Cambria Math" w:hAnsi="Cambria Math" w:cstheme="majorBidi"/>
            <w:sz w:val="20"/>
            <w:szCs w:val="20"/>
          </w:rPr>
          <m:t>)</m:t>
        </m:r>
      </m:oMath>
      <w:r w:rsidRPr="00E20D3C">
        <w:rPr>
          <w:rFonts w:asciiTheme="majorBidi" w:hAnsiTheme="majorBidi" w:cstheme="majorBidi"/>
          <w:sz w:val="20"/>
          <w:szCs w:val="20"/>
        </w:rPr>
        <w:t>.</w:t>
      </w:r>
      <w:r w:rsidRPr="008754C3">
        <w:rPr>
          <w:rFonts w:asciiTheme="majorBidi" w:hAnsiTheme="majorBidi" w:cstheme="majorBidi"/>
          <w:sz w:val="20"/>
          <w:szCs w:val="20"/>
        </w:rPr>
        <w:t xml:space="preserve"> </w:t>
      </w:r>
    </w:p>
    <w:p w14:paraId="5EFEB2BC" w14:textId="77777777" w:rsidR="009F1746" w:rsidRPr="00E20D3C" w:rsidRDefault="009F1746" w:rsidP="009F1746">
      <w:pPr>
        <w:keepNext/>
        <w:keepLines/>
        <w:widowControl w:val="0"/>
        <w:bidi w:val="0"/>
        <w:spacing w:line="240" w:lineRule="auto"/>
        <w:rPr>
          <w:rFonts w:ascii="Times New Roman" w:hAnsi="Times New Roman"/>
          <w:sz w:val="24"/>
          <w:szCs w:val="24"/>
        </w:rPr>
      </w:pPr>
    </w:p>
    <w:p w14:paraId="69429859" w14:textId="41B51B71" w:rsidR="002D1DAC" w:rsidRPr="008754C3" w:rsidRDefault="002D1DAC" w:rsidP="003203CB">
      <w:pPr>
        <w:pStyle w:val="LSbodytext"/>
        <w:spacing w:before="240" w:line="480" w:lineRule="auto"/>
      </w:pPr>
      <w:bookmarkStart w:id="15" w:name="_Hlk91001504"/>
      <w:r w:rsidRPr="008754C3">
        <w:t>For our analysis</w:t>
      </w:r>
      <w:r w:rsidR="00E37D4E" w:rsidRPr="008754C3">
        <w:t>,</w:t>
      </w:r>
      <w:r w:rsidRPr="008754C3">
        <w:t xml:space="preserve"> we use </w:t>
      </w:r>
      <w:r w:rsidR="009F1746">
        <w:t>three</w:t>
      </w:r>
      <w:r w:rsidR="009F1746" w:rsidRPr="008754C3">
        <w:t xml:space="preserve"> </w:t>
      </w:r>
      <w:r w:rsidRPr="008754C3">
        <w:t xml:space="preserve">models </w:t>
      </w:r>
      <w:r w:rsidR="00E37D4E" w:rsidRPr="008754C3">
        <w:t xml:space="preserve">in which </w:t>
      </w:r>
      <w:r w:rsidRPr="008754C3">
        <w:t xml:space="preserve">the dependent variable is </w:t>
      </w:r>
      <m:oMath>
        <m:sSub>
          <m:sSubPr>
            <m:ctrlPr>
              <w:rPr>
                <w:rFonts w:ascii="Cambria Math" w:hAnsi="Cambria Math"/>
                <w:i/>
              </w:rPr>
            </m:ctrlPr>
          </m:sSubPr>
          <m:e>
            <m:r>
              <w:rPr>
                <w:rFonts w:ascii="Cambria Math" w:hAnsi="Cambria Math"/>
              </w:rPr>
              <m:t>EPS</m:t>
            </m:r>
          </m:e>
          <m:sub>
            <m:r>
              <w:rPr>
                <w:rFonts w:ascii="Cambria Math" w:hAnsi="Cambria Math"/>
              </w:rPr>
              <m:t>j,t</m:t>
            </m:r>
          </m:sub>
        </m:sSub>
      </m:oMath>
      <w:r w:rsidRPr="008754C3">
        <w:t>. In Model 1</w:t>
      </w:r>
      <w:r w:rsidR="00E37D4E" w:rsidRPr="008754C3">
        <w:t>,</w:t>
      </w:r>
      <w:r w:rsidRPr="008754C3">
        <w:t xml:space="preserve"> the independent variables </w:t>
      </w:r>
      <w:r w:rsidR="00E37D4E" w:rsidRPr="008754C3">
        <w:t xml:space="preserve">are </w:t>
      </w:r>
      <w:r w:rsidRPr="008754C3">
        <w:t>only the previous period</w:t>
      </w:r>
      <w:r w:rsidR="001123C2" w:rsidRPr="008754C3">
        <w:t>’</w:t>
      </w:r>
      <w:r w:rsidRPr="008754C3">
        <w:t>s earnings and the current</w:t>
      </w:r>
      <w:r w:rsidR="00E37D4E" w:rsidRPr="008754C3">
        <w:t>-</w:t>
      </w:r>
      <w:r w:rsidRPr="008754C3">
        <w:t xml:space="preserve">period wedge. Model 2 includes all </w:t>
      </w:r>
      <w:r w:rsidR="00E37D4E" w:rsidRPr="008754C3">
        <w:t xml:space="preserve">twelve </w:t>
      </w:r>
      <w:r w:rsidRPr="008754C3">
        <w:t xml:space="preserve">control variables </w:t>
      </w:r>
      <w:r w:rsidR="00E701FC" w:rsidRPr="008754C3">
        <w:t xml:space="preserve">and </w:t>
      </w:r>
      <w:r w:rsidR="00E37D4E" w:rsidRPr="008754C3">
        <w:t xml:space="preserve">the </w:t>
      </w:r>
      <w:r w:rsidRPr="008754C3">
        <w:t xml:space="preserve">year fixed effect. Model 3 </w:t>
      </w:r>
      <w:r w:rsidR="00E37D4E" w:rsidRPr="008754C3">
        <w:t>include</w:t>
      </w:r>
      <w:r w:rsidR="009F1746">
        <w:t>s</w:t>
      </w:r>
      <w:r w:rsidRPr="008754C3">
        <w:t>, in addition to the control variables, firm fixed effect</w:t>
      </w:r>
      <w:r w:rsidR="00E37D4E" w:rsidRPr="008754C3">
        <w:t>s</w:t>
      </w:r>
      <w:r w:rsidRPr="008754C3">
        <w:t>.</w:t>
      </w:r>
    </w:p>
    <w:p w14:paraId="6C5E7D16" w14:textId="77777777" w:rsidR="009F1746" w:rsidRPr="008754C3" w:rsidRDefault="009F1746" w:rsidP="009F1746">
      <w:pPr>
        <w:pStyle w:val="LSbodytext"/>
        <w:spacing w:line="480" w:lineRule="auto"/>
      </w:pPr>
      <w:bookmarkStart w:id="16" w:name="_Hlk119141144"/>
      <w:r w:rsidRPr="008754C3">
        <w:lastRenderedPageBreak/>
        <w:t xml:space="preserve">The results of all </w:t>
      </w:r>
      <w:r>
        <w:rPr>
          <w:lang w:val="en-GB"/>
        </w:rPr>
        <w:t>three</w:t>
      </w:r>
      <w:r w:rsidRPr="008754C3">
        <w:t xml:space="preserve"> models are presented in Table 3. The main variable of interest is the interaction between earnings persistence and the size of the wedge, </w:t>
      </w:r>
      <m:oMath>
        <m:sSub>
          <m:sSubPr>
            <m:ctrlPr>
              <w:rPr>
                <w:rFonts w:ascii="Cambria Math" w:hAnsi="Cambria Math"/>
                <w:i/>
              </w:rPr>
            </m:ctrlPr>
          </m:sSubPr>
          <m:e>
            <m:r>
              <w:rPr>
                <w:rFonts w:ascii="Cambria Math" w:hAnsi="Cambria Math"/>
              </w:rPr>
              <m:t>EPS</m:t>
            </m:r>
          </m:e>
          <m:sub>
            <m:r>
              <w:rPr>
                <w:rFonts w:ascii="Cambria Math" w:hAnsi="Cambria Math"/>
              </w:rPr>
              <m:t>j,t-1</m:t>
            </m:r>
          </m:sub>
        </m:sSub>
        <m:r>
          <w:rPr>
            <w:rFonts w:ascii="Cambria Math" w:hAnsi="Cambria Math"/>
          </w:rPr>
          <m:t xml:space="preserve"> </m:t>
        </m:r>
      </m:oMath>
      <w:r w:rsidRPr="008754C3">
        <w:t>*</w:t>
      </w:r>
      <m:oMath>
        <m:sSub>
          <m:sSubPr>
            <m:ctrlPr>
              <w:rPr>
                <w:rFonts w:ascii="Cambria Math" w:hAnsi="Cambria Math"/>
                <w:i/>
              </w:rPr>
            </m:ctrlPr>
          </m:sSubPr>
          <m:e>
            <m:r>
              <w:rPr>
                <w:rFonts w:ascii="Cambria Math" w:hAnsi="Cambria Math"/>
              </w:rPr>
              <m:t>WEDGE</m:t>
            </m:r>
          </m:e>
          <m:sub>
            <m:r>
              <w:rPr>
                <w:rFonts w:ascii="Cambria Math" w:hAnsi="Cambria Math"/>
              </w:rPr>
              <m:t>j,t</m:t>
            </m:r>
          </m:sub>
        </m:sSub>
      </m:oMath>
      <w:r w:rsidRPr="008754C3">
        <w:t xml:space="preserve">. The coefficient for the main variable of interest is positive and highly significant for all </w:t>
      </w:r>
      <w:r>
        <w:t>three</w:t>
      </w:r>
      <w:r w:rsidRPr="008754C3">
        <w:t xml:space="preserve"> models, suggesting that the slope coefficient, relating the current period’s earnings to the next period’s earnings, is steeper, and therefore more informative, as the wedge grows. The results remain robust when fixed company effects are analyzed. The findings suggest that the larger the wedge, the higher the quality of information provided.</w:t>
      </w:r>
    </w:p>
    <w:bookmarkEnd w:id="16"/>
    <w:p w14:paraId="5EFD14DA" w14:textId="22D92F54" w:rsidR="00BF6E08" w:rsidRPr="008754C3" w:rsidRDefault="00BF6E08" w:rsidP="003203CB">
      <w:pPr>
        <w:pStyle w:val="Heading2"/>
        <w:spacing w:line="480" w:lineRule="auto"/>
      </w:pPr>
      <w:r w:rsidRPr="008754C3">
        <w:t>Cash Flow Persistence</w:t>
      </w:r>
    </w:p>
    <w:p w14:paraId="6158298B" w14:textId="6819C815" w:rsidR="00BF6E08" w:rsidRPr="008754C3" w:rsidRDefault="00BF6E08" w:rsidP="003203CB">
      <w:pPr>
        <w:pStyle w:val="LSbodytext"/>
        <w:spacing w:line="480" w:lineRule="auto"/>
      </w:pPr>
      <w:r w:rsidRPr="008754C3">
        <w:t xml:space="preserve">While earnings persistence is </w:t>
      </w:r>
      <w:r w:rsidR="004429EE" w:rsidRPr="008754C3">
        <w:t>often considered an indicator</w:t>
      </w:r>
      <w:r w:rsidRPr="008754C3">
        <w:t xml:space="preserve"> of earnings quality</w:t>
      </w:r>
      <w:r w:rsidR="004429EE" w:rsidRPr="008754C3">
        <w:t xml:space="preserve"> </w:t>
      </w:r>
      <w:r w:rsidR="004429EE" w:rsidRPr="008754C3">
        <w:fldChar w:fldCharType="begin" w:fldLock="1"/>
      </w:r>
      <w:r w:rsidR="00235A5D" w:rsidRPr="008754C3">
        <w:instrText xml:space="preserve">ADDIN CSL_CITATION {"citationItems":[{"id":"ITEM-1","itemData":{"abstract":"Underst anding earnings qualit y: A review of t he proxies, t heir det erminant s and t heir consequences Download a PDF Pack of t he best relat ed papers </w:instrText>
      </w:r>
      <w:r w:rsidR="00235A5D" w:rsidRPr="008754C3">
        <w:instrText> ACCOUNTING HORIZONS Supplement 2003 pp.","author":[{"dropping-particle":"","family":"Schipper","given":"Katherine","non-dropping-particle":"","parse-names":false,"suffix":""},{"dropping-particle":"","family":"Vincent","given":"Linda","non-dropping-particle":"","parse-names":false,"suffix":""}],"container-title":"Accounting Horizons","id":"ITEM-1","issued":{"date-parts":[["2003"]]},"page":"97-110","title":"Earnings Quality","type":"article-journal","volume":"Supplement"},"uris":["http://www.mendeley.com/documents/?uuid=669bb09a-c651-408d-9653-33f08708d6c0"]}],"mendeley":{"formattedCitation":"(Schipper &amp; Vincent, 2003)","plainTextFormattedCitation":"(Schipper &amp; Vincent, 2003)","previouslyFormattedCitation":"(Schipper &amp; Vincent, 2003)"},"properties":{"noteIndex":0},"schema":"https://github.com/citation-style-language/schema/raw/master/csl-citation.json"}</w:instrText>
      </w:r>
      <w:r w:rsidR="004429EE" w:rsidRPr="008754C3">
        <w:fldChar w:fldCharType="separate"/>
      </w:r>
      <w:r w:rsidR="007C6DB2" w:rsidRPr="008754C3">
        <w:rPr>
          <w:noProof/>
        </w:rPr>
        <w:t>(Schipper &amp; Vincent, 2003)</w:t>
      </w:r>
      <w:r w:rsidR="004429EE" w:rsidRPr="008754C3">
        <w:fldChar w:fldCharType="end"/>
      </w:r>
      <w:r w:rsidRPr="008754C3">
        <w:t xml:space="preserve">, its major weakness is its dependence on the firm’s performance </w:t>
      </w:r>
      <w:r w:rsidR="004429EE" w:rsidRPr="008754C3">
        <w:t>as well as</w:t>
      </w:r>
      <w:r w:rsidRPr="008754C3">
        <w:t xml:space="preserve"> the accounting measurement system. This weakness allows it to be susceptible to earnings manipulation in the short run</w:t>
      </w:r>
      <w:r w:rsidRPr="008754C3">
        <w:rPr>
          <w:rStyle w:val="FootnoteReference"/>
          <w:rFonts w:asciiTheme="majorBidi" w:hAnsiTheme="majorBidi" w:cstheme="majorBidi"/>
        </w:rPr>
        <w:fldChar w:fldCharType="begin" w:fldLock="1"/>
      </w:r>
      <w:r w:rsidRPr="008754C3">
        <w:rPr>
          <w:rStyle w:val="FootnoteReference"/>
          <w:rFonts w:asciiTheme="majorBidi" w:hAnsiTheme="majorBidi" w:cstheme="majorBidi"/>
        </w:rPr>
        <w:fldChar w:fldCharType="separate"/>
      </w:r>
      <w:r w:rsidR="00153EC7" w:rsidRPr="008754C3">
        <w:rPr>
          <w:noProof/>
        </w:rPr>
        <w:t>(Dechow et al., 2010)</w:t>
      </w:r>
      <w:r w:rsidRPr="008754C3">
        <w:rPr>
          <w:rStyle w:val="FootnoteReference"/>
          <w:rFonts w:asciiTheme="majorBidi" w:hAnsiTheme="majorBidi" w:cstheme="majorBidi"/>
        </w:rPr>
        <w:fldChar w:fldCharType="end"/>
      </w:r>
      <w:r w:rsidRPr="008754C3">
        <w:t xml:space="preserve">. Cash flows tend to be more closely related to how firms are valued </w:t>
      </w:r>
      <w:r w:rsidRPr="008754C3">
        <w:rPr>
          <w:rStyle w:val="FootnoteReference"/>
          <w:rFonts w:asciiTheme="majorBidi" w:hAnsiTheme="majorBidi" w:cstheme="majorBidi"/>
        </w:rPr>
        <w:fldChar w:fldCharType="begin" w:fldLock="1"/>
      </w:r>
      <w:r w:rsidR="00153EC7" w:rsidRPr="008754C3">
        <w:instrText>ADDIN CSL_CITATION {"citationItems":[{"id":"ITEM-1","itemData":{"DOI":"10.2469/faj.v73.n1.2","ISSN":"0015198X","abstract":"Although various income statement-based measures predict the cross section of stock returns, direct method cash flow measures have even stronger predictive power. We transform indirect method cash flow statements into disaggregated and more direct estimates of cash flows from operations and other sources and form portfolios on the basis of these measures. Stocks in the highest-cash-flow decile outperform those in the lowest by over 10% annually (risk adjusted). Our results are robust to investment horizons and across risk factors and sector controls. We also show that, in addition to operating cash flow information, cash taxes and capital expenditures provide incremental predictive power.","author":[{"dropping-particle":"","family":"Foerster","given":"Stephen","non-dropping-particle":"","parse-names":false,"suffix":""},{"dropping-particle":"","family":"Tsagarelis","given":"John","non-dropping-particle":"","parse-names":false,"suffix":""},{"dropping-particle":"","family":"Wang","given":"Grant","non-dropping-particle":"","parse-names":false,"suffix":""}],"container-title":"Financial Analysts Journal","id":"ITEM-1","issue":"1","issued":{"date-parts":[["2017"]]},"page":"73-99","title":"Are Cash Flows Better Stock Return Predictors than Profits?","type":"article-journal","volume":"73"},"uris":["http://www.mendeley.com/documents/?uuid=aafc2dd7-305e-46f1-a561-b1b7f8066437"]}],"mendeley":{"formattedCitation":"(Foerster et al., 2017)","plainTextFormattedCitation":"(Foerster et al., 2017)","previouslyFormattedCitation":"(Foerster et al., 2017)"},"properties":{"noteIndex":0},"schema":"https://github.com/citation-style-language/schema/raw/master/csl-citation.json"}</w:instrText>
      </w:r>
      <w:r w:rsidRPr="008754C3">
        <w:rPr>
          <w:rStyle w:val="FootnoteReference"/>
          <w:rFonts w:asciiTheme="majorBidi" w:hAnsiTheme="majorBidi" w:cstheme="majorBidi"/>
        </w:rPr>
        <w:fldChar w:fldCharType="separate"/>
      </w:r>
      <w:r w:rsidR="00153EC7" w:rsidRPr="008754C3">
        <w:rPr>
          <w:noProof/>
        </w:rPr>
        <w:t>(Foerster et al., 2017)</w:t>
      </w:r>
      <w:r w:rsidRPr="008754C3">
        <w:rPr>
          <w:rStyle w:val="FootnoteReference"/>
          <w:rFonts w:asciiTheme="majorBidi" w:hAnsiTheme="majorBidi" w:cstheme="majorBidi"/>
        </w:rPr>
        <w:fldChar w:fldCharType="end"/>
      </w:r>
      <w:r w:rsidRPr="008754C3">
        <w:t xml:space="preserve"> and therefore may be used as a proxy for earnings quality </w:t>
      </w:r>
      <w:r w:rsidRPr="008754C3">
        <w:fldChar w:fldCharType="begin" w:fldLock="1"/>
      </w:r>
      <w:r w:rsidR="0043793A" w:rsidRPr="008754C3">
        <w:instrText>ADDIN CSL_CITATION {"citationItems":[{"id":"ITEM-1","itemData":{"DOI":"0. l 177/0148558XI 1409149","abstract":"In this article, the authors revisit the role of the cash and accrual components of accounting earnings in predicting future cash flows using out-of-sample predictions and market value of equity as a proxy for all future cash flows. They find that, on average, accruals improve upon current cash flow from operations (CFO) in predicting future cash flows. In the cross­section, accruals' contribution is positively associated with proxies for quality of accruals and governance. Next, the authors investigate the implications of accruals' predictive value for accrual-based market anomalies. They find that portfolios formed on stock return pre­dictions using information from current CFO and accruals yield significantly positive returns on average, as opposed to CFO alone. They also find that Sloan's accrual anomaly is related to our accrual contribution anomaly. Indeed, when accruals' contribution to future cash flow prediction is the highest, the accrual anomaly vanishes. Collectively, the results suggest that the predictive value of accruals and market participants' ability to process it are a sig­nificant driver of accrual-based anomalies.","author":[{"dropping-particle":"","family":"Nam","given":"Seunghan","non-dropping-particle":"","parse-names":false,"suffix":""},{"dropping-particle":"","family":"Brochet","given":"Francois","non-dropping-particle":"","parse-names":false,"suffix":""},{"dropping-particle":"","family":"Ronen","given":"Joshua","non-dropping-particle":"","parse-names":false,"suffix":""}],"container-title":"Journal of Accounting, Auditing &amp; Finance","id":"ITEM-1","issue":"2","issued":{"date-parts":[["2012"]]},"page":"151-176","title":"The Predictive Value of Accruals and Consequences for Market Anomalies","type":"article-journal","volume":"27"},"uris":["http://www.mendeley.com/documents/?uuid=0ccc89fb-a433-4f34-ac81-7531c7a99987"]}],"mendeley":{"formattedCitation":"(Nam et al., 2012)","plainTextFormattedCitation":"(Nam et al., 2012)","previouslyFormattedCitation":"(Nam et al., 2012)"},"properties":{"noteIndex":0},"schema":"https://github.com/citation-style-language/schema/raw/master/csl-citation.json"}</w:instrText>
      </w:r>
      <w:r w:rsidRPr="008754C3">
        <w:fldChar w:fldCharType="separate"/>
      </w:r>
      <w:r w:rsidR="0043793A" w:rsidRPr="008754C3">
        <w:rPr>
          <w:noProof/>
        </w:rPr>
        <w:t>(Nam et al., 2012)</w:t>
      </w:r>
      <w:r w:rsidRPr="008754C3">
        <w:fldChar w:fldCharType="end"/>
      </w:r>
      <w:r w:rsidRPr="008754C3">
        <w:t xml:space="preserve">. </w:t>
      </w:r>
    </w:p>
    <w:p w14:paraId="0E3EA060" w14:textId="71C2BF3E" w:rsidR="00BF6E08" w:rsidRPr="008754C3" w:rsidRDefault="00BF6E08" w:rsidP="003203CB">
      <w:pPr>
        <w:pStyle w:val="LSbodytext"/>
        <w:spacing w:line="480" w:lineRule="auto"/>
      </w:pPr>
      <w:r w:rsidRPr="008754C3">
        <w:t>We rerun</w:t>
      </w:r>
      <w:r w:rsidR="002D1DAC" w:rsidRPr="008754C3">
        <w:t xml:space="preserve"> all </w:t>
      </w:r>
      <w:r w:rsidR="009F1746">
        <w:t>three</w:t>
      </w:r>
      <w:r w:rsidR="009F1746" w:rsidRPr="008754C3">
        <w:t xml:space="preserve"> </w:t>
      </w:r>
      <w:r w:rsidR="002D1DAC" w:rsidRPr="008754C3">
        <w:t>models</w:t>
      </w:r>
      <w:r w:rsidRPr="008754C3">
        <w:t xml:space="preserve">, but with cash flow per share </w:t>
      </w:r>
      <m:oMath>
        <m:sSub>
          <m:sSubPr>
            <m:ctrlPr>
              <w:rPr>
                <w:rFonts w:ascii="Cambria Math" w:hAnsi="Cambria Math"/>
                <w:i/>
              </w:rPr>
            </m:ctrlPr>
          </m:sSubPr>
          <m:e>
            <m:r>
              <w:rPr>
                <w:rFonts w:ascii="Cambria Math" w:hAnsi="Cambria Math"/>
              </w:rPr>
              <m:t>CFS</m:t>
            </m:r>
          </m:e>
          <m:sub/>
        </m:sSub>
      </m:oMath>
      <w:r w:rsidRPr="008754C3">
        <w:t xml:space="preserve">, calculated as </w:t>
      </w:r>
      <w:r w:rsidR="00786ACE" w:rsidRPr="008754C3">
        <w:t>t</w:t>
      </w:r>
      <w:r w:rsidRPr="008754C3">
        <w:t xml:space="preserve">otal </w:t>
      </w:r>
      <w:r w:rsidR="00786ACE" w:rsidRPr="008754C3">
        <w:t>c</w:t>
      </w:r>
      <w:r w:rsidRPr="008754C3">
        <w:t xml:space="preserve">ash </w:t>
      </w:r>
      <w:r w:rsidR="00786ACE" w:rsidRPr="008754C3">
        <w:t>f</w:t>
      </w:r>
      <w:r w:rsidRPr="008754C3">
        <w:t xml:space="preserve">lows from </w:t>
      </w:r>
      <w:r w:rsidR="00786ACE" w:rsidRPr="008754C3">
        <w:t>o</w:t>
      </w:r>
      <w:r w:rsidRPr="008754C3">
        <w:t>perations divided by the number of shares</w:t>
      </w:r>
      <w:r w:rsidR="00A81717" w:rsidRPr="008754C3">
        <w:t>,</w:t>
      </w:r>
      <w:r w:rsidRPr="008754C3">
        <w:t xml:space="preserve"> </w:t>
      </w:r>
      <w:r w:rsidR="00F9750E" w:rsidRPr="008754C3">
        <w:t>replacing</w:t>
      </w:r>
      <w:r w:rsidR="009F1746">
        <w:t xml:space="preserve"> all</w:t>
      </w:r>
      <w:r w:rsidR="00F9750E" w:rsidRPr="008754C3">
        <w:t xml:space="preserve"> </w:t>
      </w:r>
      <w:r w:rsidR="00F9750E" w:rsidRPr="008754C3">
        <w:rPr>
          <w:i/>
          <w:iCs/>
        </w:rPr>
        <w:t>EPS</w:t>
      </w:r>
      <w:r w:rsidR="00300B86">
        <w:t xml:space="preserve"> </w:t>
      </w:r>
      <w:r w:rsidR="0043793A" w:rsidRPr="008754C3">
        <w:t>variable</w:t>
      </w:r>
      <w:r w:rsidR="009F1746">
        <w:t>s</w:t>
      </w:r>
      <w:r w:rsidR="00FC1374" w:rsidRPr="008754C3">
        <w:t>.</w:t>
      </w:r>
      <w:r w:rsidR="00F417C9" w:rsidRPr="008754C3">
        <w:t xml:space="preserve"> </w:t>
      </w:r>
    </w:p>
    <w:bookmarkEnd w:id="15"/>
    <w:p w14:paraId="064572C7" w14:textId="7509D10E" w:rsidR="00F9632A" w:rsidRPr="00C34A85" w:rsidRDefault="00F9632A" w:rsidP="003203CB">
      <w:pPr>
        <w:widowControl w:val="0"/>
        <w:bidi w:val="0"/>
        <w:spacing w:before="240" w:after="0" w:line="480" w:lineRule="auto"/>
        <w:rPr>
          <w:rFonts w:ascii="Times New Roman" w:hAnsi="Times New Roman"/>
          <w:b/>
          <w:bCs/>
          <w:sz w:val="24"/>
          <w:szCs w:val="24"/>
        </w:rPr>
      </w:pPr>
      <w:r w:rsidRPr="00C34A85">
        <w:rPr>
          <w:rFonts w:ascii="Times New Roman" w:hAnsi="Times New Roman"/>
          <w:b/>
          <w:bCs/>
          <w:sz w:val="24"/>
          <w:szCs w:val="24"/>
        </w:rPr>
        <w:t xml:space="preserve">Table </w:t>
      </w:r>
      <w:r w:rsidR="0024742E">
        <w:rPr>
          <w:rFonts w:ascii="Times New Roman" w:hAnsi="Times New Roman"/>
          <w:b/>
          <w:bCs/>
          <w:sz w:val="24"/>
          <w:szCs w:val="24"/>
        </w:rPr>
        <w:t>4</w:t>
      </w:r>
    </w:p>
    <w:p w14:paraId="3150FB29" w14:textId="38B5382B" w:rsidR="00F9632A" w:rsidRPr="00F9234E" w:rsidRDefault="00F9632A" w:rsidP="003203CB">
      <w:pPr>
        <w:widowControl w:val="0"/>
        <w:bidi w:val="0"/>
        <w:spacing w:line="480" w:lineRule="auto"/>
        <w:rPr>
          <w:rFonts w:asciiTheme="majorBidi" w:hAnsiTheme="majorBidi" w:cstheme="majorBidi"/>
          <w:b/>
          <w:bCs/>
          <w:sz w:val="24"/>
          <w:szCs w:val="24"/>
          <w:lang w:bidi="ar-SA"/>
        </w:rPr>
      </w:pPr>
      <w:r w:rsidRPr="00F9234E">
        <w:rPr>
          <w:rFonts w:ascii="Times New Roman" w:hAnsi="Times New Roman"/>
          <w:b/>
          <w:bCs/>
          <w:sz w:val="24"/>
          <w:szCs w:val="24"/>
        </w:rPr>
        <w:t xml:space="preserve">Tests </w:t>
      </w:r>
      <w:r w:rsidR="00824955" w:rsidRPr="00F9234E">
        <w:rPr>
          <w:rFonts w:ascii="Times New Roman" w:hAnsi="Times New Roman"/>
          <w:b/>
          <w:bCs/>
          <w:sz w:val="24"/>
          <w:szCs w:val="24"/>
        </w:rPr>
        <w:t xml:space="preserve">of the relation between current cash flow and one year past cash flow and </w:t>
      </w:r>
      <w:r w:rsidR="009F1746" w:rsidRPr="00F9234E">
        <w:rPr>
          <w:rFonts w:ascii="Times New Roman" w:hAnsi="Times New Roman"/>
          <w:b/>
          <w:bCs/>
          <w:sz w:val="24"/>
          <w:szCs w:val="24"/>
        </w:rPr>
        <w:t>wedge size</w:t>
      </w:r>
      <w:r w:rsidR="00055C85" w:rsidRPr="00F9234E">
        <w:rPr>
          <w:rFonts w:asciiTheme="majorBidi" w:hAnsiTheme="majorBidi" w:cstheme="majorBidi"/>
          <w:b/>
          <w:bCs/>
          <w:sz w:val="24"/>
          <w:szCs w:val="24"/>
          <w:lang w:bidi="ar-SA"/>
        </w:rPr>
        <w:t>.</w:t>
      </w:r>
      <w:r w:rsidRPr="00F9234E">
        <w:rPr>
          <w:rFonts w:asciiTheme="majorBidi" w:hAnsiTheme="majorBidi" w:cstheme="majorBidi"/>
          <w:b/>
          <w:bCs/>
          <w:sz w:val="24"/>
          <w:szCs w:val="24"/>
          <w:lang w:bidi="ar-SA"/>
        </w:rPr>
        <w:t xml:space="preserve"> </w:t>
      </w:r>
    </w:p>
    <w:tbl>
      <w:tblPr>
        <w:tblW w:w="6288" w:type="dxa"/>
        <w:jc w:val="center"/>
        <w:tblLook w:val="04A0" w:firstRow="1" w:lastRow="0" w:firstColumn="1" w:lastColumn="0" w:noHBand="0" w:noVBand="1"/>
      </w:tblPr>
      <w:tblGrid>
        <w:gridCol w:w="2624"/>
        <w:gridCol w:w="1118"/>
        <w:gridCol w:w="1522"/>
        <w:gridCol w:w="1024"/>
      </w:tblGrid>
      <w:tr w:rsidR="009F1746" w:rsidRPr="008754C3" w14:paraId="4925B4E2" w14:textId="77777777" w:rsidTr="00C7587E">
        <w:trPr>
          <w:trHeight w:val="354"/>
          <w:jc w:val="center"/>
        </w:trPr>
        <w:tc>
          <w:tcPr>
            <w:tcW w:w="2624" w:type="dxa"/>
            <w:tcBorders>
              <w:top w:val="single" w:sz="4" w:space="0" w:color="auto"/>
              <w:left w:val="nil"/>
              <w:bottom w:val="single" w:sz="4" w:space="0" w:color="auto"/>
              <w:right w:val="nil"/>
            </w:tcBorders>
            <w:noWrap/>
            <w:tcMar>
              <w:top w:w="0" w:type="dxa"/>
              <w:left w:w="58" w:type="dxa"/>
              <w:bottom w:w="115" w:type="dxa"/>
              <w:right w:w="58" w:type="dxa"/>
            </w:tcMar>
            <w:vAlign w:val="center"/>
            <w:hideMark/>
          </w:tcPr>
          <w:p w14:paraId="18240345" w14:textId="77777777" w:rsidR="009F1746" w:rsidRPr="00C34A85" w:rsidRDefault="009F1746" w:rsidP="00C7587E">
            <w:pPr>
              <w:bidi w:val="0"/>
              <w:spacing w:after="0" w:line="240" w:lineRule="auto"/>
              <w:rPr>
                <w:rFonts w:asciiTheme="majorBidi" w:hAnsiTheme="majorBidi" w:cstheme="majorBidi"/>
                <w:b/>
                <w:bCs/>
                <w:sz w:val="24"/>
                <w:szCs w:val="24"/>
                <w:lang w:bidi="ar-SA"/>
              </w:rPr>
            </w:pPr>
            <w:r w:rsidRPr="00C34A85">
              <w:rPr>
                <w:rFonts w:asciiTheme="majorBidi" w:hAnsiTheme="majorBidi" w:cstheme="majorBidi"/>
                <w:b/>
                <w:bCs/>
                <w:sz w:val="24"/>
                <w:szCs w:val="24"/>
                <w:lang w:bidi="ar-SA"/>
              </w:rPr>
              <w:t>Variable</w:t>
            </w:r>
          </w:p>
        </w:tc>
        <w:tc>
          <w:tcPr>
            <w:tcW w:w="1118" w:type="dxa"/>
            <w:tcBorders>
              <w:top w:val="single" w:sz="4" w:space="0" w:color="auto"/>
              <w:left w:val="nil"/>
              <w:bottom w:val="single" w:sz="4" w:space="0" w:color="auto"/>
              <w:right w:val="nil"/>
            </w:tcBorders>
            <w:tcMar>
              <w:top w:w="0" w:type="dxa"/>
              <w:left w:w="58" w:type="dxa"/>
              <w:bottom w:w="115" w:type="dxa"/>
              <w:right w:w="58" w:type="dxa"/>
            </w:tcMar>
            <w:vAlign w:val="center"/>
            <w:hideMark/>
          </w:tcPr>
          <w:p w14:paraId="389E30E7" w14:textId="77777777" w:rsidR="009F1746" w:rsidRPr="00C34A85" w:rsidRDefault="009F1746" w:rsidP="00C7587E">
            <w:pPr>
              <w:bidi w:val="0"/>
              <w:spacing w:after="0" w:line="240" w:lineRule="auto"/>
              <w:rPr>
                <w:rFonts w:asciiTheme="majorBidi" w:hAnsiTheme="majorBidi" w:cstheme="majorBidi"/>
                <w:b/>
                <w:bCs/>
                <w:sz w:val="24"/>
                <w:szCs w:val="24"/>
              </w:rPr>
            </w:pPr>
            <w:r w:rsidRPr="00C34A85">
              <w:rPr>
                <w:rFonts w:asciiTheme="majorBidi" w:hAnsiTheme="majorBidi" w:cstheme="majorBidi"/>
                <w:b/>
                <w:bCs/>
                <w:sz w:val="24"/>
                <w:szCs w:val="24"/>
                <w:lang w:bidi="ar-SA"/>
              </w:rPr>
              <w:t>Model 1</w:t>
            </w:r>
          </w:p>
        </w:tc>
        <w:tc>
          <w:tcPr>
            <w:tcW w:w="1522" w:type="dxa"/>
            <w:tcBorders>
              <w:top w:val="single" w:sz="4" w:space="0" w:color="auto"/>
              <w:left w:val="nil"/>
              <w:bottom w:val="single" w:sz="4" w:space="0" w:color="auto"/>
              <w:right w:val="nil"/>
            </w:tcBorders>
            <w:noWrap/>
            <w:tcMar>
              <w:top w:w="0" w:type="dxa"/>
              <w:left w:w="58" w:type="dxa"/>
              <w:bottom w:w="115" w:type="dxa"/>
              <w:right w:w="58" w:type="dxa"/>
            </w:tcMar>
            <w:vAlign w:val="center"/>
            <w:hideMark/>
          </w:tcPr>
          <w:p w14:paraId="27C6E8A8" w14:textId="77777777" w:rsidR="009F1746" w:rsidRPr="00C34A85" w:rsidRDefault="009F1746" w:rsidP="00C7587E">
            <w:pPr>
              <w:bidi w:val="0"/>
              <w:spacing w:after="0" w:line="240" w:lineRule="auto"/>
              <w:rPr>
                <w:rFonts w:asciiTheme="majorBidi" w:hAnsiTheme="majorBidi" w:cstheme="majorBidi"/>
                <w:b/>
                <w:bCs/>
                <w:sz w:val="24"/>
                <w:szCs w:val="24"/>
                <w:rtl/>
              </w:rPr>
            </w:pPr>
            <w:r w:rsidRPr="00C34A85">
              <w:rPr>
                <w:rFonts w:asciiTheme="majorBidi" w:hAnsiTheme="majorBidi" w:cstheme="majorBidi"/>
                <w:b/>
                <w:bCs/>
                <w:sz w:val="24"/>
                <w:szCs w:val="24"/>
                <w:lang w:bidi="ar-SA"/>
              </w:rPr>
              <w:t>Model 2</w:t>
            </w:r>
          </w:p>
        </w:tc>
        <w:tc>
          <w:tcPr>
            <w:tcW w:w="1024" w:type="dxa"/>
            <w:tcBorders>
              <w:top w:val="single" w:sz="4" w:space="0" w:color="auto"/>
              <w:left w:val="nil"/>
              <w:bottom w:val="single" w:sz="4" w:space="0" w:color="auto"/>
              <w:right w:val="nil"/>
            </w:tcBorders>
            <w:tcMar>
              <w:top w:w="0" w:type="dxa"/>
              <w:left w:w="58" w:type="dxa"/>
              <w:bottom w:w="115" w:type="dxa"/>
              <w:right w:w="58" w:type="dxa"/>
            </w:tcMar>
            <w:vAlign w:val="center"/>
            <w:hideMark/>
          </w:tcPr>
          <w:p w14:paraId="14D84D99" w14:textId="77777777" w:rsidR="009F1746" w:rsidRPr="00C34A85" w:rsidRDefault="009F1746" w:rsidP="00C7587E">
            <w:pPr>
              <w:bidi w:val="0"/>
              <w:spacing w:after="0" w:line="240" w:lineRule="auto"/>
              <w:rPr>
                <w:rFonts w:asciiTheme="majorBidi" w:hAnsiTheme="majorBidi" w:cstheme="majorBidi"/>
                <w:b/>
                <w:bCs/>
                <w:sz w:val="24"/>
                <w:szCs w:val="24"/>
                <w:rtl/>
              </w:rPr>
            </w:pPr>
            <w:r w:rsidRPr="00C34A85">
              <w:rPr>
                <w:rFonts w:asciiTheme="majorBidi" w:hAnsiTheme="majorBidi" w:cstheme="majorBidi"/>
                <w:b/>
                <w:bCs/>
                <w:sz w:val="24"/>
                <w:szCs w:val="24"/>
                <w:lang w:bidi="ar-SA"/>
              </w:rPr>
              <w:t>Model 3</w:t>
            </w:r>
          </w:p>
        </w:tc>
      </w:tr>
      <w:tr w:rsidR="009F1746" w:rsidRPr="008754C3" w14:paraId="4FDE2E59" w14:textId="77777777" w:rsidTr="00C7587E">
        <w:trPr>
          <w:trHeight w:val="124"/>
          <w:jc w:val="center"/>
        </w:trPr>
        <w:tc>
          <w:tcPr>
            <w:tcW w:w="2624" w:type="dxa"/>
            <w:tcBorders>
              <w:top w:val="single" w:sz="4" w:space="0" w:color="auto"/>
              <w:left w:val="nil"/>
              <w:bottom w:val="nil"/>
              <w:right w:val="nil"/>
            </w:tcBorders>
            <w:noWrap/>
            <w:tcMar>
              <w:top w:w="0" w:type="dxa"/>
              <w:left w:w="58" w:type="dxa"/>
              <w:bottom w:w="115" w:type="dxa"/>
              <w:right w:w="58" w:type="dxa"/>
            </w:tcMar>
            <w:hideMark/>
          </w:tcPr>
          <w:p w14:paraId="469914D3" w14:textId="77777777" w:rsidR="009F1746" w:rsidRPr="00C34A85" w:rsidRDefault="009F1746" w:rsidP="00C7587E">
            <w:pPr>
              <w:bidi w:val="0"/>
              <w:spacing w:before="23" w:after="0"/>
              <w:rPr>
                <w:rFonts w:asciiTheme="majorBidi" w:hAnsiTheme="majorBidi" w:cstheme="majorBidi"/>
                <w:b/>
                <w:bCs/>
                <w:sz w:val="24"/>
                <w:szCs w:val="24"/>
                <w:rtl/>
              </w:rPr>
            </w:pPr>
            <w:r w:rsidRPr="00C34A85">
              <w:rPr>
                <w:rFonts w:asciiTheme="majorBidi" w:hAnsiTheme="majorBidi" w:cstheme="majorBidi"/>
                <w:b/>
                <w:bCs/>
                <w:sz w:val="24"/>
                <w:szCs w:val="24"/>
                <w:lang w:bidi="ar-SA"/>
              </w:rPr>
              <w:t>Constant</w:t>
            </w:r>
          </w:p>
        </w:tc>
        <w:tc>
          <w:tcPr>
            <w:tcW w:w="1118" w:type="dxa"/>
            <w:tcBorders>
              <w:top w:val="single" w:sz="4" w:space="0" w:color="auto"/>
              <w:left w:val="nil"/>
              <w:bottom w:val="nil"/>
              <w:right w:val="nil"/>
            </w:tcBorders>
            <w:tcMar>
              <w:top w:w="0" w:type="dxa"/>
              <w:left w:w="58" w:type="dxa"/>
              <w:bottom w:w="115" w:type="dxa"/>
              <w:right w:w="58" w:type="dxa"/>
            </w:tcMar>
            <w:hideMark/>
          </w:tcPr>
          <w:p w14:paraId="79C0AA81" w14:textId="77777777" w:rsidR="009F1746" w:rsidRPr="00C34A85" w:rsidRDefault="009F1746" w:rsidP="00C7587E">
            <w:pPr>
              <w:autoSpaceDE w:val="0"/>
              <w:autoSpaceDN w:val="0"/>
              <w:bidi w:val="0"/>
              <w:adjustRightInd w:val="0"/>
              <w:spacing w:before="23" w:after="0"/>
              <w:jc w:val="center"/>
              <w:rPr>
                <w:rFonts w:asciiTheme="majorBidi" w:hAnsiTheme="majorBidi" w:cstheme="majorBidi"/>
                <w:sz w:val="24"/>
                <w:szCs w:val="24"/>
                <w:rtl/>
                <w:lang w:bidi="ar-SA"/>
              </w:rPr>
            </w:pPr>
            <w:r w:rsidRPr="00C34A85">
              <w:rPr>
                <w:rFonts w:asciiTheme="majorBidi" w:hAnsiTheme="majorBidi" w:cstheme="majorBidi"/>
                <w:sz w:val="24"/>
                <w:szCs w:val="24"/>
                <w:rtl/>
              </w:rPr>
              <w:t>***9.43</w:t>
            </w:r>
          </w:p>
          <w:p w14:paraId="6F5A1E7B" w14:textId="77777777" w:rsidR="009F1746" w:rsidRPr="00C34A85" w:rsidRDefault="009F1746" w:rsidP="00C7587E">
            <w:pPr>
              <w:autoSpaceDE w:val="0"/>
              <w:autoSpaceDN w:val="0"/>
              <w:bidi w:val="0"/>
              <w:adjustRightInd w:val="0"/>
              <w:spacing w:before="23" w:after="0"/>
              <w:jc w:val="center"/>
              <w:rPr>
                <w:rFonts w:asciiTheme="majorBidi" w:hAnsiTheme="majorBidi" w:cstheme="majorBidi"/>
                <w:sz w:val="24"/>
                <w:szCs w:val="24"/>
              </w:rPr>
            </w:pPr>
            <w:r w:rsidRPr="00C34A85">
              <w:rPr>
                <w:rFonts w:asciiTheme="majorBidi" w:hAnsiTheme="majorBidi" w:cstheme="majorBidi"/>
                <w:sz w:val="24"/>
                <w:szCs w:val="24"/>
                <w:rtl/>
              </w:rPr>
              <w:t>(2.4)</w:t>
            </w:r>
          </w:p>
        </w:tc>
        <w:tc>
          <w:tcPr>
            <w:tcW w:w="1522" w:type="dxa"/>
            <w:tcBorders>
              <w:top w:val="single" w:sz="4" w:space="0" w:color="auto"/>
              <w:left w:val="nil"/>
              <w:bottom w:val="nil"/>
              <w:right w:val="nil"/>
            </w:tcBorders>
            <w:noWrap/>
            <w:tcMar>
              <w:top w:w="0" w:type="dxa"/>
              <w:left w:w="58" w:type="dxa"/>
              <w:bottom w:w="115" w:type="dxa"/>
              <w:right w:w="58" w:type="dxa"/>
            </w:tcMar>
            <w:hideMark/>
          </w:tcPr>
          <w:p w14:paraId="6F504C31" w14:textId="77777777" w:rsidR="009F1746" w:rsidRPr="00C34A85" w:rsidRDefault="009F1746" w:rsidP="00C7587E">
            <w:pPr>
              <w:autoSpaceDE w:val="0"/>
              <w:autoSpaceDN w:val="0"/>
              <w:bidi w:val="0"/>
              <w:adjustRightInd w:val="0"/>
              <w:spacing w:before="23" w:after="0"/>
              <w:jc w:val="center"/>
              <w:rPr>
                <w:rFonts w:asciiTheme="majorBidi" w:hAnsiTheme="majorBidi" w:cstheme="majorBidi"/>
                <w:sz w:val="24"/>
                <w:szCs w:val="24"/>
                <w:rtl/>
                <w:lang w:bidi="ar-SA"/>
              </w:rPr>
            </w:pPr>
            <w:r w:rsidRPr="00C34A85">
              <w:rPr>
                <w:rFonts w:asciiTheme="majorBidi" w:hAnsiTheme="majorBidi" w:cstheme="majorBidi"/>
                <w:sz w:val="24"/>
                <w:szCs w:val="24"/>
                <w:rtl/>
              </w:rPr>
              <w:t>***12.14</w:t>
            </w:r>
          </w:p>
          <w:p w14:paraId="7687E936" w14:textId="77777777" w:rsidR="009F1746" w:rsidRPr="00C34A85" w:rsidRDefault="009F1746" w:rsidP="00C7587E">
            <w:pPr>
              <w:autoSpaceDE w:val="0"/>
              <w:autoSpaceDN w:val="0"/>
              <w:bidi w:val="0"/>
              <w:adjustRightInd w:val="0"/>
              <w:spacing w:before="23" w:after="0"/>
              <w:jc w:val="center"/>
              <w:rPr>
                <w:rFonts w:asciiTheme="majorBidi" w:hAnsiTheme="majorBidi" w:cstheme="majorBidi"/>
                <w:sz w:val="24"/>
                <w:szCs w:val="24"/>
              </w:rPr>
            </w:pPr>
            <w:r w:rsidRPr="00C34A85">
              <w:rPr>
                <w:rFonts w:asciiTheme="majorBidi" w:hAnsiTheme="majorBidi" w:cstheme="majorBidi"/>
                <w:sz w:val="24"/>
                <w:szCs w:val="24"/>
                <w:rtl/>
              </w:rPr>
              <w:t>(4.03)</w:t>
            </w:r>
          </w:p>
        </w:tc>
        <w:tc>
          <w:tcPr>
            <w:tcW w:w="1024" w:type="dxa"/>
            <w:tcBorders>
              <w:top w:val="single" w:sz="4" w:space="0" w:color="auto"/>
              <w:left w:val="nil"/>
              <w:bottom w:val="nil"/>
              <w:right w:val="nil"/>
            </w:tcBorders>
            <w:tcMar>
              <w:top w:w="0" w:type="dxa"/>
              <w:left w:w="58" w:type="dxa"/>
              <w:bottom w:w="115" w:type="dxa"/>
              <w:right w:w="58" w:type="dxa"/>
            </w:tcMar>
          </w:tcPr>
          <w:p w14:paraId="570AAEBB" w14:textId="77777777" w:rsidR="009F1746" w:rsidRPr="00C34A85" w:rsidRDefault="009F1746" w:rsidP="00C7587E">
            <w:pPr>
              <w:autoSpaceDE w:val="0"/>
              <w:autoSpaceDN w:val="0"/>
              <w:bidi w:val="0"/>
              <w:adjustRightInd w:val="0"/>
              <w:spacing w:before="23" w:after="0"/>
              <w:jc w:val="center"/>
              <w:rPr>
                <w:rFonts w:asciiTheme="majorBidi" w:hAnsiTheme="majorBidi" w:cstheme="majorBidi"/>
                <w:sz w:val="24"/>
                <w:szCs w:val="24"/>
                <w:rtl/>
              </w:rPr>
            </w:pPr>
          </w:p>
        </w:tc>
      </w:tr>
      <w:tr w:rsidR="009F1746" w:rsidRPr="008754C3" w14:paraId="4DF1F3A3" w14:textId="77777777" w:rsidTr="00C7587E">
        <w:trPr>
          <w:trHeight w:val="124"/>
          <w:jc w:val="center"/>
        </w:trPr>
        <w:tc>
          <w:tcPr>
            <w:tcW w:w="2624" w:type="dxa"/>
            <w:noWrap/>
            <w:tcMar>
              <w:top w:w="0" w:type="dxa"/>
              <w:left w:w="58" w:type="dxa"/>
              <w:bottom w:w="115" w:type="dxa"/>
              <w:right w:w="58" w:type="dxa"/>
            </w:tcMar>
            <w:hideMark/>
          </w:tcPr>
          <w:p w14:paraId="19A4F42F" w14:textId="77777777" w:rsidR="009F1746" w:rsidRPr="00C34A85" w:rsidRDefault="00000000" w:rsidP="00C7587E">
            <w:pPr>
              <w:bidi w:val="0"/>
              <w:spacing w:before="23" w:after="0"/>
              <w:rPr>
                <w:rFonts w:asciiTheme="majorBidi" w:hAnsiTheme="majorBidi" w:cstheme="majorBidi"/>
                <w:b/>
                <w:bCs/>
                <w:sz w:val="24"/>
                <w:szCs w:val="24"/>
                <w:rtl/>
              </w:rPr>
            </w:pPr>
            <m:oMath>
              <m:sSub>
                <m:sSubPr>
                  <m:ctrlPr>
                    <w:rPr>
                      <w:rFonts w:ascii="Cambria Math" w:hAnsi="Cambria Math" w:cstheme="majorBidi"/>
                      <w:i/>
                      <w:sz w:val="24"/>
                      <w:szCs w:val="24"/>
                      <w:lang w:bidi="ar-SA"/>
                    </w:rPr>
                  </m:ctrlPr>
                </m:sSubPr>
                <m:e>
                  <m:r>
                    <w:rPr>
                      <w:rFonts w:ascii="Cambria Math" w:hAnsi="Cambria Math" w:cstheme="majorBidi"/>
                      <w:sz w:val="24"/>
                      <w:szCs w:val="24"/>
                      <w:lang w:bidi="ar-SA"/>
                    </w:rPr>
                    <m:t>CFS</m:t>
                  </m:r>
                </m:e>
                <m:sub>
                  <m:r>
                    <w:rPr>
                      <w:rFonts w:ascii="Cambria Math" w:hAnsi="Cambria Math" w:cstheme="majorBidi"/>
                      <w:sz w:val="24"/>
                      <w:szCs w:val="24"/>
                      <w:lang w:bidi="ar-SA"/>
                    </w:rPr>
                    <m:t>j,t-1</m:t>
                  </m:r>
                </m:sub>
              </m:sSub>
            </m:oMath>
            <w:r w:rsidR="009F1746" w:rsidRPr="00C34A85">
              <w:rPr>
                <w:rFonts w:asciiTheme="majorBidi" w:hAnsiTheme="majorBidi" w:cstheme="majorBidi"/>
                <w:sz w:val="24"/>
                <w:szCs w:val="24"/>
                <w:vertAlign w:val="superscript"/>
                <w:lang w:bidi="ar-SA"/>
              </w:rPr>
              <w:t>a</w:t>
            </w:r>
          </w:p>
        </w:tc>
        <w:tc>
          <w:tcPr>
            <w:tcW w:w="1118" w:type="dxa"/>
            <w:tcMar>
              <w:top w:w="0" w:type="dxa"/>
              <w:left w:w="58" w:type="dxa"/>
              <w:bottom w:w="115" w:type="dxa"/>
              <w:right w:w="58" w:type="dxa"/>
            </w:tcMar>
            <w:hideMark/>
          </w:tcPr>
          <w:p w14:paraId="68387F78" w14:textId="77777777" w:rsidR="009F1746" w:rsidRPr="00C34A85" w:rsidRDefault="009F1746" w:rsidP="00C7587E">
            <w:pPr>
              <w:autoSpaceDE w:val="0"/>
              <w:autoSpaceDN w:val="0"/>
              <w:bidi w:val="0"/>
              <w:adjustRightInd w:val="0"/>
              <w:spacing w:before="23" w:after="0"/>
              <w:jc w:val="center"/>
              <w:rPr>
                <w:rFonts w:asciiTheme="majorBidi" w:hAnsiTheme="majorBidi" w:cstheme="majorBidi"/>
                <w:sz w:val="24"/>
                <w:szCs w:val="24"/>
                <w:rtl/>
              </w:rPr>
            </w:pPr>
            <w:r w:rsidRPr="00C34A85">
              <w:rPr>
                <w:rFonts w:asciiTheme="majorBidi" w:hAnsiTheme="majorBidi" w:cstheme="majorBidi"/>
                <w:sz w:val="24"/>
                <w:szCs w:val="24"/>
                <w:rtl/>
              </w:rPr>
              <w:t>***0.05-</w:t>
            </w:r>
          </w:p>
          <w:p w14:paraId="5A7F1AF9" w14:textId="77777777" w:rsidR="009F1746" w:rsidRPr="00C34A85" w:rsidRDefault="009F1746" w:rsidP="00C7587E">
            <w:pPr>
              <w:autoSpaceDE w:val="0"/>
              <w:autoSpaceDN w:val="0"/>
              <w:bidi w:val="0"/>
              <w:adjustRightInd w:val="0"/>
              <w:spacing w:before="23" w:after="0"/>
              <w:jc w:val="center"/>
              <w:rPr>
                <w:rFonts w:asciiTheme="majorBidi" w:hAnsiTheme="majorBidi" w:cstheme="majorBidi"/>
                <w:sz w:val="24"/>
                <w:szCs w:val="24"/>
                <w:rtl/>
              </w:rPr>
            </w:pPr>
            <w:r w:rsidRPr="00C34A85">
              <w:rPr>
                <w:rFonts w:asciiTheme="majorBidi" w:hAnsiTheme="majorBidi" w:cstheme="majorBidi"/>
                <w:sz w:val="24"/>
                <w:szCs w:val="24"/>
                <w:rtl/>
              </w:rPr>
              <w:t xml:space="preserve"> (0.01)</w:t>
            </w:r>
          </w:p>
        </w:tc>
        <w:tc>
          <w:tcPr>
            <w:tcW w:w="1522" w:type="dxa"/>
            <w:noWrap/>
            <w:tcMar>
              <w:top w:w="0" w:type="dxa"/>
              <w:left w:w="58" w:type="dxa"/>
              <w:bottom w:w="115" w:type="dxa"/>
              <w:right w:w="58" w:type="dxa"/>
            </w:tcMar>
            <w:hideMark/>
          </w:tcPr>
          <w:p w14:paraId="593AB060" w14:textId="77777777" w:rsidR="009F1746" w:rsidRPr="00C34A85" w:rsidRDefault="009F1746" w:rsidP="00C7587E">
            <w:pPr>
              <w:autoSpaceDE w:val="0"/>
              <w:autoSpaceDN w:val="0"/>
              <w:bidi w:val="0"/>
              <w:adjustRightInd w:val="0"/>
              <w:spacing w:before="23" w:after="0"/>
              <w:jc w:val="center"/>
              <w:rPr>
                <w:rFonts w:asciiTheme="majorBidi" w:hAnsiTheme="majorBidi" w:cstheme="majorBidi"/>
                <w:sz w:val="24"/>
                <w:szCs w:val="24"/>
                <w:rtl/>
              </w:rPr>
            </w:pPr>
            <w:r w:rsidRPr="00C34A85">
              <w:rPr>
                <w:rFonts w:asciiTheme="majorBidi" w:hAnsiTheme="majorBidi" w:cstheme="majorBidi"/>
                <w:sz w:val="24"/>
                <w:szCs w:val="24"/>
                <w:rtl/>
              </w:rPr>
              <w:t>***0.05-</w:t>
            </w:r>
          </w:p>
          <w:p w14:paraId="3B8D3E9F" w14:textId="77777777" w:rsidR="009F1746" w:rsidRPr="00C34A85" w:rsidRDefault="009F1746" w:rsidP="00C7587E">
            <w:pPr>
              <w:autoSpaceDE w:val="0"/>
              <w:autoSpaceDN w:val="0"/>
              <w:bidi w:val="0"/>
              <w:adjustRightInd w:val="0"/>
              <w:spacing w:before="23" w:after="0"/>
              <w:jc w:val="center"/>
              <w:rPr>
                <w:rFonts w:asciiTheme="majorBidi" w:hAnsiTheme="majorBidi" w:cstheme="majorBidi"/>
                <w:sz w:val="24"/>
                <w:szCs w:val="24"/>
                <w:rtl/>
              </w:rPr>
            </w:pPr>
            <w:r w:rsidRPr="00C34A85">
              <w:rPr>
                <w:rFonts w:asciiTheme="majorBidi" w:hAnsiTheme="majorBidi" w:cstheme="majorBidi"/>
                <w:sz w:val="24"/>
                <w:szCs w:val="24"/>
                <w:rtl/>
              </w:rPr>
              <w:t xml:space="preserve"> (0.01)</w:t>
            </w:r>
          </w:p>
        </w:tc>
        <w:tc>
          <w:tcPr>
            <w:tcW w:w="1024" w:type="dxa"/>
            <w:tcMar>
              <w:top w:w="0" w:type="dxa"/>
              <w:left w:w="58" w:type="dxa"/>
              <w:bottom w:w="115" w:type="dxa"/>
              <w:right w:w="58" w:type="dxa"/>
            </w:tcMar>
            <w:hideMark/>
          </w:tcPr>
          <w:p w14:paraId="34A83B3F" w14:textId="77777777" w:rsidR="009F1746" w:rsidRPr="00C34A85" w:rsidRDefault="009F1746" w:rsidP="00C7587E">
            <w:pPr>
              <w:autoSpaceDE w:val="0"/>
              <w:autoSpaceDN w:val="0"/>
              <w:bidi w:val="0"/>
              <w:adjustRightInd w:val="0"/>
              <w:spacing w:before="23" w:after="0"/>
              <w:jc w:val="center"/>
              <w:rPr>
                <w:rFonts w:asciiTheme="majorBidi" w:hAnsiTheme="majorBidi" w:cstheme="majorBidi"/>
                <w:sz w:val="24"/>
                <w:szCs w:val="24"/>
                <w:rtl/>
                <w:lang w:bidi="ar-SA"/>
              </w:rPr>
            </w:pPr>
            <w:r w:rsidRPr="00C34A85">
              <w:rPr>
                <w:rFonts w:asciiTheme="majorBidi" w:hAnsiTheme="majorBidi" w:cstheme="majorBidi"/>
                <w:sz w:val="24"/>
                <w:szCs w:val="24"/>
                <w:rtl/>
              </w:rPr>
              <w:t>***0.27</w:t>
            </w:r>
          </w:p>
          <w:p w14:paraId="34F59F6D" w14:textId="77777777" w:rsidR="009F1746" w:rsidRPr="00C34A85" w:rsidRDefault="009F1746" w:rsidP="00C7587E">
            <w:pPr>
              <w:autoSpaceDE w:val="0"/>
              <w:autoSpaceDN w:val="0"/>
              <w:bidi w:val="0"/>
              <w:adjustRightInd w:val="0"/>
              <w:spacing w:before="23" w:after="0"/>
              <w:jc w:val="center"/>
              <w:rPr>
                <w:rFonts w:asciiTheme="majorBidi" w:hAnsiTheme="majorBidi" w:cstheme="majorBidi"/>
                <w:sz w:val="24"/>
                <w:szCs w:val="24"/>
              </w:rPr>
            </w:pPr>
            <w:r w:rsidRPr="00C34A85">
              <w:rPr>
                <w:rFonts w:asciiTheme="majorBidi" w:hAnsiTheme="majorBidi" w:cstheme="majorBidi"/>
                <w:sz w:val="24"/>
                <w:szCs w:val="24"/>
                <w:rtl/>
              </w:rPr>
              <w:t>(0.08)</w:t>
            </w:r>
          </w:p>
        </w:tc>
      </w:tr>
      <w:tr w:rsidR="009F1746" w:rsidRPr="008754C3" w14:paraId="7683F97F" w14:textId="77777777" w:rsidTr="00C7587E">
        <w:trPr>
          <w:trHeight w:val="124"/>
          <w:jc w:val="center"/>
        </w:trPr>
        <w:tc>
          <w:tcPr>
            <w:tcW w:w="2624" w:type="dxa"/>
            <w:noWrap/>
            <w:tcMar>
              <w:top w:w="0" w:type="dxa"/>
              <w:left w:w="58" w:type="dxa"/>
              <w:bottom w:w="115" w:type="dxa"/>
              <w:right w:w="58" w:type="dxa"/>
            </w:tcMar>
            <w:hideMark/>
          </w:tcPr>
          <w:p w14:paraId="561C824A" w14:textId="77777777" w:rsidR="009F1746" w:rsidRPr="00C34A85" w:rsidRDefault="00000000" w:rsidP="00C7587E">
            <w:pPr>
              <w:bidi w:val="0"/>
              <w:spacing w:before="23" w:after="0"/>
              <w:rPr>
                <w:rFonts w:asciiTheme="majorBidi" w:hAnsiTheme="majorBidi" w:cstheme="majorBidi"/>
                <w:b/>
                <w:bCs/>
                <w:sz w:val="24"/>
                <w:szCs w:val="24"/>
                <w:rtl/>
              </w:rPr>
            </w:pPr>
            <m:oMath>
              <m:sSub>
                <m:sSubPr>
                  <m:ctrlPr>
                    <w:rPr>
                      <w:rFonts w:ascii="Cambria Math" w:hAnsi="Cambria Math" w:cstheme="majorBidi"/>
                      <w:i/>
                      <w:sz w:val="24"/>
                      <w:szCs w:val="24"/>
                      <w:lang w:bidi="ar-SA"/>
                    </w:rPr>
                  </m:ctrlPr>
                </m:sSubPr>
                <m:e>
                  <m:r>
                    <w:rPr>
                      <w:rFonts w:ascii="Cambria Math" w:hAnsi="Cambria Math" w:cstheme="majorBidi"/>
                      <w:sz w:val="24"/>
                      <w:szCs w:val="24"/>
                      <w:lang w:bidi="ar-SA"/>
                    </w:rPr>
                    <m:t>WEDGE</m:t>
                  </m:r>
                </m:e>
                <m:sub>
                  <m:r>
                    <w:rPr>
                      <w:rFonts w:ascii="Cambria Math" w:hAnsi="Cambria Math" w:cstheme="majorBidi"/>
                      <w:sz w:val="24"/>
                      <w:szCs w:val="24"/>
                      <w:lang w:bidi="ar-SA"/>
                    </w:rPr>
                    <m:t>j,t</m:t>
                  </m:r>
                </m:sub>
              </m:sSub>
            </m:oMath>
            <w:r w:rsidR="009F1746" w:rsidRPr="00C34A85">
              <w:rPr>
                <w:rFonts w:asciiTheme="majorBidi" w:hAnsiTheme="majorBidi" w:cstheme="majorBidi"/>
                <w:sz w:val="24"/>
                <w:szCs w:val="24"/>
                <w:vertAlign w:val="superscript"/>
                <w:lang w:bidi="ar-SA"/>
              </w:rPr>
              <w:t>b</w:t>
            </w:r>
          </w:p>
        </w:tc>
        <w:tc>
          <w:tcPr>
            <w:tcW w:w="1118" w:type="dxa"/>
            <w:tcMar>
              <w:top w:w="0" w:type="dxa"/>
              <w:left w:w="58" w:type="dxa"/>
              <w:bottom w:w="115" w:type="dxa"/>
              <w:right w:w="58" w:type="dxa"/>
            </w:tcMar>
            <w:hideMark/>
          </w:tcPr>
          <w:p w14:paraId="1EBF3510" w14:textId="77777777" w:rsidR="009F1746" w:rsidRPr="00C34A85" w:rsidRDefault="009F1746" w:rsidP="00C7587E">
            <w:pPr>
              <w:autoSpaceDE w:val="0"/>
              <w:autoSpaceDN w:val="0"/>
              <w:bidi w:val="0"/>
              <w:adjustRightInd w:val="0"/>
              <w:spacing w:before="23" w:after="0"/>
              <w:jc w:val="center"/>
              <w:rPr>
                <w:rFonts w:asciiTheme="majorBidi" w:hAnsiTheme="majorBidi" w:cstheme="majorBidi"/>
                <w:sz w:val="24"/>
                <w:szCs w:val="24"/>
                <w:rtl/>
              </w:rPr>
            </w:pPr>
            <w:r w:rsidRPr="00C34A85">
              <w:rPr>
                <w:rFonts w:asciiTheme="majorBidi" w:hAnsiTheme="majorBidi" w:cstheme="majorBidi"/>
                <w:sz w:val="24"/>
                <w:szCs w:val="24"/>
                <w:rtl/>
              </w:rPr>
              <w:t>*8.73-</w:t>
            </w:r>
          </w:p>
          <w:p w14:paraId="28637B09" w14:textId="77777777" w:rsidR="009F1746" w:rsidRPr="00C34A85" w:rsidRDefault="009F1746" w:rsidP="00C7587E">
            <w:pPr>
              <w:autoSpaceDE w:val="0"/>
              <w:autoSpaceDN w:val="0"/>
              <w:bidi w:val="0"/>
              <w:adjustRightInd w:val="0"/>
              <w:spacing w:before="23" w:after="0"/>
              <w:jc w:val="center"/>
              <w:rPr>
                <w:rFonts w:asciiTheme="majorBidi" w:hAnsiTheme="majorBidi" w:cstheme="majorBidi"/>
                <w:sz w:val="24"/>
                <w:szCs w:val="24"/>
                <w:rtl/>
              </w:rPr>
            </w:pPr>
            <w:r w:rsidRPr="00C34A85">
              <w:rPr>
                <w:rFonts w:asciiTheme="majorBidi" w:hAnsiTheme="majorBidi" w:cstheme="majorBidi"/>
                <w:sz w:val="24"/>
                <w:szCs w:val="24"/>
                <w:rtl/>
              </w:rPr>
              <w:t>(4.6)</w:t>
            </w:r>
          </w:p>
        </w:tc>
        <w:tc>
          <w:tcPr>
            <w:tcW w:w="1522" w:type="dxa"/>
            <w:noWrap/>
            <w:tcMar>
              <w:top w:w="0" w:type="dxa"/>
              <w:left w:w="58" w:type="dxa"/>
              <w:bottom w:w="115" w:type="dxa"/>
              <w:right w:w="58" w:type="dxa"/>
            </w:tcMar>
            <w:hideMark/>
          </w:tcPr>
          <w:p w14:paraId="0B73C20B" w14:textId="77777777" w:rsidR="009F1746" w:rsidRPr="00C34A85" w:rsidRDefault="009F1746" w:rsidP="00C7587E">
            <w:pPr>
              <w:autoSpaceDE w:val="0"/>
              <w:autoSpaceDN w:val="0"/>
              <w:bidi w:val="0"/>
              <w:adjustRightInd w:val="0"/>
              <w:spacing w:before="23" w:after="0"/>
              <w:jc w:val="center"/>
              <w:rPr>
                <w:rFonts w:asciiTheme="majorBidi" w:hAnsiTheme="majorBidi" w:cstheme="majorBidi"/>
                <w:sz w:val="24"/>
                <w:szCs w:val="24"/>
                <w:rtl/>
              </w:rPr>
            </w:pPr>
            <w:r w:rsidRPr="00C34A85">
              <w:rPr>
                <w:rFonts w:asciiTheme="majorBidi" w:hAnsiTheme="majorBidi" w:cstheme="majorBidi"/>
                <w:sz w:val="24"/>
                <w:szCs w:val="24"/>
                <w:rtl/>
              </w:rPr>
              <w:t>*8.95-</w:t>
            </w:r>
          </w:p>
          <w:p w14:paraId="72E7D531" w14:textId="77777777" w:rsidR="009F1746" w:rsidRPr="00C34A85" w:rsidRDefault="009F1746" w:rsidP="00C7587E">
            <w:pPr>
              <w:autoSpaceDE w:val="0"/>
              <w:autoSpaceDN w:val="0"/>
              <w:bidi w:val="0"/>
              <w:adjustRightInd w:val="0"/>
              <w:spacing w:before="23" w:after="0"/>
              <w:jc w:val="center"/>
              <w:rPr>
                <w:rFonts w:asciiTheme="majorBidi" w:hAnsiTheme="majorBidi" w:cstheme="majorBidi"/>
                <w:sz w:val="24"/>
                <w:szCs w:val="24"/>
                <w:rtl/>
              </w:rPr>
            </w:pPr>
            <w:r w:rsidRPr="00C34A85">
              <w:rPr>
                <w:rFonts w:asciiTheme="majorBidi" w:hAnsiTheme="majorBidi" w:cstheme="majorBidi"/>
                <w:sz w:val="24"/>
                <w:szCs w:val="24"/>
                <w:rtl/>
              </w:rPr>
              <w:t>(4.8)</w:t>
            </w:r>
          </w:p>
        </w:tc>
        <w:tc>
          <w:tcPr>
            <w:tcW w:w="1024" w:type="dxa"/>
            <w:tcMar>
              <w:top w:w="0" w:type="dxa"/>
              <w:left w:w="58" w:type="dxa"/>
              <w:bottom w:w="115" w:type="dxa"/>
              <w:right w:w="58" w:type="dxa"/>
            </w:tcMar>
            <w:hideMark/>
          </w:tcPr>
          <w:p w14:paraId="42EAB7A8" w14:textId="77777777" w:rsidR="009F1746" w:rsidRPr="00C34A85" w:rsidRDefault="009F1746" w:rsidP="00C7587E">
            <w:pPr>
              <w:autoSpaceDE w:val="0"/>
              <w:autoSpaceDN w:val="0"/>
              <w:bidi w:val="0"/>
              <w:adjustRightInd w:val="0"/>
              <w:spacing w:before="23" w:after="0"/>
              <w:jc w:val="center"/>
              <w:rPr>
                <w:rFonts w:asciiTheme="majorBidi" w:hAnsiTheme="majorBidi" w:cstheme="majorBidi"/>
                <w:sz w:val="24"/>
                <w:szCs w:val="24"/>
                <w:rtl/>
              </w:rPr>
            </w:pPr>
            <w:r w:rsidRPr="00C34A85">
              <w:rPr>
                <w:rFonts w:asciiTheme="majorBidi" w:hAnsiTheme="majorBidi" w:cstheme="majorBidi"/>
                <w:sz w:val="24"/>
                <w:szCs w:val="24"/>
                <w:rtl/>
              </w:rPr>
              <w:t>31-</w:t>
            </w:r>
          </w:p>
          <w:p w14:paraId="41946F70" w14:textId="77777777" w:rsidR="009F1746" w:rsidRPr="00C34A85" w:rsidRDefault="009F1746" w:rsidP="00C7587E">
            <w:pPr>
              <w:autoSpaceDE w:val="0"/>
              <w:autoSpaceDN w:val="0"/>
              <w:bidi w:val="0"/>
              <w:adjustRightInd w:val="0"/>
              <w:spacing w:before="23" w:after="0"/>
              <w:jc w:val="center"/>
              <w:rPr>
                <w:rFonts w:asciiTheme="majorBidi" w:hAnsiTheme="majorBidi" w:cstheme="majorBidi"/>
                <w:sz w:val="24"/>
                <w:szCs w:val="24"/>
                <w:rtl/>
              </w:rPr>
            </w:pPr>
            <w:r w:rsidRPr="00C34A85">
              <w:rPr>
                <w:rFonts w:asciiTheme="majorBidi" w:hAnsiTheme="majorBidi" w:cstheme="majorBidi"/>
                <w:sz w:val="24"/>
                <w:szCs w:val="24"/>
                <w:rtl/>
              </w:rPr>
              <w:t>(30.8)</w:t>
            </w:r>
          </w:p>
        </w:tc>
      </w:tr>
      <w:tr w:rsidR="009F1746" w:rsidRPr="008754C3" w14:paraId="16B31882" w14:textId="77777777" w:rsidTr="00C7587E">
        <w:trPr>
          <w:trHeight w:val="124"/>
          <w:jc w:val="center"/>
        </w:trPr>
        <w:tc>
          <w:tcPr>
            <w:tcW w:w="2624" w:type="dxa"/>
            <w:noWrap/>
            <w:tcMar>
              <w:top w:w="0" w:type="dxa"/>
              <w:left w:w="58" w:type="dxa"/>
              <w:bottom w:w="115" w:type="dxa"/>
              <w:right w:w="58" w:type="dxa"/>
            </w:tcMar>
            <w:hideMark/>
          </w:tcPr>
          <w:p w14:paraId="400766DC" w14:textId="77777777" w:rsidR="009F1746" w:rsidRPr="00C34A85" w:rsidRDefault="00000000" w:rsidP="00C7587E">
            <w:pPr>
              <w:bidi w:val="0"/>
              <w:spacing w:before="23" w:after="0"/>
              <w:rPr>
                <w:rFonts w:asciiTheme="majorBidi" w:hAnsiTheme="majorBidi" w:cstheme="majorBidi"/>
                <w:b/>
                <w:bCs/>
                <w:sz w:val="24"/>
                <w:szCs w:val="24"/>
                <w:rtl/>
              </w:rPr>
            </w:pPr>
            <m:oMath>
              <m:sSub>
                <m:sSubPr>
                  <m:ctrlPr>
                    <w:rPr>
                      <w:rFonts w:ascii="Cambria Math" w:hAnsi="Cambria Math" w:cstheme="majorBidi"/>
                      <w:i/>
                      <w:sz w:val="24"/>
                      <w:szCs w:val="24"/>
                      <w:lang w:bidi="ar-SA"/>
                    </w:rPr>
                  </m:ctrlPr>
                </m:sSubPr>
                <m:e>
                  <m:r>
                    <w:rPr>
                      <w:rFonts w:ascii="Cambria Math" w:hAnsi="Cambria Math" w:cstheme="majorBidi"/>
                      <w:sz w:val="24"/>
                      <w:szCs w:val="24"/>
                      <w:lang w:bidi="ar-SA"/>
                    </w:rPr>
                    <m:t>CFS</m:t>
                  </m:r>
                </m:e>
                <m:sub>
                  <m:r>
                    <w:rPr>
                      <w:rFonts w:ascii="Cambria Math" w:hAnsi="Cambria Math" w:cstheme="majorBidi"/>
                      <w:sz w:val="24"/>
                      <w:szCs w:val="24"/>
                      <w:lang w:bidi="ar-SA"/>
                    </w:rPr>
                    <m:t>j,t-1</m:t>
                  </m:r>
                </m:sub>
              </m:sSub>
              <m:r>
                <w:rPr>
                  <w:rFonts w:ascii="Cambria Math" w:hAnsi="Cambria Math" w:cstheme="majorBidi"/>
                  <w:sz w:val="24"/>
                  <w:szCs w:val="24"/>
                  <w:lang w:bidi="ar-SA"/>
                </w:rPr>
                <m:t xml:space="preserve"> </m:t>
              </m:r>
            </m:oMath>
            <w:r w:rsidR="009F1746" w:rsidRPr="00C34A85">
              <w:rPr>
                <w:rFonts w:asciiTheme="majorBidi" w:hAnsiTheme="majorBidi" w:cstheme="majorBidi"/>
                <w:sz w:val="24"/>
                <w:szCs w:val="24"/>
                <w:lang w:bidi="ar-SA"/>
              </w:rPr>
              <w:t>*</w:t>
            </w:r>
            <m:oMath>
              <m:sSub>
                <m:sSubPr>
                  <m:ctrlPr>
                    <w:rPr>
                      <w:rFonts w:ascii="Cambria Math" w:hAnsi="Cambria Math" w:cstheme="majorBidi"/>
                      <w:i/>
                      <w:sz w:val="24"/>
                      <w:szCs w:val="24"/>
                      <w:lang w:bidi="ar-SA"/>
                    </w:rPr>
                  </m:ctrlPr>
                </m:sSubPr>
                <m:e>
                  <m:r>
                    <w:rPr>
                      <w:rFonts w:ascii="Cambria Math" w:hAnsi="Cambria Math" w:cstheme="majorBidi"/>
                      <w:sz w:val="24"/>
                      <w:szCs w:val="24"/>
                      <w:lang w:bidi="ar-SA"/>
                    </w:rPr>
                    <m:t>WEDGE</m:t>
                  </m:r>
                </m:e>
                <m:sub>
                  <m:r>
                    <w:rPr>
                      <w:rFonts w:ascii="Cambria Math" w:hAnsi="Cambria Math" w:cstheme="majorBidi"/>
                      <w:sz w:val="24"/>
                      <w:szCs w:val="24"/>
                      <w:lang w:bidi="ar-SA"/>
                    </w:rPr>
                    <m:t>j,t</m:t>
                  </m:r>
                </m:sub>
              </m:sSub>
            </m:oMath>
            <w:r w:rsidR="009F1746" w:rsidRPr="00C34A85">
              <w:rPr>
                <w:rFonts w:asciiTheme="majorBidi" w:hAnsiTheme="majorBidi" w:cstheme="majorBidi"/>
                <w:sz w:val="24"/>
                <w:szCs w:val="24"/>
                <w:vertAlign w:val="superscript"/>
                <w:lang w:bidi="ar-SA"/>
              </w:rPr>
              <w:t>c</w:t>
            </w:r>
          </w:p>
        </w:tc>
        <w:tc>
          <w:tcPr>
            <w:tcW w:w="1118" w:type="dxa"/>
            <w:tcMar>
              <w:top w:w="0" w:type="dxa"/>
              <w:left w:w="58" w:type="dxa"/>
              <w:bottom w:w="115" w:type="dxa"/>
              <w:right w:w="58" w:type="dxa"/>
            </w:tcMar>
            <w:hideMark/>
          </w:tcPr>
          <w:p w14:paraId="7701EB26" w14:textId="77777777" w:rsidR="009F1746" w:rsidRPr="00C34A85" w:rsidRDefault="009F1746" w:rsidP="00C7587E">
            <w:pPr>
              <w:autoSpaceDE w:val="0"/>
              <w:autoSpaceDN w:val="0"/>
              <w:bidi w:val="0"/>
              <w:adjustRightInd w:val="0"/>
              <w:spacing w:before="23" w:after="0"/>
              <w:jc w:val="center"/>
              <w:rPr>
                <w:rFonts w:asciiTheme="majorBidi" w:hAnsiTheme="majorBidi" w:cstheme="majorBidi"/>
                <w:sz w:val="24"/>
                <w:szCs w:val="24"/>
                <w:rtl/>
              </w:rPr>
            </w:pPr>
            <w:r w:rsidRPr="00C34A85">
              <w:rPr>
                <w:rFonts w:asciiTheme="majorBidi" w:hAnsiTheme="majorBidi" w:cstheme="majorBidi"/>
                <w:sz w:val="24"/>
                <w:szCs w:val="24"/>
                <w:rtl/>
              </w:rPr>
              <w:t>***0.63</w:t>
            </w:r>
          </w:p>
          <w:p w14:paraId="1FA6F9DB" w14:textId="77777777" w:rsidR="009F1746" w:rsidRPr="00C34A85" w:rsidRDefault="009F1746" w:rsidP="00C7587E">
            <w:pPr>
              <w:autoSpaceDE w:val="0"/>
              <w:autoSpaceDN w:val="0"/>
              <w:bidi w:val="0"/>
              <w:adjustRightInd w:val="0"/>
              <w:spacing w:before="23" w:after="0"/>
              <w:jc w:val="center"/>
              <w:rPr>
                <w:rFonts w:asciiTheme="majorBidi" w:hAnsiTheme="majorBidi" w:cstheme="majorBidi"/>
                <w:sz w:val="24"/>
                <w:szCs w:val="24"/>
                <w:rtl/>
              </w:rPr>
            </w:pPr>
            <w:r w:rsidRPr="00C34A85">
              <w:rPr>
                <w:rFonts w:asciiTheme="majorBidi" w:hAnsiTheme="majorBidi" w:cstheme="majorBidi"/>
                <w:sz w:val="24"/>
                <w:szCs w:val="24"/>
                <w:rtl/>
              </w:rPr>
              <w:t>(0.09)</w:t>
            </w:r>
          </w:p>
        </w:tc>
        <w:tc>
          <w:tcPr>
            <w:tcW w:w="1522" w:type="dxa"/>
            <w:noWrap/>
            <w:tcMar>
              <w:top w:w="0" w:type="dxa"/>
              <w:left w:w="58" w:type="dxa"/>
              <w:bottom w:w="115" w:type="dxa"/>
              <w:right w:w="58" w:type="dxa"/>
            </w:tcMar>
            <w:hideMark/>
          </w:tcPr>
          <w:p w14:paraId="63CC1382" w14:textId="77777777" w:rsidR="009F1746" w:rsidRPr="00C34A85" w:rsidRDefault="009F1746" w:rsidP="00C7587E">
            <w:pPr>
              <w:autoSpaceDE w:val="0"/>
              <w:autoSpaceDN w:val="0"/>
              <w:bidi w:val="0"/>
              <w:adjustRightInd w:val="0"/>
              <w:spacing w:before="23" w:after="0"/>
              <w:jc w:val="center"/>
              <w:rPr>
                <w:rFonts w:asciiTheme="majorBidi" w:hAnsiTheme="majorBidi" w:cstheme="majorBidi"/>
                <w:sz w:val="24"/>
                <w:szCs w:val="24"/>
                <w:rtl/>
              </w:rPr>
            </w:pPr>
            <w:r w:rsidRPr="00C34A85">
              <w:rPr>
                <w:rFonts w:asciiTheme="majorBidi" w:hAnsiTheme="majorBidi" w:cstheme="majorBidi"/>
                <w:sz w:val="24"/>
                <w:szCs w:val="24"/>
                <w:rtl/>
              </w:rPr>
              <w:t>***0.61</w:t>
            </w:r>
          </w:p>
          <w:p w14:paraId="271550F9" w14:textId="77777777" w:rsidR="009F1746" w:rsidRPr="00C34A85" w:rsidRDefault="009F1746" w:rsidP="00C7587E">
            <w:pPr>
              <w:autoSpaceDE w:val="0"/>
              <w:autoSpaceDN w:val="0"/>
              <w:bidi w:val="0"/>
              <w:adjustRightInd w:val="0"/>
              <w:spacing w:before="23" w:after="0"/>
              <w:jc w:val="center"/>
              <w:rPr>
                <w:rFonts w:asciiTheme="majorBidi" w:hAnsiTheme="majorBidi" w:cstheme="majorBidi"/>
                <w:sz w:val="24"/>
                <w:szCs w:val="24"/>
                <w:rtl/>
              </w:rPr>
            </w:pPr>
            <w:r w:rsidRPr="00C34A85">
              <w:rPr>
                <w:rFonts w:asciiTheme="majorBidi" w:hAnsiTheme="majorBidi" w:cstheme="majorBidi"/>
                <w:sz w:val="24"/>
                <w:szCs w:val="24"/>
                <w:rtl/>
              </w:rPr>
              <w:t>(0.09)</w:t>
            </w:r>
          </w:p>
        </w:tc>
        <w:tc>
          <w:tcPr>
            <w:tcW w:w="1024" w:type="dxa"/>
            <w:tcMar>
              <w:top w:w="0" w:type="dxa"/>
              <w:left w:w="58" w:type="dxa"/>
              <w:bottom w:w="115" w:type="dxa"/>
              <w:right w:w="58" w:type="dxa"/>
            </w:tcMar>
            <w:hideMark/>
          </w:tcPr>
          <w:p w14:paraId="77D025C3" w14:textId="77777777" w:rsidR="009F1746" w:rsidRPr="00C34A85" w:rsidRDefault="009F1746" w:rsidP="00C7587E">
            <w:pPr>
              <w:autoSpaceDE w:val="0"/>
              <w:autoSpaceDN w:val="0"/>
              <w:bidi w:val="0"/>
              <w:adjustRightInd w:val="0"/>
              <w:spacing w:before="23" w:after="0"/>
              <w:jc w:val="center"/>
              <w:rPr>
                <w:rFonts w:asciiTheme="majorBidi" w:hAnsiTheme="majorBidi" w:cstheme="majorBidi"/>
                <w:sz w:val="24"/>
                <w:szCs w:val="24"/>
              </w:rPr>
            </w:pPr>
            <w:r w:rsidRPr="00C34A85">
              <w:rPr>
                <w:rFonts w:asciiTheme="majorBidi" w:hAnsiTheme="majorBidi" w:cstheme="majorBidi"/>
                <w:sz w:val="24"/>
                <w:szCs w:val="24"/>
                <w:rtl/>
              </w:rPr>
              <w:t>***0.66-</w:t>
            </w:r>
          </w:p>
          <w:p w14:paraId="0745AAB8" w14:textId="77777777" w:rsidR="009F1746" w:rsidRPr="00C34A85" w:rsidRDefault="009F1746" w:rsidP="00C7587E">
            <w:pPr>
              <w:autoSpaceDE w:val="0"/>
              <w:autoSpaceDN w:val="0"/>
              <w:bidi w:val="0"/>
              <w:adjustRightInd w:val="0"/>
              <w:spacing w:before="23" w:after="0"/>
              <w:jc w:val="center"/>
              <w:rPr>
                <w:rFonts w:asciiTheme="majorBidi" w:hAnsiTheme="majorBidi" w:cstheme="majorBidi"/>
                <w:sz w:val="24"/>
                <w:szCs w:val="24"/>
                <w:rtl/>
              </w:rPr>
            </w:pPr>
            <w:r w:rsidRPr="00C34A85">
              <w:rPr>
                <w:rFonts w:asciiTheme="majorBidi" w:hAnsiTheme="majorBidi" w:cstheme="majorBidi"/>
                <w:sz w:val="24"/>
                <w:szCs w:val="24"/>
                <w:rtl/>
              </w:rPr>
              <w:t>(0.19)</w:t>
            </w:r>
          </w:p>
        </w:tc>
      </w:tr>
      <w:tr w:rsidR="009F1746" w:rsidRPr="008754C3" w14:paraId="5981BE99" w14:textId="77777777" w:rsidTr="00C7587E">
        <w:trPr>
          <w:trHeight w:val="289"/>
          <w:jc w:val="center"/>
        </w:trPr>
        <w:tc>
          <w:tcPr>
            <w:tcW w:w="2624" w:type="dxa"/>
            <w:noWrap/>
            <w:tcMar>
              <w:top w:w="0" w:type="dxa"/>
              <w:left w:w="58" w:type="dxa"/>
              <w:bottom w:w="115" w:type="dxa"/>
              <w:right w:w="58" w:type="dxa"/>
            </w:tcMar>
            <w:hideMark/>
          </w:tcPr>
          <w:p w14:paraId="6FBFE786" w14:textId="77777777" w:rsidR="009F1746" w:rsidRPr="00C34A85" w:rsidRDefault="009F1746" w:rsidP="00C7587E">
            <w:pPr>
              <w:bidi w:val="0"/>
              <w:spacing w:after="0"/>
              <w:rPr>
                <w:rFonts w:asciiTheme="majorBidi" w:hAnsiTheme="majorBidi" w:cstheme="majorBidi"/>
                <w:b/>
                <w:bCs/>
                <w:sz w:val="24"/>
                <w:szCs w:val="24"/>
                <w:rtl/>
              </w:rPr>
            </w:pPr>
            <w:r w:rsidRPr="00C34A85">
              <w:rPr>
                <w:rFonts w:asciiTheme="majorBidi" w:hAnsiTheme="majorBidi" w:cstheme="majorBidi"/>
                <w:b/>
                <w:bCs/>
                <w:sz w:val="24"/>
                <w:szCs w:val="24"/>
                <w:lang w:bidi="ar-SA"/>
              </w:rPr>
              <w:t xml:space="preserve">Control </w:t>
            </w:r>
            <w:proofErr w:type="spellStart"/>
            <w:r w:rsidRPr="00C34A85">
              <w:rPr>
                <w:rFonts w:asciiTheme="majorBidi" w:hAnsiTheme="majorBidi" w:cstheme="majorBidi"/>
                <w:b/>
                <w:bCs/>
                <w:sz w:val="24"/>
                <w:szCs w:val="24"/>
                <w:lang w:bidi="ar-SA"/>
              </w:rPr>
              <w:t>variables</w:t>
            </w:r>
            <w:r w:rsidRPr="00C34A85">
              <w:rPr>
                <w:rFonts w:asciiTheme="majorBidi" w:hAnsiTheme="majorBidi" w:cstheme="majorBidi"/>
                <w:sz w:val="24"/>
                <w:szCs w:val="24"/>
                <w:vertAlign w:val="superscript"/>
                <w:lang w:bidi="ar-SA"/>
              </w:rPr>
              <w:t>d</w:t>
            </w:r>
            <w:proofErr w:type="spellEnd"/>
          </w:p>
        </w:tc>
        <w:tc>
          <w:tcPr>
            <w:tcW w:w="1118" w:type="dxa"/>
            <w:tcMar>
              <w:top w:w="0" w:type="dxa"/>
              <w:left w:w="58" w:type="dxa"/>
              <w:bottom w:w="115" w:type="dxa"/>
              <w:right w:w="58" w:type="dxa"/>
            </w:tcMar>
          </w:tcPr>
          <w:p w14:paraId="3021F7A4" w14:textId="77777777" w:rsidR="009F1746" w:rsidRPr="00C34A85" w:rsidRDefault="009F1746" w:rsidP="00C7587E">
            <w:pPr>
              <w:autoSpaceDE w:val="0"/>
              <w:autoSpaceDN w:val="0"/>
              <w:bidi w:val="0"/>
              <w:adjustRightInd w:val="0"/>
              <w:spacing w:before="23" w:after="0"/>
              <w:jc w:val="center"/>
              <w:rPr>
                <w:rFonts w:asciiTheme="majorBidi" w:hAnsiTheme="majorBidi" w:cstheme="majorBidi"/>
                <w:sz w:val="24"/>
                <w:szCs w:val="24"/>
                <w:rtl/>
              </w:rPr>
            </w:pPr>
          </w:p>
        </w:tc>
        <w:tc>
          <w:tcPr>
            <w:tcW w:w="1522" w:type="dxa"/>
            <w:noWrap/>
            <w:tcMar>
              <w:top w:w="0" w:type="dxa"/>
              <w:left w:w="58" w:type="dxa"/>
              <w:bottom w:w="115" w:type="dxa"/>
              <w:right w:w="58" w:type="dxa"/>
            </w:tcMar>
            <w:hideMark/>
          </w:tcPr>
          <w:p w14:paraId="22262114" w14:textId="77777777" w:rsidR="009F1746" w:rsidRPr="00C34A85" w:rsidRDefault="009F1746" w:rsidP="00C7587E">
            <w:pPr>
              <w:autoSpaceDE w:val="0"/>
              <w:autoSpaceDN w:val="0"/>
              <w:bidi w:val="0"/>
              <w:adjustRightInd w:val="0"/>
              <w:spacing w:after="0"/>
              <w:jc w:val="center"/>
              <w:rPr>
                <w:rFonts w:asciiTheme="majorBidi" w:hAnsiTheme="majorBidi" w:cstheme="majorBidi"/>
                <w:sz w:val="24"/>
                <w:szCs w:val="24"/>
                <w:rtl/>
                <w:lang w:bidi="ar-SA"/>
              </w:rPr>
            </w:pPr>
            <w:r w:rsidRPr="00C34A85">
              <w:rPr>
                <w:rFonts w:asciiTheme="majorBidi" w:hAnsiTheme="majorBidi" w:cstheme="majorBidi"/>
                <w:sz w:val="24"/>
                <w:szCs w:val="24"/>
                <w:rtl/>
              </w:rPr>
              <w:t>+</w:t>
            </w:r>
          </w:p>
        </w:tc>
        <w:tc>
          <w:tcPr>
            <w:tcW w:w="1024" w:type="dxa"/>
            <w:tcMar>
              <w:top w:w="0" w:type="dxa"/>
              <w:left w:w="58" w:type="dxa"/>
              <w:bottom w:w="115" w:type="dxa"/>
              <w:right w:w="58" w:type="dxa"/>
            </w:tcMar>
            <w:hideMark/>
          </w:tcPr>
          <w:p w14:paraId="2BCFAF38" w14:textId="77777777" w:rsidR="009F1746" w:rsidRPr="00C34A85" w:rsidRDefault="009F1746" w:rsidP="00C7587E">
            <w:pPr>
              <w:autoSpaceDE w:val="0"/>
              <w:autoSpaceDN w:val="0"/>
              <w:bidi w:val="0"/>
              <w:adjustRightInd w:val="0"/>
              <w:spacing w:before="23" w:after="0"/>
              <w:jc w:val="center"/>
              <w:rPr>
                <w:rFonts w:asciiTheme="majorBidi" w:hAnsiTheme="majorBidi" w:cstheme="majorBidi"/>
                <w:sz w:val="24"/>
                <w:szCs w:val="24"/>
              </w:rPr>
            </w:pPr>
            <w:r w:rsidRPr="00C34A85">
              <w:rPr>
                <w:rFonts w:asciiTheme="majorBidi" w:hAnsiTheme="majorBidi" w:cstheme="majorBidi"/>
                <w:sz w:val="24"/>
                <w:szCs w:val="24"/>
                <w:rtl/>
              </w:rPr>
              <w:t>+</w:t>
            </w:r>
          </w:p>
        </w:tc>
      </w:tr>
      <w:tr w:rsidR="009F1746" w:rsidRPr="008754C3" w14:paraId="0A0A50CC" w14:textId="77777777" w:rsidTr="00C7587E">
        <w:trPr>
          <w:trHeight w:val="315"/>
          <w:jc w:val="center"/>
        </w:trPr>
        <w:tc>
          <w:tcPr>
            <w:tcW w:w="2624" w:type="dxa"/>
            <w:noWrap/>
            <w:tcMar>
              <w:top w:w="0" w:type="dxa"/>
              <w:left w:w="58" w:type="dxa"/>
              <w:bottom w:w="115" w:type="dxa"/>
              <w:right w:w="58" w:type="dxa"/>
            </w:tcMar>
            <w:hideMark/>
          </w:tcPr>
          <w:p w14:paraId="6179E9D1" w14:textId="77777777" w:rsidR="009F1746" w:rsidRPr="00C34A85" w:rsidRDefault="009F1746" w:rsidP="00C7587E">
            <w:pPr>
              <w:bidi w:val="0"/>
              <w:spacing w:after="0"/>
              <w:rPr>
                <w:rFonts w:asciiTheme="majorBidi" w:hAnsiTheme="majorBidi" w:cstheme="majorBidi"/>
                <w:b/>
                <w:bCs/>
                <w:sz w:val="24"/>
                <w:szCs w:val="24"/>
              </w:rPr>
            </w:pPr>
            <w:r w:rsidRPr="00C34A85">
              <w:rPr>
                <w:rFonts w:asciiTheme="majorBidi" w:hAnsiTheme="majorBidi" w:cstheme="majorBidi"/>
                <w:b/>
                <w:bCs/>
                <w:sz w:val="24"/>
                <w:szCs w:val="24"/>
                <w:lang w:bidi="ar-SA"/>
              </w:rPr>
              <w:t>Fixed year effect</w:t>
            </w:r>
          </w:p>
        </w:tc>
        <w:tc>
          <w:tcPr>
            <w:tcW w:w="1118" w:type="dxa"/>
            <w:tcMar>
              <w:top w:w="0" w:type="dxa"/>
              <w:left w:w="58" w:type="dxa"/>
              <w:bottom w:w="115" w:type="dxa"/>
              <w:right w:w="58" w:type="dxa"/>
            </w:tcMar>
          </w:tcPr>
          <w:p w14:paraId="1D0BE8E5" w14:textId="77777777" w:rsidR="009F1746" w:rsidRPr="00C34A85" w:rsidRDefault="009F1746" w:rsidP="00C7587E">
            <w:pPr>
              <w:autoSpaceDE w:val="0"/>
              <w:autoSpaceDN w:val="0"/>
              <w:bidi w:val="0"/>
              <w:adjustRightInd w:val="0"/>
              <w:spacing w:before="23" w:after="0"/>
              <w:jc w:val="center"/>
              <w:rPr>
                <w:rFonts w:asciiTheme="majorBidi" w:hAnsiTheme="majorBidi" w:cstheme="majorBidi"/>
                <w:sz w:val="24"/>
                <w:szCs w:val="24"/>
                <w:rtl/>
              </w:rPr>
            </w:pPr>
          </w:p>
        </w:tc>
        <w:tc>
          <w:tcPr>
            <w:tcW w:w="1522" w:type="dxa"/>
            <w:noWrap/>
            <w:tcMar>
              <w:top w:w="0" w:type="dxa"/>
              <w:left w:w="58" w:type="dxa"/>
              <w:bottom w:w="115" w:type="dxa"/>
              <w:right w:w="58" w:type="dxa"/>
            </w:tcMar>
            <w:hideMark/>
          </w:tcPr>
          <w:p w14:paraId="6CF2573B" w14:textId="77777777" w:rsidR="009F1746" w:rsidRPr="00C34A85" w:rsidRDefault="009F1746" w:rsidP="00C7587E">
            <w:pPr>
              <w:autoSpaceDE w:val="0"/>
              <w:autoSpaceDN w:val="0"/>
              <w:bidi w:val="0"/>
              <w:adjustRightInd w:val="0"/>
              <w:spacing w:after="0"/>
              <w:jc w:val="center"/>
              <w:rPr>
                <w:rFonts w:asciiTheme="majorBidi" w:hAnsiTheme="majorBidi" w:cstheme="majorBidi"/>
                <w:sz w:val="24"/>
                <w:szCs w:val="24"/>
                <w:rtl/>
                <w:lang w:bidi="ar-SA"/>
              </w:rPr>
            </w:pPr>
            <w:r w:rsidRPr="00C34A85">
              <w:rPr>
                <w:rFonts w:asciiTheme="majorBidi" w:hAnsiTheme="majorBidi" w:cstheme="majorBidi"/>
                <w:sz w:val="24"/>
                <w:szCs w:val="24"/>
                <w:rtl/>
              </w:rPr>
              <w:t>+</w:t>
            </w:r>
          </w:p>
        </w:tc>
        <w:tc>
          <w:tcPr>
            <w:tcW w:w="1024" w:type="dxa"/>
            <w:tcMar>
              <w:top w:w="0" w:type="dxa"/>
              <w:left w:w="58" w:type="dxa"/>
              <w:bottom w:w="115" w:type="dxa"/>
              <w:right w:w="58" w:type="dxa"/>
            </w:tcMar>
            <w:hideMark/>
          </w:tcPr>
          <w:p w14:paraId="28095B8F" w14:textId="77777777" w:rsidR="009F1746" w:rsidRPr="00C34A85" w:rsidRDefault="009F1746" w:rsidP="00C7587E">
            <w:pPr>
              <w:autoSpaceDE w:val="0"/>
              <w:autoSpaceDN w:val="0"/>
              <w:bidi w:val="0"/>
              <w:adjustRightInd w:val="0"/>
              <w:spacing w:before="23" w:after="0"/>
              <w:jc w:val="center"/>
              <w:rPr>
                <w:rFonts w:asciiTheme="majorBidi" w:hAnsiTheme="majorBidi" w:cstheme="majorBidi"/>
                <w:sz w:val="24"/>
                <w:szCs w:val="24"/>
              </w:rPr>
            </w:pPr>
            <w:r w:rsidRPr="00C34A85">
              <w:rPr>
                <w:rFonts w:asciiTheme="majorBidi" w:hAnsiTheme="majorBidi" w:cstheme="majorBidi"/>
                <w:sz w:val="24"/>
                <w:szCs w:val="24"/>
                <w:rtl/>
              </w:rPr>
              <w:t>+</w:t>
            </w:r>
          </w:p>
        </w:tc>
      </w:tr>
      <w:tr w:rsidR="009F1746" w:rsidRPr="008754C3" w14:paraId="6801BD7F" w14:textId="77777777" w:rsidTr="00C7587E">
        <w:trPr>
          <w:trHeight w:val="315"/>
          <w:jc w:val="center"/>
        </w:trPr>
        <w:tc>
          <w:tcPr>
            <w:tcW w:w="2624" w:type="dxa"/>
            <w:noWrap/>
            <w:tcMar>
              <w:top w:w="0" w:type="dxa"/>
              <w:left w:w="58" w:type="dxa"/>
              <w:bottom w:w="115" w:type="dxa"/>
              <w:right w:w="58" w:type="dxa"/>
            </w:tcMar>
            <w:hideMark/>
          </w:tcPr>
          <w:p w14:paraId="48CA5F67" w14:textId="77777777" w:rsidR="009F1746" w:rsidRPr="00C34A85" w:rsidRDefault="009F1746" w:rsidP="00C7587E">
            <w:pPr>
              <w:bidi w:val="0"/>
              <w:spacing w:after="0"/>
              <w:rPr>
                <w:rFonts w:asciiTheme="majorBidi" w:hAnsiTheme="majorBidi" w:cstheme="majorBidi"/>
                <w:b/>
                <w:bCs/>
                <w:sz w:val="24"/>
                <w:szCs w:val="24"/>
                <w:rtl/>
              </w:rPr>
            </w:pPr>
            <w:r w:rsidRPr="00C34A85">
              <w:rPr>
                <w:rFonts w:asciiTheme="majorBidi" w:hAnsiTheme="majorBidi" w:cstheme="majorBidi"/>
                <w:b/>
                <w:bCs/>
                <w:sz w:val="24"/>
                <w:szCs w:val="24"/>
                <w:lang w:bidi="ar-SA"/>
              </w:rPr>
              <w:t>Fixed company effect</w:t>
            </w:r>
          </w:p>
        </w:tc>
        <w:tc>
          <w:tcPr>
            <w:tcW w:w="1118" w:type="dxa"/>
            <w:tcMar>
              <w:top w:w="0" w:type="dxa"/>
              <w:left w:w="58" w:type="dxa"/>
              <w:bottom w:w="115" w:type="dxa"/>
              <w:right w:w="58" w:type="dxa"/>
            </w:tcMar>
          </w:tcPr>
          <w:p w14:paraId="16BABC3A" w14:textId="77777777" w:rsidR="009F1746" w:rsidRPr="00C34A85" w:rsidRDefault="009F1746" w:rsidP="00C7587E">
            <w:pPr>
              <w:autoSpaceDE w:val="0"/>
              <w:autoSpaceDN w:val="0"/>
              <w:bidi w:val="0"/>
              <w:adjustRightInd w:val="0"/>
              <w:spacing w:before="23" w:after="0"/>
              <w:jc w:val="center"/>
              <w:rPr>
                <w:rFonts w:asciiTheme="majorBidi" w:hAnsiTheme="majorBidi" w:cstheme="majorBidi"/>
                <w:sz w:val="24"/>
                <w:szCs w:val="24"/>
                <w:rtl/>
              </w:rPr>
            </w:pPr>
          </w:p>
        </w:tc>
        <w:tc>
          <w:tcPr>
            <w:tcW w:w="1522" w:type="dxa"/>
            <w:noWrap/>
            <w:tcMar>
              <w:top w:w="0" w:type="dxa"/>
              <w:left w:w="58" w:type="dxa"/>
              <w:bottom w:w="115" w:type="dxa"/>
              <w:right w:w="58" w:type="dxa"/>
            </w:tcMar>
          </w:tcPr>
          <w:p w14:paraId="14D3AD54" w14:textId="77777777" w:rsidR="009F1746" w:rsidRPr="00C34A85" w:rsidRDefault="009F1746" w:rsidP="00C7587E">
            <w:pPr>
              <w:autoSpaceDE w:val="0"/>
              <w:autoSpaceDN w:val="0"/>
              <w:bidi w:val="0"/>
              <w:adjustRightInd w:val="0"/>
              <w:spacing w:before="23" w:after="0"/>
              <w:jc w:val="center"/>
              <w:rPr>
                <w:rFonts w:asciiTheme="majorBidi" w:hAnsiTheme="majorBidi" w:cstheme="majorBidi"/>
                <w:sz w:val="24"/>
                <w:szCs w:val="24"/>
                <w:rtl/>
              </w:rPr>
            </w:pPr>
          </w:p>
        </w:tc>
        <w:tc>
          <w:tcPr>
            <w:tcW w:w="1024" w:type="dxa"/>
            <w:tcMar>
              <w:top w:w="0" w:type="dxa"/>
              <w:left w:w="58" w:type="dxa"/>
              <w:bottom w:w="115" w:type="dxa"/>
              <w:right w:w="58" w:type="dxa"/>
            </w:tcMar>
            <w:hideMark/>
          </w:tcPr>
          <w:p w14:paraId="17AD2218" w14:textId="77777777" w:rsidR="009F1746" w:rsidRPr="00C34A85" w:rsidRDefault="009F1746" w:rsidP="00C7587E">
            <w:pPr>
              <w:autoSpaceDE w:val="0"/>
              <w:autoSpaceDN w:val="0"/>
              <w:bidi w:val="0"/>
              <w:adjustRightInd w:val="0"/>
              <w:spacing w:before="23" w:after="0"/>
              <w:jc w:val="center"/>
              <w:rPr>
                <w:rFonts w:asciiTheme="majorBidi" w:hAnsiTheme="majorBidi" w:cstheme="majorBidi"/>
                <w:sz w:val="24"/>
                <w:szCs w:val="24"/>
                <w:rtl/>
              </w:rPr>
            </w:pPr>
            <w:r w:rsidRPr="00C34A85">
              <w:rPr>
                <w:rFonts w:asciiTheme="majorBidi" w:hAnsiTheme="majorBidi" w:cstheme="majorBidi"/>
                <w:sz w:val="24"/>
                <w:szCs w:val="24"/>
                <w:rtl/>
              </w:rPr>
              <w:t>+</w:t>
            </w:r>
          </w:p>
        </w:tc>
      </w:tr>
      <w:tr w:rsidR="009F1746" w:rsidRPr="008754C3" w14:paraId="7926D158" w14:textId="77777777" w:rsidTr="00C7587E">
        <w:trPr>
          <w:trHeight w:val="289"/>
          <w:jc w:val="center"/>
        </w:trPr>
        <w:tc>
          <w:tcPr>
            <w:tcW w:w="2624" w:type="dxa"/>
            <w:noWrap/>
            <w:tcMar>
              <w:top w:w="0" w:type="dxa"/>
              <w:left w:w="58" w:type="dxa"/>
              <w:bottom w:w="115" w:type="dxa"/>
              <w:right w:w="58" w:type="dxa"/>
            </w:tcMar>
            <w:hideMark/>
          </w:tcPr>
          <w:p w14:paraId="25CF959E" w14:textId="77777777" w:rsidR="009F1746" w:rsidRPr="00C34A85" w:rsidRDefault="009F1746" w:rsidP="00C7587E">
            <w:pPr>
              <w:bidi w:val="0"/>
              <w:spacing w:after="0"/>
              <w:rPr>
                <w:rFonts w:asciiTheme="majorBidi" w:hAnsiTheme="majorBidi" w:cstheme="majorBidi"/>
                <w:b/>
                <w:bCs/>
                <w:sz w:val="24"/>
                <w:szCs w:val="24"/>
                <w:rtl/>
                <w:lang w:bidi="ar-SA"/>
              </w:rPr>
            </w:pPr>
            <w:r w:rsidRPr="00C34A85">
              <w:rPr>
                <w:rFonts w:asciiTheme="majorBidi" w:hAnsiTheme="majorBidi" w:cstheme="majorBidi"/>
                <w:b/>
                <w:bCs/>
                <w:sz w:val="24"/>
                <w:szCs w:val="24"/>
                <w:lang w:bidi="ar-SA"/>
              </w:rPr>
              <w:t xml:space="preserve"># </w:t>
            </w:r>
            <w:proofErr w:type="gramStart"/>
            <w:r w:rsidRPr="00C34A85">
              <w:rPr>
                <w:rFonts w:asciiTheme="majorBidi" w:hAnsiTheme="majorBidi" w:cstheme="majorBidi"/>
                <w:b/>
                <w:bCs/>
                <w:sz w:val="24"/>
                <w:szCs w:val="24"/>
                <w:lang w:bidi="ar-SA"/>
              </w:rPr>
              <w:t>of</w:t>
            </w:r>
            <w:proofErr w:type="gramEnd"/>
            <w:r w:rsidRPr="00C34A85">
              <w:rPr>
                <w:rFonts w:asciiTheme="majorBidi" w:hAnsiTheme="majorBidi" w:cstheme="majorBidi"/>
                <w:b/>
                <w:bCs/>
                <w:sz w:val="24"/>
                <w:szCs w:val="24"/>
                <w:lang w:bidi="ar-SA"/>
              </w:rPr>
              <w:t xml:space="preserve"> observations</w:t>
            </w:r>
          </w:p>
        </w:tc>
        <w:tc>
          <w:tcPr>
            <w:tcW w:w="1118" w:type="dxa"/>
            <w:tcMar>
              <w:top w:w="0" w:type="dxa"/>
              <w:left w:w="58" w:type="dxa"/>
              <w:bottom w:w="115" w:type="dxa"/>
              <w:right w:w="58" w:type="dxa"/>
            </w:tcMar>
            <w:hideMark/>
          </w:tcPr>
          <w:p w14:paraId="27AB9821" w14:textId="77777777" w:rsidR="009F1746" w:rsidRPr="00C34A85" w:rsidRDefault="009F1746" w:rsidP="00C7587E">
            <w:pPr>
              <w:autoSpaceDE w:val="0"/>
              <w:autoSpaceDN w:val="0"/>
              <w:bidi w:val="0"/>
              <w:adjustRightInd w:val="0"/>
              <w:spacing w:after="0"/>
              <w:jc w:val="center"/>
              <w:rPr>
                <w:rFonts w:asciiTheme="majorBidi" w:hAnsiTheme="majorBidi" w:cstheme="majorBidi"/>
                <w:sz w:val="24"/>
                <w:szCs w:val="24"/>
              </w:rPr>
            </w:pPr>
            <w:r w:rsidRPr="00C34A85">
              <w:rPr>
                <w:rFonts w:asciiTheme="majorBidi" w:hAnsiTheme="majorBidi" w:cstheme="majorBidi"/>
                <w:sz w:val="24"/>
                <w:szCs w:val="24"/>
                <w:lang w:bidi="ar-SA"/>
              </w:rPr>
              <w:t>1247</w:t>
            </w:r>
          </w:p>
        </w:tc>
        <w:tc>
          <w:tcPr>
            <w:tcW w:w="1522" w:type="dxa"/>
            <w:noWrap/>
            <w:tcMar>
              <w:top w:w="0" w:type="dxa"/>
              <w:left w:w="58" w:type="dxa"/>
              <w:bottom w:w="115" w:type="dxa"/>
              <w:right w:w="58" w:type="dxa"/>
            </w:tcMar>
            <w:hideMark/>
          </w:tcPr>
          <w:p w14:paraId="7CF7F9A2" w14:textId="77777777" w:rsidR="009F1746" w:rsidRPr="00C34A85" w:rsidRDefault="009F1746" w:rsidP="00C7587E">
            <w:pPr>
              <w:autoSpaceDE w:val="0"/>
              <w:autoSpaceDN w:val="0"/>
              <w:bidi w:val="0"/>
              <w:adjustRightInd w:val="0"/>
              <w:spacing w:after="0"/>
              <w:jc w:val="center"/>
              <w:rPr>
                <w:rFonts w:asciiTheme="majorBidi" w:hAnsiTheme="majorBidi" w:cstheme="majorBidi"/>
                <w:sz w:val="24"/>
                <w:szCs w:val="24"/>
                <w:rtl/>
              </w:rPr>
            </w:pPr>
            <w:r w:rsidRPr="00C34A85">
              <w:rPr>
                <w:rFonts w:asciiTheme="majorBidi" w:hAnsiTheme="majorBidi" w:cstheme="majorBidi"/>
                <w:sz w:val="24"/>
                <w:szCs w:val="24"/>
                <w:lang w:bidi="ar-SA"/>
              </w:rPr>
              <w:t>1247</w:t>
            </w:r>
          </w:p>
        </w:tc>
        <w:tc>
          <w:tcPr>
            <w:tcW w:w="1024" w:type="dxa"/>
            <w:tcMar>
              <w:top w:w="0" w:type="dxa"/>
              <w:left w:w="58" w:type="dxa"/>
              <w:bottom w:w="115" w:type="dxa"/>
              <w:right w:w="58" w:type="dxa"/>
            </w:tcMar>
            <w:hideMark/>
          </w:tcPr>
          <w:p w14:paraId="5030BF46" w14:textId="77777777" w:rsidR="009F1746" w:rsidRPr="00C34A85" w:rsidRDefault="009F1746" w:rsidP="00C7587E">
            <w:pPr>
              <w:autoSpaceDE w:val="0"/>
              <w:autoSpaceDN w:val="0"/>
              <w:bidi w:val="0"/>
              <w:adjustRightInd w:val="0"/>
              <w:spacing w:after="0"/>
              <w:jc w:val="center"/>
              <w:rPr>
                <w:rFonts w:asciiTheme="majorBidi" w:hAnsiTheme="majorBidi" w:cstheme="majorBidi"/>
                <w:sz w:val="24"/>
                <w:szCs w:val="24"/>
                <w:rtl/>
              </w:rPr>
            </w:pPr>
            <w:r w:rsidRPr="00C34A85">
              <w:rPr>
                <w:rFonts w:asciiTheme="majorBidi" w:hAnsiTheme="majorBidi" w:cstheme="majorBidi"/>
                <w:sz w:val="24"/>
                <w:szCs w:val="24"/>
                <w:lang w:bidi="ar-SA"/>
              </w:rPr>
              <w:t>1247</w:t>
            </w:r>
          </w:p>
        </w:tc>
      </w:tr>
      <w:tr w:rsidR="009F1746" w:rsidRPr="008754C3" w14:paraId="38883279" w14:textId="77777777" w:rsidTr="00C7587E">
        <w:trPr>
          <w:trHeight w:val="289"/>
          <w:jc w:val="center"/>
        </w:trPr>
        <w:tc>
          <w:tcPr>
            <w:tcW w:w="2624" w:type="dxa"/>
            <w:tcBorders>
              <w:bottom w:val="single" w:sz="4" w:space="0" w:color="auto"/>
            </w:tcBorders>
            <w:noWrap/>
            <w:tcMar>
              <w:top w:w="0" w:type="dxa"/>
              <w:left w:w="58" w:type="dxa"/>
              <w:bottom w:w="115" w:type="dxa"/>
              <w:right w:w="58" w:type="dxa"/>
            </w:tcMar>
            <w:hideMark/>
          </w:tcPr>
          <w:p w14:paraId="613A12E7" w14:textId="77777777" w:rsidR="009F1746" w:rsidRPr="00C34A85" w:rsidRDefault="00000000" w:rsidP="00C7587E">
            <w:pPr>
              <w:bidi w:val="0"/>
              <w:spacing w:after="0"/>
              <w:rPr>
                <w:rFonts w:asciiTheme="majorBidi" w:hAnsiTheme="majorBidi" w:cstheme="majorBidi"/>
                <w:b/>
                <w:bCs/>
                <w:sz w:val="24"/>
                <w:szCs w:val="24"/>
                <w:rtl/>
              </w:rPr>
            </w:pPr>
            <m:oMathPara>
              <m:oMathParaPr>
                <m:jc m:val="left"/>
              </m:oMathParaPr>
              <m:oMath>
                <m:sSup>
                  <m:sSupPr>
                    <m:ctrlPr>
                      <w:rPr>
                        <w:rFonts w:ascii="Cambria Math" w:hAnsi="Cambria Math" w:cstheme="majorBidi"/>
                        <w:b/>
                        <w:bCs/>
                        <w:sz w:val="24"/>
                        <w:szCs w:val="24"/>
                        <w:lang w:bidi="ar-SA"/>
                      </w:rPr>
                    </m:ctrlPr>
                  </m:sSupPr>
                  <m:e>
                    <m:r>
                      <m:rPr>
                        <m:sty m:val="bi"/>
                      </m:rPr>
                      <w:rPr>
                        <w:rFonts w:ascii="Cambria Math" w:hAnsi="Cambria Math" w:cstheme="majorBidi"/>
                        <w:sz w:val="24"/>
                        <w:szCs w:val="24"/>
                        <w:lang w:bidi="ar-SA"/>
                      </w:rPr>
                      <m:t>R</m:t>
                    </m:r>
                  </m:e>
                  <m:sup>
                    <m:r>
                      <m:rPr>
                        <m:sty m:val="bi"/>
                      </m:rPr>
                      <w:rPr>
                        <w:rFonts w:ascii="Cambria Math" w:hAnsi="Cambria Math" w:cstheme="majorBidi"/>
                        <w:sz w:val="24"/>
                        <w:szCs w:val="24"/>
                        <w:lang w:bidi="ar-SA"/>
                      </w:rPr>
                      <m:t>2</m:t>
                    </m:r>
                  </m:sup>
                </m:sSup>
              </m:oMath>
            </m:oMathPara>
          </w:p>
        </w:tc>
        <w:tc>
          <w:tcPr>
            <w:tcW w:w="1118" w:type="dxa"/>
            <w:tcBorders>
              <w:bottom w:val="single" w:sz="4" w:space="0" w:color="auto"/>
            </w:tcBorders>
            <w:tcMar>
              <w:top w:w="0" w:type="dxa"/>
              <w:left w:w="58" w:type="dxa"/>
              <w:bottom w:w="115" w:type="dxa"/>
              <w:right w:w="58" w:type="dxa"/>
            </w:tcMar>
          </w:tcPr>
          <w:p w14:paraId="0BF42487" w14:textId="77777777" w:rsidR="009F1746" w:rsidRPr="00C34A85" w:rsidRDefault="009F1746" w:rsidP="00C7587E">
            <w:pPr>
              <w:bidi w:val="0"/>
              <w:spacing w:after="0"/>
              <w:jc w:val="center"/>
              <w:rPr>
                <w:rFonts w:asciiTheme="majorBidi" w:hAnsiTheme="majorBidi" w:cstheme="majorBidi"/>
                <w:color w:val="000000"/>
                <w:sz w:val="24"/>
                <w:szCs w:val="24"/>
                <w:lang w:bidi="ar-SA"/>
              </w:rPr>
            </w:pPr>
            <w:r w:rsidRPr="00C34A85">
              <w:rPr>
                <w:rFonts w:asciiTheme="majorBidi" w:hAnsiTheme="majorBidi" w:cstheme="majorBidi"/>
                <w:color w:val="000000"/>
                <w:sz w:val="24"/>
                <w:szCs w:val="24"/>
                <w:lang w:bidi="ar-SA"/>
              </w:rPr>
              <w:t>0.05</w:t>
            </w:r>
          </w:p>
        </w:tc>
        <w:tc>
          <w:tcPr>
            <w:tcW w:w="1522" w:type="dxa"/>
            <w:tcBorders>
              <w:bottom w:val="single" w:sz="4" w:space="0" w:color="auto"/>
            </w:tcBorders>
            <w:noWrap/>
            <w:tcMar>
              <w:top w:w="0" w:type="dxa"/>
              <w:left w:w="58" w:type="dxa"/>
              <w:bottom w:w="115" w:type="dxa"/>
              <w:right w:w="58" w:type="dxa"/>
            </w:tcMar>
            <w:hideMark/>
          </w:tcPr>
          <w:p w14:paraId="302A0524" w14:textId="77777777" w:rsidR="009F1746" w:rsidRPr="00C34A85" w:rsidRDefault="009F1746" w:rsidP="00C7587E">
            <w:pPr>
              <w:autoSpaceDE w:val="0"/>
              <w:autoSpaceDN w:val="0"/>
              <w:bidi w:val="0"/>
              <w:adjustRightInd w:val="0"/>
              <w:spacing w:after="0"/>
              <w:jc w:val="center"/>
              <w:rPr>
                <w:rFonts w:asciiTheme="majorBidi" w:hAnsiTheme="majorBidi" w:cstheme="majorBidi"/>
                <w:sz w:val="24"/>
                <w:szCs w:val="24"/>
                <w:rtl/>
              </w:rPr>
            </w:pPr>
            <w:r w:rsidRPr="00C34A85">
              <w:rPr>
                <w:rFonts w:asciiTheme="majorBidi" w:hAnsiTheme="majorBidi" w:cstheme="majorBidi"/>
                <w:sz w:val="24"/>
                <w:szCs w:val="24"/>
                <w:rtl/>
              </w:rPr>
              <w:t>0.07</w:t>
            </w:r>
          </w:p>
        </w:tc>
        <w:tc>
          <w:tcPr>
            <w:tcW w:w="1024" w:type="dxa"/>
            <w:tcBorders>
              <w:bottom w:val="single" w:sz="4" w:space="0" w:color="auto"/>
            </w:tcBorders>
            <w:tcMar>
              <w:top w:w="0" w:type="dxa"/>
              <w:left w:w="58" w:type="dxa"/>
              <w:bottom w:w="115" w:type="dxa"/>
              <w:right w:w="58" w:type="dxa"/>
            </w:tcMar>
            <w:hideMark/>
          </w:tcPr>
          <w:p w14:paraId="57141576" w14:textId="77777777" w:rsidR="009F1746" w:rsidRPr="00C34A85" w:rsidRDefault="009F1746" w:rsidP="00C7587E">
            <w:pPr>
              <w:autoSpaceDE w:val="0"/>
              <w:autoSpaceDN w:val="0"/>
              <w:bidi w:val="0"/>
              <w:adjustRightInd w:val="0"/>
              <w:spacing w:after="0"/>
              <w:jc w:val="center"/>
              <w:rPr>
                <w:rFonts w:asciiTheme="majorBidi" w:hAnsiTheme="majorBidi" w:cstheme="majorBidi"/>
                <w:sz w:val="24"/>
                <w:szCs w:val="24"/>
                <w:rtl/>
              </w:rPr>
            </w:pPr>
            <w:r w:rsidRPr="00C34A85">
              <w:rPr>
                <w:rFonts w:asciiTheme="majorBidi" w:hAnsiTheme="majorBidi" w:cstheme="majorBidi"/>
                <w:sz w:val="24"/>
                <w:szCs w:val="24"/>
                <w:rtl/>
              </w:rPr>
              <w:t>0.34</w:t>
            </w:r>
          </w:p>
        </w:tc>
      </w:tr>
    </w:tbl>
    <w:p w14:paraId="5C05274B" w14:textId="77777777" w:rsidR="009F1746" w:rsidRPr="00C34A85" w:rsidRDefault="009F1746" w:rsidP="009F1746">
      <w:pPr>
        <w:bidi w:val="0"/>
        <w:spacing w:after="0" w:line="240" w:lineRule="auto"/>
        <w:jc w:val="both"/>
        <w:rPr>
          <w:rFonts w:asciiTheme="majorBidi" w:hAnsiTheme="majorBidi" w:cstheme="majorBidi"/>
          <w:sz w:val="20"/>
          <w:szCs w:val="20"/>
          <w:rtl/>
        </w:rPr>
      </w:pPr>
      <w:r w:rsidRPr="00C34A85">
        <w:rPr>
          <w:rFonts w:asciiTheme="majorBidi" w:hAnsiTheme="majorBidi" w:cstheme="majorBidi"/>
          <w:sz w:val="20"/>
          <w:szCs w:val="20"/>
        </w:rPr>
        <w:t xml:space="preserve">***significant at 1%; **significant at 5%; *significant at 10% </w:t>
      </w:r>
    </w:p>
    <w:p w14:paraId="4CC15232" w14:textId="77777777" w:rsidR="009F1746" w:rsidRPr="00C34A85" w:rsidRDefault="009F1746" w:rsidP="009F1746">
      <w:pPr>
        <w:pStyle w:val="IBBodyStyle1stpar"/>
        <w:rPr>
          <w:sz w:val="20"/>
          <w:szCs w:val="20"/>
        </w:rPr>
      </w:pPr>
      <w:r w:rsidRPr="00C34A85">
        <w:rPr>
          <w:sz w:val="20"/>
          <w:szCs w:val="20"/>
        </w:rPr>
        <w:t xml:space="preserve">The numbers in parentheses are the estimate’s </w:t>
      </w:r>
      <w:r w:rsidRPr="00C34A85">
        <w:rPr>
          <w:sz w:val="20"/>
          <w:szCs w:val="20"/>
          <w:shd w:val="clear" w:color="auto" w:fill="FFFFFF"/>
        </w:rPr>
        <w:t>standard errors</w:t>
      </w:r>
      <w:r w:rsidRPr="00C34A85">
        <w:rPr>
          <w:sz w:val="20"/>
          <w:szCs w:val="20"/>
        </w:rPr>
        <w:t xml:space="preserve">. </w:t>
      </w:r>
    </w:p>
    <w:p w14:paraId="2F7B1BDC" w14:textId="77777777" w:rsidR="009F1746" w:rsidRPr="00C34A85" w:rsidRDefault="009F1746" w:rsidP="009F1746">
      <w:pPr>
        <w:widowControl w:val="0"/>
        <w:bidi w:val="0"/>
        <w:spacing w:after="0"/>
        <w:rPr>
          <w:rFonts w:ascii="Times New Roman" w:hAnsi="Times New Roman"/>
          <w:sz w:val="20"/>
          <w:szCs w:val="20"/>
        </w:rPr>
      </w:pPr>
      <w:r w:rsidRPr="00C34A85">
        <w:rPr>
          <w:rFonts w:ascii="Times New Roman" w:hAnsi="Times New Roman"/>
          <w:sz w:val="20"/>
          <w:szCs w:val="20"/>
          <w:vertAlign w:val="superscript"/>
        </w:rPr>
        <w:t xml:space="preserve">a </w:t>
      </w:r>
      <w:r w:rsidRPr="00C34A85">
        <w:rPr>
          <w:rFonts w:ascii="Times New Roman" w:hAnsi="Times New Roman"/>
          <w:sz w:val="20"/>
          <w:szCs w:val="20"/>
        </w:rPr>
        <w:t xml:space="preserve">Firm </w:t>
      </w:r>
      <w:r w:rsidRPr="00C34A85">
        <w:rPr>
          <w:rFonts w:ascii="Times New Roman" w:hAnsi="Times New Roman"/>
          <w:i/>
          <w:iCs/>
          <w:sz w:val="20"/>
          <w:szCs w:val="20"/>
        </w:rPr>
        <w:t>j</w:t>
      </w:r>
      <w:r w:rsidRPr="00C34A85">
        <w:rPr>
          <w:rFonts w:ascii="Times New Roman" w:hAnsi="Times New Roman"/>
          <w:sz w:val="20"/>
          <w:szCs w:val="20"/>
        </w:rPr>
        <w:t xml:space="preserve"> cash flow per share in year </w:t>
      </w:r>
      <w:r w:rsidRPr="00C34A85">
        <w:rPr>
          <w:rFonts w:ascii="Times New Roman" w:hAnsi="Times New Roman"/>
          <w:i/>
          <w:iCs/>
          <w:sz w:val="20"/>
          <w:szCs w:val="20"/>
        </w:rPr>
        <w:t>t-1.</w:t>
      </w:r>
    </w:p>
    <w:p w14:paraId="20E89CA4" w14:textId="77777777" w:rsidR="009F1746" w:rsidRPr="00C34A85" w:rsidRDefault="009F1746" w:rsidP="009F1746">
      <w:pPr>
        <w:widowControl w:val="0"/>
        <w:bidi w:val="0"/>
        <w:spacing w:after="0"/>
        <w:rPr>
          <w:rFonts w:ascii="Times New Roman" w:hAnsi="Times New Roman"/>
          <w:sz w:val="20"/>
          <w:szCs w:val="20"/>
          <w:vertAlign w:val="superscript"/>
        </w:rPr>
      </w:pPr>
      <w:r w:rsidRPr="00C34A85">
        <w:rPr>
          <w:rFonts w:ascii="Times New Roman" w:hAnsi="Times New Roman"/>
          <w:sz w:val="20"/>
          <w:szCs w:val="20"/>
          <w:vertAlign w:val="superscript"/>
        </w:rPr>
        <w:t xml:space="preserve">b </w:t>
      </w:r>
      <w:r w:rsidRPr="00C34A85">
        <w:rPr>
          <w:rFonts w:ascii="Times New Roman" w:hAnsi="Times New Roman"/>
          <w:sz w:val="20"/>
          <w:szCs w:val="20"/>
        </w:rPr>
        <w:t xml:space="preserve">Firm </w:t>
      </w:r>
      <w:r w:rsidRPr="00C34A85">
        <w:rPr>
          <w:rFonts w:ascii="Times New Roman" w:hAnsi="Times New Roman"/>
          <w:i/>
          <w:sz w:val="20"/>
          <w:szCs w:val="20"/>
        </w:rPr>
        <w:t>j</w:t>
      </w:r>
      <w:r w:rsidRPr="00C34A85">
        <w:rPr>
          <w:rFonts w:ascii="Times New Roman" w:hAnsi="Times New Roman"/>
          <w:sz w:val="20"/>
          <w:szCs w:val="20"/>
        </w:rPr>
        <w:t xml:space="preserve"> wedge for year </w:t>
      </w:r>
      <w:r w:rsidRPr="00C34A85">
        <w:rPr>
          <w:rFonts w:ascii="Times New Roman" w:hAnsi="Times New Roman"/>
          <w:i/>
          <w:iCs/>
          <w:sz w:val="20"/>
          <w:szCs w:val="20"/>
        </w:rPr>
        <w:t>t</w:t>
      </w:r>
      <w:r w:rsidRPr="00C34A85">
        <w:rPr>
          <w:rFonts w:ascii="Times New Roman" w:hAnsi="Times New Roman"/>
          <w:sz w:val="20"/>
          <w:szCs w:val="20"/>
        </w:rPr>
        <w:t>.</w:t>
      </w:r>
    </w:p>
    <w:p w14:paraId="16CE11A1" w14:textId="77777777" w:rsidR="009F1746" w:rsidRPr="00C34A85" w:rsidRDefault="009F1746" w:rsidP="009F1746">
      <w:pPr>
        <w:widowControl w:val="0"/>
        <w:bidi w:val="0"/>
        <w:spacing w:after="0"/>
        <w:rPr>
          <w:rFonts w:ascii="Times New Roman" w:hAnsi="Times New Roman"/>
          <w:sz w:val="20"/>
          <w:szCs w:val="20"/>
        </w:rPr>
      </w:pPr>
      <w:r w:rsidRPr="00C34A85">
        <w:rPr>
          <w:rFonts w:ascii="Times New Roman" w:hAnsi="Times New Roman"/>
          <w:sz w:val="20"/>
          <w:szCs w:val="20"/>
          <w:vertAlign w:val="superscript"/>
        </w:rPr>
        <w:t xml:space="preserve">c </w:t>
      </w:r>
      <w:proofErr w:type="gramStart"/>
      <w:r w:rsidRPr="00C34A85">
        <w:rPr>
          <w:rFonts w:ascii="Times New Roman" w:hAnsi="Times New Roman"/>
          <w:sz w:val="20"/>
          <w:szCs w:val="20"/>
        </w:rPr>
        <w:t>The</w:t>
      </w:r>
      <w:proofErr w:type="gramEnd"/>
      <w:r w:rsidRPr="00C34A85">
        <w:rPr>
          <w:rFonts w:ascii="Times New Roman" w:hAnsi="Times New Roman"/>
          <w:sz w:val="20"/>
          <w:szCs w:val="20"/>
        </w:rPr>
        <w:t xml:space="preserve"> interaction between the two independent variables.</w:t>
      </w:r>
    </w:p>
    <w:p w14:paraId="7A86FCFD" w14:textId="77777777" w:rsidR="009F1746" w:rsidRPr="00C34A85" w:rsidRDefault="009F1746" w:rsidP="009F1746">
      <w:pPr>
        <w:bidi w:val="0"/>
        <w:spacing w:after="0"/>
        <w:rPr>
          <w:rFonts w:asciiTheme="majorBidi" w:hAnsiTheme="majorBidi" w:cstheme="majorBidi"/>
          <w:sz w:val="20"/>
          <w:szCs w:val="20"/>
        </w:rPr>
      </w:pPr>
      <w:r w:rsidRPr="00C34A85">
        <w:rPr>
          <w:rFonts w:ascii="Times New Roman" w:hAnsi="Times New Roman"/>
          <w:sz w:val="20"/>
          <w:szCs w:val="20"/>
          <w:vertAlign w:val="superscript"/>
        </w:rPr>
        <w:t xml:space="preserve">d </w:t>
      </w:r>
      <w:r w:rsidRPr="00C34A85">
        <w:rPr>
          <w:rFonts w:asciiTheme="majorBidi" w:hAnsiTheme="majorBidi" w:cstheme="majorBidi"/>
          <w:sz w:val="20"/>
          <w:szCs w:val="20"/>
        </w:rPr>
        <w:t>15 variables representing listing age, size, profitability, leverage, growth, and valuation</w:t>
      </w:r>
    </w:p>
    <w:p w14:paraId="27A47C42" w14:textId="77777777" w:rsidR="009F1746" w:rsidRPr="008754C3" w:rsidRDefault="009F1746" w:rsidP="009F1746">
      <w:pPr>
        <w:widowControl w:val="0"/>
        <w:pBdr>
          <w:bottom w:val="single" w:sz="4" w:space="1" w:color="auto"/>
        </w:pBdr>
        <w:bidi w:val="0"/>
        <w:spacing w:after="0"/>
        <w:rPr>
          <w:rFonts w:asciiTheme="majorBidi" w:hAnsiTheme="majorBidi" w:cstheme="majorBidi"/>
          <w:sz w:val="20"/>
          <w:szCs w:val="20"/>
        </w:rPr>
      </w:pPr>
      <w:r w:rsidRPr="00C34A85">
        <w:rPr>
          <w:rFonts w:asciiTheme="majorBidi" w:hAnsiTheme="majorBidi" w:cstheme="majorBidi"/>
          <w:sz w:val="20"/>
          <w:szCs w:val="20"/>
        </w:rPr>
        <w:t>Listing age (</w:t>
      </w:r>
      <m:oMath>
        <m:sSub>
          <m:sSubPr>
            <m:ctrlPr>
              <w:rPr>
                <w:rFonts w:ascii="Cambria Math" w:hAnsi="Cambria Math" w:cstheme="majorBidi"/>
                <w:i/>
                <w:sz w:val="20"/>
                <w:szCs w:val="20"/>
              </w:rPr>
            </m:ctrlPr>
          </m:sSubPr>
          <m:e>
            <m:r>
              <w:rPr>
                <w:rFonts w:ascii="Cambria Math" w:hAnsi="Cambria Math" w:cstheme="majorBidi"/>
                <w:sz w:val="20"/>
                <w:szCs w:val="20"/>
              </w:rPr>
              <m:t xml:space="preserve">IPO </m:t>
            </m:r>
          </m:e>
          <m:sub>
            <m:r>
              <w:rPr>
                <w:rFonts w:ascii="Cambria Math" w:hAnsi="Cambria Math" w:cstheme="majorBidi"/>
                <w:sz w:val="20"/>
                <w:szCs w:val="20"/>
              </w:rPr>
              <m:t>j,t</m:t>
            </m:r>
          </m:sub>
        </m:sSub>
      </m:oMath>
      <w:r w:rsidRPr="00C34A85">
        <w:rPr>
          <w:rFonts w:asciiTheme="majorBidi" w:hAnsiTheme="majorBidi" w:cstheme="majorBidi"/>
          <w:sz w:val="20"/>
          <w:szCs w:val="20"/>
        </w:rPr>
        <w:t xml:space="preserve">) denotes the number of years since IPO. Size is represented by three variables: </w:t>
      </w:r>
      <m:oMath>
        <m:sSub>
          <m:sSubPr>
            <m:ctrlPr>
              <w:rPr>
                <w:rFonts w:ascii="Cambria Math" w:hAnsi="Cambria Math" w:cstheme="majorBidi"/>
                <w:i/>
                <w:sz w:val="20"/>
                <w:szCs w:val="20"/>
              </w:rPr>
            </m:ctrlPr>
          </m:sSubPr>
          <m:e>
            <m:r>
              <w:rPr>
                <w:rFonts w:ascii="Cambria Math" w:hAnsi="Cambria Math" w:cstheme="majorBidi"/>
                <w:sz w:val="20"/>
                <w:szCs w:val="20"/>
              </w:rPr>
              <m:t>REV</m:t>
            </m:r>
          </m:e>
          <m:sub>
            <m:r>
              <w:rPr>
                <w:rFonts w:ascii="Cambria Math" w:hAnsi="Cambria Math" w:cstheme="majorBidi"/>
                <w:sz w:val="20"/>
                <w:szCs w:val="20"/>
              </w:rPr>
              <m:t>j,t</m:t>
            </m:r>
          </m:sub>
        </m:sSub>
      </m:oMath>
      <w:r w:rsidRPr="00C34A85">
        <w:rPr>
          <w:rFonts w:asciiTheme="majorBidi" w:hAnsiTheme="majorBidi" w:cstheme="majorBidi"/>
          <w:sz w:val="20"/>
          <w:szCs w:val="20"/>
        </w:rPr>
        <w:t xml:space="preserve"> is the total revenues of firm </w:t>
      </w:r>
      <w:r w:rsidRPr="00C34A85">
        <w:rPr>
          <w:rFonts w:asciiTheme="majorBidi" w:hAnsiTheme="majorBidi" w:cstheme="majorBidi"/>
          <w:i/>
          <w:sz w:val="20"/>
          <w:szCs w:val="20"/>
        </w:rPr>
        <w:t>j</w:t>
      </w:r>
      <w:r w:rsidRPr="00C34A85">
        <w:rPr>
          <w:rFonts w:asciiTheme="majorBidi" w:hAnsiTheme="majorBidi" w:cstheme="majorBidi"/>
          <w:sz w:val="20"/>
          <w:szCs w:val="20"/>
        </w:rPr>
        <w:t xml:space="preserve"> at year </w:t>
      </w:r>
      <w:r w:rsidRPr="00C34A85">
        <w:rPr>
          <w:rFonts w:asciiTheme="majorBidi" w:hAnsiTheme="majorBidi" w:cstheme="majorBidi"/>
          <w:i/>
          <w:sz w:val="20"/>
          <w:szCs w:val="20"/>
        </w:rPr>
        <w:t>t</w:t>
      </w:r>
      <w:r w:rsidRPr="00C34A85">
        <w:rPr>
          <w:rFonts w:asciiTheme="majorBidi" w:hAnsiTheme="majorBidi" w:cstheme="majorBidi"/>
          <w:sz w:val="20"/>
          <w:szCs w:val="20"/>
        </w:rPr>
        <w:t xml:space="preserve">, </w:t>
      </w:r>
      <m:oMath>
        <m:sSub>
          <m:sSubPr>
            <m:ctrlPr>
              <w:rPr>
                <w:rFonts w:ascii="Cambria Math" w:hAnsi="Cambria Math" w:cstheme="majorBidi"/>
                <w:i/>
                <w:sz w:val="20"/>
                <w:szCs w:val="20"/>
              </w:rPr>
            </m:ctrlPr>
          </m:sSubPr>
          <m:e>
            <m:r>
              <w:rPr>
                <w:rFonts w:ascii="Cambria Math" w:hAnsi="Cambria Math" w:cstheme="majorBidi"/>
                <w:sz w:val="20"/>
                <w:szCs w:val="20"/>
              </w:rPr>
              <m:t>MCAP</m:t>
            </m:r>
          </m:e>
          <m:sub>
            <m:r>
              <w:rPr>
                <w:rFonts w:ascii="Cambria Math" w:hAnsi="Cambria Math" w:cstheme="majorBidi"/>
                <w:sz w:val="20"/>
                <w:szCs w:val="20"/>
              </w:rPr>
              <m:t>j,t</m:t>
            </m:r>
          </m:sub>
        </m:sSub>
      </m:oMath>
      <w:r w:rsidRPr="00C34A85">
        <w:rPr>
          <w:rFonts w:asciiTheme="majorBidi" w:hAnsiTheme="majorBidi" w:cstheme="majorBidi"/>
          <w:sz w:val="20"/>
          <w:szCs w:val="20"/>
        </w:rPr>
        <w:t xml:space="preserve"> is the market value of firm </w:t>
      </w:r>
      <w:r w:rsidRPr="00C34A85">
        <w:rPr>
          <w:rFonts w:asciiTheme="majorBidi" w:hAnsiTheme="majorBidi" w:cstheme="majorBidi"/>
          <w:i/>
          <w:sz w:val="20"/>
          <w:szCs w:val="20"/>
        </w:rPr>
        <w:t>j</w:t>
      </w:r>
      <w:r w:rsidRPr="00C34A85">
        <w:rPr>
          <w:rFonts w:asciiTheme="majorBidi" w:hAnsiTheme="majorBidi" w:cstheme="majorBidi"/>
          <w:sz w:val="20"/>
          <w:szCs w:val="20"/>
        </w:rPr>
        <w:t xml:space="preserve"> at year </w:t>
      </w:r>
      <w:r w:rsidRPr="00C34A85">
        <w:rPr>
          <w:rFonts w:asciiTheme="majorBidi" w:hAnsiTheme="majorBidi" w:cstheme="majorBidi"/>
          <w:i/>
          <w:sz w:val="20"/>
          <w:szCs w:val="20"/>
        </w:rPr>
        <w:t>t</w:t>
      </w:r>
      <w:r w:rsidRPr="00C34A85">
        <w:rPr>
          <w:rFonts w:asciiTheme="majorBidi" w:hAnsiTheme="majorBidi" w:cstheme="majorBidi"/>
          <w:sz w:val="20"/>
          <w:szCs w:val="20"/>
        </w:rPr>
        <w:t xml:space="preserve">, </w:t>
      </w:r>
      <m:oMath>
        <m:sSub>
          <m:sSubPr>
            <m:ctrlPr>
              <w:rPr>
                <w:rFonts w:ascii="Cambria Math" w:hAnsi="Cambria Math" w:cstheme="majorBidi"/>
                <w:i/>
                <w:sz w:val="20"/>
                <w:szCs w:val="20"/>
              </w:rPr>
            </m:ctrlPr>
          </m:sSubPr>
          <m:e>
            <m:r>
              <w:rPr>
                <w:rFonts w:ascii="Cambria Math" w:hAnsi="Cambria Math" w:cstheme="majorBidi"/>
                <w:sz w:val="20"/>
                <w:szCs w:val="20"/>
              </w:rPr>
              <m:t>AST</m:t>
            </m:r>
          </m:e>
          <m:sub>
            <m:r>
              <w:rPr>
                <w:rFonts w:ascii="Cambria Math" w:hAnsi="Cambria Math" w:cstheme="majorBidi"/>
                <w:sz w:val="20"/>
                <w:szCs w:val="20"/>
              </w:rPr>
              <m:t>j,t</m:t>
            </m:r>
          </m:sub>
        </m:sSub>
      </m:oMath>
      <w:r w:rsidRPr="00C34A85">
        <w:rPr>
          <w:rFonts w:asciiTheme="majorBidi" w:hAnsiTheme="majorBidi" w:cstheme="majorBidi"/>
          <w:sz w:val="20"/>
          <w:szCs w:val="20"/>
        </w:rPr>
        <w:t xml:space="preserve"> is the total assets of firm </w:t>
      </w:r>
      <w:r w:rsidRPr="00C34A85">
        <w:rPr>
          <w:rFonts w:asciiTheme="majorBidi" w:hAnsiTheme="majorBidi" w:cstheme="majorBidi"/>
          <w:i/>
          <w:sz w:val="20"/>
          <w:szCs w:val="20"/>
        </w:rPr>
        <w:t>j</w:t>
      </w:r>
      <w:r w:rsidRPr="00C34A85">
        <w:rPr>
          <w:rFonts w:asciiTheme="majorBidi" w:hAnsiTheme="majorBidi" w:cstheme="majorBidi"/>
          <w:sz w:val="20"/>
          <w:szCs w:val="20"/>
        </w:rPr>
        <w:t xml:space="preserve"> at year </w:t>
      </w:r>
      <w:r w:rsidRPr="00C34A85">
        <w:rPr>
          <w:rFonts w:asciiTheme="majorBidi" w:hAnsiTheme="majorBidi" w:cstheme="majorBidi"/>
          <w:i/>
          <w:sz w:val="20"/>
          <w:szCs w:val="20"/>
        </w:rPr>
        <w:t>t</w:t>
      </w:r>
      <w:r w:rsidRPr="00C34A85">
        <w:rPr>
          <w:rFonts w:asciiTheme="majorBidi" w:hAnsiTheme="majorBidi" w:cstheme="majorBidi"/>
          <w:sz w:val="20"/>
          <w:szCs w:val="20"/>
        </w:rPr>
        <w:t xml:space="preserve">. Profitability is represented by three variables: </w:t>
      </w:r>
      <m:oMath>
        <m:sSub>
          <m:sSubPr>
            <m:ctrlPr>
              <w:rPr>
                <w:rFonts w:ascii="Cambria Math" w:hAnsi="Cambria Math" w:cstheme="majorBidi"/>
                <w:i/>
                <w:sz w:val="20"/>
                <w:szCs w:val="20"/>
              </w:rPr>
            </m:ctrlPr>
          </m:sSubPr>
          <m:e>
            <m:r>
              <w:rPr>
                <w:rFonts w:ascii="Cambria Math" w:hAnsi="Cambria Math" w:cstheme="majorBidi"/>
                <w:sz w:val="20"/>
                <w:szCs w:val="20"/>
              </w:rPr>
              <m:t>PRM</m:t>
            </m:r>
          </m:e>
          <m:sub>
            <m:r>
              <w:rPr>
                <w:rFonts w:ascii="Cambria Math" w:hAnsi="Cambria Math" w:cstheme="majorBidi"/>
                <w:sz w:val="20"/>
                <w:szCs w:val="20"/>
              </w:rPr>
              <m:t>j,t</m:t>
            </m:r>
          </m:sub>
        </m:sSub>
      </m:oMath>
      <w:r w:rsidRPr="00C34A85">
        <w:rPr>
          <w:rFonts w:asciiTheme="majorBidi" w:hAnsiTheme="majorBidi" w:cstheme="majorBidi"/>
          <w:sz w:val="20"/>
          <w:szCs w:val="20"/>
        </w:rPr>
        <w:t xml:space="preserve"> is the profit margin (net income divided by revenues) of firm </w:t>
      </w:r>
      <w:r w:rsidRPr="00C34A85">
        <w:rPr>
          <w:rFonts w:asciiTheme="majorBidi" w:hAnsiTheme="majorBidi" w:cstheme="majorBidi"/>
          <w:i/>
          <w:sz w:val="20"/>
          <w:szCs w:val="20"/>
        </w:rPr>
        <w:t>j</w:t>
      </w:r>
      <w:r w:rsidRPr="00C34A85">
        <w:rPr>
          <w:rFonts w:asciiTheme="majorBidi" w:hAnsiTheme="majorBidi" w:cstheme="majorBidi"/>
          <w:sz w:val="20"/>
          <w:szCs w:val="20"/>
        </w:rPr>
        <w:t xml:space="preserve"> at year </w:t>
      </w:r>
      <w:r w:rsidRPr="00C34A85">
        <w:rPr>
          <w:rFonts w:asciiTheme="majorBidi" w:hAnsiTheme="majorBidi" w:cstheme="majorBidi"/>
          <w:i/>
          <w:sz w:val="20"/>
          <w:szCs w:val="20"/>
        </w:rPr>
        <w:t>t</w:t>
      </w:r>
      <w:r w:rsidRPr="00C34A85">
        <w:rPr>
          <w:rFonts w:asciiTheme="majorBidi" w:hAnsiTheme="majorBidi" w:cstheme="majorBidi"/>
          <w:sz w:val="20"/>
          <w:szCs w:val="20"/>
        </w:rPr>
        <w:t xml:space="preserve">, </w:t>
      </w:r>
      <m:oMath>
        <m:sSub>
          <m:sSubPr>
            <m:ctrlPr>
              <w:rPr>
                <w:rFonts w:ascii="Cambria Math" w:hAnsi="Cambria Math" w:cstheme="majorBidi"/>
                <w:i/>
                <w:sz w:val="20"/>
                <w:szCs w:val="20"/>
              </w:rPr>
            </m:ctrlPr>
          </m:sSubPr>
          <m:e>
            <m:r>
              <w:rPr>
                <w:rFonts w:ascii="Cambria Math" w:hAnsi="Cambria Math" w:cstheme="majorBidi"/>
                <w:sz w:val="20"/>
                <w:szCs w:val="20"/>
              </w:rPr>
              <m:t>ROA</m:t>
            </m:r>
          </m:e>
          <m:sub>
            <m:r>
              <w:rPr>
                <w:rFonts w:ascii="Cambria Math" w:hAnsi="Cambria Math" w:cstheme="majorBidi"/>
                <w:sz w:val="20"/>
                <w:szCs w:val="20"/>
              </w:rPr>
              <m:t>j,t</m:t>
            </m:r>
          </m:sub>
        </m:sSub>
      </m:oMath>
      <w:r w:rsidRPr="00C34A85">
        <w:rPr>
          <w:rFonts w:asciiTheme="majorBidi" w:hAnsiTheme="majorBidi" w:cstheme="majorBidi"/>
          <w:sz w:val="20"/>
          <w:szCs w:val="20"/>
        </w:rPr>
        <w:t xml:space="preserve"> is the return on assets (net income divided by total assets) of company</w:t>
      </w:r>
      <w:r w:rsidRPr="00C34A85">
        <w:rPr>
          <w:rFonts w:asciiTheme="majorBidi" w:hAnsiTheme="majorBidi" w:cstheme="majorBidi"/>
          <w:i/>
          <w:sz w:val="20"/>
          <w:szCs w:val="20"/>
        </w:rPr>
        <w:t xml:space="preserve"> j</w:t>
      </w:r>
      <w:r w:rsidRPr="00C34A85">
        <w:rPr>
          <w:rFonts w:asciiTheme="majorBidi" w:hAnsiTheme="majorBidi" w:cstheme="majorBidi"/>
          <w:sz w:val="20"/>
          <w:szCs w:val="20"/>
        </w:rPr>
        <w:t xml:space="preserve"> at year </w:t>
      </w:r>
      <w:r w:rsidRPr="00C34A85">
        <w:rPr>
          <w:rFonts w:asciiTheme="majorBidi" w:hAnsiTheme="majorBidi" w:cstheme="majorBidi"/>
          <w:i/>
          <w:iCs/>
          <w:sz w:val="20"/>
          <w:szCs w:val="20"/>
        </w:rPr>
        <w:t>t</w:t>
      </w:r>
      <w:r w:rsidRPr="00C34A85">
        <w:rPr>
          <w:rFonts w:asciiTheme="majorBidi" w:hAnsiTheme="majorBidi" w:cstheme="majorBidi"/>
          <w:sz w:val="20"/>
          <w:szCs w:val="20"/>
        </w:rPr>
        <w:t xml:space="preserve">, and </w:t>
      </w:r>
      <m:oMath>
        <m:sSub>
          <m:sSubPr>
            <m:ctrlPr>
              <w:rPr>
                <w:rFonts w:ascii="Cambria Math" w:hAnsi="Cambria Math" w:cstheme="majorBidi"/>
                <w:i/>
                <w:sz w:val="20"/>
                <w:szCs w:val="20"/>
              </w:rPr>
            </m:ctrlPr>
          </m:sSubPr>
          <m:e>
            <m:r>
              <w:rPr>
                <w:rFonts w:ascii="Cambria Math" w:hAnsi="Cambria Math" w:cstheme="majorBidi"/>
                <w:sz w:val="20"/>
                <w:szCs w:val="20"/>
              </w:rPr>
              <m:t>ROE</m:t>
            </m:r>
          </m:e>
          <m:sub>
            <m:r>
              <w:rPr>
                <w:rFonts w:ascii="Cambria Math" w:hAnsi="Cambria Math" w:cstheme="majorBidi"/>
                <w:sz w:val="20"/>
                <w:szCs w:val="20"/>
              </w:rPr>
              <m:t>j,t</m:t>
            </m:r>
          </m:sub>
        </m:sSub>
      </m:oMath>
      <w:r w:rsidRPr="00C34A85">
        <w:rPr>
          <w:rFonts w:asciiTheme="majorBidi" w:hAnsiTheme="majorBidi" w:cstheme="majorBidi"/>
          <w:sz w:val="20"/>
          <w:szCs w:val="20"/>
        </w:rPr>
        <w:t xml:space="preserve"> is the return on equity (net income divided by total equity) of firm </w:t>
      </w:r>
      <w:r w:rsidRPr="00C34A85">
        <w:rPr>
          <w:rFonts w:asciiTheme="majorBidi" w:hAnsiTheme="majorBidi" w:cstheme="majorBidi"/>
          <w:i/>
          <w:sz w:val="20"/>
          <w:szCs w:val="20"/>
        </w:rPr>
        <w:t>j</w:t>
      </w:r>
      <w:r w:rsidRPr="00C34A85">
        <w:rPr>
          <w:rFonts w:asciiTheme="majorBidi" w:hAnsiTheme="majorBidi" w:cstheme="majorBidi"/>
          <w:sz w:val="20"/>
          <w:szCs w:val="20"/>
        </w:rPr>
        <w:t xml:space="preserve"> at year </w:t>
      </w:r>
      <w:r w:rsidRPr="00C34A85">
        <w:rPr>
          <w:rFonts w:asciiTheme="majorBidi" w:hAnsiTheme="majorBidi" w:cstheme="majorBidi"/>
          <w:i/>
          <w:sz w:val="20"/>
          <w:szCs w:val="20"/>
        </w:rPr>
        <w:t>t</w:t>
      </w:r>
      <w:r w:rsidRPr="00C34A85">
        <w:rPr>
          <w:rFonts w:asciiTheme="majorBidi" w:hAnsiTheme="majorBidi" w:cstheme="majorBidi"/>
          <w:sz w:val="20"/>
          <w:szCs w:val="20"/>
        </w:rPr>
        <w:t xml:space="preserve">. Leverage is denoted by </w:t>
      </w:r>
      <m:oMath>
        <m:sSub>
          <m:sSubPr>
            <m:ctrlPr>
              <w:rPr>
                <w:rFonts w:ascii="Cambria Math" w:hAnsi="Cambria Math" w:cstheme="majorBidi"/>
                <w:i/>
                <w:sz w:val="20"/>
                <w:szCs w:val="20"/>
              </w:rPr>
            </m:ctrlPr>
          </m:sSubPr>
          <m:e>
            <m:r>
              <w:rPr>
                <w:rFonts w:ascii="Cambria Math" w:hAnsi="Cambria Math" w:cstheme="majorBidi"/>
                <w:sz w:val="20"/>
                <w:szCs w:val="20"/>
              </w:rPr>
              <m:t>DAS</m:t>
            </m:r>
          </m:e>
          <m:sub>
            <m:r>
              <w:rPr>
                <w:rFonts w:ascii="Cambria Math" w:hAnsi="Cambria Math" w:cstheme="majorBidi"/>
                <w:sz w:val="20"/>
                <w:szCs w:val="20"/>
              </w:rPr>
              <m:t xml:space="preserve">j,t </m:t>
            </m:r>
          </m:sub>
        </m:sSub>
      </m:oMath>
      <w:r w:rsidRPr="00C34A85">
        <w:rPr>
          <w:rFonts w:asciiTheme="majorBidi" w:hAnsiTheme="majorBidi" w:cstheme="majorBidi"/>
          <w:sz w:val="20"/>
          <w:szCs w:val="20"/>
        </w:rPr>
        <w:t xml:space="preserve">, measured total debt as a percentage of total assets of firm </w:t>
      </w:r>
      <w:r w:rsidRPr="00C34A85">
        <w:rPr>
          <w:rFonts w:asciiTheme="majorBidi" w:hAnsiTheme="majorBidi" w:cstheme="majorBidi"/>
          <w:i/>
          <w:sz w:val="20"/>
          <w:szCs w:val="20"/>
        </w:rPr>
        <w:t>j</w:t>
      </w:r>
      <w:r w:rsidRPr="00C34A85">
        <w:rPr>
          <w:rFonts w:asciiTheme="majorBidi" w:hAnsiTheme="majorBidi" w:cstheme="majorBidi"/>
          <w:sz w:val="20"/>
          <w:szCs w:val="20"/>
        </w:rPr>
        <w:t xml:space="preserve"> at year </w:t>
      </w:r>
      <w:r w:rsidRPr="00C34A85">
        <w:rPr>
          <w:rFonts w:asciiTheme="majorBidi" w:hAnsiTheme="majorBidi" w:cstheme="majorBidi"/>
          <w:i/>
          <w:sz w:val="20"/>
          <w:szCs w:val="20"/>
        </w:rPr>
        <w:t>t</w:t>
      </w:r>
      <w:r w:rsidRPr="00C34A85">
        <w:rPr>
          <w:rFonts w:asciiTheme="majorBidi" w:hAnsiTheme="majorBidi" w:cstheme="majorBidi"/>
          <w:sz w:val="20"/>
          <w:szCs w:val="20"/>
        </w:rPr>
        <w:t xml:space="preserve">. Growth includes two variables: </w:t>
      </w:r>
      <w:r w:rsidRPr="00C34A85">
        <w:rPr>
          <w:rFonts w:asciiTheme="majorBidi" w:hAnsiTheme="majorBidi" w:cstheme="majorBidi"/>
          <w:iCs/>
          <w:sz w:val="20"/>
          <w:szCs w:val="20"/>
        </w:rPr>
        <w:t>Change in Revenues</w:t>
      </w:r>
      <w:r w:rsidRPr="00C34A85">
        <w:rPr>
          <w:rFonts w:asciiTheme="majorBidi" w:hAnsiTheme="majorBidi" w:cstheme="majorBidi"/>
          <w:sz w:val="20"/>
          <w:szCs w:val="20"/>
        </w:rPr>
        <w:t xml:space="preserve">, measured as </w:t>
      </w:r>
      <w:r w:rsidRPr="00C34A85">
        <w:rPr>
          <w:rFonts w:asciiTheme="majorBidi" w:hAnsiTheme="majorBidi" w:cstheme="majorBidi"/>
          <w:iCs/>
          <w:sz w:val="20"/>
          <w:szCs w:val="20"/>
        </w:rPr>
        <w:t>Sales Revenues</w:t>
      </w:r>
      <w:r w:rsidRPr="00C34A85">
        <w:rPr>
          <w:rFonts w:asciiTheme="majorBidi" w:hAnsiTheme="majorBidi" w:cstheme="majorBidi"/>
          <w:sz w:val="20"/>
          <w:szCs w:val="20"/>
        </w:rPr>
        <w:t xml:space="preserve"> in year </w:t>
      </w:r>
      <w:r w:rsidRPr="00C34A85">
        <w:rPr>
          <w:rFonts w:asciiTheme="majorBidi" w:hAnsiTheme="majorBidi" w:cstheme="majorBidi"/>
          <w:i/>
          <w:sz w:val="20"/>
          <w:szCs w:val="20"/>
        </w:rPr>
        <w:t>t</w:t>
      </w:r>
      <w:r w:rsidRPr="00C34A85">
        <w:rPr>
          <w:rFonts w:asciiTheme="majorBidi" w:hAnsiTheme="majorBidi" w:cstheme="majorBidi"/>
          <w:sz w:val="20"/>
          <w:szCs w:val="20"/>
        </w:rPr>
        <w:t xml:space="preserve"> minus </w:t>
      </w:r>
      <w:r w:rsidRPr="00C34A85">
        <w:rPr>
          <w:rFonts w:asciiTheme="majorBidi" w:hAnsiTheme="majorBidi" w:cstheme="majorBidi"/>
          <w:iCs/>
          <w:sz w:val="20"/>
          <w:szCs w:val="20"/>
        </w:rPr>
        <w:t>Sales Revenues</w:t>
      </w:r>
      <w:r w:rsidRPr="00C34A85">
        <w:rPr>
          <w:rFonts w:asciiTheme="majorBidi" w:hAnsiTheme="majorBidi" w:cstheme="majorBidi"/>
          <w:sz w:val="20"/>
          <w:szCs w:val="20"/>
        </w:rPr>
        <w:t xml:space="preserve"> in year </w:t>
      </w:r>
      <w:r w:rsidRPr="00C34A85">
        <w:rPr>
          <w:rFonts w:asciiTheme="majorBidi" w:hAnsiTheme="majorBidi" w:cstheme="majorBidi"/>
          <w:i/>
          <w:sz w:val="20"/>
          <w:szCs w:val="20"/>
        </w:rPr>
        <w:t>t</w:t>
      </w:r>
      <w:r w:rsidRPr="00C34A85">
        <w:rPr>
          <w:rFonts w:asciiTheme="majorBidi" w:hAnsiTheme="majorBidi" w:cstheme="majorBidi"/>
          <w:sz w:val="20"/>
          <w:szCs w:val="20"/>
        </w:rPr>
        <w:t xml:space="preserve">-1 divided by </w:t>
      </w:r>
      <w:r w:rsidRPr="00C34A85">
        <w:rPr>
          <w:rFonts w:asciiTheme="majorBidi" w:hAnsiTheme="majorBidi" w:cstheme="majorBidi"/>
          <w:iCs/>
          <w:sz w:val="20"/>
          <w:szCs w:val="20"/>
        </w:rPr>
        <w:t>Sales Revenues</w:t>
      </w:r>
      <w:r w:rsidRPr="00C34A85">
        <w:rPr>
          <w:rFonts w:asciiTheme="majorBidi" w:hAnsiTheme="majorBidi" w:cstheme="majorBidi"/>
          <w:sz w:val="20"/>
          <w:szCs w:val="20"/>
        </w:rPr>
        <w:t xml:space="preserve"> in year </w:t>
      </w:r>
      <w:r w:rsidRPr="00C34A85">
        <w:rPr>
          <w:rFonts w:asciiTheme="majorBidi" w:hAnsiTheme="majorBidi" w:cstheme="majorBidi"/>
          <w:i/>
          <w:sz w:val="20"/>
          <w:szCs w:val="20"/>
        </w:rPr>
        <w:t>t</w:t>
      </w:r>
      <w:r w:rsidRPr="00C34A85">
        <w:rPr>
          <w:rFonts w:asciiTheme="majorBidi" w:hAnsiTheme="majorBidi" w:cstheme="majorBidi"/>
          <w:sz w:val="20"/>
          <w:szCs w:val="20"/>
        </w:rPr>
        <w:t xml:space="preserve">-1, and R&amp;D expense, measured as </w:t>
      </w:r>
      <w:r w:rsidRPr="00C34A85">
        <w:rPr>
          <w:rFonts w:asciiTheme="majorBidi" w:hAnsiTheme="majorBidi" w:cstheme="majorBidi"/>
          <w:iCs/>
          <w:sz w:val="20"/>
          <w:szCs w:val="20"/>
        </w:rPr>
        <w:t>R&amp;D Expense</w:t>
      </w:r>
      <w:r w:rsidRPr="00C34A85">
        <w:rPr>
          <w:rFonts w:asciiTheme="majorBidi" w:hAnsiTheme="majorBidi" w:cstheme="majorBidi"/>
          <w:sz w:val="20"/>
          <w:szCs w:val="20"/>
        </w:rPr>
        <w:t xml:space="preserve"> in year </w:t>
      </w:r>
      <w:r w:rsidRPr="00C34A85">
        <w:rPr>
          <w:rFonts w:asciiTheme="majorBidi" w:hAnsiTheme="majorBidi" w:cstheme="majorBidi"/>
          <w:i/>
          <w:sz w:val="20"/>
          <w:szCs w:val="20"/>
        </w:rPr>
        <w:t>t</w:t>
      </w:r>
      <w:r w:rsidRPr="00C34A85">
        <w:rPr>
          <w:rFonts w:asciiTheme="majorBidi" w:hAnsiTheme="majorBidi" w:cstheme="majorBidi"/>
          <w:sz w:val="20"/>
          <w:szCs w:val="20"/>
        </w:rPr>
        <w:t xml:space="preserve"> as a percentage of </w:t>
      </w:r>
      <w:r w:rsidRPr="00C34A85">
        <w:rPr>
          <w:rFonts w:asciiTheme="majorBidi" w:hAnsiTheme="majorBidi" w:cstheme="majorBidi"/>
          <w:iCs/>
          <w:sz w:val="20"/>
          <w:szCs w:val="20"/>
        </w:rPr>
        <w:t>Sales Revenues</w:t>
      </w:r>
      <w:r w:rsidRPr="00C34A85">
        <w:rPr>
          <w:rFonts w:asciiTheme="majorBidi" w:hAnsiTheme="majorBidi" w:cstheme="majorBidi"/>
          <w:i/>
          <w:sz w:val="20"/>
          <w:szCs w:val="20"/>
        </w:rPr>
        <w:t xml:space="preserve"> </w:t>
      </w:r>
      <w:r w:rsidRPr="00C34A85">
        <w:rPr>
          <w:rFonts w:asciiTheme="majorBidi" w:hAnsiTheme="majorBidi" w:cstheme="majorBidi"/>
          <w:sz w:val="20"/>
          <w:szCs w:val="20"/>
        </w:rPr>
        <w:t xml:space="preserve">in year </w:t>
      </w:r>
      <w:r w:rsidRPr="00C34A85">
        <w:rPr>
          <w:rFonts w:asciiTheme="majorBidi" w:hAnsiTheme="majorBidi" w:cstheme="majorBidi"/>
          <w:i/>
          <w:sz w:val="20"/>
          <w:szCs w:val="20"/>
        </w:rPr>
        <w:t>t</w:t>
      </w:r>
      <w:r w:rsidRPr="00C34A85">
        <w:rPr>
          <w:rFonts w:asciiTheme="majorBidi" w:hAnsiTheme="majorBidi" w:cstheme="majorBidi"/>
          <w:sz w:val="20"/>
          <w:szCs w:val="20"/>
        </w:rPr>
        <w:t xml:space="preserve">  (</w:t>
      </w:r>
      <m:oMath>
        <m:sSub>
          <m:sSubPr>
            <m:ctrlPr>
              <w:rPr>
                <w:rFonts w:ascii="Cambria Math" w:hAnsi="Cambria Math" w:cstheme="majorBidi"/>
                <w:i/>
                <w:sz w:val="20"/>
                <w:szCs w:val="20"/>
              </w:rPr>
            </m:ctrlPr>
          </m:sSubPr>
          <m:e>
            <m:r>
              <w:rPr>
                <w:rFonts w:ascii="Cambria Math" w:hAnsi="Cambria Math" w:cstheme="majorBidi"/>
                <w:sz w:val="20"/>
                <w:szCs w:val="20"/>
              </w:rPr>
              <m:t>CRV</m:t>
            </m:r>
          </m:e>
          <m:sub>
            <m:r>
              <w:rPr>
                <w:rFonts w:ascii="Cambria Math" w:hAnsi="Cambria Math" w:cstheme="majorBidi"/>
                <w:sz w:val="20"/>
                <w:szCs w:val="20"/>
              </w:rPr>
              <m:t>j,t</m:t>
            </m:r>
          </m:sub>
        </m:sSub>
        <m:r>
          <w:rPr>
            <w:rFonts w:ascii="Cambria Math" w:hAnsi="Cambria Math" w:cstheme="majorBidi"/>
            <w:sz w:val="20"/>
            <w:szCs w:val="20"/>
          </w:rPr>
          <m:t xml:space="preserve"> </m:t>
        </m:r>
      </m:oMath>
      <w:r w:rsidRPr="00C34A85">
        <w:rPr>
          <w:rFonts w:asciiTheme="majorBidi" w:hAnsiTheme="majorBidi" w:cstheme="majorBidi"/>
          <w:sz w:val="20"/>
          <w:szCs w:val="20"/>
        </w:rPr>
        <w:t xml:space="preserve">and </w:t>
      </w:r>
      <m:oMath>
        <m:sSub>
          <m:sSubPr>
            <m:ctrlPr>
              <w:rPr>
                <w:rFonts w:ascii="Cambria Math" w:hAnsi="Cambria Math" w:cstheme="majorBidi"/>
                <w:i/>
                <w:sz w:val="20"/>
                <w:szCs w:val="20"/>
              </w:rPr>
            </m:ctrlPr>
          </m:sSubPr>
          <m:e>
            <m:r>
              <w:rPr>
                <w:rFonts w:ascii="Cambria Math" w:hAnsi="Cambria Math" w:cstheme="majorBidi"/>
                <w:sz w:val="20"/>
                <w:szCs w:val="20"/>
              </w:rPr>
              <m:t>R&amp;D</m:t>
            </m:r>
          </m:e>
          <m:sub>
            <m:r>
              <w:rPr>
                <w:rFonts w:ascii="Cambria Math" w:hAnsi="Cambria Math" w:cstheme="majorBidi"/>
                <w:sz w:val="20"/>
                <w:szCs w:val="20"/>
              </w:rPr>
              <m:t>j,t</m:t>
            </m:r>
          </m:sub>
        </m:sSub>
        <m:r>
          <w:rPr>
            <w:rFonts w:ascii="Cambria Math" w:hAnsi="Cambria Math" w:cstheme="majorBidi"/>
            <w:sz w:val="20"/>
            <w:szCs w:val="20"/>
          </w:rPr>
          <m:t xml:space="preserve">, </m:t>
        </m:r>
      </m:oMath>
      <w:r w:rsidRPr="00C34A85">
        <w:rPr>
          <w:rFonts w:asciiTheme="majorBidi" w:hAnsiTheme="majorBidi" w:cstheme="majorBidi"/>
          <w:sz w:val="20"/>
          <w:szCs w:val="20"/>
        </w:rPr>
        <w:t xml:space="preserve">respectively). Valuation also includes two variables for firm </w:t>
      </w:r>
      <w:r w:rsidRPr="00C34A85">
        <w:rPr>
          <w:rFonts w:asciiTheme="majorBidi" w:hAnsiTheme="majorBidi" w:cstheme="majorBidi"/>
          <w:i/>
          <w:sz w:val="20"/>
          <w:szCs w:val="20"/>
        </w:rPr>
        <w:t>j</w:t>
      </w:r>
      <w:r w:rsidRPr="00C34A85">
        <w:rPr>
          <w:rFonts w:asciiTheme="majorBidi" w:hAnsiTheme="majorBidi" w:cstheme="majorBidi"/>
          <w:sz w:val="20"/>
          <w:szCs w:val="20"/>
        </w:rPr>
        <w:t xml:space="preserve"> at time </w:t>
      </w:r>
      <w:r w:rsidRPr="00C34A85">
        <w:rPr>
          <w:rFonts w:asciiTheme="majorBidi" w:hAnsiTheme="majorBidi" w:cstheme="majorBidi"/>
          <w:i/>
          <w:sz w:val="20"/>
          <w:szCs w:val="20"/>
        </w:rPr>
        <w:t>t</w:t>
      </w:r>
      <w:r w:rsidRPr="00C34A85">
        <w:rPr>
          <w:rFonts w:asciiTheme="majorBidi" w:hAnsiTheme="majorBidi" w:cstheme="majorBidi"/>
          <w:sz w:val="20"/>
          <w:szCs w:val="20"/>
        </w:rPr>
        <w:t>: Price to Earnings ratio (</w:t>
      </w:r>
      <m:oMath>
        <m:sSub>
          <m:sSubPr>
            <m:ctrlPr>
              <w:rPr>
                <w:rFonts w:ascii="Cambria Math" w:hAnsi="Cambria Math" w:cstheme="majorBidi"/>
                <w:i/>
                <w:sz w:val="20"/>
                <w:szCs w:val="20"/>
              </w:rPr>
            </m:ctrlPr>
          </m:sSubPr>
          <m:e>
            <m:r>
              <w:rPr>
                <w:rFonts w:ascii="Cambria Math" w:hAnsi="Cambria Math" w:cstheme="majorBidi"/>
                <w:sz w:val="20"/>
                <w:szCs w:val="20"/>
              </w:rPr>
              <m:t>P/E</m:t>
            </m:r>
          </m:e>
          <m:sub>
            <m:r>
              <w:rPr>
                <w:rFonts w:ascii="Cambria Math" w:hAnsi="Cambria Math" w:cstheme="majorBidi"/>
                <w:sz w:val="20"/>
                <w:szCs w:val="20"/>
              </w:rPr>
              <m:t>j,t</m:t>
            </m:r>
          </m:sub>
        </m:sSub>
      </m:oMath>
      <w:r w:rsidRPr="00C34A85">
        <w:rPr>
          <w:rFonts w:asciiTheme="majorBidi" w:hAnsiTheme="majorBidi" w:cstheme="majorBidi"/>
          <w:sz w:val="20"/>
          <w:szCs w:val="20"/>
        </w:rPr>
        <w:t>) and Price to Book Value ratio (</w:t>
      </w:r>
      <m:oMath>
        <m:sSub>
          <m:sSubPr>
            <m:ctrlPr>
              <w:rPr>
                <w:rFonts w:ascii="Cambria Math" w:hAnsi="Cambria Math" w:cstheme="majorBidi"/>
                <w:i/>
                <w:sz w:val="20"/>
                <w:szCs w:val="20"/>
              </w:rPr>
            </m:ctrlPr>
          </m:sSubPr>
          <m:e>
            <m:r>
              <w:rPr>
                <w:rFonts w:ascii="Cambria Math" w:hAnsi="Cambria Math" w:cstheme="majorBidi"/>
                <w:sz w:val="20"/>
                <w:szCs w:val="20"/>
              </w:rPr>
              <m:t>P/B</m:t>
            </m:r>
          </m:e>
          <m:sub>
            <m:r>
              <w:rPr>
                <w:rFonts w:ascii="Cambria Math" w:hAnsi="Cambria Math" w:cstheme="majorBidi"/>
                <w:sz w:val="20"/>
                <w:szCs w:val="20"/>
              </w:rPr>
              <m:t>j,t</m:t>
            </m:r>
          </m:sub>
        </m:sSub>
        <m:r>
          <w:rPr>
            <w:rFonts w:ascii="Cambria Math" w:hAnsi="Cambria Math" w:cstheme="majorBidi"/>
            <w:sz w:val="20"/>
            <w:szCs w:val="20"/>
          </w:rPr>
          <m:t>)</m:t>
        </m:r>
      </m:oMath>
      <w:r w:rsidRPr="00C34A85">
        <w:rPr>
          <w:rFonts w:asciiTheme="majorBidi" w:hAnsiTheme="majorBidi" w:cstheme="majorBidi"/>
          <w:sz w:val="20"/>
          <w:szCs w:val="20"/>
        </w:rPr>
        <w:t>.</w:t>
      </w:r>
      <w:r w:rsidRPr="008754C3">
        <w:rPr>
          <w:rFonts w:asciiTheme="majorBidi" w:hAnsiTheme="majorBidi" w:cstheme="majorBidi"/>
          <w:sz w:val="20"/>
          <w:szCs w:val="20"/>
        </w:rPr>
        <w:t xml:space="preserve"> </w:t>
      </w:r>
    </w:p>
    <w:p w14:paraId="0EFD15F7" w14:textId="77777777" w:rsidR="00D315C4" w:rsidRDefault="00D315C4" w:rsidP="00766773">
      <w:pPr>
        <w:pStyle w:val="LSbodytext"/>
        <w:spacing w:line="480" w:lineRule="auto"/>
      </w:pPr>
    </w:p>
    <w:p w14:paraId="62CBC6CF" w14:textId="629222F5" w:rsidR="0082595D" w:rsidRPr="008754C3" w:rsidRDefault="002D1DAC" w:rsidP="00AB3D73">
      <w:pPr>
        <w:pStyle w:val="LSbodytext"/>
        <w:spacing w:line="480" w:lineRule="auto"/>
      </w:pPr>
      <w:bookmarkStart w:id="17" w:name="_Hlk119227040"/>
      <w:r w:rsidRPr="008754C3">
        <w:t>T</w:t>
      </w:r>
      <w:r w:rsidR="00FC1374" w:rsidRPr="008754C3">
        <w:t xml:space="preserve">he </w:t>
      </w:r>
      <w:r w:rsidRPr="008754C3">
        <w:t xml:space="preserve">findings </w:t>
      </w:r>
      <w:r w:rsidR="00FC1374" w:rsidRPr="008754C3">
        <w:t xml:space="preserve">in Table </w:t>
      </w:r>
      <w:r w:rsidR="0024742E">
        <w:t>4</w:t>
      </w:r>
      <w:r w:rsidR="0024742E" w:rsidRPr="008754C3">
        <w:t xml:space="preserve"> </w:t>
      </w:r>
      <w:r w:rsidR="00766773">
        <w:t>indicate a significant cash flow persistence (</w:t>
      </w:r>
      <m:oMath>
        <m:sSub>
          <m:sSubPr>
            <m:ctrlPr>
              <w:rPr>
                <w:rFonts w:ascii="Cambria Math" w:hAnsi="Cambria Math" w:cstheme="majorBidi"/>
                <w:i/>
                <w:lang w:bidi="ar-SA"/>
              </w:rPr>
            </m:ctrlPr>
          </m:sSubPr>
          <m:e>
            <m:r>
              <w:rPr>
                <w:rFonts w:ascii="Cambria Math" w:hAnsi="Cambria Math" w:cstheme="majorBidi"/>
                <w:lang w:bidi="ar-SA"/>
              </w:rPr>
              <m:t>CFS</m:t>
            </m:r>
          </m:e>
          <m:sub>
            <m:r>
              <w:rPr>
                <w:rFonts w:ascii="Cambria Math" w:hAnsi="Cambria Math" w:cstheme="majorBidi"/>
                <w:lang w:bidi="ar-SA"/>
              </w:rPr>
              <m:t>j,t-1</m:t>
            </m:r>
          </m:sub>
        </m:sSub>
        <m:r>
          <w:rPr>
            <w:rFonts w:ascii="Cambria Math" w:hAnsi="Cambria Math" w:cstheme="majorBidi"/>
            <w:lang w:bidi="ar-SA"/>
          </w:rPr>
          <m:t xml:space="preserve">) </m:t>
        </m:r>
      </m:oMath>
      <w:r w:rsidR="00766773">
        <w:t>relating this period</w:t>
      </w:r>
      <w:r w:rsidR="006B063D" w:rsidRPr="008754C3">
        <w:t>’</w:t>
      </w:r>
      <w:r w:rsidR="00766773">
        <w:t xml:space="preserve">s cash flows to those of the previous period over </w:t>
      </w:r>
      <w:r w:rsidR="00AB3D73">
        <w:t>all</w:t>
      </w:r>
      <w:r w:rsidR="00D315C4">
        <w:t xml:space="preserve"> </w:t>
      </w:r>
      <w:r w:rsidR="00766773">
        <w:t xml:space="preserve">models. </w:t>
      </w:r>
      <w:r w:rsidR="00D315C4">
        <w:t xml:space="preserve">While cash flow is persistent and significant for model 3, it presents a positive relationship, which may suggest </w:t>
      </w:r>
      <w:r w:rsidR="00541B0B">
        <w:t xml:space="preserve">that </w:t>
      </w:r>
      <w:r w:rsidR="006067F5">
        <w:t>the negative relationship</w:t>
      </w:r>
      <w:r w:rsidR="00541B0B">
        <w:t xml:space="preserve"> (presented in the other models)</w:t>
      </w:r>
      <w:r w:rsidR="006067F5">
        <w:t xml:space="preserve"> is affected by firm-specific variables which cannot </w:t>
      </w:r>
      <w:r w:rsidR="00AB3D73">
        <w:t>be observed</w:t>
      </w:r>
      <w:r w:rsidR="00D315C4">
        <w:t>.</w:t>
      </w:r>
      <w:r w:rsidR="00766773">
        <w:t xml:space="preserve"> </w:t>
      </w:r>
      <w:r w:rsidR="00541B0B">
        <w:t xml:space="preserve">Theory and the literature do not provide a plausible explanation </w:t>
      </w:r>
      <w:r w:rsidR="00A86CD1">
        <w:t xml:space="preserve">for </w:t>
      </w:r>
      <w:r w:rsidR="00541B0B">
        <w:t xml:space="preserve">why dual-class firms might have a negative </w:t>
      </w:r>
      <w:r w:rsidR="00AB3D73">
        <w:t xml:space="preserve">(or positive) </w:t>
      </w:r>
      <w:r w:rsidR="00541B0B">
        <w:t xml:space="preserve">cash flow persistence. </w:t>
      </w:r>
      <w:r w:rsidR="00766773">
        <w:t xml:space="preserve">The </w:t>
      </w:r>
      <m:oMath>
        <m:sSub>
          <m:sSubPr>
            <m:ctrlPr>
              <w:rPr>
                <w:rFonts w:ascii="Cambria Math" w:hAnsi="Cambria Math"/>
                <w:i/>
              </w:rPr>
            </m:ctrlPr>
          </m:sSubPr>
          <m:e>
            <m:r>
              <w:rPr>
                <w:rFonts w:ascii="Cambria Math" w:hAnsi="Cambria Math"/>
              </w:rPr>
              <m:t>WEDGE</m:t>
            </m:r>
          </m:e>
          <m:sub>
            <m:r>
              <w:rPr>
                <w:rFonts w:ascii="Cambria Math" w:hAnsi="Cambria Math"/>
              </w:rPr>
              <m:t>j,t</m:t>
            </m:r>
          </m:sub>
        </m:sSub>
        <m:r>
          <w:rPr>
            <w:rFonts w:ascii="Cambria Math" w:hAnsi="Cambria Math"/>
          </w:rPr>
          <m:t xml:space="preserve"> </m:t>
        </m:r>
      </m:oMath>
      <w:r w:rsidR="00766773">
        <w:t>coefficient is negative</w:t>
      </w:r>
      <w:r w:rsidR="006067F5">
        <w:t>, however not significant for model 3</w:t>
      </w:r>
      <w:r w:rsidR="00766773">
        <w:t>, implying that as the wedge increases next period</w:t>
      </w:r>
      <w:r w:rsidR="00E14682" w:rsidRPr="008754C3">
        <w:t>’</w:t>
      </w:r>
      <w:r w:rsidR="00766773">
        <w:t xml:space="preserve">s </w:t>
      </w:r>
      <w:r w:rsidR="006067F5">
        <w:lastRenderedPageBreak/>
        <w:t>cash flows</w:t>
      </w:r>
      <w:r w:rsidR="00766773">
        <w:t xml:space="preserve"> are lower. </w:t>
      </w:r>
      <w:r w:rsidR="00766773" w:rsidRPr="008754C3">
        <w:t xml:space="preserve">The main variable of interest is the interaction between </w:t>
      </w:r>
      <w:r w:rsidR="006067F5">
        <w:t>cash flow</w:t>
      </w:r>
      <w:r w:rsidR="00766773" w:rsidRPr="008754C3">
        <w:t xml:space="preserve"> persistence and the size of the wedge, </w:t>
      </w:r>
      <m:oMath>
        <m:sSub>
          <m:sSubPr>
            <m:ctrlPr>
              <w:rPr>
                <w:rFonts w:ascii="Cambria Math" w:hAnsi="Cambria Math"/>
                <w:i/>
              </w:rPr>
            </m:ctrlPr>
          </m:sSubPr>
          <m:e>
            <m:r>
              <w:rPr>
                <w:rFonts w:ascii="Cambria Math" w:hAnsi="Cambria Math"/>
              </w:rPr>
              <m:t>CFS</m:t>
            </m:r>
          </m:e>
          <m:sub>
            <m:r>
              <w:rPr>
                <w:rFonts w:ascii="Cambria Math" w:hAnsi="Cambria Math"/>
              </w:rPr>
              <m:t>j,t-1</m:t>
            </m:r>
          </m:sub>
        </m:sSub>
        <m:r>
          <w:rPr>
            <w:rFonts w:ascii="Cambria Math" w:hAnsi="Cambria Math"/>
          </w:rPr>
          <m:t xml:space="preserve"> </m:t>
        </m:r>
      </m:oMath>
      <w:r w:rsidR="00766773" w:rsidRPr="008754C3">
        <w:t>*</w:t>
      </w:r>
      <m:oMath>
        <m:sSub>
          <m:sSubPr>
            <m:ctrlPr>
              <w:rPr>
                <w:rFonts w:ascii="Cambria Math" w:hAnsi="Cambria Math"/>
                <w:i/>
              </w:rPr>
            </m:ctrlPr>
          </m:sSubPr>
          <m:e>
            <m:r>
              <w:rPr>
                <w:rFonts w:ascii="Cambria Math" w:hAnsi="Cambria Math"/>
              </w:rPr>
              <m:t>WEDGE</m:t>
            </m:r>
          </m:e>
          <m:sub>
            <m:r>
              <w:rPr>
                <w:rFonts w:ascii="Cambria Math" w:hAnsi="Cambria Math"/>
              </w:rPr>
              <m:t>j,t</m:t>
            </m:r>
          </m:sub>
        </m:sSub>
      </m:oMath>
      <w:r w:rsidR="00766773" w:rsidRPr="008754C3">
        <w:t xml:space="preserve">. The coefficient for the main variable of interest is highly significant for all models, suggesting that the slope coefficient, relating the current period’s </w:t>
      </w:r>
      <w:r w:rsidR="0035104B">
        <w:t>cash flows</w:t>
      </w:r>
      <w:r w:rsidR="00766773" w:rsidRPr="008754C3">
        <w:t xml:space="preserve"> to the next period’s </w:t>
      </w:r>
      <w:r w:rsidR="0035104B">
        <w:t>cash flows</w:t>
      </w:r>
      <w:r w:rsidR="00766773" w:rsidRPr="008754C3">
        <w:t xml:space="preserve"> </w:t>
      </w:r>
      <w:r w:rsidR="00AB3D73">
        <w:t xml:space="preserve">is </w:t>
      </w:r>
      <w:r w:rsidR="00766773" w:rsidRPr="008754C3">
        <w:t xml:space="preserve">more informative, as the wedge grows. </w:t>
      </w:r>
      <w:r w:rsidR="0035104B">
        <w:t xml:space="preserve">As can be expected the coefficient in model 3 changes signs </w:t>
      </w:r>
      <w:proofErr w:type="gramStart"/>
      <w:r w:rsidR="0035104B">
        <w:t>similar to</w:t>
      </w:r>
      <w:proofErr w:type="gramEnd"/>
      <w:r w:rsidR="0035104B">
        <w:t xml:space="preserve"> the </w:t>
      </w:r>
      <w:r w:rsidR="00541B0B">
        <w:t>cash flow persistence coefficient.</w:t>
      </w:r>
      <w:r w:rsidR="0035104B">
        <w:t xml:space="preserve"> </w:t>
      </w:r>
      <w:r w:rsidR="006176BF" w:rsidRPr="008754C3">
        <w:t xml:space="preserve">The results </w:t>
      </w:r>
      <w:r w:rsidR="0082595D" w:rsidRPr="008754C3">
        <w:t xml:space="preserve">suggest that </w:t>
      </w:r>
      <w:r w:rsidR="00D239EF" w:rsidRPr="008754C3">
        <w:t>as the size of the wedge increases,</w:t>
      </w:r>
      <w:r w:rsidR="0082595D" w:rsidRPr="008754C3">
        <w:t xml:space="preserve"> the current year’s cash flows </w:t>
      </w:r>
      <w:r w:rsidR="00D239EF" w:rsidRPr="008754C3">
        <w:t xml:space="preserve">become </w:t>
      </w:r>
      <w:r w:rsidR="0082595D" w:rsidRPr="008754C3">
        <w:t>more closely associated with future cash flows</w:t>
      </w:r>
      <w:r w:rsidR="007B67E7">
        <w:t>,</w:t>
      </w:r>
      <w:r w:rsidR="0082595D" w:rsidRPr="008754C3">
        <w:t xml:space="preserve"> </w:t>
      </w:r>
      <w:r w:rsidR="006176BF" w:rsidRPr="008754C3">
        <w:t xml:space="preserve">and </w:t>
      </w:r>
      <w:r w:rsidR="0003674F" w:rsidRPr="008754C3">
        <w:t>the quality of information provided</w:t>
      </w:r>
      <w:r w:rsidR="006B693E" w:rsidRPr="008754C3">
        <w:t xml:space="preserve"> to investors</w:t>
      </w:r>
      <w:r w:rsidR="006176BF" w:rsidRPr="008754C3">
        <w:t xml:space="preserve"> </w:t>
      </w:r>
      <w:r w:rsidR="00D239EF" w:rsidRPr="008754C3">
        <w:t>increases</w:t>
      </w:r>
      <w:r w:rsidR="0003674F" w:rsidRPr="008754C3">
        <w:t>.</w:t>
      </w:r>
    </w:p>
    <w:bookmarkEnd w:id="17"/>
    <w:p w14:paraId="44E034BC" w14:textId="0B52F56A" w:rsidR="00D13E59" w:rsidRPr="008754C3" w:rsidRDefault="00D13E59" w:rsidP="003203CB">
      <w:pPr>
        <w:pStyle w:val="Heading2"/>
        <w:spacing w:line="480" w:lineRule="auto"/>
      </w:pPr>
      <w:r w:rsidRPr="008754C3">
        <w:t>DCA</w:t>
      </w:r>
    </w:p>
    <w:p w14:paraId="089D9CC2" w14:textId="52AD5E03" w:rsidR="00D13E59" w:rsidRPr="008754C3" w:rsidRDefault="004724D9" w:rsidP="003203CB">
      <w:pPr>
        <w:pStyle w:val="LSbodytext"/>
        <w:spacing w:line="480" w:lineRule="auto"/>
      </w:pPr>
      <w:r w:rsidRPr="008754C3">
        <w:t xml:space="preserve">DCA measures accruals that are considered </w:t>
      </w:r>
      <w:r w:rsidR="003C0B58" w:rsidRPr="008754C3">
        <w:rPr>
          <w:shd w:val="clear" w:color="auto" w:fill="FFFFFF"/>
        </w:rPr>
        <w:t>“</w:t>
      </w:r>
      <w:r w:rsidRPr="008754C3">
        <w:t>unexpected</w:t>
      </w:r>
      <w:r w:rsidR="001D2D64" w:rsidRPr="008754C3">
        <w:rPr>
          <w:shd w:val="clear" w:color="auto" w:fill="FFFFFF"/>
        </w:rPr>
        <w:t>”</w:t>
      </w:r>
      <w:r w:rsidRPr="008754C3">
        <w:t xml:space="preserve"> or </w:t>
      </w:r>
      <w:r w:rsidR="001D2D64" w:rsidRPr="008754C3">
        <w:rPr>
          <w:shd w:val="clear" w:color="auto" w:fill="FFFFFF"/>
        </w:rPr>
        <w:t>“</w:t>
      </w:r>
      <w:r w:rsidRPr="008754C3">
        <w:t>abnormal</w:t>
      </w:r>
      <w:r w:rsidR="001D2D64" w:rsidRPr="008754C3">
        <w:rPr>
          <w:shd w:val="clear" w:color="auto" w:fill="FFFFFF"/>
        </w:rPr>
        <w:t>”</w:t>
      </w:r>
      <w:r w:rsidRPr="008754C3">
        <w:t xml:space="preserve"> relative to industry peers, that is</w:t>
      </w:r>
      <w:r w:rsidR="00BF1220" w:rsidRPr="008754C3">
        <w:t>,</w:t>
      </w:r>
      <w:r w:rsidRPr="008754C3">
        <w:t xml:space="preserve"> distortions induced by </w:t>
      </w:r>
      <w:r w:rsidR="00741DEF" w:rsidRPr="008754C3">
        <w:t xml:space="preserve">the </w:t>
      </w:r>
      <w:r w:rsidRPr="008754C3">
        <w:t>application of accounting rules or earnings management</w:t>
      </w:r>
      <w:r w:rsidR="00577765" w:rsidRPr="008754C3">
        <w:t xml:space="preserve">. The </w:t>
      </w:r>
      <w:r w:rsidRPr="008754C3">
        <w:t xml:space="preserve">general interpretation is that they represent a distortion that is of lower quality </w:t>
      </w:r>
      <w:r w:rsidRPr="008754C3">
        <w:fldChar w:fldCharType="begin" w:fldLock="1"/>
      </w:r>
      <w:r w:rsidR="005B2FD3" w:rsidRPr="008754C3">
        <w:instrText>ADDIN CSL_CITATION {"citationItems":[{"id":"ITEM-1","itemData":{"DOI":"10.1016/j.jacceco.2010.09.001","ISSN":"01654101","abstract":"Researchers have used various measures as indications of \"earnings quality\" including persistence, accruals, smoothness, timeliness, loss avoidance, investor responsiveness, and external indicators such as restatements and SEC enforcement releases. For each measure, we discuss causes of variation in the measure as well as consequences. We reach no single conclusion on what earnings quality is because \"quality\" is contingent on the decision context. We also point out that the \"quality\" of earnings is a function of the firm's fundamental performance. The contribution of a firm's fundamental performance to its earnings quality is suggested as one area for future work. © 2010 Elsevier B.V.","author":[{"dropping-particle":"","family":"Dechow","given":"Patricia","non-dropping-particle":"","parse-names":false,"suffix":""},{"dropping-particle":"","family":"Ge","given":"Weili","non-dropping-particle":"","parse-names":false,"suffix":""},{"dropping-particle":"","family":"Schrand","given":"Catherine","non-dropping-particle":"","parse-names":false,"suffix":""}],"container-title":"Journal of Accounting and Economics","id":"ITEM-1","issue":"2-3","issued":{"date-parts":[["2010"]]},"page":"344-401","publisher":"Elsevier","title":"Understanding Earnings Quality: A Review of the Proxies, their Determinants and their Consequences","type":"article-journal","volume":"50"},"uris":["http://www.mendeley.com/documents/?uuid=c200c5c4-3470-4b1f-9177-3ef6391d2873"]}],"mendeley":{"formattedCitation":"(P. Dechow et al., 2010)","manualFormatting":"(Dechow et al., 2010)","plainTextFormattedCitation":"(P. Dechow et al., 2010)","previouslyFormattedCitation":"(P. Dechow et al., 2010)"},"properties":{"noteIndex":0},"schema":"https://github.com/citation-style-language/schema/raw/master/csl-citation.json"}</w:instrText>
      </w:r>
      <w:r w:rsidRPr="008754C3">
        <w:fldChar w:fldCharType="separate"/>
      </w:r>
      <w:r w:rsidR="00903399" w:rsidRPr="008754C3">
        <w:rPr>
          <w:noProof/>
        </w:rPr>
        <w:t>(Dechow et al., 2010)</w:t>
      </w:r>
      <w:r w:rsidRPr="008754C3">
        <w:fldChar w:fldCharType="end"/>
      </w:r>
      <w:r w:rsidRPr="008754C3">
        <w:t>.</w:t>
      </w:r>
      <w:r w:rsidR="002D5847" w:rsidRPr="008754C3">
        <w:t xml:space="preserve"> The study </w:t>
      </w:r>
      <w:r w:rsidR="00BF1220" w:rsidRPr="008754C3">
        <w:t xml:space="preserve">uses </w:t>
      </w:r>
      <w:r w:rsidR="002D5847" w:rsidRPr="008754C3">
        <w:t xml:space="preserve">the modified </w:t>
      </w:r>
      <w:r w:rsidR="002D5847" w:rsidRPr="008754C3">
        <w:fldChar w:fldCharType="begin" w:fldLock="1"/>
      </w:r>
      <w:r w:rsidR="00B30335" w:rsidRPr="008754C3">
        <w:instrText>ADDIN CSL_CITATION {"citationItems":[{"id":"ITEM-1","itemData":{"DOI":"10.2307/2491047","ISSN":"00218456","abstract":"The article focuses on the earnings management policy adopted by firms during import relief investigations carried out by the U.S. International Trade Commission. The author uses several types of models to measure discretionary and nondiscretionary accruals. The results of the author's empirical tests reinforce the concept that, during import relief investigations, managers make income-decreasing accruals. This research may be of value to the International Trade Commission during its investigations.","author":[{"dropping-particle":"","family":"Jones","given":"Jennifer J.","non-dropping-particle":"","parse-names":false,"suffix":""}],"container-title":"Journal of Accounting Research","id":"ITEM-1","issue":"2","issued":{"date-parts":[["1991"]]},"page":"193-228","title":"Earnings Management During Import Relief Investigations","type":"article-journal","volume":"29"},"uris":["http://www.mendeley.com/documents/?uuid=ede78d92-db7a-4348-b611-bbf2d6c2747b"]}],"mendeley":{"formattedCitation":"(Jones, 1991)","manualFormatting":"Jones (1991)","plainTextFormattedCitation":"(Jones, 1991)","previouslyFormattedCitation":"(Jones, 1991)"},"properties":{"noteIndex":0},"schema":"https://github.com/citation-style-language/schema/raw/master/csl-citation.json"}</w:instrText>
      </w:r>
      <w:r w:rsidR="002D5847" w:rsidRPr="008754C3">
        <w:fldChar w:fldCharType="separate"/>
      </w:r>
      <w:r w:rsidR="00903399" w:rsidRPr="008754C3">
        <w:rPr>
          <w:noProof/>
        </w:rPr>
        <w:t>Jones</w:t>
      </w:r>
      <w:r w:rsidR="00B30335" w:rsidRPr="008754C3">
        <w:rPr>
          <w:noProof/>
        </w:rPr>
        <w:t xml:space="preserve"> (</w:t>
      </w:r>
      <w:r w:rsidR="00903399" w:rsidRPr="008754C3">
        <w:rPr>
          <w:noProof/>
        </w:rPr>
        <w:t>1991)</w:t>
      </w:r>
      <w:r w:rsidR="002D5847" w:rsidRPr="008754C3">
        <w:fldChar w:fldCharType="end"/>
      </w:r>
      <w:r w:rsidR="002D5847" w:rsidRPr="008754C3">
        <w:t xml:space="preserve"> model, </w:t>
      </w:r>
      <w:r w:rsidR="00BF1220" w:rsidRPr="008754C3">
        <w:t xml:space="preserve">in which </w:t>
      </w:r>
      <w:r w:rsidR="002D5847" w:rsidRPr="008754C3">
        <w:t>the firm</w:t>
      </w:r>
      <w:r w:rsidR="00565BA0" w:rsidRPr="008754C3">
        <w:t>’</w:t>
      </w:r>
      <w:r w:rsidR="002D5847" w:rsidRPr="008754C3">
        <w:t>s current working capital accruals</w:t>
      </w:r>
      <w:r w:rsidR="00BF1220" w:rsidRPr="008754C3">
        <w:t>,</w:t>
      </w:r>
      <w:r w:rsidR="002D5847" w:rsidRPr="008754C3">
        <w:t xml:space="preserve"> or DCA</w:t>
      </w:r>
      <w:r w:rsidR="00BF1220" w:rsidRPr="008754C3">
        <w:t>,</w:t>
      </w:r>
      <w:r w:rsidR="002D5847" w:rsidRPr="008754C3">
        <w:t xml:space="preserve"> are compared to industry peers.</w:t>
      </w:r>
    </w:p>
    <w:p w14:paraId="71CAB5C7" w14:textId="0BD9BF66" w:rsidR="00F6714A" w:rsidRDefault="0043793A" w:rsidP="003203CB">
      <w:pPr>
        <w:pStyle w:val="LSbodytext"/>
        <w:spacing w:line="480" w:lineRule="auto"/>
      </w:pPr>
      <w:r w:rsidRPr="008754C3">
        <w:t xml:space="preserve">Current accruals, measured as the change in </w:t>
      </w:r>
      <w:r w:rsidR="0070665B" w:rsidRPr="008754C3">
        <w:t>noncash</w:t>
      </w:r>
      <w:r w:rsidRPr="008754C3">
        <w:t xml:space="preserve"> current assets less the change in operating current liabilities, are the sum of both discretionary and nondiscretionary accruals</w:t>
      </w:r>
      <w:r w:rsidR="003F5626" w:rsidRPr="008754C3">
        <w:t xml:space="preserve">. </w:t>
      </w:r>
      <w:r w:rsidR="00D2308C" w:rsidRPr="008754C3">
        <w:t>To identify the nondiscretionary component</w:t>
      </w:r>
      <w:r w:rsidR="0070665B" w:rsidRPr="008754C3">
        <w:t>,</w:t>
      </w:r>
      <w:r w:rsidR="00D2308C" w:rsidRPr="008754C3">
        <w:t xml:space="preserve"> a regression</w:t>
      </w:r>
      <w:r w:rsidR="00CC4808" w:rsidRPr="008754C3">
        <w:t xml:space="preserve"> of current accruals on change in sales</w:t>
      </w:r>
      <w:r w:rsidR="00D2308C" w:rsidRPr="008754C3">
        <w:t xml:space="preserve"> is run on all </w:t>
      </w:r>
      <w:r w:rsidR="007C34EB" w:rsidRPr="008754C3">
        <w:t xml:space="preserve">firms in the same </w:t>
      </w:r>
      <w:r w:rsidR="00164122" w:rsidRPr="008754C3">
        <w:t>two-</w:t>
      </w:r>
      <w:r w:rsidR="007C34EB" w:rsidRPr="008754C3">
        <w:t>digit SIC code</w:t>
      </w:r>
      <w:r w:rsidR="002B23FC" w:rsidRPr="008754C3">
        <w:t xml:space="preserve"> for each year</w:t>
      </w:r>
      <w:r w:rsidR="007C34EB" w:rsidRPr="008754C3">
        <w:t xml:space="preserve">. </w:t>
      </w:r>
      <w:r w:rsidR="00CC4808" w:rsidRPr="008754C3">
        <w:t xml:space="preserve">Using the estimates </w:t>
      </w:r>
      <w:r w:rsidR="00D45185" w:rsidRPr="008754C3">
        <w:t>for the regression parameters</w:t>
      </w:r>
      <w:r w:rsidR="0070665B" w:rsidRPr="008754C3">
        <w:t>,</w:t>
      </w:r>
      <w:r w:rsidR="00D45185" w:rsidRPr="008754C3">
        <w:t xml:space="preserve"> each firm</w:t>
      </w:r>
      <w:r w:rsidR="00CB1334" w:rsidRPr="008754C3">
        <w:t>’</w:t>
      </w:r>
      <w:r w:rsidR="00D45185" w:rsidRPr="008754C3">
        <w:t xml:space="preserve">s nondiscretionary current accruals are estimated. </w:t>
      </w:r>
      <w:r w:rsidR="002B23FC" w:rsidRPr="008754C3">
        <w:t xml:space="preserve">The </w:t>
      </w:r>
      <w:r w:rsidR="00826683" w:rsidRPr="008754C3">
        <w:t xml:space="preserve">regression residual is presumed to </w:t>
      </w:r>
      <w:r w:rsidR="00FE0907" w:rsidRPr="008754C3">
        <w:t xml:space="preserve">be </w:t>
      </w:r>
      <w:r w:rsidR="00826683" w:rsidRPr="008754C3">
        <w:t xml:space="preserve">dictated by </w:t>
      </w:r>
      <w:r w:rsidR="00FA6373" w:rsidRPr="008754C3">
        <w:t xml:space="preserve">the </w:t>
      </w:r>
      <w:r w:rsidR="00826683" w:rsidRPr="008754C3">
        <w:t>firm and industry conditions</w:t>
      </w:r>
      <w:r w:rsidR="007550EA" w:rsidRPr="008754C3">
        <w:t>, due to the cross-sectional approach,</w:t>
      </w:r>
      <w:r w:rsidR="00826683" w:rsidRPr="008754C3">
        <w:t xml:space="preserve"> and </w:t>
      </w:r>
      <w:r w:rsidR="00826683" w:rsidRPr="008754C3">
        <w:lastRenderedPageBreak/>
        <w:t xml:space="preserve">is considered to have been </w:t>
      </w:r>
      <w:r w:rsidR="001C4C22" w:rsidRPr="008754C3">
        <w:rPr>
          <w:shd w:val="clear" w:color="auto" w:fill="FFFFFF"/>
        </w:rPr>
        <w:t>“</w:t>
      </w:r>
      <w:r w:rsidR="00826683" w:rsidRPr="008754C3">
        <w:t>managed</w:t>
      </w:r>
      <w:r w:rsidR="00C7051A" w:rsidRPr="008754C3">
        <w:rPr>
          <w:shd w:val="clear" w:color="auto" w:fill="FFFFFF"/>
        </w:rPr>
        <w:t>.</w:t>
      </w:r>
      <w:r w:rsidR="001C4C22" w:rsidRPr="008754C3">
        <w:rPr>
          <w:shd w:val="clear" w:color="auto" w:fill="FFFFFF"/>
        </w:rPr>
        <w:t>”</w:t>
      </w:r>
      <w:r w:rsidR="005124B4" w:rsidRPr="008754C3">
        <w:rPr>
          <w:rStyle w:val="FootnoteReference"/>
          <w:rFonts w:asciiTheme="majorBidi" w:hAnsiTheme="majorBidi" w:cstheme="majorBidi"/>
        </w:rPr>
        <w:footnoteReference w:id="8"/>
      </w:r>
      <w:r w:rsidR="00E53497" w:rsidRPr="008754C3">
        <w:t xml:space="preserve"> Since there is no particular reason to suspect an unusual degree of income</w:t>
      </w:r>
      <w:r w:rsidR="0070665B" w:rsidRPr="008754C3">
        <w:t>-</w:t>
      </w:r>
      <w:r w:rsidR="00E53497" w:rsidRPr="008754C3">
        <w:t>increasing or income</w:t>
      </w:r>
      <w:r w:rsidR="0070665B" w:rsidRPr="008754C3">
        <w:t>-</w:t>
      </w:r>
      <w:r w:rsidR="00E53497" w:rsidRPr="008754C3">
        <w:t>decreasing accruals in the sample</w:t>
      </w:r>
      <w:r w:rsidR="0070665B" w:rsidRPr="008754C3">
        <w:t>,</w:t>
      </w:r>
      <w:r w:rsidR="00E53497" w:rsidRPr="008754C3">
        <w:t xml:space="preserve"> the absolute values of the abnormal accruals are used to capture the extent of earnings management </w:t>
      </w:r>
      <w:r w:rsidR="00E53497" w:rsidRPr="008754C3">
        <w:fldChar w:fldCharType="begin" w:fldLock="1"/>
      </w:r>
      <w:r w:rsidR="00235A5D" w:rsidRPr="008754C3">
        <w:instrText>ADDIN CSL_CITATION {"citationItems":[{"id":"ITEM-1","itemData":{"abstract":"A major strand of the earnings management literature examines managers’ use of discretionary accruals to shift reported income among fiscal periods. Such an examination entails specification of a model to estimate discretionary accruals. The models range from the simple, in which total accruals are used as a measure of discretionary accruals to the relatively sophisticated (regression), which decompose accruals into discretionary and nondiscretionary components. The most popular six models are the DeAngelo (1986) Model, Healy (1985) Model, the Jones (1991) Model, the Modified Jones Model (Dechow, Sloan, and Sweeney 1995), the Industry Model (Dechow, Sloan, and Sweeney 1995), and the Cross-Sectional Jones Model (DeFond and Jiambalvo 1994).","author":[{"dropping-particle":"","family":"Bartov,","given":"Eli","non-dropping-particle":"","parse-names":false,"suffix":""},{"dropping-particle":"","family":"Gul","given":"Ferdinand A.","non-dropping-particle":"","parse-names":false,"suffix":""},{"dropping-particle":"","family":"Tsui","given":"Judy S.L.","non-dropping-particle":"","parse-names":false,"suffix":""}],"container-title":"Journal of Accounting and Economics","id":"ITEM-1","issued":{"date-parts":[["2001"]]},"page":"421-452","title":"Discretionary-Accruals Models and Audit Qualifications","type":"article-journal","volume":"30"},"uris":["http://www.mendeley.com/documents/?uuid=c45f4d62-57be-46be-855a-1e9f09618652"]},{"id":"ITEM-2","itemData":{"DOI":"10.1080/0960310042000323607","ISSN":"09603107","abstract":"This study explores the impact of corporate takeover defences on the extent of earnings management in the US. Theoretically, it is not obvious whether takeover defences alleviate or exacerbate earnings management. Four well-known corporate takeover defences are examimed: blank check preferred stock, poison pills, classified boards and dual class stock. In spite of their similarity as takeover defences, the empirical evidence indicates that they do not influence the degree of earnings management in the same way. Specifically, blank check preferred stock does not have a significant impact on earnings management. Poison pills and classified boards are found to reduce earnings management, on average, by 1.9% and 1.5% respectively. On the contrary, dual class stock exacerbates earnings management by increasing the degree of abnormal accruals by 2.6% on average. The results are robust even after controlling for firm size, profitability, financial distress, growth opportunities and information asymmetry. © 2005 Taylor &amp; Francis Group Ltd.","author":[{"dropping-particle":"","family":"Jiraporn","given":"Pornsit","non-dropping-particle":"","parse-names":false,"suffix":""}],"container-title":"Applied Financial Economics","id":"ITEM-2","issue":"5","issued":{"date-parts":[["2005"]]},"page":"293-303","title":"An Empirical Analysis of Corporate Takeover Defences and Earnings Management: Evidence from the US","type":"article-journal","volume":"15"},"uris":["http://www.mendeley.com/documents/?uuid=cbb2c9a2-3701-47d1-a217-37ca822ceb2c"]}],"mendeley":{"formattedCitation":"(Bartov, et al., 2001; Jiraporn, 2005)","plainTextFormattedCitation":"(Bartov, et al., 2001; Jiraporn, 2005)","previouslyFormattedCitation":"(Bartov, et al., 2001; Jiraporn, 2005)"},"properties":{"noteIndex":0},"schema":"https://github.com/citation-style-language/schema/raw/master/csl-citation.json"}</w:instrText>
      </w:r>
      <w:r w:rsidR="00E53497" w:rsidRPr="008754C3">
        <w:fldChar w:fldCharType="separate"/>
      </w:r>
      <w:r w:rsidR="007C6DB2" w:rsidRPr="008754C3">
        <w:rPr>
          <w:noProof/>
        </w:rPr>
        <w:t>(Bartov et al., 2001; Jiraporn, 2005)</w:t>
      </w:r>
      <w:r w:rsidR="00E53497" w:rsidRPr="008754C3">
        <w:fldChar w:fldCharType="end"/>
      </w:r>
      <w:r w:rsidR="00E53497" w:rsidRPr="008754C3">
        <w:t>.</w:t>
      </w:r>
    </w:p>
    <w:p w14:paraId="76E31E66" w14:textId="3A99B4C7" w:rsidR="00F9234E" w:rsidRPr="00EC19B4" w:rsidRDefault="00F9234E" w:rsidP="00CB7FE2">
      <w:pPr>
        <w:widowControl w:val="0"/>
        <w:bidi w:val="0"/>
        <w:spacing w:after="0" w:line="480" w:lineRule="auto"/>
        <w:rPr>
          <w:rFonts w:asciiTheme="majorBidi" w:hAnsiTheme="majorBidi" w:cstheme="majorBidi"/>
          <w:b/>
          <w:bCs/>
          <w:sz w:val="24"/>
          <w:szCs w:val="24"/>
        </w:rPr>
      </w:pPr>
      <w:r w:rsidRPr="00EC19B4">
        <w:rPr>
          <w:rFonts w:asciiTheme="majorBidi" w:hAnsiTheme="majorBidi" w:cstheme="majorBidi"/>
          <w:b/>
          <w:bCs/>
          <w:sz w:val="24"/>
          <w:szCs w:val="24"/>
        </w:rPr>
        <w:t xml:space="preserve">Table </w:t>
      </w:r>
      <w:r w:rsidR="0024742E" w:rsidRPr="00EC19B4">
        <w:rPr>
          <w:rFonts w:asciiTheme="majorBidi" w:hAnsiTheme="majorBidi" w:cstheme="majorBidi"/>
          <w:b/>
          <w:bCs/>
          <w:sz w:val="24"/>
          <w:szCs w:val="24"/>
        </w:rPr>
        <w:t>5</w:t>
      </w:r>
    </w:p>
    <w:p w14:paraId="0212375A" w14:textId="0DCE21CE" w:rsidR="00F9234E" w:rsidRDefault="00F9234E" w:rsidP="00CB7FE2">
      <w:pPr>
        <w:widowControl w:val="0"/>
        <w:bidi w:val="0"/>
        <w:spacing w:line="480" w:lineRule="auto"/>
        <w:rPr>
          <w:rFonts w:ascii="Times New Roman" w:hAnsi="Times New Roman"/>
          <w:b/>
          <w:bCs/>
          <w:sz w:val="24"/>
          <w:szCs w:val="24"/>
        </w:rPr>
      </w:pPr>
      <w:r w:rsidRPr="005B64E8">
        <w:rPr>
          <w:rFonts w:ascii="Times New Roman" w:hAnsi="Times New Roman"/>
          <w:b/>
          <w:bCs/>
          <w:sz w:val="24"/>
          <w:szCs w:val="24"/>
        </w:rPr>
        <w:t xml:space="preserve">Tests of the </w:t>
      </w:r>
      <w:r>
        <w:rPr>
          <w:rFonts w:ascii="Times New Roman" w:hAnsi="Times New Roman"/>
          <w:b/>
          <w:bCs/>
          <w:sz w:val="24"/>
          <w:szCs w:val="24"/>
        </w:rPr>
        <w:t>r</w:t>
      </w:r>
      <w:r w:rsidRPr="005B64E8">
        <w:rPr>
          <w:rFonts w:ascii="Times New Roman" w:hAnsi="Times New Roman"/>
          <w:b/>
          <w:bCs/>
          <w:sz w:val="24"/>
          <w:szCs w:val="24"/>
        </w:rPr>
        <w:t>elation</w:t>
      </w:r>
      <w:r>
        <w:rPr>
          <w:rFonts w:ascii="Times New Roman" w:hAnsi="Times New Roman"/>
          <w:b/>
          <w:bCs/>
          <w:sz w:val="24"/>
          <w:szCs w:val="24"/>
        </w:rPr>
        <w:t xml:space="preserve"> b</w:t>
      </w:r>
      <w:r w:rsidRPr="005B64E8">
        <w:rPr>
          <w:rFonts w:ascii="Times New Roman" w:hAnsi="Times New Roman"/>
          <w:b/>
          <w:bCs/>
          <w:sz w:val="24"/>
          <w:szCs w:val="24"/>
        </w:rPr>
        <w:t xml:space="preserve">etween </w:t>
      </w:r>
      <w:r>
        <w:rPr>
          <w:rFonts w:ascii="Times New Roman" w:hAnsi="Times New Roman"/>
          <w:b/>
          <w:bCs/>
          <w:sz w:val="24"/>
          <w:szCs w:val="24"/>
        </w:rPr>
        <w:t xml:space="preserve">level of </w:t>
      </w:r>
      <w:proofErr w:type="spellStart"/>
      <w:r>
        <w:rPr>
          <w:rFonts w:ascii="Times New Roman" w:hAnsi="Times New Roman"/>
          <w:b/>
          <w:bCs/>
          <w:sz w:val="24"/>
          <w:szCs w:val="24"/>
        </w:rPr>
        <w:t>DCA</w:t>
      </w:r>
      <w:r>
        <w:rPr>
          <w:rFonts w:ascii="Times New Roman" w:hAnsi="Times New Roman"/>
          <w:b/>
          <w:bCs/>
          <w:sz w:val="24"/>
          <w:szCs w:val="24"/>
          <w:vertAlign w:val="superscript"/>
        </w:rPr>
        <w:t>a</w:t>
      </w:r>
      <w:proofErr w:type="spellEnd"/>
      <w:r>
        <w:rPr>
          <w:rFonts w:ascii="Times New Roman" w:hAnsi="Times New Roman"/>
          <w:b/>
          <w:bCs/>
          <w:sz w:val="24"/>
          <w:szCs w:val="24"/>
        </w:rPr>
        <w:t xml:space="preserve"> and wedge size</w:t>
      </w:r>
    </w:p>
    <w:tbl>
      <w:tblPr>
        <w:tblW w:w="6438" w:type="dxa"/>
        <w:jc w:val="center"/>
        <w:tblLook w:val="04A0" w:firstRow="1" w:lastRow="0" w:firstColumn="1" w:lastColumn="0" w:noHBand="0" w:noVBand="1"/>
      </w:tblPr>
      <w:tblGrid>
        <w:gridCol w:w="2624"/>
        <w:gridCol w:w="1056"/>
        <w:gridCol w:w="1522"/>
        <w:gridCol w:w="1236"/>
      </w:tblGrid>
      <w:tr w:rsidR="00F9234E" w:rsidRPr="009D36F5" w14:paraId="53F83AE1" w14:textId="77777777" w:rsidTr="00C7587E">
        <w:trPr>
          <w:trHeight w:val="354"/>
          <w:jc w:val="center"/>
        </w:trPr>
        <w:tc>
          <w:tcPr>
            <w:tcW w:w="2624" w:type="dxa"/>
            <w:tcBorders>
              <w:top w:val="double" w:sz="4" w:space="0" w:color="auto"/>
              <w:left w:val="nil"/>
              <w:bottom w:val="single" w:sz="4" w:space="0" w:color="auto"/>
              <w:right w:val="nil"/>
            </w:tcBorders>
            <w:noWrap/>
            <w:tcMar>
              <w:top w:w="0" w:type="dxa"/>
              <w:left w:w="58" w:type="dxa"/>
              <w:bottom w:w="115" w:type="dxa"/>
              <w:right w:w="58" w:type="dxa"/>
            </w:tcMar>
            <w:hideMark/>
          </w:tcPr>
          <w:p w14:paraId="0FE23AC2" w14:textId="77777777" w:rsidR="00F9234E" w:rsidRPr="009D36F5" w:rsidRDefault="00F9234E" w:rsidP="00C7587E">
            <w:pPr>
              <w:bidi w:val="0"/>
              <w:spacing w:after="0" w:line="240" w:lineRule="auto"/>
              <w:rPr>
                <w:rFonts w:asciiTheme="majorBidi" w:hAnsiTheme="majorBidi" w:cstheme="majorBidi"/>
                <w:b/>
                <w:bCs/>
                <w:sz w:val="24"/>
                <w:szCs w:val="24"/>
                <w:lang w:bidi="ar-SA"/>
              </w:rPr>
            </w:pPr>
            <w:r w:rsidRPr="009D36F5">
              <w:rPr>
                <w:rFonts w:asciiTheme="majorBidi" w:hAnsiTheme="majorBidi" w:cstheme="majorBidi"/>
                <w:b/>
                <w:bCs/>
                <w:sz w:val="24"/>
                <w:szCs w:val="24"/>
                <w:lang w:bidi="ar-SA"/>
              </w:rPr>
              <w:t>Variable</w:t>
            </w:r>
          </w:p>
        </w:tc>
        <w:tc>
          <w:tcPr>
            <w:tcW w:w="1056" w:type="dxa"/>
            <w:tcBorders>
              <w:top w:val="double" w:sz="4" w:space="0" w:color="auto"/>
              <w:left w:val="nil"/>
              <w:bottom w:val="single" w:sz="4" w:space="0" w:color="auto"/>
              <w:right w:val="nil"/>
            </w:tcBorders>
            <w:tcMar>
              <w:top w:w="0" w:type="dxa"/>
              <w:left w:w="58" w:type="dxa"/>
              <w:bottom w:w="115" w:type="dxa"/>
              <w:right w:w="58" w:type="dxa"/>
            </w:tcMar>
            <w:hideMark/>
          </w:tcPr>
          <w:p w14:paraId="74F4EDC2" w14:textId="77777777" w:rsidR="00F9234E" w:rsidRPr="009D36F5" w:rsidRDefault="00F9234E" w:rsidP="00C7587E">
            <w:pPr>
              <w:bidi w:val="0"/>
              <w:spacing w:after="0" w:line="240" w:lineRule="auto"/>
              <w:jc w:val="center"/>
              <w:rPr>
                <w:rFonts w:asciiTheme="majorBidi" w:hAnsiTheme="majorBidi" w:cstheme="majorBidi"/>
                <w:b/>
                <w:bCs/>
                <w:sz w:val="24"/>
                <w:szCs w:val="24"/>
              </w:rPr>
            </w:pPr>
            <w:r w:rsidRPr="009D36F5">
              <w:rPr>
                <w:rFonts w:asciiTheme="majorBidi" w:hAnsiTheme="majorBidi" w:cstheme="majorBidi"/>
                <w:b/>
                <w:bCs/>
                <w:sz w:val="24"/>
                <w:szCs w:val="24"/>
                <w:lang w:bidi="ar-SA"/>
              </w:rPr>
              <w:t>Model 1</w:t>
            </w:r>
          </w:p>
        </w:tc>
        <w:tc>
          <w:tcPr>
            <w:tcW w:w="1522" w:type="dxa"/>
            <w:tcBorders>
              <w:top w:val="double" w:sz="4" w:space="0" w:color="auto"/>
              <w:left w:val="nil"/>
              <w:bottom w:val="single" w:sz="4" w:space="0" w:color="auto"/>
              <w:right w:val="nil"/>
            </w:tcBorders>
            <w:noWrap/>
            <w:tcMar>
              <w:top w:w="0" w:type="dxa"/>
              <w:left w:w="58" w:type="dxa"/>
              <w:bottom w:w="115" w:type="dxa"/>
              <w:right w:w="58" w:type="dxa"/>
            </w:tcMar>
            <w:hideMark/>
          </w:tcPr>
          <w:p w14:paraId="73520EAE" w14:textId="77777777" w:rsidR="00F9234E" w:rsidRPr="009D36F5" w:rsidRDefault="00F9234E" w:rsidP="00C7587E">
            <w:pPr>
              <w:bidi w:val="0"/>
              <w:spacing w:after="0" w:line="240" w:lineRule="auto"/>
              <w:jc w:val="center"/>
              <w:rPr>
                <w:rFonts w:asciiTheme="majorBidi" w:hAnsiTheme="majorBidi" w:cstheme="majorBidi"/>
                <w:b/>
                <w:bCs/>
                <w:sz w:val="24"/>
                <w:szCs w:val="24"/>
                <w:rtl/>
              </w:rPr>
            </w:pPr>
            <w:r w:rsidRPr="009D36F5">
              <w:rPr>
                <w:rFonts w:asciiTheme="majorBidi" w:hAnsiTheme="majorBidi" w:cstheme="majorBidi"/>
                <w:b/>
                <w:bCs/>
                <w:sz w:val="24"/>
                <w:szCs w:val="24"/>
                <w:lang w:bidi="ar-SA"/>
              </w:rPr>
              <w:t>Model 2</w:t>
            </w:r>
          </w:p>
        </w:tc>
        <w:tc>
          <w:tcPr>
            <w:tcW w:w="1236" w:type="dxa"/>
            <w:tcBorders>
              <w:top w:val="double" w:sz="4" w:space="0" w:color="auto"/>
              <w:left w:val="nil"/>
              <w:bottom w:val="single" w:sz="4" w:space="0" w:color="auto"/>
              <w:right w:val="nil"/>
            </w:tcBorders>
            <w:tcMar>
              <w:top w:w="0" w:type="dxa"/>
              <w:left w:w="58" w:type="dxa"/>
              <w:bottom w:w="115" w:type="dxa"/>
              <w:right w:w="58" w:type="dxa"/>
            </w:tcMar>
            <w:hideMark/>
          </w:tcPr>
          <w:p w14:paraId="2E0A15EF" w14:textId="77777777" w:rsidR="00F9234E" w:rsidRPr="009D36F5" w:rsidRDefault="00F9234E" w:rsidP="00C7587E">
            <w:pPr>
              <w:bidi w:val="0"/>
              <w:spacing w:after="0" w:line="240" w:lineRule="auto"/>
              <w:jc w:val="center"/>
              <w:rPr>
                <w:rFonts w:asciiTheme="majorBidi" w:hAnsiTheme="majorBidi" w:cstheme="majorBidi"/>
                <w:b/>
                <w:bCs/>
                <w:sz w:val="24"/>
                <w:szCs w:val="24"/>
                <w:rtl/>
              </w:rPr>
            </w:pPr>
            <w:r w:rsidRPr="009D36F5">
              <w:rPr>
                <w:rFonts w:asciiTheme="majorBidi" w:hAnsiTheme="majorBidi" w:cstheme="majorBidi"/>
                <w:b/>
                <w:bCs/>
                <w:sz w:val="24"/>
                <w:szCs w:val="24"/>
                <w:lang w:bidi="ar-SA"/>
              </w:rPr>
              <w:t>Model 3</w:t>
            </w:r>
          </w:p>
        </w:tc>
      </w:tr>
      <w:tr w:rsidR="00F9234E" w:rsidRPr="009D36F5" w14:paraId="449177F3" w14:textId="77777777" w:rsidTr="00C7587E">
        <w:trPr>
          <w:trHeight w:val="124"/>
          <w:jc w:val="center"/>
        </w:trPr>
        <w:tc>
          <w:tcPr>
            <w:tcW w:w="2624" w:type="dxa"/>
            <w:tcBorders>
              <w:top w:val="single" w:sz="4" w:space="0" w:color="auto"/>
              <w:left w:val="nil"/>
              <w:bottom w:val="nil"/>
              <w:right w:val="nil"/>
            </w:tcBorders>
            <w:noWrap/>
            <w:tcMar>
              <w:top w:w="0" w:type="dxa"/>
              <w:left w:w="58" w:type="dxa"/>
              <w:bottom w:w="115" w:type="dxa"/>
              <w:right w:w="58" w:type="dxa"/>
            </w:tcMar>
            <w:hideMark/>
          </w:tcPr>
          <w:p w14:paraId="74F7A765" w14:textId="77777777" w:rsidR="00F9234E" w:rsidRPr="009D36F5" w:rsidRDefault="00F9234E" w:rsidP="00C7587E">
            <w:pPr>
              <w:bidi w:val="0"/>
              <w:spacing w:before="23" w:after="0"/>
              <w:rPr>
                <w:rFonts w:asciiTheme="majorBidi" w:hAnsiTheme="majorBidi" w:cstheme="majorBidi"/>
                <w:b/>
                <w:bCs/>
                <w:sz w:val="24"/>
                <w:szCs w:val="24"/>
                <w:rtl/>
              </w:rPr>
            </w:pPr>
            <w:r w:rsidRPr="009D36F5">
              <w:rPr>
                <w:rFonts w:asciiTheme="majorBidi" w:hAnsiTheme="majorBidi" w:cstheme="majorBidi"/>
                <w:b/>
                <w:bCs/>
                <w:sz w:val="24"/>
                <w:szCs w:val="24"/>
                <w:lang w:bidi="ar-SA"/>
              </w:rPr>
              <w:t>Constant</w:t>
            </w:r>
          </w:p>
        </w:tc>
        <w:tc>
          <w:tcPr>
            <w:tcW w:w="1056" w:type="dxa"/>
            <w:tcBorders>
              <w:top w:val="single" w:sz="4" w:space="0" w:color="auto"/>
              <w:left w:val="nil"/>
              <w:bottom w:val="nil"/>
              <w:right w:val="nil"/>
            </w:tcBorders>
            <w:tcMar>
              <w:top w:w="0" w:type="dxa"/>
              <w:left w:w="58" w:type="dxa"/>
              <w:bottom w:w="115" w:type="dxa"/>
              <w:right w:w="58" w:type="dxa"/>
            </w:tcMar>
            <w:hideMark/>
          </w:tcPr>
          <w:p w14:paraId="5BDDCFD7" w14:textId="77777777" w:rsidR="00F9234E" w:rsidRPr="00FF1E56" w:rsidRDefault="00F9234E" w:rsidP="00C7587E">
            <w:pPr>
              <w:autoSpaceDE w:val="0"/>
              <w:autoSpaceDN w:val="0"/>
              <w:bidi w:val="0"/>
              <w:adjustRightInd w:val="0"/>
              <w:spacing w:before="23" w:after="0"/>
              <w:jc w:val="center"/>
              <w:rPr>
                <w:rFonts w:asciiTheme="majorBidi" w:hAnsiTheme="majorBidi" w:cstheme="majorBidi"/>
                <w:sz w:val="24"/>
                <w:szCs w:val="24"/>
                <w:rtl/>
              </w:rPr>
            </w:pPr>
            <w:r>
              <w:rPr>
                <w:rFonts w:asciiTheme="majorBidi" w:hAnsiTheme="majorBidi" w:cstheme="majorBidi"/>
                <w:sz w:val="24"/>
                <w:szCs w:val="24"/>
              </w:rPr>
              <w:t>502,698</w:t>
            </w:r>
          </w:p>
          <w:p w14:paraId="677B5893" w14:textId="77777777" w:rsidR="00F9234E" w:rsidRPr="009D36F5" w:rsidRDefault="00F9234E" w:rsidP="00C7587E">
            <w:pPr>
              <w:autoSpaceDE w:val="0"/>
              <w:autoSpaceDN w:val="0"/>
              <w:bidi w:val="0"/>
              <w:adjustRightInd w:val="0"/>
              <w:spacing w:before="23" w:after="0"/>
              <w:jc w:val="center"/>
              <w:rPr>
                <w:rFonts w:asciiTheme="majorBidi" w:hAnsiTheme="majorBidi" w:cstheme="majorBidi"/>
                <w:sz w:val="24"/>
                <w:szCs w:val="24"/>
              </w:rPr>
            </w:pPr>
            <w:r w:rsidRPr="009D36F5">
              <w:rPr>
                <w:rFonts w:asciiTheme="majorBidi" w:hAnsiTheme="majorBidi" w:cstheme="majorBidi"/>
                <w:sz w:val="24"/>
                <w:szCs w:val="24"/>
                <w:rtl/>
              </w:rPr>
              <w:t>(</w:t>
            </w:r>
            <w:r>
              <w:rPr>
                <w:rFonts w:asciiTheme="majorBidi" w:hAnsiTheme="majorBidi" w:cstheme="majorBidi" w:hint="cs"/>
                <w:sz w:val="24"/>
                <w:szCs w:val="24"/>
                <w:rtl/>
              </w:rPr>
              <w:t>457</w:t>
            </w:r>
            <w:r w:rsidRPr="009D36F5">
              <w:rPr>
                <w:rFonts w:asciiTheme="majorBidi" w:hAnsiTheme="majorBidi" w:cstheme="majorBidi"/>
                <w:sz w:val="24"/>
                <w:szCs w:val="24"/>
                <w:rtl/>
              </w:rPr>
              <w:t>,3</w:t>
            </w:r>
            <w:r>
              <w:rPr>
                <w:rFonts w:asciiTheme="majorBidi" w:hAnsiTheme="majorBidi" w:cstheme="majorBidi" w:hint="cs"/>
                <w:sz w:val="24"/>
                <w:szCs w:val="24"/>
                <w:rtl/>
              </w:rPr>
              <w:t>34</w:t>
            </w:r>
            <w:r w:rsidRPr="009D36F5">
              <w:rPr>
                <w:rFonts w:asciiTheme="majorBidi" w:hAnsiTheme="majorBidi" w:cstheme="majorBidi"/>
                <w:sz w:val="24"/>
                <w:szCs w:val="24"/>
                <w:rtl/>
              </w:rPr>
              <w:t>)</w:t>
            </w:r>
          </w:p>
        </w:tc>
        <w:tc>
          <w:tcPr>
            <w:tcW w:w="1522" w:type="dxa"/>
            <w:tcBorders>
              <w:top w:val="single" w:sz="4" w:space="0" w:color="auto"/>
              <w:left w:val="nil"/>
              <w:bottom w:val="nil"/>
              <w:right w:val="nil"/>
            </w:tcBorders>
            <w:noWrap/>
            <w:tcMar>
              <w:top w:w="0" w:type="dxa"/>
              <w:left w:w="58" w:type="dxa"/>
              <w:bottom w:w="115" w:type="dxa"/>
              <w:right w:w="58" w:type="dxa"/>
            </w:tcMar>
            <w:hideMark/>
          </w:tcPr>
          <w:p w14:paraId="0201E7B5" w14:textId="77777777" w:rsidR="00F9234E" w:rsidRPr="009D36F5" w:rsidRDefault="00F9234E" w:rsidP="00C7587E">
            <w:pPr>
              <w:autoSpaceDE w:val="0"/>
              <w:autoSpaceDN w:val="0"/>
              <w:bidi w:val="0"/>
              <w:adjustRightInd w:val="0"/>
              <w:spacing w:before="23" w:after="0"/>
              <w:jc w:val="center"/>
              <w:rPr>
                <w:rFonts w:asciiTheme="majorBidi" w:hAnsiTheme="majorBidi" w:cstheme="majorBidi"/>
                <w:sz w:val="24"/>
                <w:szCs w:val="24"/>
                <w:rtl/>
              </w:rPr>
            </w:pPr>
            <w:r w:rsidRPr="009D36F5">
              <w:rPr>
                <w:rFonts w:asciiTheme="majorBidi" w:hAnsiTheme="majorBidi" w:cstheme="majorBidi"/>
                <w:sz w:val="24"/>
                <w:szCs w:val="24"/>
                <w:rtl/>
              </w:rPr>
              <w:t>***3,609,853</w:t>
            </w:r>
          </w:p>
          <w:p w14:paraId="1E22B83D" w14:textId="77777777" w:rsidR="00F9234E" w:rsidRPr="009D36F5" w:rsidRDefault="00F9234E" w:rsidP="00C7587E">
            <w:pPr>
              <w:autoSpaceDE w:val="0"/>
              <w:autoSpaceDN w:val="0"/>
              <w:bidi w:val="0"/>
              <w:adjustRightInd w:val="0"/>
              <w:spacing w:before="23" w:after="0"/>
              <w:jc w:val="center"/>
              <w:rPr>
                <w:rFonts w:asciiTheme="majorBidi" w:hAnsiTheme="majorBidi" w:cstheme="majorBidi"/>
                <w:sz w:val="24"/>
                <w:szCs w:val="24"/>
              </w:rPr>
            </w:pPr>
            <w:r w:rsidRPr="009D36F5">
              <w:rPr>
                <w:rFonts w:asciiTheme="majorBidi" w:hAnsiTheme="majorBidi" w:cstheme="majorBidi"/>
                <w:sz w:val="24"/>
                <w:szCs w:val="24"/>
                <w:rtl/>
              </w:rPr>
              <w:t>(776,379)</w:t>
            </w:r>
          </w:p>
        </w:tc>
        <w:tc>
          <w:tcPr>
            <w:tcW w:w="1236" w:type="dxa"/>
            <w:tcBorders>
              <w:top w:val="single" w:sz="4" w:space="0" w:color="auto"/>
              <w:left w:val="nil"/>
              <w:bottom w:val="nil"/>
              <w:right w:val="nil"/>
            </w:tcBorders>
            <w:tcMar>
              <w:top w:w="0" w:type="dxa"/>
              <w:left w:w="58" w:type="dxa"/>
              <w:bottom w:w="115" w:type="dxa"/>
              <w:right w:w="58" w:type="dxa"/>
            </w:tcMar>
          </w:tcPr>
          <w:p w14:paraId="3502B974" w14:textId="77777777" w:rsidR="00F9234E" w:rsidRPr="009D36F5" w:rsidRDefault="00F9234E" w:rsidP="00C7587E">
            <w:pPr>
              <w:autoSpaceDE w:val="0"/>
              <w:autoSpaceDN w:val="0"/>
              <w:bidi w:val="0"/>
              <w:adjustRightInd w:val="0"/>
              <w:spacing w:before="23" w:after="0"/>
              <w:jc w:val="center"/>
              <w:rPr>
                <w:rFonts w:asciiTheme="majorBidi" w:hAnsiTheme="majorBidi" w:cstheme="majorBidi"/>
                <w:sz w:val="24"/>
                <w:szCs w:val="24"/>
                <w:rtl/>
              </w:rPr>
            </w:pPr>
          </w:p>
        </w:tc>
      </w:tr>
      <w:tr w:rsidR="00F9234E" w:rsidRPr="009D36F5" w14:paraId="4ADED54B" w14:textId="77777777" w:rsidTr="00C7587E">
        <w:trPr>
          <w:trHeight w:val="124"/>
          <w:jc w:val="center"/>
        </w:trPr>
        <w:tc>
          <w:tcPr>
            <w:tcW w:w="2624" w:type="dxa"/>
            <w:noWrap/>
            <w:tcMar>
              <w:top w:w="0" w:type="dxa"/>
              <w:left w:w="58" w:type="dxa"/>
              <w:bottom w:w="115" w:type="dxa"/>
              <w:right w:w="58" w:type="dxa"/>
            </w:tcMar>
            <w:hideMark/>
          </w:tcPr>
          <w:p w14:paraId="1BB372D5" w14:textId="77777777" w:rsidR="00F9234E" w:rsidRPr="009D36F5" w:rsidRDefault="00000000" w:rsidP="00C7587E">
            <w:pPr>
              <w:bidi w:val="0"/>
              <w:spacing w:before="23" w:after="0"/>
              <w:rPr>
                <w:rFonts w:asciiTheme="majorBidi" w:hAnsiTheme="majorBidi" w:cstheme="majorBidi"/>
                <w:b/>
                <w:bCs/>
                <w:sz w:val="24"/>
                <w:szCs w:val="24"/>
                <w:rtl/>
              </w:rPr>
            </w:pPr>
            <m:oMath>
              <m:sSub>
                <m:sSubPr>
                  <m:ctrlPr>
                    <w:rPr>
                      <w:rFonts w:ascii="Cambria Math" w:hAnsi="Cambria Math" w:cstheme="majorBidi"/>
                      <w:i/>
                      <w:sz w:val="24"/>
                      <w:szCs w:val="24"/>
                      <w:lang w:bidi="ar-SA"/>
                    </w:rPr>
                  </m:ctrlPr>
                </m:sSubPr>
                <m:e>
                  <m:r>
                    <w:rPr>
                      <w:rFonts w:ascii="Cambria Math" w:hAnsi="Cambria Math" w:cstheme="majorBidi"/>
                      <w:sz w:val="24"/>
                      <w:szCs w:val="24"/>
                      <w:lang w:bidi="ar-SA"/>
                    </w:rPr>
                    <m:t>WEDGE</m:t>
                  </m:r>
                </m:e>
                <m:sub>
                  <m:r>
                    <w:rPr>
                      <w:rFonts w:ascii="Cambria Math" w:hAnsi="Cambria Math" w:cstheme="majorBidi"/>
                      <w:sz w:val="24"/>
                      <w:szCs w:val="24"/>
                      <w:lang w:bidi="ar-SA"/>
                    </w:rPr>
                    <m:t>j,t</m:t>
                  </m:r>
                </m:sub>
              </m:sSub>
            </m:oMath>
            <w:r w:rsidR="00F9234E" w:rsidRPr="009D36F5">
              <w:rPr>
                <w:rFonts w:asciiTheme="majorBidi" w:hAnsiTheme="majorBidi" w:cstheme="majorBidi"/>
                <w:sz w:val="24"/>
                <w:szCs w:val="24"/>
                <w:vertAlign w:val="superscript"/>
                <w:lang w:bidi="ar-SA"/>
              </w:rPr>
              <w:t>b</w:t>
            </w:r>
          </w:p>
        </w:tc>
        <w:tc>
          <w:tcPr>
            <w:tcW w:w="1056" w:type="dxa"/>
            <w:tcMar>
              <w:top w:w="0" w:type="dxa"/>
              <w:left w:w="58" w:type="dxa"/>
              <w:bottom w:w="115" w:type="dxa"/>
              <w:right w:w="58" w:type="dxa"/>
            </w:tcMar>
            <w:hideMark/>
          </w:tcPr>
          <w:p w14:paraId="4E4908C7" w14:textId="77777777" w:rsidR="00F9234E" w:rsidRPr="009D36F5" w:rsidRDefault="00F9234E" w:rsidP="00C7587E">
            <w:pPr>
              <w:autoSpaceDE w:val="0"/>
              <w:autoSpaceDN w:val="0"/>
              <w:bidi w:val="0"/>
              <w:adjustRightInd w:val="0"/>
              <w:spacing w:before="23" w:after="0"/>
              <w:jc w:val="center"/>
              <w:rPr>
                <w:rFonts w:asciiTheme="majorBidi" w:hAnsiTheme="majorBidi" w:cstheme="majorBidi"/>
                <w:sz w:val="24"/>
                <w:szCs w:val="24"/>
                <w:rtl/>
              </w:rPr>
            </w:pPr>
            <w:r>
              <w:rPr>
                <w:rFonts w:asciiTheme="majorBidi" w:hAnsiTheme="majorBidi" w:cstheme="majorBidi" w:hint="cs"/>
                <w:sz w:val="24"/>
                <w:szCs w:val="24"/>
                <w:rtl/>
              </w:rPr>
              <w:t>514</w:t>
            </w:r>
            <w:r w:rsidRPr="009D36F5">
              <w:rPr>
                <w:rFonts w:asciiTheme="majorBidi" w:hAnsiTheme="majorBidi" w:cstheme="majorBidi"/>
                <w:sz w:val="24"/>
                <w:szCs w:val="24"/>
                <w:rtl/>
              </w:rPr>
              <w:t>,</w:t>
            </w:r>
            <w:r>
              <w:rPr>
                <w:rFonts w:asciiTheme="majorBidi" w:hAnsiTheme="majorBidi" w:cstheme="majorBidi" w:hint="cs"/>
                <w:sz w:val="24"/>
                <w:szCs w:val="24"/>
                <w:rtl/>
              </w:rPr>
              <w:t>288</w:t>
            </w:r>
            <w:r w:rsidRPr="009D36F5">
              <w:rPr>
                <w:rFonts w:asciiTheme="majorBidi" w:hAnsiTheme="majorBidi" w:cstheme="majorBidi"/>
                <w:sz w:val="24"/>
                <w:szCs w:val="24"/>
                <w:rtl/>
              </w:rPr>
              <w:t>-</w:t>
            </w:r>
          </w:p>
          <w:p w14:paraId="62E2AB5C" w14:textId="77777777" w:rsidR="00F9234E" w:rsidRPr="009D36F5" w:rsidRDefault="00F9234E" w:rsidP="00C7587E">
            <w:pPr>
              <w:autoSpaceDE w:val="0"/>
              <w:autoSpaceDN w:val="0"/>
              <w:bidi w:val="0"/>
              <w:adjustRightInd w:val="0"/>
              <w:spacing w:before="23" w:after="0"/>
              <w:jc w:val="center"/>
              <w:rPr>
                <w:rFonts w:asciiTheme="majorBidi" w:hAnsiTheme="majorBidi" w:cstheme="majorBidi"/>
                <w:sz w:val="24"/>
                <w:szCs w:val="24"/>
                <w:rtl/>
              </w:rPr>
            </w:pPr>
            <w:r w:rsidRPr="009D36F5">
              <w:rPr>
                <w:rFonts w:asciiTheme="majorBidi" w:hAnsiTheme="majorBidi" w:cstheme="majorBidi"/>
                <w:sz w:val="24"/>
                <w:szCs w:val="24"/>
                <w:rtl/>
              </w:rPr>
              <w:t>(</w:t>
            </w:r>
            <w:r>
              <w:rPr>
                <w:rFonts w:asciiTheme="majorBidi" w:hAnsiTheme="majorBidi" w:cstheme="majorBidi" w:hint="cs"/>
                <w:sz w:val="24"/>
                <w:szCs w:val="24"/>
                <w:rtl/>
              </w:rPr>
              <w:t>889,600</w:t>
            </w:r>
            <w:r w:rsidRPr="009D36F5">
              <w:rPr>
                <w:rFonts w:asciiTheme="majorBidi" w:hAnsiTheme="majorBidi" w:cstheme="majorBidi"/>
                <w:sz w:val="24"/>
                <w:szCs w:val="24"/>
                <w:rtl/>
              </w:rPr>
              <w:t>)</w:t>
            </w:r>
          </w:p>
        </w:tc>
        <w:tc>
          <w:tcPr>
            <w:tcW w:w="1522" w:type="dxa"/>
            <w:noWrap/>
            <w:tcMar>
              <w:top w:w="0" w:type="dxa"/>
              <w:left w:w="58" w:type="dxa"/>
              <w:bottom w:w="115" w:type="dxa"/>
              <w:right w:w="58" w:type="dxa"/>
            </w:tcMar>
            <w:hideMark/>
          </w:tcPr>
          <w:p w14:paraId="2CD4C5EF" w14:textId="77777777" w:rsidR="00F9234E" w:rsidRPr="009D36F5" w:rsidRDefault="00F9234E" w:rsidP="00C7587E">
            <w:pPr>
              <w:autoSpaceDE w:val="0"/>
              <w:autoSpaceDN w:val="0"/>
              <w:bidi w:val="0"/>
              <w:adjustRightInd w:val="0"/>
              <w:spacing w:before="23" w:after="0"/>
              <w:jc w:val="center"/>
              <w:rPr>
                <w:rFonts w:asciiTheme="majorBidi" w:hAnsiTheme="majorBidi" w:cstheme="majorBidi"/>
                <w:sz w:val="24"/>
                <w:szCs w:val="24"/>
                <w:rtl/>
              </w:rPr>
            </w:pPr>
            <w:r w:rsidRPr="009D36F5">
              <w:rPr>
                <w:rFonts w:asciiTheme="majorBidi" w:hAnsiTheme="majorBidi" w:cstheme="majorBidi"/>
                <w:sz w:val="24"/>
                <w:szCs w:val="24"/>
                <w:rtl/>
              </w:rPr>
              <w:t>632,112-</w:t>
            </w:r>
          </w:p>
          <w:p w14:paraId="79BA2FAC" w14:textId="77777777" w:rsidR="00F9234E" w:rsidRPr="009D36F5" w:rsidRDefault="00F9234E" w:rsidP="00C7587E">
            <w:pPr>
              <w:autoSpaceDE w:val="0"/>
              <w:autoSpaceDN w:val="0"/>
              <w:bidi w:val="0"/>
              <w:adjustRightInd w:val="0"/>
              <w:spacing w:before="23" w:after="0"/>
              <w:jc w:val="center"/>
              <w:rPr>
                <w:rFonts w:asciiTheme="majorBidi" w:hAnsiTheme="majorBidi" w:cstheme="majorBidi"/>
                <w:sz w:val="24"/>
                <w:szCs w:val="24"/>
                <w:rtl/>
              </w:rPr>
            </w:pPr>
            <w:r w:rsidRPr="009D36F5">
              <w:rPr>
                <w:rFonts w:asciiTheme="majorBidi" w:hAnsiTheme="majorBidi" w:cstheme="majorBidi"/>
                <w:sz w:val="24"/>
                <w:szCs w:val="24"/>
                <w:rtl/>
              </w:rPr>
              <w:t>(917</w:t>
            </w:r>
            <w:r>
              <w:rPr>
                <w:rFonts w:asciiTheme="majorBidi" w:hAnsiTheme="majorBidi" w:cstheme="majorBidi" w:hint="cs"/>
                <w:sz w:val="24"/>
                <w:szCs w:val="24"/>
                <w:rtl/>
              </w:rPr>
              <w:t>,</w:t>
            </w:r>
            <w:r w:rsidRPr="009D36F5">
              <w:rPr>
                <w:rFonts w:asciiTheme="majorBidi" w:hAnsiTheme="majorBidi" w:cstheme="majorBidi"/>
                <w:sz w:val="24"/>
                <w:szCs w:val="24"/>
                <w:rtl/>
              </w:rPr>
              <w:t>762)</w:t>
            </w:r>
          </w:p>
        </w:tc>
        <w:tc>
          <w:tcPr>
            <w:tcW w:w="1236" w:type="dxa"/>
            <w:tcMar>
              <w:top w:w="0" w:type="dxa"/>
              <w:left w:w="58" w:type="dxa"/>
              <w:bottom w:w="115" w:type="dxa"/>
              <w:right w:w="58" w:type="dxa"/>
            </w:tcMar>
            <w:hideMark/>
          </w:tcPr>
          <w:p w14:paraId="76C3CF1E" w14:textId="77777777" w:rsidR="00F9234E" w:rsidRPr="009D36F5" w:rsidRDefault="00F9234E" w:rsidP="00C7587E">
            <w:pPr>
              <w:autoSpaceDE w:val="0"/>
              <w:autoSpaceDN w:val="0"/>
              <w:bidi w:val="0"/>
              <w:adjustRightInd w:val="0"/>
              <w:spacing w:before="23" w:after="0"/>
              <w:jc w:val="center"/>
              <w:rPr>
                <w:rFonts w:asciiTheme="majorBidi" w:hAnsiTheme="majorBidi" w:cstheme="majorBidi"/>
                <w:sz w:val="24"/>
                <w:szCs w:val="24"/>
                <w:rtl/>
              </w:rPr>
            </w:pPr>
            <w:r>
              <w:rPr>
                <w:rFonts w:asciiTheme="majorBidi" w:hAnsiTheme="majorBidi" w:cstheme="majorBidi" w:hint="cs"/>
                <w:sz w:val="24"/>
                <w:szCs w:val="24"/>
                <w:rtl/>
              </w:rPr>
              <w:t>3,653,682</w:t>
            </w:r>
            <w:r w:rsidRPr="009D36F5">
              <w:rPr>
                <w:rFonts w:asciiTheme="majorBidi" w:hAnsiTheme="majorBidi" w:cstheme="majorBidi"/>
                <w:sz w:val="24"/>
                <w:szCs w:val="24"/>
                <w:rtl/>
              </w:rPr>
              <w:t>-</w:t>
            </w:r>
          </w:p>
          <w:p w14:paraId="50EDB8FE" w14:textId="77777777" w:rsidR="00F9234E" w:rsidRPr="009D36F5" w:rsidRDefault="00F9234E" w:rsidP="00C7587E">
            <w:pPr>
              <w:autoSpaceDE w:val="0"/>
              <w:autoSpaceDN w:val="0"/>
              <w:bidi w:val="0"/>
              <w:adjustRightInd w:val="0"/>
              <w:spacing w:before="23" w:after="0"/>
              <w:jc w:val="center"/>
              <w:rPr>
                <w:rFonts w:asciiTheme="majorBidi" w:hAnsiTheme="majorBidi" w:cstheme="majorBidi"/>
                <w:sz w:val="24"/>
                <w:szCs w:val="24"/>
                <w:rtl/>
              </w:rPr>
            </w:pPr>
            <w:r w:rsidRPr="009D36F5">
              <w:rPr>
                <w:rFonts w:asciiTheme="majorBidi" w:hAnsiTheme="majorBidi" w:cstheme="majorBidi"/>
                <w:sz w:val="24"/>
                <w:szCs w:val="24"/>
                <w:rtl/>
              </w:rPr>
              <w:t>(</w:t>
            </w:r>
            <w:r>
              <w:rPr>
                <w:rFonts w:asciiTheme="majorBidi" w:hAnsiTheme="majorBidi" w:cstheme="majorBidi" w:hint="cs"/>
                <w:sz w:val="24"/>
                <w:szCs w:val="24"/>
                <w:rtl/>
              </w:rPr>
              <w:t>4,535,276</w:t>
            </w:r>
            <w:r w:rsidRPr="009D36F5">
              <w:rPr>
                <w:rFonts w:asciiTheme="majorBidi" w:hAnsiTheme="majorBidi" w:cstheme="majorBidi"/>
                <w:sz w:val="24"/>
                <w:szCs w:val="24"/>
                <w:rtl/>
              </w:rPr>
              <w:t>)</w:t>
            </w:r>
          </w:p>
        </w:tc>
      </w:tr>
      <w:tr w:rsidR="00F9234E" w:rsidRPr="009D36F5" w14:paraId="771BDDF9" w14:textId="77777777" w:rsidTr="00C7587E">
        <w:trPr>
          <w:trHeight w:val="289"/>
          <w:jc w:val="center"/>
        </w:trPr>
        <w:tc>
          <w:tcPr>
            <w:tcW w:w="2624" w:type="dxa"/>
            <w:noWrap/>
            <w:tcMar>
              <w:top w:w="0" w:type="dxa"/>
              <w:left w:w="58" w:type="dxa"/>
              <w:bottom w:w="115" w:type="dxa"/>
              <w:right w:w="58" w:type="dxa"/>
            </w:tcMar>
            <w:hideMark/>
          </w:tcPr>
          <w:p w14:paraId="61A98319" w14:textId="77777777" w:rsidR="00F9234E" w:rsidRPr="009D36F5" w:rsidRDefault="00F9234E" w:rsidP="00C7587E">
            <w:pPr>
              <w:bidi w:val="0"/>
              <w:spacing w:after="0"/>
              <w:rPr>
                <w:rFonts w:asciiTheme="majorBidi" w:hAnsiTheme="majorBidi" w:cstheme="majorBidi"/>
                <w:b/>
                <w:bCs/>
                <w:sz w:val="24"/>
                <w:szCs w:val="24"/>
                <w:rtl/>
              </w:rPr>
            </w:pPr>
            <w:r w:rsidRPr="009D36F5">
              <w:rPr>
                <w:rFonts w:asciiTheme="majorBidi" w:hAnsiTheme="majorBidi" w:cstheme="majorBidi"/>
                <w:b/>
                <w:bCs/>
                <w:sz w:val="24"/>
                <w:szCs w:val="24"/>
              </w:rPr>
              <w:t>Control variables</w:t>
            </w:r>
            <w:r w:rsidRPr="00917506">
              <w:rPr>
                <w:rFonts w:ascii="Times New Roman" w:hAnsi="Times New Roman"/>
                <w:sz w:val="24"/>
                <w:szCs w:val="24"/>
                <w:vertAlign w:val="superscript"/>
              </w:rPr>
              <w:t>c</w:t>
            </w:r>
          </w:p>
        </w:tc>
        <w:tc>
          <w:tcPr>
            <w:tcW w:w="1056" w:type="dxa"/>
            <w:tcMar>
              <w:top w:w="0" w:type="dxa"/>
              <w:left w:w="58" w:type="dxa"/>
              <w:bottom w:w="115" w:type="dxa"/>
              <w:right w:w="58" w:type="dxa"/>
            </w:tcMar>
          </w:tcPr>
          <w:p w14:paraId="3F1742A7" w14:textId="77777777" w:rsidR="00F9234E" w:rsidRPr="009D36F5" w:rsidRDefault="00F9234E" w:rsidP="00C7587E">
            <w:pPr>
              <w:autoSpaceDE w:val="0"/>
              <w:autoSpaceDN w:val="0"/>
              <w:bidi w:val="0"/>
              <w:adjustRightInd w:val="0"/>
              <w:spacing w:before="23" w:after="0"/>
              <w:jc w:val="center"/>
              <w:rPr>
                <w:rFonts w:asciiTheme="majorBidi" w:hAnsiTheme="majorBidi" w:cstheme="majorBidi"/>
                <w:sz w:val="24"/>
                <w:szCs w:val="24"/>
                <w:rtl/>
              </w:rPr>
            </w:pPr>
          </w:p>
        </w:tc>
        <w:tc>
          <w:tcPr>
            <w:tcW w:w="1522" w:type="dxa"/>
            <w:noWrap/>
            <w:tcMar>
              <w:top w:w="0" w:type="dxa"/>
              <w:left w:w="58" w:type="dxa"/>
              <w:bottom w:w="115" w:type="dxa"/>
              <w:right w:w="58" w:type="dxa"/>
            </w:tcMar>
            <w:hideMark/>
          </w:tcPr>
          <w:p w14:paraId="7A64E212" w14:textId="77777777" w:rsidR="00F9234E" w:rsidRPr="009D36F5" w:rsidRDefault="00F9234E" w:rsidP="00C7587E">
            <w:pPr>
              <w:autoSpaceDE w:val="0"/>
              <w:autoSpaceDN w:val="0"/>
              <w:bidi w:val="0"/>
              <w:adjustRightInd w:val="0"/>
              <w:spacing w:after="0"/>
              <w:jc w:val="center"/>
              <w:rPr>
                <w:rFonts w:asciiTheme="majorBidi" w:hAnsiTheme="majorBidi" w:cstheme="majorBidi"/>
                <w:sz w:val="24"/>
                <w:szCs w:val="24"/>
                <w:rtl/>
                <w:lang w:bidi="ar-SA"/>
              </w:rPr>
            </w:pPr>
            <w:r w:rsidRPr="009D36F5">
              <w:rPr>
                <w:rFonts w:asciiTheme="majorBidi" w:hAnsiTheme="majorBidi" w:cstheme="majorBidi"/>
                <w:sz w:val="24"/>
                <w:szCs w:val="24"/>
                <w:rtl/>
              </w:rPr>
              <w:t>+</w:t>
            </w:r>
          </w:p>
        </w:tc>
        <w:tc>
          <w:tcPr>
            <w:tcW w:w="1236" w:type="dxa"/>
            <w:tcMar>
              <w:top w:w="0" w:type="dxa"/>
              <w:left w:w="58" w:type="dxa"/>
              <w:bottom w:w="115" w:type="dxa"/>
              <w:right w:w="58" w:type="dxa"/>
            </w:tcMar>
            <w:hideMark/>
          </w:tcPr>
          <w:p w14:paraId="0B41D1D7" w14:textId="77777777" w:rsidR="00F9234E" w:rsidRPr="009D36F5" w:rsidRDefault="00F9234E" w:rsidP="00C7587E">
            <w:pPr>
              <w:autoSpaceDE w:val="0"/>
              <w:autoSpaceDN w:val="0"/>
              <w:bidi w:val="0"/>
              <w:adjustRightInd w:val="0"/>
              <w:spacing w:before="23" w:after="0"/>
              <w:jc w:val="center"/>
              <w:rPr>
                <w:rFonts w:asciiTheme="majorBidi" w:hAnsiTheme="majorBidi" w:cstheme="majorBidi"/>
                <w:sz w:val="24"/>
                <w:szCs w:val="24"/>
              </w:rPr>
            </w:pPr>
            <w:r w:rsidRPr="009D36F5">
              <w:rPr>
                <w:rFonts w:asciiTheme="majorBidi" w:hAnsiTheme="majorBidi" w:cstheme="majorBidi"/>
                <w:sz w:val="24"/>
                <w:szCs w:val="24"/>
                <w:rtl/>
              </w:rPr>
              <w:t>+</w:t>
            </w:r>
          </w:p>
        </w:tc>
      </w:tr>
      <w:tr w:rsidR="00F9234E" w:rsidRPr="009D36F5" w14:paraId="0647ACC9" w14:textId="77777777" w:rsidTr="00C7587E">
        <w:trPr>
          <w:trHeight w:val="315"/>
          <w:jc w:val="center"/>
        </w:trPr>
        <w:tc>
          <w:tcPr>
            <w:tcW w:w="2624" w:type="dxa"/>
            <w:noWrap/>
            <w:tcMar>
              <w:top w:w="0" w:type="dxa"/>
              <w:left w:w="58" w:type="dxa"/>
              <w:bottom w:w="115" w:type="dxa"/>
              <w:right w:w="58" w:type="dxa"/>
            </w:tcMar>
            <w:hideMark/>
          </w:tcPr>
          <w:p w14:paraId="031F947E" w14:textId="77777777" w:rsidR="00F9234E" w:rsidRPr="009D36F5" w:rsidRDefault="00F9234E" w:rsidP="00C7587E">
            <w:pPr>
              <w:bidi w:val="0"/>
              <w:spacing w:after="0"/>
              <w:rPr>
                <w:rFonts w:asciiTheme="majorBidi" w:hAnsiTheme="majorBidi" w:cstheme="majorBidi"/>
                <w:b/>
                <w:bCs/>
                <w:sz w:val="24"/>
                <w:szCs w:val="24"/>
              </w:rPr>
            </w:pPr>
            <w:r w:rsidRPr="009D36F5">
              <w:rPr>
                <w:rFonts w:asciiTheme="majorBidi" w:hAnsiTheme="majorBidi" w:cstheme="majorBidi"/>
                <w:b/>
                <w:bCs/>
                <w:sz w:val="24"/>
                <w:szCs w:val="24"/>
                <w:lang w:bidi="ar-SA"/>
              </w:rPr>
              <w:t>Fixed year effect</w:t>
            </w:r>
          </w:p>
        </w:tc>
        <w:tc>
          <w:tcPr>
            <w:tcW w:w="1056" w:type="dxa"/>
            <w:tcMar>
              <w:top w:w="0" w:type="dxa"/>
              <w:left w:w="58" w:type="dxa"/>
              <w:bottom w:w="115" w:type="dxa"/>
              <w:right w:w="58" w:type="dxa"/>
            </w:tcMar>
          </w:tcPr>
          <w:p w14:paraId="6D906323" w14:textId="77777777" w:rsidR="00F9234E" w:rsidRPr="009D36F5" w:rsidRDefault="00F9234E" w:rsidP="00C7587E">
            <w:pPr>
              <w:autoSpaceDE w:val="0"/>
              <w:autoSpaceDN w:val="0"/>
              <w:bidi w:val="0"/>
              <w:adjustRightInd w:val="0"/>
              <w:spacing w:before="23" w:after="0"/>
              <w:jc w:val="center"/>
              <w:rPr>
                <w:rFonts w:asciiTheme="majorBidi" w:hAnsiTheme="majorBidi" w:cstheme="majorBidi"/>
                <w:sz w:val="24"/>
                <w:szCs w:val="24"/>
                <w:rtl/>
              </w:rPr>
            </w:pPr>
          </w:p>
        </w:tc>
        <w:tc>
          <w:tcPr>
            <w:tcW w:w="1522" w:type="dxa"/>
            <w:noWrap/>
            <w:tcMar>
              <w:top w:w="0" w:type="dxa"/>
              <w:left w:w="58" w:type="dxa"/>
              <w:bottom w:w="115" w:type="dxa"/>
              <w:right w:w="58" w:type="dxa"/>
            </w:tcMar>
            <w:hideMark/>
          </w:tcPr>
          <w:p w14:paraId="57382CDA" w14:textId="77777777" w:rsidR="00F9234E" w:rsidRPr="009D36F5" w:rsidRDefault="00F9234E" w:rsidP="00C7587E">
            <w:pPr>
              <w:autoSpaceDE w:val="0"/>
              <w:autoSpaceDN w:val="0"/>
              <w:bidi w:val="0"/>
              <w:adjustRightInd w:val="0"/>
              <w:spacing w:after="0"/>
              <w:jc w:val="center"/>
              <w:rPr>
                <w:rFonts w:asciiTheme="majorBidi" w:hAnsiTheme="majorBidi" w:cstheme="majorBidi"/>
                <w:sz w:val="24"/>
                <w:szCs w:val="24"/>
                <w:rtl/>
                <w:lang w:bidi="ar-SA"/>
              </w:rPr>
            </w:pPr>
            <w:r w:rsidRPr="009D36F5">
              <w:rPr>
                <w:rFonts w:asciiTheme="majorBidi" w:hAnsiTheme="majorBidi" w:cstheme="majorBidi"/>
                <w:sz w:val="24"/>
                <w:szCs w:val="24"/>
                <w:rtl/>
              </w:rPr>
              <w:t>+</w:t>
            </w:r>
          </w:p>
        </w:tc>
        <w:tc>
          <w:tcPr>
            <w:tcW w:w="1236" w:type="dxa"/>
            <w:tcMar>
              <w:top w:w="0" w:type="dxa"/>
              <w:left w:w="58" w:type="dxa"/>
              <w:bottom w:w="115" w:type="dxa"/>
              <w:right w:w="58" w:type="dxa"/>
            </w:tcMar>
            <w:hideMark/>
          </w:tcPr>
          <w:p w14:paraId="211D90C6" w14:textId="77777777" w:rsidR="00F9234E" w:rsidRPr="009D36F5" w:rsidRDefault="00F9234E" w:rsidP="00C7587E">
            <w:pPr>
              <w:autoSpaceDE w:val="0"/>
              <w:autoSpaceDN w:val="0"/>
              <w:bidi w:val="0"/>
              <w:adjustRightInd w:val="0"/>
              <w:spacing w:before="23" w:after="0"/>
              <w:jc w:val="center"/>
              <w:rPr>
                <w:rFonts w:asciiTheme="majorBidi" w:hAnsiTheme="majorBidi" w:cstheme="majorBidi"/>
                <w:sz w:val="24"/>
                <w:szCs w:val="24"/>
              </w:rPr>
            </w:pPr>
            <w:r w:rsidRPr="009D36F5">
              <w:rPr>
                <w:rFonts w:asciiTheme="majorBidi" w:hAnsiTheme="majorBidi" w:cstheme="majorBidi"/>
                <w:sz w:val="24"/>
                <w:szCs w:val="24"/>
                <w:rtl/>
              </w:rPr>
              <w:t>+</w:t>
            </w:r>
          </w:p>
        </w:tc>
      </w:tr>
      <w:tr w:rsidR="00F9234E" w:rsidRPr="009D36F5" w14:paraId="0D3E9290" w14:textId="77777777" w:rsidTr="00C7587E">
        <w:trPr>
          <w:trHeight w:val="315"/>
          <w:jc w:val="center"/>
        </w:trPr>
        <w:tc>
          <w:tcPr>
            <w:tcW w:w="2624" w:type="dxa"/>
            <w:noWrap/>
            <w:tcMar>
              <w:top w:w="0" w:type="dxa"/>
              <w:left w:w="58" w:type="dxa"/>
              <w:bottom w:w="115" w:type="dxa"/>
              <w:right w:w="58" w:type="dxa"/>
            </w:tcMar>
            <w:hideMark/>
          </w:tcPr>
          <w:p w14:paraId="06BC5EFC" w14:textId="77777777" w:rsidR="00F9234E" w:rsidRPr="009D36F5" w:rsidRDefault="00F9234E" w:rsidP="00C7587E">
            <w:pPr>
              <w:bidi w:val="0"/>
              <w:spacing w:after="0"/>
              <w:rPr>
                <w:rFonts w:asciiTheme="majorBidi" w:hAnsiTheme="majorBidi" w:cstheme="majorBidi"/>
                <w:b/>
                <w:bCs/>
                <w:sz w:val="24"/>
                <w:szCs w:val="24"/>
                <w:rtl/>
              </w:rPr>
            </w:pPr>
            <w:r w:rsidRPr="009D36F5">
              <w:rPr>
                <w:rFonts w:asciiTheme="majorBidi" w:hAnsiTheme="majorBidi" w:cstheme="majorBidi"/>
                <w:b/>
                <w:bCs/>
                <w:sz w:val="24"/>
                <w:szCs w:val="24"/>
                <w:lang w:bidi="ar-SA"/>
              </w:rPr>
              <w:t>Fixed company effect</w:t>
            </w:r>
          </w:p>
        </w:tc>
        <w:tc>
          <w:tcPr>
            <w:tcW w:w="1056" w:type="dxa"/>
            <w:tcMar>
              <w:top w:w="0" w:type="dxa"/>
              <w:left w:w="58" w:type="dxa"/>
              <w:bottom w:w="115" w:type="dxa"/>
              <w:right w:w="58" w:type="dxa"/>
            </w:tcMar>
          </w:tcPr>
          <w:p w14:paraId="0394935C" w14:textId="77777777" w:rsidR="00F9234E" w:rsidRPr="009D36F5" w:rsidRDefault="00F9234E" w:rsidP="00C7587E">
            <w:pPr>
              <w:autoSpaceDE w:val="0"/>
              <w:autoSpaceDN w:val="0"/>
              <w:bidi w:val="0"/>
              <w:adjustRightInd w:val="0"/>
              <w:spacing w:before="23" w:after="0"/>
              <w:jc w:val="center"/>
              <w:rPr>
                <w:rFonts w:asciiTheme="majorBidi" w:hAnsiTheme="majorBidi" w:cstheme="majorBidi"/>
                <w:sz w:val="24"/>
                <w:szCs w:val="24"/>
                <w:rtl/>
              </w:rPr>
            </w:pPr>
          </w:p>
        </w:tc>
        <w:tc>
          <w:tcPr>
            <w:tcW w:w="1522" w:type="dxa"/>
            <w:noWrap/>
            <w:tcMar>
              <w:top w:w="0" w:type="dxa"/>
              <w:left w:w="58" w:type="dxa"/>
              <w:bottom w:w="115" w:type="dxa"/>
              <w:right w:w="58" w:type="dxa"/>
            </w:tcMar>
          </w:tcPr>
          <w:p w14:paraId="75E5F188" w14:textId="77777777" w:rsidR="00F9234E" w:rsidRPr="009D36F5" w:rsidRDefault="00F9234E" w:rsidP="00C7587E">
            <w:pPr>
              <w:autoSpaceDE w:val="0"/>
              <w:autoSpaceDN w:val="0"/>
              <w:bidi w:val="0"/>
              <w:adjustRightInd w:val="0"/>
              <w:spacing w:before="23" w:after="0"/>
              <w:jc w:val="center"/>
              <w:rPr>
                <w:rFonts w:asciiTheme="majorBidi" w:hAnsiTheme="majorBidi" w:cstheme="majorBidi"/>
                <w:sz w:val="24"/>
                <w:szCs w:val="24"/>
                <w:rtl/>
              </w:rPr>
            </w:pPr>
          </w:p>
        </w:tc>
        <w:tc>
          <w:tcPr>
            <w:tcW w:w="1236" w:type="dxa"/>
            <w:tcMar>
              <w:top w:w="0" w:type="dxa"/>
              <w:left w:w="58" w:type="dxa"/>
              <w:bottom w:w="115" w:type="dxa"/>
              <w:right w:w="58" w:type="dxa"/>
            </w:tcMar>
            <w:hideMark/>
          </w:tcPr>
          <w:p w14:paraId="116FE8B1" w14:textId="77777777" w:rsidR="00F9234E" w:rsidRPr="009D36F5" w:rsidRDefault="00F9234E" w:rsidP="00C7587E">
            <w:pPr>
              <w:autoSpaceDE w:val="0"/>
              <w:autoSpaceDN w:val="0"/>
              <w:bidi w:val="0"/>
              <w:adjustRightInd w:val="0"/>
              <w:spacing w:before="23" w:after="0"/>
              <w:jc w:val="center"/>
              <w:rPr>
                <w:rFonts w:asciiTheme="majorBidi" w:hAnsiTheme="majorBidi" w:cstheme="majorBidi"/>
                <w:sz w:val="24"/>
                <w:szCs w:val="24"/>
                <w:rtl/>
              </w:rPr>
            </w:pPr>
            <w:r w:rsidRPr="009D36F5">
              <w:rPr>
                <w:rFonts w:asciiTheme="majorBidi" w:hAnsiTheme="majorBidi" w:cstheme="majorBidi"/>
                <w:sz w:val="24"/>
                <w:szCs w:val="24"/>
                <w:rtl/>
              </w:rPr>
              <w:t>+</w:t>
            </w:r>
          </w:p>
        </w:tc>
      </w:tr>
      <w:tr w:rsidR="00F9234E" w:rsidRPr="009D36F5" w14:paraId="1D44C948" w14:textId="77777777" w:rsidTr="00C7587E">
        <w:trPr>
          <w:trHeight w:val="289"/>
          <w:jc w:val="center"/>
        </w:trPr>
        <w:tc>
          <w:tcPr>
            <w:tcW w:w="2624" w:type="dxa"/>
            <w:noWrap/>
            <w:tcMar>
              <w:top w:w="0" w:type="dxa"/>
              <w:left w:w="58" w:type="dxa"/>
              <w:bottom w:w="115" w:type="dxa"/>
              <w:right w:w="58" w:type="dxa"/>
            </w:tcMar>
            <w:hideMark/>
          </w:tcPr>
          <w:p w14:paraId="348963FF" w14:textId="77777777" w:rsidR="00F9234E" w:rsidRPr="009D36F5" w:rsidRDefault="00F9234E" w:rsidP="00C7587E">
            <w:pPr>
              <w:bidi w:val="0"/>
              <w:spacing w:after="0"/>
              <w:rPr>
                <w:rFonts w:asciiTheme="majorBidi" w:hAnsiTheme="majorBidi" w:cstheme="majorBidi"/>
                <w:b/>
                <w:bCs/>
                <w:sz w:val="24"/>
                <w:szCs w:val="24"/>
                <w:rtl/>
                <w:lang w:bidi="ar-SA"/>
              </w:rPr>
            </w:pPr>
            <w:r w:rsidRPr="009D36F5">
              <w:rPr>
                <w:rFonts w:asciiTheme="majorBidi" w:hAnsiTheme="majorBidi" w:cstheme="majorBidi"/>
                <w:b/>
                <w:bCs/>
                <w:sz w:val="24"/>
                <w:szCs w:val="24"/>
                <w:lang w:bidi="ar-SA"/>
              </w:rPr>
              <w:t xml:space="preserve"># </w:t>
            </w:r>
            <w:proofErr w:type="gramStart"/>
            <w:r w:rsidRPr="009D36F5">
              <w:rPr>
                <w:rFonts w:asciiTheme="majorBidi" w:hAnsiTheme="majorBidi" w:cstheme="majorBidi"/>
                <w:b/>
                <w:bCs/>
                <w:sz w:val="24"/>
                <w:szCs w:val="24"/>
                <w:lang w:bidi="ar-SA"/>
              </w:rPr>
              <w:t>of</w:t>
            </w:r>
            <w:proofErr w:type="gramEnd"/>
            <w:r w:rsidRPr="009D36F5">
              <w:rPr>
                <w:rFonts w:asciiTheme="majorBidi" w:hAnsiTheme="majorBidi" w:cstheme="majorBidi"/>
                <w:b/>
                <w:bCs/>
                <w:sz w:val="24"/>
                <w:szCs w:val="24"/>
                <w:lang w:bidi="ar-SA"/>
              </w:rPr>
              <w:t xml:space="preserve"> observations</w:t>
            </w:r>
          </w:p>
        </w:tc>
        <w:tc>
          <w:tcPr>
            <w:tcW w:w="1056" w:type="dxa"/>
            <w:tcMar>
              <w:top w:w="0" w:type="dxa"/>
              <w:left w:w="58" w:type="dxa"/>
              <w:bottom w:w="115" w:type="dxa"/>
              <w:right w:w="58" w:type="dxa"/>
            </w:tcMar>
            <w:hideMark/>
          </w:tcPr>
          <w:p w14:paraId="15CE04A2" w14:textId="77777777" w:rsidR="00F9234E" w:rsidRPr="009D36F5" w:rsidRDefault="00F9234E" w:rsidP="00C7587E">
            <w:pPr>
              <w:autoSpaceDE w:val="0"/>
              <w:autoSpaceDN w:val="0"/>
              <w:bidi w:val="0"/>
              <w:adjustRightInd w:val="0"/>
              <w:spacing w:after="0"/>
              <w:jc w:val="center"/>
              <w:rPr>
                <w:rFonts w:asciiTheme="majorBidi" w:hAnsiTheme="majorBidi" w:cstheme="majorBidi"/>
                <w:sz w:val="24"/>
                <w:szCs w:val="24"/>
              </w:rPr>
            </w:pPr>
            <w:r>
              <w:rPr>
                <w:rFonts w:asciiTheme="majorBidi" w:hAnsiTheme="majorBidi" w:cstheme="majorBidi" w:hint="cs"/>
                <w:sz w:val="24"/>
                <w:szCs w:val="24"/>
                <w:rtl/>
              </w:rPr>
              <w:t>1483</w:t>
            </w:r>
          </w:p>
        </w:tc>
        <w:tc>
          <w:tcPr>
            <w:tcW w:w="1522" w:type="dxa"/>
            <w:noWrap/>
            <w:tcMar>
              <w:top w:w="0" w:type="dxa"/>
              <w:left w:w="58" w:type="dxa"/>
              <w:bottom w:w="115" w:type="dxa"/>
              <w:right w:w="58" w:type="dxa"/>
            </w:tcMar>
            <w:hideMark/>
          </w:tcPr>
          <w:p w14:paraId="1B9469E9" w14:textId="77777777" w:rsidR="00F9234E" w:rsidRPr="009D36F5" w:rsidRDefault="00F9234E" w:rsidP="00C7587E">
            <w:pPr>
              <w:autoSpaceDE w:val="0"/>
              <w:autoSpaceDN w:val="0"/>
              <w:bidi w:val="0"/>
              <w:adjustRightInd w:val="0"/>
              <w:spacing w:after="0"/>
              <w:jc w:val="center"/>
              <w:rPr>
                <w:rFonts w:asciiTheme="majorBidi" w:hAnsiTheme="majorBidi" w:cstheme="majorBidi"/>
                <w:sz w:val="24"/>
                <w:szCs w:val="24"/>
                <w:rtl/>
              </w:rPr>
            </w:pPr>
            <w:r>
              <w:rPr>
                <w:rFonts w:asciiTheme="majorBidi" w:hAnsiTheme="majorBidi" w:cstheme="majorBidi" w:hint="cs"/>
                <w:sz w:val="24"/>
                <w:szCs w:val="24"/>
                <w:rtl/>
              </w:rPr>
              <w:t>1483</w:t>
            </w:r>
          </w:p>
        </w:tc>
        <w:tc>
          <w:tcPr>
            <w:tcW w:w="1236" w:type="dxa"/>
            <w:tcMar>
              <w:top w:w="0" w:type="dxa"/>
              <w:left w:w="58" w:type="dxa"/>
              <w:bottom w:w="115" w:type="dxa"/>
              <w:right w:w="58" w:type="dxa"/>
            </w:tcMar>
            <w:hideMark/>
          </w:tcPr>
          <w:p w14:paraId="27AFC5D2" w14:textId="77777777" w:rsidR="00F9234E" w:rsidRPr="009D36F5" w:rsidRDefault="00F9234E" w:rsidP="00C7587E">
            <w:pPr>
              <w:autoSpaceDE w:val="0"/>
              <w:autoSpaceDN w:val="0"/>
              <w:bidi w:val="0"/>
              <w:adjustRightInd w:val="0"/>
              <w:spacing w:after="0"/>
              <w:jc w:val="center"/>
              <w:rPr>
                <w:rFonts w:asciiTheme="majorBidi" w:hAnsiTheme="majorBidi" w:cstheme="majorBidi"/>
                <w:sz w:val="24"/>
                <w:szCs w:val="24"/>
                <w:rtl/>
              </w:rPr>
            </w:pPr>
            <w:r>
              <w:rPr>
                <w:rFonts w:asciiTheme="majorBidi" w:hAnsiTheme="majorBidi" w:cstheme="majorBidi" w:hint="cs"/>
                <w:sz w:val="24"/>
                <w:szCs w:val="24"/>
                <w:rtl/>
              </w:rPr>
              <w:t>1483</w:t>
            </w:r>
          </w:p>
        </w:tc>
      </w:tr>
      <w:tr w:rsidR="00F9234E" w:rsidRPr="009D36F5" w14:paraId="6D46112E" w14:textId="77777777" w:rsidTr="00C7587E">
        <w:trPr>
          <w:trHeight w:val="289"/>
          <w:jc w:val="center"/>
        </w:trPr>
        <w:tc>
          <w:tcPr>
            <w:tcW w:w="2624" w:type="dxa"/>
            <w:noWrap/>
            <w:tcMar>
              <w:top w:w="0" w:type="dxa"/>
              <w:left w:w="58" w:type="dxa"/>
              <w:bottom w:w="115" w:type="dxa"/>
              <w:right w:w="58" w:type="dxa"/>
            </w:tcMar>
            <w:hideMark/>
          </w:tcPr>
          <w:p w14:paraId="72EA8746" w14:textId="77777777" w:rsidR="00F9234E" w:rsidRPr="009D36F5" w:rsidRDefault="00000000" w:rsidP="00C7587E">
            <w:pPr>
              <w:bidi w:val="0"/>
              <w:spacing w:after="0"/>
              <w:rPr>
                <w:rFonts w:asciiTheme="majorBidi" w:hAnsiTheme="majorBidi" w:cstheme="majorBidi"/>
                <w:b/>
                <w:bCs/>
                <w:sz w:val="24"/>
                <w:szCs w:val="24"/>
                <w:rtl/>
              </w:rPr>
            </w:pPr>
            <m:oMathPara>
              <m:oMathParaPr>
                <m:jc m:val="left"/>
              </m:oMathParaPr>
              <m:oMath>
                <m:sSup>
                  <m:sSupPr>
                    <m:ctrlPr>
                      <w:rPr>
                        <w:rFonts w:ascii="Cambria Math" w:hAnsi="Cambria Math" w:cstheme="majorBidi"/>
                        <w:b/>
                        <w:bCs/>
                        <w:sz w:val="24"/>
                        <w:szCs w:val="24"/>
                        <w:lang w:bidi="ar-SA"/>
                      </w:rPr>
                    </m:ctrlPr>
                  </m:sSupPr>
                  <m:e>
                    <m:r>
                      <m:rPr>
                        <m:sty m:val="bi"/>
                      </m:rPr>
                      <w:rPr>
                        <w:rFonts w:ascii="Cambria Math" w:hAnsi="Cambria Math" w:cstheme="majorBidi"/>
                        <w:sz w:val="24"/>
                        <w:szCs w:val="24"/>
                        <w:lang w:bidi="ar-SA"/>
                      </w:rPr>
                      <m:t>R</m:t>
                    </m:r>
                  </m:e>
                  <m:sup>
                    <m:r>
                      <m:rPr>
                        <m:sty m:val="bi"/>
                      </m:rPr>
                      <w:rPr>
                        <w:rFonts w:ascii="Cambria Math" w:hAnsi="Cambria Math" w:cstheme="majorBidi"/>
                        <w:sz w:val="24"/>
                        <w:szCs w:val="24"/>
                        <w:lang w:bidi="ar-SA"/>
                      </w:rPr>
                      <m:t>2</m:t>
                    </m:r>
                  </m:sup>
                </m:sSup>
              </m:oMath>
            </m:oMathPara>
          </w:p>
        </w:tc>
        <w:tc>
          <w:tcPr>
            <w:tcW w:w="1056" w:type="dxa"/>
            <w:tcMar>
              <w:top w:w="0" w:type="dxa"/>
              <w:left w:w="58" w:type="dxa"/>
              <w:bottom w:w="115" w:type="dxa"/>
              <w:right w:w="58" w:type="dxa"/>
            </w:tcMar>
          </w:tcPr>
          <w:p w14:paraId="2A548A82" w14:textId="77777777" w:rsidR="00F9234E" w:rsidRPr="009D36F5" w:rsidRDefault="00F9234E" w:rsidP="00C7587E">
            <w:pPr>
              <w:bidi w:val="0"/>
              <w:jc w:val="center"/>
              <w:rPr>
                <w:rFonts w:asciiTheme="majorBidi" w:hAnsiTheme="majorBidi" w:cstheme="majorBidi"/>
                <w:color w:val="000000"/>
                <w:sz w:val="24"/>
                <w:szCs w:val="24"/>
                <w:rtl/>
              </w:rPr>
            </w:pPr>
            <w:r w:rsidRPr="009D36F5">
              <w:rPr>
                <w:rFonts w:asciiTheme="majorBidi" w:hAnsiTheme="majorBidi" w:cstheme="majorBidi"/>
                <w:color w:val="000000"/>
                <w:sz w:val="24"/>
                <w:szCs w:val="24"/>
                <w:lang w:bidi="ar-SA"/>
              </w:rPr>
              <w:t>0.0</w:t>
            </w:r>
            <w:r>
              <w:rPr>
                <w:rFonts w:asciiTheme="majorBidi" w:hAnsiTheme="majorBidi" w:cstheme="majorBidi" w:hint="cs"/>
                <w:color w:val="000000"/>
                <w:sz w:val="24"/>
                <w:szCs w:val="24"/>
                <w:rtl/>
              </w:rPr>
              <w:t>002</w:t>
            </w:r>
          </w:p>
          <w:p w14:paraId="08525D4B" w14:textId="77777777" w:rsidR="00F9234E" w:rsidRPr="009D36F5" w:rsidRDefault="00F9234E" w:rsidP="00C7587E">
            <w:pPr>
              <w:autoSpaceDE w:val="0"/>
              <w:autoSpaceDN w:val="0"/>
              <w:bidi w:val="0"/>
              <w:adjustRightInd w:val="0"/>
              <w:spacing w:after="0"/>
              <w:jc w:val="center"/>
              <w:rPr>
                <w:rFonts w:asciiTheme="majorBidi" w:hAnsiTheme="majorBidi" w:cstheme="majorBidi"/>
                <w:sz w:val="24"/>
                <w:szCs w:val="24"/>
              </w:rPr>
            </w:pPr>
          </w:p>
        </w:tc>
        <w:tc>
          <w:tcPr>
            <w:tcW w:w="1522" w:type="dxa"/>
            <w:noWrap/>
            <w:tcMar>
              <w:top w:w="0" w:type="dxa"/>
              <w:left w:w="58" w:type="dxa"/>
              <w:bottom w:w="115" w:type="dxa"/>
              <w:right w:w="58" w:type="dxa"/>
            </w:tcMar>
            <w:hideMark/>
          </w:tcPr>
          <w:p w14:paraId="5AD1C556" w14:textId="77777777" w:rsidR="00F9234E" w:rsidRPr="009D36F5" w:rsidRDefault="00F9234E" w:rsidP="00C7587E">
            <w:pPr>
              <w:autoSpaceDE w:val="0"/>
              <w:autoSpaceDN w:val="0"/>
              <w:bidi w:val="0"/>
              <w:adjustRightInd w:val="0"/>
              <w:spacing w:after="0"/>
              <w:jc w:val="center"/>
              <w:rPr>
                <w:rFonts w:asciiTheme="majorBidi" w:hAnsiTheme="majorBidi" w:cstheme="majorBidi"/>
                <w:sz w:val="24"/>
                <w:szCs w:val="24"/>
                <w:rtl/>
              </w:rPr>
            </w:pPr>
            <w:r w:rsidRPr="009D36F5">
              <w:rPr>
                <w:rFonts w:asciiTheme="majorBidi" w:hAnsiTheme="majorBidi" w:cstheme="majorBidi"/>
                <w:sz w:val="24"/>
                <w:szCs w:val="24"/>
                <w:rtl/>
              </w:rPr>
              <w:t>0.0</w:t>
            </w:r>
            <w:r>
              <w:rPr>
                <w:rFonts w:asciiTheme="majorBidi" w:hAnsiTheme="majorBidi" w:cstheme="majorBidi" w:hint="cs"/>
                <w:sz w:val="24"/>
                <w:szCs w:val="24"/>
                <w:rtl/>
              </w:rPr>
              <w:t>5</w:t>
            </w:r>
          </w:p>
        </w:tc>
        <w:tc>
          <w:tcPr>
            <w:tcW w:w="1236" w:type="dxa"/>
            <w:tcMar>
              <w:top w:w="0" w:type="dxa"/>
              <w:left w:w="58" w:type="dxa"/>
              <w:bottom w:w="115" w:type="dxa"/>
              <w:right w:w="58" w:type="dxa"/>
            </w:tcMar>
            <w:hideMark/>
          </w:tcPr>
          <w:p w14:paraId="3C8C4BD5" w14:textId="77777777" w:rsidR="00F9234E" w:rsidRPr="009D36F5" w:rsidRDefault="00F9234E" w:rsidP="00C7587E">
            <w:pPr>
              <w:autoSpaceDE w:val="0"/>
              <w:autoSpaceDN w:val="0"/>
              <w:bidi w:val="0"/>
              <w:adjustRightInd w:val="0"/>
              <w:spacing w:after="0"/>
              <w:jc w:val="center"/>
              <w:rPr>
                <w:rFonts w:asciiTheme="majorBidi" w:hAnsiTheme="majorBidi" w:cstheme="majorBidi"/>
                <w:sz w:val="24"/>
                <w:szCs w:val="24"/>
                <w:rtl/>
              </w:rPr>
            </w:pPr>
            <w:r w:rsidRPr="009D36F5">
              <w:rPr>
                <w:rFonts w:asciiTheme="majorBidi" w:hAnsiTheme="majorBidi" w:cstheme="majorBidi"/>
                <w:sz w:val="24"/>
                <w:szCs w:val="24"/>
                <w:rtl/>
              </w:rPr>
              <w:t>0.</w:t>
            </w:r>
            <w:r>
              <w:rPr>
                <w:rFonts w:asciiTheme="majorBidi" w:hAnsiTheme="majorBidi" w:cstheme="majorBidi" w:hint="cs"/>
                <w:sz w:val="24"/>
                <w:szCs w:val="24"/>
                <w:rtl/>
              </w:rPr>
              <w:t>17</w:t>
            </w:r>
          </w:p>
        </w:tc>
      </w:tr>
    </w:tbl>
    <w:p w14:paraId="1648C401" w14:textId="77777777" w:rsidR="00F9234E" w:rsidRPr="00083933" w:rsidRDefault="00F9234E" w:rsidP="00F9234E">
      <w:pPr>
        <w:bidi w:val="0"/>
        <w:spacing w:after="0" w:line="240" w:lineRule="auto"/>
        <w:jc w:val="both"/>
        <w:rPr>
          <w:rFonts w:asciiTheme="majorBidi" w:hAnsiTheme="majorBidi" w:cstheme="majorBidi"/>
          <w:sz w:val="20"/>
          <w:szCs w:val="20"/>
        </w:rPr>
      </w:pPr>
      <w:r w:rsidRPr="00083933">
        <w:rPr>
          <w:rFonts w:asciiTheme="majorBidi" w:hAnsiTheme="majorBidi" w:cstheme="majorBidi"/>
          <w:sz w:val="20"/>
          <w:szCs w:val="20"/>
        </w:rPr>
        <w:t xml:space="preserve">***significant at 1%; **significant at 5%; *significant at 10% </w:t>
      </w:r>
    </w:p>
    <w:p w14:paraId="009423A6" w14:textId="77777777" w:rsidR="00F9234E" w:rsidRPr="00CA67EE" w:rsidRDefault="00F9234E" w:rsidP="00F9234E">
      <w:pPr>
        <w:pStyle w:val="IBBodyStyle1stpar"/>
        <w:rPr>
          <w:sz w:val="20"/>
          <w:szCs w:val="20"/>
        </w:rPr>
      </w:pPr>
      <w:r w:rsidRPr="00CA67EE">
        <w:rPr>
          <w:sz w:val="20"/>
          <w:szCs w:val="20"/>
        </w:rPr>
        <w:t xml:space="preserve">The numbers in parentheses are the estimate’s </w:t>
      </w:r>
      <w:r w:rsidRPr="00CA67EE">
        <w:rPr>
          <w:sz w:val="20"/>
          <w:szCs w:val="20"/>
          <w:shd w:val="clear" w:color="auto" w:fill="FFFFFF"/>
        </w:rPr>
        <w:t>standard errors</w:t>
      </w:r>
      <w:r w:rsidRPr="00CA67EE">
        <w:rPr>
          <w:sz w:val="20"/>
          <w:szCs w:val="20"/>
        </w:rPr>
        <w:t xml:space="preserve">. </w:t>
      </w:r>
    </w:p>
    <w:p w14:paraId="4E283D25" w14:textId="77777777" w:rsidR="00F9234E" w:rsidRPr="00CA67EE" w:rsidRDefault="00F9234E" w:rsidP="00F9234E">
      <w:pPr>
        <w:widowControl w:val="0"/>
        <w:bidi w:val="0"/>
        <w:spacing w:after="0"/>
        <w:rPr>
          <w:rFonts w:ascii="Times New Roman" w:hAnsi="Times New Roman"/>
          <w:sz w:val="20"/>
          <w:szCs w:val="20"/>
          <w:vertAlign w:val="superscript"/>
        </w:rPr>
      </w:pPr>
      <w:r w:rsidRPr="00CA67EE">
        <w:rPr>
          <w:rFonts w:ascii="Times New Roman" w:hAnsi="Times New Roman"/>
          <w:sz w:val="20"/>
          <w:szCs w:val="20"/>
          <w:vertAlign w:val="superscript"/>
        </w:rPr>
        <w:t xml:space="preserve">a </w:t>
      </w:r>
      <w:r w:rsidRPr="00CA67EE">
        <w:rPr>
          <w:rFonts w:ascii="Times New Roman" w:hAnsi="Times New Roman"/>
          <w:sz w:val="20"/>
          <w:szCs w:val="20"/>
        </w:rPr>
        <w:t>DCA is the absolute measure of abnormal current working capital accruals relative to industry peers.</w:t>
      </w:r>
    </w:p>
    <w:p w14:paraId="78BE83DD" w14:textId="77777777" w:rsidR="00F9234E" w:rsidRPr="00CA67EE" w:rsidRDefault="00F9234E" w:rsidP="00F9234E">
      <w:pPr>
        <w:widowControl w:val="0"/>
        <w:bidi w:val="0"/>
        <w:spacing w:after="0"/>
        <w:rPr>
          <w:rFonts w:ascii="Times New Roman" w:hAnsi="Times New Roman"/>
          <w:sz w:val="20"/>
          <w:szCs w:val="20"/>
          <w:vertAlign w:val="superscript"/>
        </w:rPr>
      </w:pPr>
      <w:r w:rsidRPr="00CA67EE">
        <w:rPr>
          <w:rFonts w:ascii="Times New Roman" w:hAnsi="Times New Roman"/>
          <w:sz w:val="20"/>
          <w:szCs w:val="20"/>
          <w:vertAlign w:val="superscript"/>
        </w:rPr>
        <w:t xml:space="preserve">b </w:t>
      </w:r>
      <w:r w:rsidRPr="00CA67EE">
        <w:rPr>
          <w:rFonts w:ascii="Times New Roman" w:hAnsi="Times New Roman"/>
          <w:sz w:val="20"/>
          <w:szCs w:val="20"/>
        </w:rPr>
        <w:t xml:space="preserve">Firm </w:t>
      </w:r>
      <w:r w:rsidRPr="00CA67EE">
        <w:rPr>
          <w:rFonts w:ascii="Times New Roman" w:hAnsi="Times New Roman"/>
          <w:i/>
          <w:sz w:val="20"/>
          <w:szCs w:val="20"/>
        </w:rPr>
        <w:t>j</w:t>
      </w:r>
      <w:r w:rsidRPr="00CA67EE">
        <w:rPr>
          <w:rFonts w:ascii="Times New Roman" w:hAnsi="Times New Roman"/>
          <w:sz w:val="20"/>
          <w:szCs w:val="20"/>
        </w:rPr>
        <w:t xml:space="preserve"> wedge for year </w:t>
      </w:r>
      <w:r w:rsidRPr="00CA67EE">
        <w:rPr>
          <w:rFonts w:ascii="Times New Roman" w:hAnsi="Times New Roman"/>
          <w:i/>
          <w:iCs/>
          <w:sz w:val="20"/>
          <w:szCs w:val="20"/>
        </w:rPr>
        <w:t>t</w:t>
      </w:r>
      <w:r w:rsidRPr="00CA67EE">
        <w:rPr>
          <w:rFonts w:ascii="Times New Roman" w:hAnsi="Times New Roman"/>
          <w:sz w:val="20"/>
          <w:szCs w:val="20"/>
        </w:rPr>
        <w:t>.</w:t>
      </w:r>
    </w:p>
    <w:p w14:paraId="3FD5AF45" w14:textId="77777777" w:rsidR="00F9234E" w:rsidRPr="00CA67EE" w:rsidRDefault="00F9234E" w:rsidP="00F9234E">
      <w:pPr>
        <w:bidi w:val="0"/>
        <w:spacing w:after="0"/>
        <w:rPr>
          <w:rFonts w:asciiTheme="majorBidi" w:hAnsiTheme="majorBidi" w:cstheme="majorBidi"/>
          <w:sz w:val="20"/>
          <w:szCs w:val="20"/>
        </w:rPr>
      </w:pPr>
      <w:r w:rsidRPr="00CA67EE">
        <w:rPr>
          <w:rFonts w:ascii="Times New Roman" w:hAnsi="Times New Roman"/>
          <w:sz w:val="20"/>
          <w:szCs w:val="20"/>
          <w:vertAlign w:val="superscript"/>
        </w:rPr>
        <w:t>c</w:t>
      </w:r>
      <w:r w:rsidRPr="00CA67EE">
        <w:rPr>
          <w:rFonts w:asciiTheme="majorBidi" w:hAnsiTheme="majorBidi" w:cstheme="majorBidi"/>
          <w:sz w:val="20"/>
          <w:szCs w:val="20"/>
        </w:rPr>
        <w:t>12 variables representing listing age, size, profitability, leverage, growth, and valuation</w:t>
      </w:r>
    </w:p>
    <w:p w14:paraId="03B1B8D2" w14:textId="77777777" w:rsidR="00F9234E" w:rsidRDefault="00F9234E" w:rsidP="00F9234E">
      <w:pPr>
        <w:widowControl w:val="0"/>
        <w:pBdr>
          <w:bottom w:val="single" w:sz="4" w:space="1" w:color="auto"/>
        </w:pBdr>
        <w:bidi w:val="0"/>
        <w:spacing w:after="0"/>
        <w:rPr>
          <w:rFonts w:asciiTheme="majorBidi" w:hAnsiTheme="majorBidi" w:cstheme="majorBidi"/>
        </w:rPr>
      </w:pPr>
      <w:r w:rsidRPr="00CA67EE">
        <w:rPr>
          <w:rFonts w:asciiTheme="majorBidi" w:hAnsiTheme="majorBidi" w:cstheme="majorBidi"/>
          <w:sz w:val="20"/>
          <w:szCs w:val="20"/>
        </w:rPr>
        <w:t>Listing age (</w:t>
      </w:r>
      <m:oMath>
        <m:sSub>
          <m:sSubPr>
            <m:ctrlPr>
              <w:rPr>
                <w:rFonts w:ascii="Cambria Math" w:hAnsi="Cambria Math" w:cstheme="majorBidi"/>
                <w:i/>
                <w:sz w:val="20"/>
                <w:szCs w:val="20"/>
              </w:rPr>
            </m:ctrlPr>
          </m:sSubPr>
          <m:e>
            <m:r>
              <w:rPr>
                <w:rFonts w:ascii="Cambria Math" w:hAnsi="Cambria Math" w:cstheme="majorBidi"/>
                <w:sz w:val="20"/>
                <w:szCs w:val="20"/>
              </w:rPr>
              <m:t xml:space="preserve">IPO </m:t>
            </m:r>
          </m:e>
          <m:sub>
            <m:r>
              <w:rPr>
                <w:rFonts w:ascii="Cambria Math" w:hAnsi="Cambria Math" w:cstheme="majorBidi"/>
                <w:sz w:val="20"/>
                <w:szCs w:val="20"/>
              </w:rPr>
              <m:t>j,t</m:t>
            </m:r>
          </m:sub>
        </m:sSub>
      </m:oMath>
      <w:r w:rsidRPr="00CA67EE">
        <w:rPr>
          <w:rFonts w:asciiTheme="majorBidi" w:hAnsiTheme="majorBidi" w:cstheme="majorBidi"/>
          <w:sz w:val="20"/>
          <w:szCs w:val="20"/>
        </w:rPr>
        <w:t xml:space="preserve">) denotes the number of years since IPO. Size is represented by three variables: </w:t>
      </w:r>
      <m:oMath>
        <m:sSub>
          <m:sSubPr>
            <m:ctrlPr>
              <w:rPr>
                <w:rFonts w:ascii="Cambria Math" w:hAnsi="Cambria Math" w:cstheme="majorBidi"/>
                <w:i/>
                <w:sz w:val="20"/>
                <w:szCs w:val="20"/>
              </w:rPr>
            </m:ctrlPr>
          </m:sSubPr>
          <m:e>
            <m:r>
              <w:rPr>
                <w:rFonts w:ascii="Cambria Math" w:hAnsi="Cambria Math" w:cstheme="majorBidi"/>
                <w:sz w:val="20"/>
                <w:szCs w:val="20"/>
              </w:rPr>
              <m:t>REV</m:t>
            </m:r>
          </m:e>
          <m:sub>
            <m:r>
              <w:rPr>
                <w:rFonts w:ascii="Cambria Math" w:hAnsi="Cambria Math" w:cstheme="majorBidi"/>
                <w:sz w:val="20"/>
                <w:szCs w:val="20"/>
              </w:rPr>
              <m:t>j,t</m:t>
            </m:r>
          </m:sub>
        </m:sSub>
      </m:oMath>
      <w:r w:rsidRPr="00CA67EE">
        <w:rPr>
          <w:rFonts w:asciiTheme="majorBidi" w:hAnsiTheme="majorBidi" w:cstheme="majorBidi"/>
          <w:sz w:val="20"/>
          <w:szCs w:val="20"/>
        </w:rPr>
        <w:t xml:space="preserve"> is the total revenues of firm </w:t>
      </w:r>
      <w:r w:rsidRPr="00CA67EE">
        <w:rPr>
          <w:rFonts w:asciiTheme="majorBidi" w:hAnsiTheme="majorBidi" w:cstheme="majorBidi"/>
          <w:i/>
          <w:sz w:val="20"/>
          <w:szCs w:val="20"/>
        </w:rPr>
        <w:t>j</w:t>
      </w:r>
      <w:r w:rsidRPr="00CA67EE">
        <w:rPr>
          <w:rFonts w:asciiTheme="majorBidi" w:hAnsiTheme="majorBidi" w:cstheme="majorBidi"/>
          <w:sz w:val="20"/>
          <w:szCs w:val="20"/>
        </w:rPr>
        <w:t xml:space="preserve"> at year </w:t>
      </w:r>
      <w:r w:rsidRPr="00CA67EE">
        <w:rPr>
          <w:rFonts w:asciiTheme="majorBidi" w:hAnsiTheme="majorBidi" w:cstheme="majorBidi"/>
          <w:i/>
          <w:sz w:val="20"/>
          <w:szCs w:val="20"/>
        </w:rPr>
        <w:t>t</w:t>
      </w:r>
      <w:r w:rsidRPr="00CA67EE">
        <w:rPr>
          <w:rFonts w:asciiTheme="majorBidi" w:hAnsiTheme="majorBidi" w:cstheme="majorBidi"/>
          <w:sz w:val="20"/>
          <w:szCs w:val="20"/>
        </w:rPr>
        <w:t xml:space="preserve">, </w:t>
      </w:r>
      <m:oMath>
        <m:sSub>
          <m:sSubPr>
            <m:ctrlPr>
              <w:rPr>
                <w:rFonts w:ascii="Cambria Math" w:hAnsi="Cambria Math" w:cstheme="majorBidi"/>
                <w:i/>
                <w:sz w:val="20"/>
                <w:szCs w:val="20"/>
              </w:rPr>
            </m:ctrlPr>
          </m:sSubPr>
          <m:e>
            <m:r>
              <w:rPr>
                <w:rFonts w:ascii="Cambria Math" w:hAnsi="Cambria Math" w:cstheme="majorBidi"/>
                <w:sz w:val="20"/>
                <w:szCs w:val="20"/>
              </w:rPr>
              <m:t>MCAP</m:t>
            </m:r>
          </m:e>
          <m:sub>
            <m:r>
              <w:rPr>
                <w:rFonts w:ascii="Cambria Math" w:hAnsi="Cambria Math" w:cstheme="majorBidi"/>
                <w:sz w:val="20"/>
                <w:szCs w:val="20"/>
              </w:rPr>
              <m:t>j,t</m:t>
            </m:r>
          </m:sub>
        </m:sSub>
      </m:oMath>
      <w:r w:rsidRPr="00CA67EE">
        <w:rPr>
          <w:rFonts w:asciiTheme="majorBidi" w:hAnsiTheme="majorBidi" w:cstheme="majorBidi"/>
          <w:sz w:val="20"/>
          <w:szCs w:val="20"/>
        </w:rPr>
        <w:t xml:space="preserve"> is the market value of firm </w:t>
      </w:r>
      <w:r w:rsidRPr="00CA67EE">
        <w:rPr>
          <w:rFonts w:asciiTheme="majorBidi" w:hAnsiTheme="majorBidi" w:cstheme="majorBidi"/>
          <w:i/>
          <w:sz w:val="20"/>
          <w:szCs w:val="20"/>
        </w:rPr>
        <w:t>j</w:t>
      </w:r>
      <w:r w:rsidRPr="00CA67EE">
        <w:rPr>
          <w:rFonts w:asciiTheme="majorBidi" w:hAnsiTheme="majorBidi" w:cstheme="majorBidi"/>
          <w:sz w:val="20"/>
          <w:szCs w:val="20"/>
        </w:rPr>
        <w:t xml:space="preserve"> at year </w:t>
      </w:r>
      <w:r w:rsidRPr="00CA67EE">
        <w:rPr>
          <w:rFonts w:asciiTheme="majorBidi" w:hAnsiTheme="majorBidi" w:cstheme="majorBidi"/>
          <w:i/>
          <w:sz w:val="20"/>
          <w:szCs w:val="20"/>
        </w:rPr>
        <w:t>t</w:t>
      </w:r>
      <w:r w:rsidRPr="00CA67EE">
        <w:rPr>
          <w:rFonts w:asciiTheme="majorBidi" w:hAnsiTheme="majorBidi" w:cstheme="majorBidi"/>
          <w:sz w:val="20"/>
          <w:szCs w:val="20"/>
        </w:rPr>
        <w:t xml:space="preserve">, </w:t>
      </w:r>
      <m:oMath>
        <m:sSub>
          <m:sSubPr>
            <m:ctrlPr>
              <w:rPr>
                <w:rFonts w:ascii="Cambria Math" w:hAnsi="Cambria Math" w:cstheme="majorBidi"/>
                <w:i/>
                <w:sz w:val="20"/>
                <w:szCs w:val="20"/>
              </w:rPr>
            </m:ctrlPr>
          </m:sSubPr>
          <m:e>
            <m:r>
              <w:rPr>
                <w:rFonts w:ascii="Cambria Math" w:hAnsi="Cambria Math" w:cstheme="majorBidi"/>
                <w:sz w:val="20"/>
                <w:szCs w:val="20"/>
              </w:rPr>
              <m:t>AST</m:t>
            </m:r>
          </m:e>
          <m:sub>
            <m:r>
              <w:rPr>
                <w:rFonts w:ascii="Cambria Math" w:hAnsi="Cambria Math" w:cstheme="majorBidi"/>
                <w:sz w:val="20"/>
                <w:szCs w:val="20"/>
              </w:rPr>
              <m:t>j,t</m:t>
            </m:r>
          </m:sub>
        </m:sSub>
      </m:oMath>
      <w:r w:rsidRPr="00CA67EE">
        <w:rPr>
          <w:rFonts w:asciiTheme="majorBidi" w:hAnsiTheme="majorBidi" w:cstheme="majorBidi"/>
          <w:sz w:val="20"/>
          <w:szCs w:val="20"/>
        </w:rPr>
        <w:t xml:space="preserve"> is the total assets of firm </w:t>
      </w:r>
      <w:r w:rsidRPr="00CA67EE">
        <w:rPr>
          <w:rFonts w:asciiTheme="majorBidi" w:hAnsiTheme="majorBidi" w:cstheme="majorBidi"/>
          <w:i/>
          <w:sz w:val="20"/>
          <w:szCs w:val="20"/>
        </w:rPr>
        <w:t>j</w:t>
      </w:r>
      <w:r w:rsidRPr="00CA67EE">
        <w:rPr>
          <w:rFonts w:asciiTheme="majorBidi" w:hAnsiTheme="majorBidi" w:cstheme="majorBidi"/>
          <w:sz w:val="20"/>
          <w:szCs w:val="20"/>
        </w:rPr>
        <w:t xml:space="preserve"> at year </w:t>
      </w:r>
      <w:r w:rsidRPr="00CA67EE">
        <w:rPr>
          <w:rFonts w:asciiTheme="majorBidi" w:hAnsiTheme="majorBidi" w:cstheme="majorBidi"/>
          <w:i/>
          <w:sz w:val="20"/>
          <w:szCs w:val="20"/>
        </w:rPr>
        <w:t>t</w:t>
      </w:r>
      <w:r w:rsidRPr="00CA67EE">
        <w:rPr>
          <w:rFonts w:asciiTheme="majorBidi" w:hAnsiTheme="majorBidi" w:cstheme="majorBidi"/>
          <w:sz w:val="20"/>
          <w:szCs w:val="20"/>
        </w:rPr>
        <w:t xml:space="preserve">. Profitability is represented by three variables: </w:t>
      </w:r>
      <m:oMath>
        <m:sSub>
          <m:sSubPr>
            <m:ctrlPr>
              <w:rPr>
                <w:rFonts w:ascii="Cambria Math" w:hAnsi="Cambria Math" w:cstheme="majorBidi"/>
                <w:i/>
                <w:sz w:val="20"/>
                <w:szCs w:val="20"/>
              </w:rPr>
            </m:ctrlPr>
          </m:sSubPr>
          <m:e>
            <m:r>
              <w:rPr>
                <w:rFonts w:ascii="Cambria Math" w:hAnsi="Cambria Math" w:cstheme="majorBidi"/>
                <w:sz w:val="20"/>
                <w:szCs w:val="20"/>
              </w:rPr>
              <m:t>PRM</m:t>
            </m:r>
          </m:e>
          <m:sub>
            <m:r>
              <w:rPr>
                <w:rFonts w:ascii="Cambria Math" w:hAnsi="Cambria Math" w:cstheme="majorBidi"/>
                <w:sz w:val="20"/>
                <w:szCs w:val="20"/>
              </w:rPr>
              <m:t>j,t</m:t>
            </m:r>
          </m:sub>
        </m:sSub>
      </m:oMath>
      <w:r w:rsidRPr="00CA67EE">
        <w:rPr>
          <w:rFonts w:asciiTheme="majorBidi" w:hAnsiTheme="majorBidi" w:cstheme="majorBidi"/>
          <w:sz w:val="20"/>
          <w:szCs w:val="20"/>
        </w:rPr>
        <w:t xml:space="preserve"> is the profit margin (net income divided by revenues) of firm </w:t>
      </w:r>
      <w:r w:rsidRPr="00CA67EE">
        <w:rPr>
          <w:rFonts w:asciiTheme="majorBidi" w:hAnsiTheme="majorBidi" w:cstheme="majorBidi"/>
          <w:i/>
          <w:sz w:val="20"/>
          <w:szCs w:val="20"/>
        </w:rPr>
        <w:t>j</w:t>
      </w:r>
      <w:r w:rsidRPr="00CA67EE">
        <w:rPr>
          <w:rFonts w:asciiTheme="majorBidi" w:hAnsiTheme="majorBidi" w:cstheme="majorBidi"/>
          <w:sz w:val="20"/>
          <w:szCs w:val="20"/>
        </w:rPr>
        <w:t xml:space="preserve"> at year </w:t>
      </w:r>
      <w:r w:rsidRPr="00CA67EE">
        <w:rPr>
          <w:rFonts w:asciiTheme="majorBidi" w:hAnsiTheme="majorBidi" w:cstheme="majorBidi"/>
          <w:i/>
          <w:sz w:val="20"/>
          <w:szCs w:val="20"/>
        </w:rPr>
        <w:t>t</w:t>
      </w:r>
      <w:r w:rsidRPr="00CA67EE">
        <w:rPr>
          <w:rFonts w:asciiTheme="majorBidi" w:hAnsiTheme="majorBidi" w:cstheme="majorBidi"/>
          <w:sz w:val="20"/>
          <w:szCs w:val="20"/>
        </w:rPr>
        <w:t xml:space="preserve">, </w:t>
      </w:r>
      <m:oMath>
        <m:sSub>
          <m:sSubPr>
            <m:ctrlPr>
              <w:rPr>
                <w:rFonts w:ascii="Cambria Math" w:hAnsi="Cambria Math" w:cstheme="majorBidi"/>
                <w:i/>
                <w:sz w:val="20"/>
                <w:szCs w:val="20"/>
              </w:rPr>
            </m:ctrlPr>
          </m:sSubPr>
          <m:e>
            <m:r>
              <w:rPr>
                <w:rFonts w:ascii="Cambria Math" w:hAnsi="Cambria Math" w:cstheme="majorBidi"/>
                <w:sz w:val="20"/>
                <w:szCs w:val="20"/>
              </w:rPr>
              <m:t>ROA</m:t>
            </m:r>
          </m:e>
          <m:sub>
            <m:r>
              <w:rPr>
                <w:rFonts w:ascii="Cambria Math" w:hAnsi="Cambria Math" w:cstheme="majorBidi"/>
                <w:sz w:val="20"/>
                <w:szCs w:val="20"/>
              </w:rPr>
              <m:t>j,t</m:t>
            </m:r>
          </m:sub>
        </m:sSub>
      </m:oMath>
      <w:r w:rsidRPr="00CA67EE">
        <w:rPr>
          <w:rFonts w:asciiTheme="majorBidi" w:hAnsiTheme="majorBidi" w:cstheme="majorBidi"/>
          <w:sz w:val="20"/>
          <w:szCs w:val="20"/>
        </w:rPr>
        <w:t xml:space="preserve"> is the return on assets (net income divided by total assets) of company</w:t>
      </w:r>
      <w:r w:rsidRPr="00CA67EE">
        <w:rPr>
          <w:rFonts w:asciiTheme="majorBidi" w:hAnsiTheme="majorBidi" w:cstheme="majorBidi"/>
          <w:i/>
          <w:sz w:val="20"/>
          <w:szCs w:val="20"/>
        </w:rPr>
        <w:t xml:space="preserve"> j</w:t>
      </w:r>
      <w:r w:rsidRPr="00CA67EE">
        <w:rPr>
          <w:rFonts w:asciiTheme="majorBidi" w:hAnsiTheme="majorBidi" w:cstheme="majorBidi"/>
          <w:sz w:val="20"/>
          <w:szCs w:val="20"/>
        </w:rPr>
        <w:t xml:space="preserve"> at year </w:t>
      </w:r>
      <w:r w:rsidRPr="00CA67EE">
        <w:rPr>
          <w:rFonts w:asciiTheme="majorBidi" w:hAnsiTheme="majorBidi" w:cstheme="majorBidi"/>
          <w:i/>
          <w:iCs/>
          <w:sz w:val="20"/>
          <w:szCs w:val="20"/>
        </w:rPr>
        <w:t>t</w:t>
      </w:r>
      <w:r w:rsidRPr="00CA67EE">
        <w:rPr>
          <w:rFonts w:asciiTheme="majorBidi" w:hAnsiTheme="majorBidi" w:cstheme="majorBidi"/>
          <w:sz w:val="20"/>
          <w:szCs w:val="20"/>
        </w:rPr>
        <w:t xml:space="preserve">, and </w:t>
      </w:r>
      <m:oMath>
        <m:sSub>
          <m:sSubPr>
            <m:ctrlPr>
              <w:rPr>
                <w:rFonts w:ascii="Cambria Math" w:hAnsi="Cambria Math" w:cstheme="majorBidi"/>
                <w:i/>
                <w:sz w:val="20"/>
                <w:szCs w:val="20"/>
              </w:rPr>
            </m:ctrlPr>
          </m:sSubPr>
          <m:e>
            <m:r>
              <w:rPr>
                <w:rFonts w:ascii="Cambria Math" w:hAnsi="Cambria Math" w:cstheme="majorBidi"/>
                <w:sz w:val="20"/>
                <w:szCs w:val="20"/>
              </w:rPr>
              <m:t>ROE</m:t>
            </m:r>
          </m:e>
          <m:sub>
            <m:r>
              <w:rPr>
                <w:rFonts w:ascii="Cambria Math" w:hAnsi="Cambria Math" w:cstheme="majorBidi"/>
                <w:sz w:val="20"/>
                <w:szCs w:val="20"/>
              </w:rPr>
              <m:t>j,t</m:t>
            </m:r>
          </m:sub>
        </m:sSub>
      </m:oMath>
      <w:r w:rsidRPr="00CA67EE">
        <w:rPr>
          <w:rFonts w:asciiTheme="majorBidi" w:hAnsiTheme="majorBidi" w:cstheme="majorBidi"/>
          <w:sz w:val="20"/>
          <w:szCs w:val="20"/>
        </w:rPr>
        <w:t xml:space="preserve"> is the return on equity (net income divided by total equity) of firm </w:t>
      </w:r>
      <w:r w:rsidRPr="00CA67EE">
        <w:rPr>
          <w:rFonts w:asciiTheme="majorBidi" w:hAnsiTheme="majorBidi" w:cstheme="majorBidi"/>
          <w:i/>
          <w:sz w:val="20"/>
          <w:szCs w:val="20"/>
        </w:rPr>
        <w:t>j</w:t>
      </w:r>
      <w:r w:rsidRPr="00CA67EE">
        <w:rPr>
          <w:rFonts w:asciiTheme="majorBidi" w:hAnsiTheme="majorBidi" w:cstheme="majorBidi"/>
          <w:sz w:val="20"/>
          <w:szCs w:val="20"/>
        </w:rPr>
        <w:t xml:space="preserve"> at year </w:t>
      </w:r>
      <w:r w:rsidRPr="00CA67EE">
        <w:rPr>
          <w:rFonts w:asciiTheme="majorBidi" w:hAnsiTheme="majorBidi" w:cstheme="majorBidi"/>
          <w:i/>
          <w:sz w:val="20"/>
          <w:szCs w:val="20"/>
        </w:rPr>
        <w:t>t</w:t>
      </w:r>
      <w:r w:rsidRPr="00CA67EE">
        <w:rPr>
          <w:rFonts w:asciiTheme="majorBidi" w:hAnsiTheme="majorBidi" w:cstheme="majorBidi"/>
          <w:sz w:val="20"/>
          <w:szCs w:val="20"/>
        </w:rPr>
        <w:t xml:space="preserve">. Leverage is denoted by </w:t>
      </w:r>
      <m:oMath>
        <m:sSub>
          <m:sSubPr>
            <m:ctrlPr>
              <w:rPr>
                <w:rFonts w:ascii="Cambria Math" w:hAnsi="Cambria Math" w:cstheme="majorBidi"/>
                <w:i/>
                <w:sz w:val="20"/>
                <w:szCs w:val="20"/>
              </w:rPr>
            </m:ctrlPr>
          </m:sSubPr>
          <m:e>
            <m:r>
              <w:rPr>
                <w:rFonts w:ascii="Cambria Math" w:hAnsi="Cambria Math" w:cstheme="majorBidi"/>
                <w:sz w:val="20"/>
                <w:szCs w:val="20"/>
              </w:rPr>
              <m:t>DAS</m:t>
            </m:r>
          </m:e>
          <m:sub>
            <m:r>
              <w:rPr>
                <w:rFonts w:ascii="Cambria Math" w:hAnsi="Cambria Math" w:cstheme="majorBidi"/>
                <w:sz w:val="20"/>
                <w:szCs w:val="20"/>
              </w:rPr>
              <m:t xml:space="preserve">j,t </m:t>
            </m:r>
          </m:sub>
        </m:sSub>
      </m:oMath>
      <w:r w:rsidRPr="00CA67EE">
        <w:rPr>
          <w:rFonts w:asciiTheme="majorBidi" w:hAnsiTheme="majorBidi" w:cstheme="majorBidi"/>
          <w:sz w:val="20"/>
          <w:szCs w:val="20"/>
        </w:rPr>
        <w:t xml:space="preserve">, measured total debt as a percentage of total assets of firm </w:t>
      </w:r>
      <w:r w:rsidRPr="00CA67EE">
        <w:rPr>
          <w:rFonts w:asciiTheme="majorBidi" w:hAnsiTheme="majorBidi" w:cstheme="majorBidi"/>
          <w:i/>
          <w:sz w:val="20"/>
          <w:szCs w:val="20"/>
        </w:rPr>
        <w:t>j</w:t>
      </w:r>
      <w:r w:rsidRPr="00CA67EE">
        <w:rPr>
          <w:rFonts w:asciiTheme="majorBidi" w:hAnsiTheme="majorBidi" w:cstheme="majorBidi"/>
          <w:sz w:val="20"/>
          <w:szCs w:val="20"/>
        </w:rPr>
        <w:t xml:space="preserve"> at year </w:t>
      </w:r>
      <w:r w:rsidRPr="00CA67EE">
        <w:rPr>
          <w:rFonts w:asciiTheme="majorBidi" w:hAnsiTheme="majorBidi" w:cstheme="majorBidi"/>
          <w:i/>
          <w:sz w:val="20"/>
          <w:szCs w:val="20"/>
        </w:rPr>
        <w:t>t</w:t>
      </w:r>
      <w:r w:rsidRPr="00CA67EE">
        <w:rPr>
          <w:rFonts w:asciiTheme="majorBidi" w:hAnsiTheme="majorBidi" w:cstheme="majorBidi"/>
          <w:sz w:val="20"/>
          <w:szCs w:val="20"/>
        </w:rPr>
        <w:t xml:space="preserve">. Growth includes two variables: </w:t>
      </w:r>
      <w:r w:rsidRPr="00CA67EE">
        <w:rPr>
          <w:rFonts w:asciiTheme="majorBidi" w:hAnsiTheme="majorBidi" w:cstheme="majorBidi"/>
          <w:iCs/>
          <w:sz w:val="20"/>
          <w:szCs w:val="20"/>
        </w:rPr>
        <w:t>Change in Revenues</w:t>
      </w:r>
      <w:r w:rsidRPr="00CA67EE">
        <w:rPr>
          <w:rFonts w:asciiTheme="majorBidi" w:hAnsiTheme="majorBidi" w:cstheme="majorBidi"/>
          <w:sz w:val="20"/>
          <w:szCs w:val="20"/>
        </w:rPr>
        <w:t xml:space="preserve">, measured as </w:t>
      </w:r>
      <w:r w:rsidRPr="00CA67EE">
        <w:rPr>
          <w:rFonts w:asciiTheme="majorBidi" w:hAnsiTheme="majorBidi" w:cstheme="majorBidi"/>
          <w:iCs/>
          <w:sz w:val="20"/>
          <w:szCs w:val="20"/>
        </w:rPr>
        <w:t>Sales Revenues</w:t>
      </w:r>
      <w:r w:rsidRPr="00CA67EE">
        <w:rPr>
          <w:rFonts w:asciiTheme="majorBidi" w:hAnsiTheme="majorBidi" w:cstheme="majorBidi"/>
          <w:sz w:val="20"/>
          <w:szCs w:val="20"/>
        </w:rPr>
        <w:t xml:space="preserve"> in year </w:t>
      </w:r>
      <w:r w:rsidRPr="00CA67EE">
        <w:rPr>
          <w:rFonts w:asciiTheme="majorBidi" w:hAnsiTheme="majorBidi" w:cstheme="majorBidi"/>
          <w:i/>
          <w:sz w:val="20"/>
          <w:szCs w:val="20"/>
        </w:rPr>
        <w:t>t</w:t>
      </w:r>
      <w:r w:rsidRPr="00E61AFF">
        <w:rPr>
          <w:rFonts w:asciiTheme="majorBidi" w:hAnsiTheme="majorBidi" w:cstheme="majorBidi"/>
        </w:rPr>
        <w:t xml:space="preserve"> minus </w:t>
      </w:r>
      <w:r w:rsidRPr="00E61AFF">
        <w:rPr>
          <w:rFonts w:asciiTheme="majorBidi" w:hAnsiTheme="majorBidi" w:cstheme="majorBidi"/>
          <w:iCs/>
        </w:rPr>
        <w:t>Sales Revenues</w:t>
      </w:r>
      <w:r w:rsidRPr="00E61AFF">
        <w:rPr>
          <w:rFonts w:asciiTheme="majorBidi" w:hAnsiTheme="majorBidi" w:cstheme="majorBidi"/>
        </w:rPr>
        <w:t xml:space="preserve"> in year </w:t>
      </w:r>
      <w:r w:rsidRPr="00E61AFF">
        <w:rPr>
          <w:rFonts w:asciiTheme="majorBidi" w:hAnsiTheme="majorBidi" w:cstheme="majorBidi"/>
          <w:i/>
        </w:rPr>
        <w:t>t</w:t>
      </w:r>
      <w:r w:rsidRPr="00E61AFF">
        <w:rPr>
          <w:rFonts w:asciiTheme="majorBidi" w:hAnsiTheme="majorBidi" w:cstheme="majorBidi"/>
        </w:rPr>
        <w:t xml:space="preserve">-1 divided by </w:t>
      </w:r>
      <w:r w:rsidRPr="00E61AFF">
        <w:rPr>
          <w:rFonts w:asciiTheme="majorBidi" w:hAnsiTheme="majorBidi" w:cstheme="majorBidi"/>
          <w:iCs/>
        </w:rPr>
        <w:t>Sales Revenues</w:t>
      </w:r>
      <w:r w:rsidRPr="00E61AFF">
        <w:rPr>
          <w:rFonts w:asciiTheme="majorBidi" w:hAnsiTheme="majorBidi" w:cstheme="majorBidi"/>
        </w:rPr>
        <w:t xml:space="preserve"> in year </w:t>
      </w:r>
      <w:r w:rsidRPr="00E61AFF">
        <w:rPr>
          <w:rFonts w:asciiTheme="majorBidi" w:hAnsiTheme="majorBidi" w:cstheme="majorBidi"/>
          <w:i/>
        </w:rPr>
        <w:t>t</w:t>
      </w:r>
      <w:r w:rsidRPr="00E61AFF">
        <w:rPr>
          <w:rFonts w:asciiTheme="majorBidi" w:hAnsiTheme="majorBidi" w:cstheme="majorBidi"/>
        </w:rPr>
        <w:t xml:space="preserve">-1, and R&amp;D expense, measured as </w:t>
      </w:r>
      <w:r w:rsidRPr="00E61AFF">
        <w:rPr>
          <w:rFonts w:asciiTheme="majorBidi" w:hAnsiTheme="majorBidi" w:cstheme="majorBidi"/>
          <w:iCs/>
        </w:rPr>
        <w:t>R&amp;D Expense</w:t>
      </w:r>
      <w:r w:rsidRPr="00E61AFF">
        <w:rPr>
          <w:rFonts w:asciiTheme="majorBidi" w:hAnsiTheme="majorBidi" w:cstheme="majorBidi"/>
        </w:rPr>
        <w:t xml:space="preserve"> in year </w:t>
      </w:r>
      <w:r w:rsidRPr="00E61AFF">
        <w:rPr>
          <w:rFonts w:asciiTheme="majorBidi" w:hAnsiTheme="majorBidi" w:cstheme="majorBidi"/>
          <w:i/>
        </w:rPr>
        <w:t>t</w:t>
      </w:r>
      <w:r w:rsidRPr="00E61AFF">
        <w:rPr>
          <w:rFonts w:asciiTheme="majorBidi" w:hAnsiTheme="majorBidi" w:cstheme="majorBidi"/>
        </w:rPr>
        <w:t xml:space="preserve"> as a percentage of </w:t>
      </w:r>
      <w:r w:rsidRPr="00E61AFF">
        <w:rPr>
          <w:rFonts w:asciiTheme="majorBidi" w:hAnsiTheme="majorBidi" w:cstheme="majorBidi"/>
          <w:iCs/>
        </w:rPr>
        <w:t>Sales Revenues</w:t>
      </w:r>
      <w:r w:rsidRPr="00E61AFF">
        <w:rPr>
          <w:rFonts w:asciiTheme="majorBidi" w:hAnsiTheme="majorBidi" w:cstheme="majorBidi"/>
          <w:i/>
        </w:rPr>
        <w:t xml:space="preserve"> </w:t>
      </w:r>
      <w:r w:rsidRPr="00E61AFF">
        <w:rPr>
          <w:rFonts w:asciiTheme="majorBidi" w:hAnsiTheme="majorBidi" w:cstheme="majorBidi"/>
        </w:rPr>
        <w:t xml:space="preserve">in year </w:t>
      </w:r>
      <w:r w:rsidRPr="00E61AFF">
        <w:rPr>
          <w:rFonts w:asciiTheme="majorBidi" w:hAnsiTheme="majorBidi" w:cstheme="majorBidi"/>
          <w:i/>
        </w:rPr>
        <w:t>t</w:t>
      </w:r>
      <w:r w:rsidRPr="00E61AFF">
        <w:rPr>
          <w:rFonts w:asciiTheme="majorBidi" w:hAnsiTheme="majorBidi" w:cstheme="majorBidi"/>
        </w:rPr>
        <w:t xml:space="preserve">  (</w:t>
      </w:r>
      <m:oMath>
        <m:sSub>
          <m:sSubPr>
            <m:ctrlPr>
              <w:rPr>
                <w:rFonts w:ascii="Cambria Math" w:hAnsi="Cambria Math" w:cstheme="majorBidi"/>
                <w:i/>
              </w:rPr>
            </m:ctrlPr>
          </m:sSubPr>
          <m:e>
            <m:r>
              <w:rPr>
                <w:rFonts w:ascii="Cambria Math" w:hAnsi="Cambria Math" w:cstheme="majorBidi"/>
              </w:rPr>
              <m:t>CRV</m:t>
            </m:r>
          </m:e>
          <m:sub>
            <m:r>
              <w:rPr>
                <w:rFonts w:ascii="Cambria Math" w:hAnsi="Cambria Math" w:cstheme="majorBidi"/>
              </w:rPr>
              <m:t>j,t</m:t>
            </m:r>
          </m:sub>
        </m:sSub>
        <m:r>
          <w:rPr>
            <w:rFonts w:ascii="Cambria Math" w:hAnsi="Cambria Math" w:cstheme="majorBidi"/>
          </w:rPr>
          <m:t xml:space="preserve"> </m:t>
        </m:r>
      </m:oMath>
      <w:r w:rsidRPr="00E61AFF">
        <w:rPr>
          <w:rFonts w:asciiTheme="majorBidi" w:hAnsiTheme="majorBidi" w:cstheme="majorBidi"/>
        </w:rPr>
        <w:t xml:space="preserve">and </w:t>
      </w:r>
      <m:oMath>
        <m:sSub>
          <m:sSubPr>
            <m:ctrlPr>
              <w:rPr>
                <w:rFonts w:ascii="Cambria Math" w:hAnsi="Cambria Math" w:cstheme="majorBidi"/>
                <w:i/>
              </w:rPr>
            </m:ctrlPr>
          </m:sSubPr>
          <m:e>
            <m:r>
              <w:rPr>
                <w:rFonts w:ascii="Cambria Math" w:hAnsi="Cambria Math" w:cstheme="majorBidi"/>
              </w:rPr>
              <m:t>R&amp;D</m:t>
            </m:r>
          </m:e>
          <m:sub>
            <m:r>
              <w:rPr>
                <w:rFonts w:ascii="Cambria Math" w:hAnsi="Cambria Math" w:cstheme="majorBidi"/>
              </w:rPr>
              <m:t>j,t</m:t>
            </m:r>
          </m:sub>
        </m:sSub>
        <m:r>
          <w:rPr>
            <w:rFonts w:ascii="Cambria Math" w:hAnsi="Cambria Math" w:cstheme="majorBidi"/>
          </w:rPr>
          <m:t xml:space="preserve">, </m:t>
        </m:r>
      </m:oMath>
      <w:r w:rsidRPr="00E61AFF">
        <w:rPr>
          <w:rFonts w:asciiTheme="majorBidi" w:hAnsiTheme="majorBidi" w:cstheme="majorBidi"/>
        </w:rPr>
        <w:t xml:space="preserve">respectively). Valuation also includes two variables for firm </w:t>
      </w:r>
      <w:r w:rsidRPr="00E61AFF">
        <w:rPr>
          <w:rFonts w:asciiTheme="majorBidi" w:hAnsiTheme="majorBidi" w:cstheme="majorBidi"/>
          <w:i/>
        </w:rPr>
        <w:t>j</w:t>
      </w:r>
      <w:r w:rsidRPr="00E61AFF">
        <w:rPr>
          <w:rFonts w:asciiTheme="majorBidi" w:hAnsiTheme="majorBidi" w:cstheme="majorBidi"/>
        </w:rPr>
        <w:t xml:space="preserve"> at time </w:t>
      </w:r>
      <w:r w:rsidRPr="00E61AFF">
        <w:rPr>
          <w:rFonts w:asciiTheme="majorBidi" w:hAnsiTheme="majorBidi" w:cstheme="majorBidi"/>
          <w:i/>
        </w:rPr>
        <w:t>t</w:t>
      </w:r>
      <w:r w:rsidRPr="00E61AFF">
        <w:rPr>
          <w:rFonts w:asciiTheme="majorBidi" w:hAnsiTheme="majorBidi" w:cstheme="majorBidi"/>
        </w:rPr>
        <w:t>: Price to Earnings ratio (</w:t>
      </w:r>
      <m:oMath>
        <m:sSub>
          <m:sSubPr>
            <m:ctrlPr>
              <w:rPr>
                <w:rFonts w:ascii="Cambria Math" w:hAnsi="Cambria Math" w:cstheme="majorBidi"/>
                <w:i/>
              </w:rPr>
            </m:ctrlPr>
          </m:sSubPr>
          <m:e>
            <m:r>
              <w:rPr>
                <w:rFonts w:ascii="Cambria Math" w:hAnsi="Cambria Math" w:cstheme="majorBidi"/>
              </w:rPr>
              <m:t>P/E</m:t>
            </m:r>
          </m:e>
          <m:sub>
            <m:r>
              <w:rPr>
                <w:rFonts w:ascii="Cambria Math" w:hAnsi="Cambria Math" w:cstheme="majorBidi"/>
              </w:rPr>
              <m:t>j,t</m:t>
            </m:r>
          </m:sub>
        </m:sSub>
      </m:oMath>
      <w:r w:rsidRPr="00E61AFF">
        <w:rPr>
          <w:rFonts w:asciiTheme="majorBidi" w:hAnsiTheme="majorBidi" w:cstheme="majorBidi"/>
        </w:rPr>
        <w:t>) and Price to Book Value ratio (</w:t>
      </w:r>
      <m:oMath>
        <m:sSub>
          <m:sSubPr>
            <m:ctrlPr>
              <w:rPr>
                <w:rFonts w:ascii="Cambria Math" w:hAnsi="Cambria Math" w:cstheme="majorBidi"/>
                <w:i/>
              </w:rPr>
            </m:ctrlPr>
          </m:sSubPr>
          <m:e>
            <m:r>
              <w:rPr>
                <w:rFonts w:ascii="Cambria Math" w:hAnsi="Cambria Math" w:cstheme="majorBidi"/>
              </w:rPr>
              <m:t>P/B</m:t>
            </m:r>
          </m:e>
          <m:sub>
            <m:r>
              <w:rPr>
                <w:rFonts w:ascii="Cambria Math" w:hAnsi="Cambria Math" w:cstheme="majorBidi"/>
              </w:rPr>
              <m:t>j,t</m:t>
            </m:r>
          </m:sub>
        </m:sSub>
        <m:r>
          <w:rPr>
            <w:rFonts w:ascii="Cambria Math" w:hAnsi="Cambria Math" w:cstheme="majorBidi"/>
          </w:rPr>
          <m:t>)</m:t>
        </m:r>
      </m:oMath>
      <w:r w:rsidRPr="00E61AFF">
        <w:rPr>
          <w:rFonts w:asciiTheme="majorBidi" w:hAnsiTheme="majorBidi" w:cstheme="majorBidi"/>
        </w:rPr>
        <w:t xml:space="preserve">. </w:t>
      </w:r>
    </w:p>
    <w:p w14:paraId="5C01E137" w14:textId="77777777" w:rsidR="00671188" w:rsidRDefault="00671188" w:rsidP="003203CB">
      <w:pPr>
        <w:pStyle w:val="LSbodytext"/>
        <w:spacing w:line="480" w:lineRule="auto"/>
      </w:pPr>
    </w:p>
    <w:p w14:paraId="6A1C209E" w14:textId="47FCDFF7" w:rsidR="00F462E3" w:rsidRDefault="00587332" w:rsidP="003203CB">
      <w:pPr>
        <w:pStyle w:val="LSbodytext"/>
        <w:spacing w:line="480" w:lineRule="auto"/>
      </w:pPr>
      <w:r w:rsidRPr="008754C3">
        <w:t xml:space="preserve">Table </w:t>
      </w:r>
      <w:r w:rsidR="0024742E">
        <w:t>5</w:t>
      </w:r>
      <w:r w:rsidR="0024742E" w:rsidRPr="008754C3">
        <w:t xml:space="preserve"> </w:t>
      </w:r>
      <w:r w:rsidR="00F86B51" w:rsidRPr="008754C3">
        <w:t>presents</w:t>
      </w:r>
      <w:r w:rsidRPr="008754C3">
        <w:t xml:space="preserve"> the regression results where the dependent variable is the absolute value of DCA. </w:t>
      </w:r>
      <w:r w:rsidR="00EE587D" w:rsidRPr="008754C3">
        <w:t>The wedge coefficient is negative</w:t>
      </w:r>
      <w:r w:rsidR="00F462E3">
        <w:t xml:space="preserve"> for all three models (although not significant)</w:t>
      </w:r>
      <w:r w:rsidR="008B51CF" w:rsidRPr="008754C3">
        <w:t>,</w:t>
      </w:r>
      <w:r w:rsidR="00EE587D" w:rsidRPr="008754C3">
        <w:t xml:space="preserve"> suggesting that income management decreases as the wedge </w:t>
      </w:r>
      <w:r w:rsidR="007C1E30" w:rsidRPr="008754C3">
        <w:t>grows</w:t>
      </w:r>
      <w:r w:rsidR="00EA51BC" w:rsidRPr="008754C3">
        <w:t xml:space="preserve">. </w:t>
      </w:r>
    </w:p>
    <w:p w14:paraId="2E06C851" w14:textId="77777777" w:rsidR="00F462E3" w:rsidRPr="008754C3" w:rsidRDefault="00F462E3" w:rsidP="003203CB">
      <w:pPr>
        <w:pStyle w:val="LSbodytext"/>
        <w:spacing w:line="480" w:lineRule="auto"/>
      </w:pPr>
    </w:p>
    <w:p w14:paraId="369ABB33" w14:textId="427BF6F6" w:rsidR="00EB131E" w:rsidRPr="008754C3" w:rsidRDefault="00EB131E" w:rsidP="00F462E3">
      <w:pPr>
        <w:pStyle w:val="Heading1"/>
      </w:pPr>
      <w:r w:rsidRPr="008754C3">
        <w:t>Conclusion</w:t>
      </w:r>
    </w:p>
    <w:p w14:paraId="41F9AB74" w14:textId="196D581B" w:rsidR="00FD4770" w:rsidRPr="008754C3" w:rsidRDefault="003149D2" w:rsidP="003203CB">
      <w:pPr>
        <w:pStyle w:val="LSbodytext"/>
        <w:spacing w:line="480" w:lineRule="auto"/>
        <w:rPr>
          <w:rFonts w:asciiTheme="majorBidi" w:hAnsiTheme="majorBidi" w:cstheme="majorBidi"/>
        </w:rPr>
      </w:pPr>
      <w:r w:rsidRPr="008754C3">
        <w:rPr>
          <w:rFonts w:asciiTheme="majorBidi" w:hAnsiTheme="majorBidi" w:cstheme="majorBidi"/>
        </w:rPr>
        <w:t>There is a growing body of research on the characteristics of dual</w:t>
      </w:r>
      <w:r w:rsidR="00573A93" w:rsidRPr="008754C3">
        <w:rPr>
          <w:rFonts w:asciiTheme="majorBidi" w:hAnsiTheme="majorBidi" w:cstheme="majorBidi"/>
        </w:rPr>
        <w:t>-</w:t>
      </w:r>
      <w:r w:rsidRPr="008754C3">
        <w:rPr>
          <w:rFonts w:asciiTheme="majorBidi" w:hAnsiTheme="majorBidi" w:cstheme="majorBidi"/>
        </w:rPr>
        <w:t xml:space="preserve">class firms, </w:t>
      </w:r>
      <w:r w:rsidR="00084B28" w:rsidRPr="008754C3">
        <w:rPr>
          <w:rFonts w:asciiTheme="majorBidi" w:hAnsiTheme="majorBidi" w:cstheme="majorBidi"/>
        </w:rPr>
        <w:t>but the</w:t>
      </w:r>
      <w:r w:rsidRPr="008754C3">
        <w:rPr>
          <w:rFonts w:asciiTheme="majorBidi" w:hAnsiTheme="majorBidi" w:cstheme="majorBidi"/>
        </w:rPr>
        <w:t xml:space="preserve"> </w:t>
      </w:r>
      <w:r w:rsidR="00A626FB" w:rsidRPr="008754C3">
        <w:t>regulat</w:t>
      </w:r>
      <w:r w:rsidR="002C1387" w:rsidRPr="008754C3">
        <w:t>ory framework</w:t>
      </w:r>
      <w:r w:rsidR="00A626FB" w:rsidRPr="008754C3">
        <w:t xml:space="preserve"> is </w:t>
      </w:r>
      <w:r w:rsidR="009D4579" w:rsidRPr="008754C3">
        <w:rPr>
          <w:rFonts w:hint="cs"/>
        </w:rPr>
        <w:t>controversial</w:t>
      </w:r>
      <w:r w:rsidR="009D4579" w:rsidRPr="008754C3">
        <w:t xml:space="preserve"> and </w:t>
      </w:r>
      <w:r w:rsidR="00A626FB" w:rsidRPr="008754C3">
        <w:t>binary</w:t>
      </w:r>
      <w:r w:rsidR="00084B28" w:rsidRPr="008754C3">
        <w:t>—</w:t>
      </w:r>
      <w:r w:rsidR="00A626FB" w:rsidRPr="008754C3">
        <w:t xml:space="preserve">some jurisdictions </w:t>
      </w:r>
      <w:r w:rsidR="005A5848" w:rsidRPr="008754C3">
        <w:t>permit</w:t>
      </w:r>
      <w:r w:rsidR="00A626FB" w:rsidRPr="008754C3">
        <w:t xml:space="preserve"> the use of this </w:t>
      </w:r>
      <w:r w:rsidR="009A0385" w:rsidRPr="008754C3">
        <w:t xml:space="preserve">capital structure </w:t>
      </w:r>
      <w:r w:rsidR="00A626FB" w:rsidRPr="008754C3">
        <w:t xml:space="preserve">while others prohibit </w:t>
      </w:r>
      <w:r w:rsidR="009C3758" w:rsidRPr="008754C3">
        <w:t>it</w:t>
      </w:r>
      <w:r w:rsidR="00573A93" w:rsidRPr="008754C3">
        <w:t>.</w:t>
      </w:r>
      <w:r w:rsidR="009C3758" w:rsidRPr="008754C3">
        <w:t xml:space="preserve"> </w:t>
      </w:r>
      <w:r w:rsidR="00C712CA" w:rsidRPr="008754C3">
        <w:t>T</w:t>
      </w:r>
      <w:r w:rsidR="00FB0958" w:rsidRPr="008754C3">
        <w:t xml:space="preserve">his paper </w:t>
      </w:r>
      <w:r w:rsidR="00A626FB" w:rsidRPr="008754C3">
        <w:t>provide</w:t>
      </w:r>
      <w:r w:rsidR="00573A93" w:rsidRPr="008754C3">
        <w:t>s</w:t>
      </w:r>
      <w:r w:rsidR="00D3329F" w:rsidRPr="008754C3">
        <w:rPr>
          <w:rFonts w:asciiTheme="majorBidi" w:hAnsiTheme="majorBidi" w:cstheme="majorBidi"/>
        </w:rPr>
        <w:t xml:space="preserve"> </w:t>
      </w:r>
      <w:r w:rsidR="00383CAE" w:rsidRPr="008754C3">
        <w:rPr>
          <w:rFonts w:asciiTheme="majorBidi" w:hAnsiTheme="majorBidi" w:cstheme="majorBidi"/>
        </w:rPr>
        <w:t xml:space="preserve">policymakers </w:t>
      </w:r>
      <w:r w:rsidR="00192FFB" w:rsidRPr="008754C3">
        <w:t xml:space="preserve">with analytical tools </w:t>
      </w:r>
      <w:r w:rsidR="00A01F07" w:rsidRPr="008754C3">
        <w:rPr>
          <w:rFonts w:asciiTheme="majorBidi" w:hAnsiTheme="majorBidi" w:cstheme="majorBidi"/>
        </w:rPr>
        <w:t xml:space="preserve">for evaluating </w:t>
      </w:r>
      <w:r w:rsidR="004721C6" w:rsidRPr="008754C3">
        <w:t xml:space="preserve">the effectiveness of current </w:t>
      </w:r>
      <w:r w:rsidR="00CA3EF0" w:rsidRPr="008754C3">
        <w:rPr>
          <w:rFonts w:asciiTheme="majorBidi" w:hAnsiTheme="majorBidi" w:cstheme="majorBidi"/>
        </w:rPr>
        <w:t xml:space="preserve">financial </w:t>
      </w:r>
      <w:r w:rsidR="004721C6" w:rsidRPr="008754C3">
        <w:t xml:space="preserve">regulation </w:t>
      </w:r>
      <w:r w:rsidR="0019659A" w:rsidRPr="008754C3">
        <w:t xml:space="preserve">and assessing </w:t>
      </w:r>
      <w:r w:rsidR="00A01F07" w:rsidRPr="008754C3">
        <w:rPr>
          <w:rFonts w:asciiTheme="majorBidi" w:hAnsiTheme="majorBidi" w:cstheme="majorBidi"/>
        </w:rPr>
        <w:t>whether a nuanced regulation of dual-class firms, considering the size of the wedge, would be more effective.</w:t>
      </w:r>
    </w:p>
    <w:p w14:paraId="1DDC43D0" w14:textId="7F9BD332" w:rsidR="00665C81" w:rsidRPr="008754C3" w:rsidRDefault="00536B5C" w:rsidP="003203CB">
      <w:pPr>
        <w:pStyle w:val="LSbodytext"/>
        <w:spacing w:line="480" w:lineRule="auto"/>
      </w:pPr>
      <w:r w:rsidRPr="008754C3">
        <w:t>W</w:t>
      </w:r>
      <w:r w:rsidR="003149D2" w:rsidRPr="008754C3">
        <w:t xml:space="preserve">e </w:t>
      </w:r>
      <w:r w:rsidR="00665C81" w:rsidRPr="008754C3">
        <w:t xml:space="preserve">use a comprehensive sample of dual-class firms publicly traded in the U.S. between 2012 and 2019 and measure the size of the wedge for each firm each year. We find that as the wedge </w:t>
      </w:r>
      <w:r w:rsidR="00084B28" w:rsidRPr="008754C3">
        <w:t xml:space="preserve">enlarges, </w:t>
      </w:r>
      <w:r w:rsidR="00665C81" w:rsidRPr="008754C3">
        <w:t xml:space="preserve">dual-class firms tend to be </w:t>
      </w:r>
      <w:r w:rsidR="001B6F91" w:rsidRPr="008754C3">
        <w:rPr>
          <w:shd w:val="clear" w:color="auto" w:fill="FFFFFF"/>
        </w:rPr>
        <w:t>“</w:t>
      </w:r>
      <w:r w:rsidR="00665C81" w:rsidRPr="008754C3">
        <w:t>older,</w:t>
      </w:r>
      <w:r w:rsidR="001B6F91" w:rsidRPr="008754C3">
        <w:rPr>
          <w:shd w:val="clear" w:color="auto" w:fill="FFFFFF"/>
        </w:rPr>
        <w:t>”</w:t>
      </w:r>
      <w:r w:rsidR="00665C81" w:rsidRPr="008754C3">
        <w:t xml:space="preserve"> smaller, more profitable, </w:t>
      </w:r>
      <w:r w:rsidR="001060DC" w:rsidRPr="008754C3">
        <w:t xml:space="preserve">and less leveraged. </w:t>
      </w:r>
    </w:p>
    <w:p w14:paraId="24956960" w14:textId="30025923" w:rsidR="001060DC" w:rsidRPr="008754C3" w:rsidRDefault="001060DC" w:rsidP="00E93084">
      <w:pPr>
        <w:pStyle w:val="LSbodytext"/>
        <w:spacing w:line="480" w:lineRule="auto"/>
      </w:pPr>
      <w:r w:rsidRPr="008754C3">
        <w:t xml:space="preserve">We </w:t>
      </w:r>
      <w:r w:rsidR="00006B2E">
        <w:t xml:space="preserve">examine </w:t>
      </w:r>
      <w:r w:rsidR="00B02034" w:rsidRPr="008754C3">
        <w:t xml:space="preserve">the quality of financial reporting </w:t>
      </w:r>
      <w:r w:rsidRPr="008754C3">
        <w:t>in relation to</w:t>
      </w:r>
      <w:r w:rsidR="00B02034" w:rsidRPr="008754C3">
        <w:t xml:space="preserve"> the size of the wedge.</w:t>
      </w:r>
      <w:r w:rsidR="00C91F9C" w:rsidRPr="008754C3">
        <w:t xml:space="preserve"> </w:t>
      </w:r>
      <w:r w:rsidR="007D4D10" w:rsidRPr="008754C3">
        <w:t>Our measures indicate that the larger the wedge</w:t>
      </w:r>
      <w:r w:rsidR="00CA36A0" w:rsidRPr="008754C3">
        <w:t>,</w:t>
      </w:r>
      <w:r w:rsidR="007D4D10" w:rsidRPr="008754C3">
        <w:t xml:space="preserve"> the higher the quality of reported earnings</w:t>
      </w:r>
      <w:r w:rsidR="00CA36A0" w:rsidRPr="008754C3">
        <w:t xml:space="preserve">; </w:t>
      </w:r>
      <w:r w:rsidR="00A86CA0" w:rsidRPr="008754C3">
        <w:t xml:space="preserve">however, </w:t>
      </w:r>
      <w:r w:rsidR="007D4D10" w:rsidRPr="008754C3">
        <w:t>not all results are statistically significant.</w:t>
      </w:r>
      <w:r w:rsidR="00D26FC4" w:rsidRPr="008754C3">
        <w:t xml:space="preserve"> While agency theory </w:t>
      </w:r>
      <w:r w:rsidR="00E35403" w:rsidRPr="008754C3">
        <w:t>suggests</w:t>
      </w:r>
      <w:r w:rsidR="00D26FC4" w:rsidRPr="008754C3">
        <w:t xml:space="preserve"> that </w:t>
      </w:r>
      <w:r w:rsidR="0018650E" w:rsidRPr="008754C3">
        <w:t xml:space="preserve">as the wedge </w:t>
      </w:r>
      <w:r w:rsidR="00CA36A0" w:rsidRPr="008754C3">
        <w:t xml:space="preserve">size </w:t>
      </w:r>
      <w:r w:rsidR="0018650E" w:rsidRPr="008754C3">
        <w:t>increases</w:t>
      </w:r>
      <w:r w:rsidR="00CA36A0" w:rsidRPr="008754C3">
        <w:t>,</w:t>
      </w:r>
      <w:r w:rsidR="0018650E" w:rsidRPr="008754C3">
        <w:t xml:space="preserve"> the quality of </w:t>
      </w:r>
      <w:r w:rsidR="004A31E0" w:rsidRPr="008754C3">
        <w:t xml:space="preserve">financial </w:t>
      </w:r>
      <w:r w:rsidR="0018650E" w:rsidRPr="008754C3">
        <w:t xml:space="preserve">reporting </w:t>
      </w:r>
      <w:r w:rsidR="00155829" w:rsidRPr="008754C3">
        <w:t>de</w:t>
      </w:r>
      <w:r w:rsidR="0018650E" w:rsidRPr="008754C3">
        <w:t>creases</w:t>
      </w:r>
      <w:r w:rsidR="00D26FC4" w:rsidRPr="008754C3">
        <w:t xml:space="preserve">, our findings </w:t>
      </w:r>
      <w:r w:rsidR="000270CA" w:rsidRPr="008754C3">
        <w:t>indica</w:t>
      </w:r>
      <w:r w:rsidR="00836A68" w:rsidRPr="008754C3">
        <w:t>t</w:t>
      </w:r>
      <w:r w:rsidR="000270CA" w:rsidRPr="008754C3">
        <w:t xml:space="preserve">e </w:t>
      </w:r>
      <w:r w:rsidR="00D26FC4" w:rsidRPr="008754C3">
        <w:t xml:space="preserve">that the freedom from market pressures </w:t>
      </w:r>
      <w:r w:rsidR="00E35403" w:rsidRPr="008754C3">
        <w:t xml:space="preserve">resulting </w:t>
      </w:r>
      <w:r w:rsidR="006E708C" w:rsidRPr="008754C3">
        <w:t xml:space="preserve">from the </w:t>
      </w:r>
      <w:r w:rsidR="005E3FE7" w:rsidRPr="008754C3">
        <w:t xml:space="preserve">wedge </w:t>
      </w:r>
      <w:r w:rsidR="00D26FC4" w:rsidRPr="008754C3">
        <w:t>is stronger than agency costs.</w:t>
      </w:r>
      <w:r w:rsidR="002D3191" w:rsidRPr="008754C3">
        <w:t xml:space="preserve"> </w:t>
      </w:r>
      <w:bookmarkStart w:id="22" w:name="_Hlk119230244"/>
      <w:r w:rsidR="002D3191" w:rsidRPr="008754C3">
        <w:t xml:space="preserve">Management’s insulation from market pressures </w:t>
      </w:r>
      <w:r w:rsidR="008C158B">
        <w:t xml:space="preserve">seems to </w:t>
      </w:r>
      <w:r w:rsidR="002D3191" w:rsidRPr="008754C3">
        <w:t xml:space="preserve">reduce </w:t>
      </w:r>
      <w:r w:rsidR="00163C45" w:rsidRPr="008754C3">
        <w:t xml:space="preserve">motivation </w:t>
      </w:r>
      <w:r w:rsidR="002D3191" w:rsidRPr="008754C3">
        <w:t>to manipulate earnings to achieve short-term goals</w:t>
      </w:r>
      <w:r w:rsidR="008C158B">
        <w:t xml:space="preserve"> in dual-class companies compared to </w:t>
      </w:r>
      <w:r w:rsidR="009B773A">
        <w:t xml:space="preserve">their </w:t>
      </w:r>
      <w:r w:rsidR="008C158B">
        <w:t xml:space="preserve">single-class </w:t>
      </w:r>
      <w:r w:rsidR="009B773A" w:rsidRPr="00287881">
        <w:t>counterparts</w:t>
      </w:r>
      <w:r w:rsidR="009B773A" w:rsidDel="009B773A">
        <w:t xml:space="preserve"> </w:t>
      </w:r>
      <w:r w:rsidR="008C158B">
        <w:fldChar w:fldCharType="begin" w:fldLock="1"/>
      </w:r>
      <w:r w:rsidR="00FE2730">
        <w:instrText xml:space="preserve">ADDIN CSL_CITATION {"citationItems":[{"id":"ITEM-1","itemData":{"DOI":"10.1561/108.00000059","abstract":"A dual-class firm structure, in which one class of shares confers more votes per share than the other, creates a gap between vot- ing rights and cash flow rights. In this paper, we examine the quality of the financial reports of dual- versus single-class firms publicly traded in the U.S. over the 2012–2017 period, as measured by persistence and predictive ability of earnings and cash flows. The results are based on comprehensive information from financial statements analyzed using across-sample and within-sample tests. An additional external indicator of financial restatement filings is also used to support the results. The findings demonstrate that the quality of financial reports is higher for dual-class firms than for single-class firms and increases over time. This suggests that the freedom from market pressures is stronger than agency costs, encouraging founders to provide investors with higher-quality infor- mation in exchange for superior voting rights. The results uncover important and counterintuitive evidence about the existence of a tradeoff between the dilution of voting rights and enhancement of the credibility of information provided to investors. </w:instrText>
      </w:r>
      <w:r w:rsidR="00FE2730">
        <w:rPr>
          <w:rFonts w:ascii="Cambria Math" w:hAnsi="Cambria Math" w:cs="Cambria Math"/>
        </w:rPr>
        <w:instrText>∗</w:instrText>
      </w:r>
      <w:r w:rsidR="00FE2730">
        <w:instrText>Corresponding","author":[{"dropping-particle":"","family":"Palas","given":"Rimona","non-dropping-particle":"","parse-names":false,"suffix":""},{"dropping-particle":"","family":"Solomon","given":"Dov","non-dropping-particle":"","parse-names":false,"suffix":""}],"container-title":"Journal of Law, Finance, and Accounting","id":"ITEM-1","issue":"1","issued":{"date-parts":[["2022"]]},"page":"127-164","title":"The Quality of Earnings Information in Dual-Class Firms : Persistence and Predictability","type":"article-journal","volume":"7"},"uris":["http://www.mendeley.com/documents/?uuid=6d71f758-dab6-4825-a845-d6d4d0e01297"]},{"id":"ITEM-2","itemData":{"DOI":"10.1111/ablj.12167","ISSN":"17441714","abstract":"When Google went public with a dual-class capital structure in which shares owned by the founders confer greater voting rights than shares issued to public investors, its cofounders, Larry Page and Sergey Brin, promised to provide investors with high-quality information about the company. Using the words of Warren Buffett, the chairman and CEO of Berkshire Hathaway, another dual-class firm, they promised shareholders, “We won’t ‘smooth’ quarterly or annual results: If earnings figures are lumpy when they reach headquarters, they will be lumpy when they reach you.” Page, Brin, and Buffett definitely understood the importance of quality information to their investors, especially in dual-class structures. But do dual-class companies really provide investors with credible financial information? Contrary to the assumption of agency theory that dual-class firms are less transparent, we find empirically that these companies do provide credible information to their investors. Our results suggest that the quality of financial reports, as measured by their ability to predict change in future earnings, is higher for dual-class companies than for their single-class counterparts. These findings may be explained by the unique relations created in dual-class firms in which the founders provide investors with higher-quality information in exchange for superior voting rights. The article contributes to the heated debate about the transparency of dual-class companies by providing policy makers with important insights on the quality of information provided by these companies. Our findings suggest that there is no need for stricter regulation with regard to disclosure of financial information by dual-class firms.","author":[{"dropping-particle":"","family":"Solomon","given":"Dov","non-dropping-particle":"","parse-names":false,"suffix":""},{"dropping-particle":"","family":"Palas","given":"Rimona","non-dropping-particle":"","parse-names":false,"suffix":""},{"dropping-particle":"","family":"Baranes","given":"Amos","non-dropping-particle":"","parse-names":false,"suffix":""}],"container-title":"American Business Law Journal","id":"ITEM-2","issue":"3","issued":{"date-parts":[["2020"]]},"page":"443-486","title":"The Quality of Information Provided by Dual-Class Firms","type":"article-journal","volume":"57"},"uris":["http://www.mendeley.com/documents/?uuid=e7fddf91-85d4-494c-a5db-9a48333c5562"]}],"mendeley":{"formattedCitation":"(Palas &amp; Solomon, 2022; Solomon et al., 2020)","manualFormatting":"(Chen, 2008; Li &amp; Zaiats, 2017; Nguyen &amp; Xu, 2010; Palas &amp; Solomon, 2022; Solomon et al., 2020)","plainTextFormattedCitation":"(Palas &amp; Solomon, 2022; Solomon et al., 2020)","previouslyFormattedCitation":"(Palas &amp; Solomon, 2022; Solomon et al., 2020)"},"properties":{"noteIndex":0},"schema":"https://github.com/citation-style-language/schema/raw/master/csl-citation.json"}</w:instrText>
      </w:r>
      <w:r w:rsidR="008C158B">
        <w:fldChar w:fldCharType="separate"/>
      </w:r>
      <w:r w:rsidR="008C158B" w:rsidRPr="008C158B">
        <w:rPr>
          <w:noProof/>
        </w:rPr>
        <w:t>(</w:t>
      </w:r>
      <w:r w:rsidR="00AA32BE" w:rsidRPr="008754C3">
        <w:rPr>
          <w:noProof/>
        </w:rPr>
        <w:t xml:space="preserve">Chen, 2008; Li &amp; Zaiats, 2017; Nguyen &amp; Xu, 2010; </w:t>
      </w:r>
      <w:r w:rsidR="008C158B" w:rsidRPr="008C158B">
        <w:rPr>
          <w:noProof/>
        </w:rPr>
        <w:t>Palas &amp; Solomon, 2022; Solomon et al., 2020)</w:t>
      </w:r>
      <w:r w:rsidR="008C158B">
        <w:fldChar w:fldCharType="end"/>
      </w:r>
      <w:r w:rsidR="002D3191" w:rsidRPr="008754C3">
        <w:t xml:space="preserve">, </w:t>
      </w:r>
      <w:r w:rsidR="002D3191" w:rsidRPr="008754C3">
        <w:lastRenderedPageBreak/>
        <w:t xml:space="preserve">thus </w:t>
      </w:r>
      <w:r w:rsidR="00CA36A0" w:rsidRPr="008754C3">
        <w:t xml:space="preserve">increasing </w:t>
      </w:r>
      <w:r w:rsidR="002D3191" w:rsidRPr="008754C3">
        <w:t>the informativeness of the financial reports.</w:t>
      </w:r>
      <w:r w:rsidR="00BC555B">
        <w:t xml:space="preserve"> </w:t>
      </w:r>
      <w:r w:rsidR="008C158B">
        <w:t xml:space="preserve">Our findings suggest that this </w:t>
      </w:r>
      <w:r w:rsidR="007B043F">
        <w:t xml:space="preserve">effect of </w:t>
      </w:r>
      <w:r w:rsidR="00785422">
        <w:t>m</w:t>
      </w:r>
      <w:r w:rsidR="00785422" w:rsidRPr="008754C3">
        <w:t xml:space="preserve">anagement’s </w:t>
      </w:r>
      <w:r w:rsidR="008C158B">
        <w:t>insulation continue</w:t>
      </w:r>
      <w:r w:rsidR="00785422">
        <w:t>s</w:t>
      </w:r>
      <w:r w:rsidR="008C158B">
        <w:t xml:space="preserve"> beyond the dual</w:t>
      </w:r>
      <w:r w:rsidR="00090A90">
        <w:t>-</w:t>
      </w:r>
      <w:r w:rsidR="008C158B">
        <w:t xml:space="preserve"> v</w:t>
      </w:r>
      <w:r w:rsidR="00F12E83">
        <w:t>ersus</w:t>
      </w:r>
      <w:r w:rsidR="008C158B">
        <w:t xml:space="preserve"> single</w:t>
      </w:r>
      <w:r w:rsidR="00090A90">
        <w:t>-class</w:t>
      </w:r>
      <w:r w:rsidR="008C158B">
        <w:t xml:space="preserve"> distinction </w:t>
      </w:r>
      <w:r w:rsidR="0091349C">
        <w:t>and is influenced by the size of the wedge for dual-class companies as well.</w:t>
      </w:r>
      <w:r w:rsidR="00A16E7B" w:rsidRPr="001F3323">
        <w:t xml:space="preserve"> </w:t>
      </w:r>
      <w:r w:rsidR="00A16E7B">
        <w:t xml:space="preserve">They </w:t>
      </w:r>
      <w:r w:rsidR="00A16E7B" w:rsidRPr="001F3323">
        <w:t xml:space="preserve">uncover important and counterintuitive evidence about the existence of a tradeoff between the dilution of voting rights and enhancement of the </w:t>
      </w:r>
      <w:r w:rsidR="00E93084" w:rsidRPr="00E93084">
        <w:t xml:space="preserve">quality </w:t>
      </w:r>
      <w:r w:rsidR="00A16E7B" w:rsidRPr="001F3323">
        <w:t>of information provided to investors.</w:t>
      </w:r>
      <w:r w:rsidR="008C158B">
        <w:t xml:space="preserve">  </w:t>
      </w:r>
    </w:p>
    <w:bookmarkEnd w:id="22"/>
    <w:p w14:paraId="222425FF" w14:textId="5781B11A" w:rsidR="007D4D10" w:rsidRPr="008754C3" w:rsidRDefault="007D4D10" w:rsidP="001F3323">
      <w:pPr>
        <w:pStyle w:val="LSbodytext"/>
        <w:spacing w:line="480" w:lineRule="auto"/>
      </w:pPr>
      <w:r w:rsidRPr="008754C3">
        <w:t xml:space="preserve">Given the </w:t>
      </w:r>
      <w:r w:rsidR="00581003" w:rsidRPr="008754C3">
        <w:t xml:space="preserve">regulatory controversy over the use of dual-class structures </w:t>
      </w:r>
      <w:r w:rsidR="005445DB" w:rsidRPr="008754C3">
        <w:t xml:space="preserve">and the </w:t>
      </w:r>
      <w:r w:rsidRPr="008754C3">
        <w:t xml:space="preserve">heated debate </w:t>
      </w:r>
      <w:r w:rsidR="005445DB" w:rsidRPr="008754C3">
        <w:t xml:space="preserve">about </w:t>
      </w:r>
      <w:r w:rsidR="00AE7878" w:rsidRPr="008754C3">
        <w:t xml:space="preserve">their </w:t>
      </w:r>
      <w:r w:rsidRPr="008754C3">
        <w:t xml:space="preserve">implications </w:t>
      </w:r>
      <w:r w:rsidR="002D0DD9" w:rsidRPr="008754C3">
        <w:t>for investor protection</w:t>
      </w:r>
      <w:r w:rsidR="00526FE5" w:rsidRPr="008754C3">
        <w:t>,</w:t>
      </w:r>
      <w:r w:rsidR="002D0DD9" w:rsidRPr="008754C3">
        <w:t xml:space="preserve"> our results suggest that a </w:t>
      </w:r>
      <w:r w:rsidR="002065A6" w:rsidRPr="008754C3">
        <w:t>regulatory framework distinguish</w:t>
      </w:r>
      <w:r w:rsidR="003A7497" w:rsidRPr="008754C3">
        <w:t>ing</w:t>
      </w:r>
      <w:r w:rsidR="002065A6" w:rsidRPr="008754C3">
        <w:t xml:space="preserve"> </w:t>
      </w:r>
      <w:r w:rsidR="00461BE4" w:rsidRPr="008754C3">
        <w:t xml:space="preserve">among </w:t>
      </w:r>
      <w:r w:rsidR="002D0DD9" w:rsidRPr="008754C3">
        <w:t xml:space="preserve">dual-class firms based on the size of the wedge may not be </w:t>
      </w:r>
      <w:r w:rsidR="003D1232" w:rsidRPr="008754C3">
        <w:t xml:space="preserve">more </w:t>
      </w:r>
      <w:r w:rsidR="00DB24D9" w:rsidRPr="008754C3">
        <w:t>effective</w:t>
      </w:r>
      <w:r w:rsidR="002D0DD9" w:rsidRPr="008754C3">
        <w:t>.</w:t>
      </w:r>
      <w:r w:rsidR="0077681A" w:rsidRPr="008754C3">
        <w:t xml:space="preserve"> </w:t>
      </w:r>
      <w:r w:rsidR="000A4D12" w:rsidRPr="008754C3">
        <w:t>A</w:t>
      </w:r>
      <w:r w:rsidR="00F151F7" w:rsidRPr="008754C3">
        <w:t xml:space="preserve">s far as disclosure of financial information is concerned, </w:t>
      </w:r>
      <w:r w:rsidR="000A4D12" w:rsidRPr="008754C3">
        <w:t xml:space="preserve">since </w:t>
      </w:r>
      <w:r w:rsidR="0080059A" w:rsidRPr="008754C3">
        <w:t>a larger wedge does not decrease the quality of reporting</w:t>
      </w:r>
      <w:r w:rsidR="00F5002B" w:rsidRPr="008754C3">
        <w:t>, the curre</w:t>
      </w:r>
      <w:r w:rsidR="00F97E39" w:rsidRPr="008754C3">
        <w:t>nt regulation a</w:t>
      </w:r>
      <w:r w:rsidR="008B0F45" w:rsidRPr="008754C3">
        <w:t>dop</w:t>
      </w:r>
      <w:r w:rsidR="00AD24E9" w:rsidRPr="008754C3">
        <w:t xml:space="preserve">ted by many jurisdictions </w:t>
      </w:r>
      <w:r w:rsidR="002B75D4" w:rsidRPr="008754C3">
        <w:t xml:space="preserve">that permits </w:t>
      </w:r>
      <w:r w:rsidR="00F97E39" w:rsidRPr="008754C3">
        <w:t xml:space="preserve">dual-class structures </w:t>
      </w:r>
      <w:r w:rsidR="008E13F7" w:rsidRPr="008754C3">
        <w:t xml:space="preserve">regardless of the size of the </w:t>
      </w:r>
      <w:r w:rsidR="000D4D48" w:rsidRPr="008754C3">
        <w:t>wedge seems to be effective.</w:t>
      </w:r>
    </w:p>
    <w:p w14:paraId="591FC458" w14:textId="5094E2F8" w:rsidR="003A18E3" w:rsidRPr="00A64E1B" w:rsidRDefault="003A18E3" w:rsidP="003203CB">
      <w:pPr>
        <w:pStyle w:val="LSbodytext"/>
        <w:spacing w:before="240" w:after="240" w:line="360" w:lineRule="auto"/>
        <w:ind w:firstLine="0"/>
        <w:rPr>
          <w:b/>
          <w:bCs/>
        </w:rPr>
      </w:pPr>
      <w:r w:rsidRPr="00A64E1B">
        <w:rPr>
          <w:b/>
          <w:bCs/>
        </w:rPr>
        <w:t>References</w:t>
      </w:r>
    </w:p>
    <w:p w14:paraId="6A401FED" w14:textId="55133FFB" w:rsidR="001968A5" w:rsidRPr="001968A5" w:rsidRDefault="005A7A50" w:rsidP="001968A5">
      <w:pPr>
        <w:widowControl w:val="0"/>
        <w:autoSpaceDE w:val="0"/>
        <w:autoSpaceDN w:val="0"/>
        <w:bidi w:val="0"/>
        <w:adjustRightInd w:val="0"/>
        <w:spacing w:after="0" w:line="360" w:lineRule="auto"/>
        <w:ind w:left="480" w:hanging="480"/>
        <w:rPr>
          <w:rFonts w:ascii="Times New Roman" w:hAnsi="Times New Roman" w:cs="Times New Roman"/>
          <w:noProof/>
          <w:sz w:val="24"/>
          <w:szCs w:val="24"/>
        </w:rPr>
      </w:pPr>
      <w:r w:rsidRPr="00A64E1B">
        <w:rPr>
          <w:rFonts w:asciiTheme="majorBidi" w:hAnsiTheme="majorBidi" w:cstheme="majorBidi"/>
          <w:sz w:val="24"/>
          <w:szCs w:val="24"/>
        </w:rPr>
        <w:fldChar w:fldCharType="begin" w:fldLock="1"/>
      </w:r>
      <w:r w:rsidRPr="00A64E1B">
        <w:rPr>
          <w:rFonts w:asciiTheme="majorBidi" w:hAnsiTheme="majorBidi" w:cstheme="majorBidi"/>
          <w:sz w:val="24"/>
          <w:szCs w:val="24"/>
        </w:rPr>
        <w:instrText xml:space="preserve">ADDIN Mendeley Bibliography CSL_BIBLIOGRAPHY </w:instrText>
      </w:r>
      <w:r w:rsidRPr="00A64E1B">
        <w:rPr>
          <w:rFonts w:asciiTheme="majorBidi" w:hAnsiTheme="majorBidi" w:cstheme="majorBidi"/>
          <w:sz w:val="24"/>
          <w:szCs w:val="24"/>
        </w:rPr>
        <w:fldChar w:fldCharType="separate"/>
      </w:r>
      <w:r w:rsidR="001968A5" w:rsidRPr="001968A5">
        <w:rPr>
          <w:rFonts w:ascii="Times New Roman" w:hAnsi="Times New Roman" w:cs="Times New Roman"/>
          <w:noProof/>
          <w:sz w:val="24"/>
          <w:szCs w:val="24"/>
        </w:rPr>
        <w:t xml:space="preserve">Abarbanell, J. S., &amp; Bushee, B. J. (1997). Fundamental Analysis, Future Earnings, and Stock Prices. </w:t>
      </w:r>
      <w:r w:rsidR="001968A5" w:rsidRPr="001968A5">
        <w:rPr>
          <w:rFonts w:ascii="Times New Roman" w:hAnsi="Times New Roman" w:cs="Times New Roman"/>
          <w:i/>
          <w:iCs/>
          <w:noProof/>
          <w:sz w:val="24"/>
          <w:szCs w:val="24"/>
        </w:rPr>
        <w:t>Journal of Accounting Research</w:t>
      </w:r>
      <w:r w:rsidR="001968A5" w:rsidRPr="001968A5">
        <w:rPr>
          <w:rFonts w:ascii="Times New Roman" w:hAnsi="Times New Roman" w:cs="Times New Roman"/>
          <w:noProof/>
          <w:sz w:val="24"/>
          <w:szCs w:val="24"/>
        </w:rPr>
        <w:t xml:space="preserve">, </w:t>
      </w:r>
      <w:r w:rsidR="001968A5" w:rsidRPr="001968A5">
        <w:rPr>
          <w:rFonts w:ascii="Times New Roman" w:hAnsi="Times New Roman" w:cs="Times New Roman"/>
          <w:i/>
          <w:iCs/>
          <w:noProof/>
          <w:sz w:val="24"/>
          <w:szCs w:val="24"/>
        </w:rPr>
        <w:t>35</w:t>
      </w:r>
      <w:r w:rsidR="001968A5" w:rsidRPr="001968A5">
        <w:rPr>
          <w:rFonts w:ascii="Times New Roman" w:hAnsi="Times New Roman" w:cs="Times New Roman"/>
          <w:noProof/>
          <w:sz w:val="24"/>
          <w:szCs w:val="24"/>
        </w:rPr>
        <w:t>(1), 1–24. https://doi.org/10.2307/2491464</w:t>
      </w:r>
    </w:p>
    <w:p w14:paraId="3915A608" w14:textId="77777777" w:rsidR="001968A5" w:rsidRPr="001968A5" w:rsidRDefault="001968A5" w:rsidP="001968A5">
      <w:pPr>
        <w:widowControl w:val="0"/>
        <w:autoSpaceDE w:val="0"/>
        <w:autoSpaceDN w:val="0"/>
        <w:bidi w:val="0"/>
        <w:adjustRightInd w:val="0"/>
        <w:spacing w:after="0" w:line="360" w:lineRule="auto"/>
        <w:ind w:left="480" w:hanging="480"/>
        <w:rPr>
          <w:rFonts w:ascii="Times New Roman" w:hAnsi="Times New Roman" w:cs="Times New Roman"/>
          <w:noProof/>
          <w:sz w:val="24"/>
          <w:szCs w:val="24"/>
        </w:rPr>
      </w:pPr>
      <w:r w:rsidRPr="001968A5">
        <w:rPr>
          <w:rFonts w:ascii="Times New Roman" w:hAnsi="Times New Roman" w:cs="Times New Roman"/>
          <w:noProof/>
          <w:sz w:val="24"/>
          <w:szCs w:val="24"/>
        </w:rPr>
        <w:t xml:space="preserve">Almeida, H. (2019). Is it Time to Get Rid of Earnings-Per-Share (EPS)? </w:t>
      </w:r>
      <w:r w:rsidRPr="001968A5">
        <w:rPr>
          <w:rFonts w:ascii="Times New Roman" w:hAnsi="Times New Roman" w:cs="Times New Roman"/>
          <w:i/>
          <w:iCs/>
          <w:noProof/>
          <w:sz w:val="24"/>
          <w:szCs w:val="24"/>
        </w:rPr>
        <w:t>Review of Corporate Finance Studies</w:t>
      </w:r>
      <w:r w:rsidRPr="001968A5">
        <w:rPr>
          <w:rFonts w:ascii="Times New Roman" w:hAnsi="Times New Roman" w:cs="Times New Roman"/>
          <w:noProof/>
          <w:sz w:val="24"/>
          <w:szCs w:val="24"/>
        </w:rPr>
        <w:t xml:space="preserve">, </w:t>
      </w:r>
      <w:r w:rsidRPr="001968A5">
        <w:rPr>
          <w:rFonts w:ascii="Times New Roman" w:hAnsi="Times New Roman" w:cs="Times New Roman"/>
          <w:i/>
          <w:iCs/>
          <w:noProof/>
          <w:sz w:val="24"/>
          <w:szCs w:val="24"/>
        </w:rPr>
        <w:t>8</w:t>
      </w:r>
      <w:r w:rsidRPr="001968A5">
        <w:rPr>
          <w:rFonts w:ascii="Times New Roman" w:hAnsi="Times New Roman" w:cs="Times New Roman"/>
          <w:noProof/>
          <w:sz w:val="24"/>
          <w:szCs w:val="24"/>
        </w:rPr>
        <w:t>(1), 174–206. https://doi.org/10.1093/rcfs/cfy010</w:t>
      </w:r>
    </w:p>
    <w:p w14:paraId="0E8F6012" w14:textId="77777777" w:rsidR="001968A5" w:rsidRPr="001968A5" w:rsidRDefault="001968A5" w:rsidP="001968A5">
      <w:pPr>
        <w:widowControl w:val="0"/>
        <w:autoSpaceDE w:val="0"/>
        <w:autoSpaceDN w:val="0"/>
        <w:bidi w:val="0"/>
        <w:adjustRightInd w:val="0"/>
        <w:spacing w:after="0" w:line="360" w:lineRule="auto"/>
        <w:ind w:left="480" w:hanging="480"/>
        <w:rPr>
          <w:rFonts w:ascii="Times New Roman" w:hAnsi="Times New Roman" w:cs="Times New Roman"/>
          <w:noProof/>
          <w:sz w:val="24"/>
          <w:szCs w:val="24"/>
        </w:rPr>
      </w:pPr>
      <w:r w:rsidRPr="001968A5">
        <w:rPr>
          <w:rFonts w:ascii="Times New Roman" w:hAnsi="Times New Roman" w:cs="Times New Roman"/>
          <w:noProof/>
          <w:sz w:val="24"/>
          <w:szCs w:val="24"/>
        </w:rPr>
        <w:t xml:space="preserve">Ball, R., Gerakos, J., Linnainmaa, J. T., &amp; Nikolaev, V. (2016). Accruals, Cash Flows, and Operating Profitability in the Cross Section of Stock Returns. </w:t>
      </w:r>
      <w:r w:rsidRPr="001968A5">
        <w:rPr>
          <w:rFonts w:ascii="Times New Roman" w:hAnsi="Times New Roman" w:cs="Times New Roman"/>
          <w:i/>
          <w:iCs/>
          <w:noProof/>
          <w:sz w:val="24"/>
          <w:szCs w:val="24"/>
        </w:rPr>
        <w:t>Journal of Financial Economics</w:t>
      </w:r>
      <w:r w:rsidRPr="001968A5">
        <w:rPr>
          <w:rFonts w:ascii="Times New Roman" w:hAnsi="Times New Roman" w:cs="Times New Roman"/>
          <w:noProof/>
          <w:sz w:val="24"/>
          <w:szCs w:val="24"/>
        </w:rPr>
        <w:t xml:space="preserve">, </w:t>
      </w:r>
      <w:r w:rsidRPr="001968A5">
        <w:rPr>
          <w:rFonts w:ascii="Times New Roman" w:hAnsi="Times New Roman" w:cs="Times New Roman"/>
          <w:i/>
          <w:iCs/>
          <w:noProof/>
          <w:sz w:val="24"/>
          <w:szCs w:val="24"/>
        </w:rPr>
        <w:t>121</w:t>
      </w:r>
      <w:r w:rsidRPr="001968A5">
        <w:rPr>
          <w:rFonts w:ascii="Times New Roman" w:hAnsi="Times New Roman" w:cs="Times New Roman"/>
          <w:noProof/>
          <w:sz w:val="24"/>
          <w:szCs w:val="24"/>
        </w:rPr>
        <w:t>(1), 28–45. https://doi.org/10.1016/j.jfineco.2016.03.002</w:t>
      </w:r>
    </w:p>
    <w:p w14:paraId="2D6539E1" w14:textId="77777777" w:rsidR="001968A5" w:rsidRPr="001968A5" w:rsidRDefault="001968A5" w:rsidP="001968A5">
      <w:pPr>
        <w:widowControl w:val="0"/>
        <w:autoSpaceDE w:val="0"/>
        <w:autoSpaceDN w:val="0"/>
        <w:bidi w:val="0"/>
        <w:adjustRightInd w:val="0"/>
        <w:spacing w:after="0" w:line="360" w:lineRule="auto"/>
        <w:ind w:left="480" w:hanging="480"/>
        <w:rPr>
          <w:rFonts w:ascii="Times New Roman" w:hAnsi="Times New Roman" w:cs="Times New Roman"/>
          <w:noProof/>
          <w:sz w:val="24"/>
          <w:szCs w:val="24"/>
        </w:rPr>
      </w:pPr>
      <w:r w:rsidRPr="001968A5">
        <w:rPr>
          <w:rFonts w:ascii="Times New Roman" w:hAnsi="Times New Roman" w:cs="Times New Roman"/>
          <w:noProof/>
          <w:sz w:val="24"/>
          <w:szCs w:val="24"/>
        </w:rPr>
        <w:t xml:space="preserve">Bartov, E., Gul, F. A., &amp; Tsui, J. S. L. (2001). Discretionary-Accruals Models and Audit Qualifications. </w:t>
      </w:r>
      <w:r w:rsidRPr="001968A5">
        <w:rPr>
          <w:rFonts w:ascii="Times New Roman" w:hAnsi="Times New Roman" w:cs="Times New Roman"/>
          <w:i/>
          <w:iCs/>
          <w:noProof/>
          <w:sz w:val="24"/>
          <w:szCs w:val="24"/>
        </w:rPr>
        <w:t>Journal of Accounting and Economics</w:t>
      </w:r>
      <w:r w:rsidRPr="001968A5">
        <w:rPr>
          <w:rFonts w:ascii="Times New Roman" w:hAnsi="Times New Roman" w:cs="Times New Roman"/>
          <w:noProof/>
          <w:sz w:val="24"/>
          <w:szCs w:val="24"/>
        </w:rPr>
        <w:t xml:space="preserve">, </w:t>
      </w:r>
      <w:r w:rsidRPr="001968A5">
        <w:rPr>
          <w:rFonts w:ascii="Times New Roman" w:hAnsi="Times New Roman" w:cs="Times New Roman"/>
          <w:i/>
          <w:iCs/>
          <w:noProof/>
          <w:sz w:val="24"/>
          <w:szCs w:val="24"/>
        </w:rPr>
        <w:t>30</w:t>
      </w:r>
      <w:r w:rsidRPr="001968A5">
        <w:rPr>
          <w:rFonts w:ascii="Times New Roman" w:hAnsi="Times New Roman" w:cs="Times New Roman"/>
          <w:noProof/>
          <w:sz w:val="24"/>
          <w:szCs w:val="24"/>
        </w:rPr>
        <w:t>, 421–452.</w:t>
      </w:r>
    </w:p>
    <w:p w14:paraId="1F6A2E14" w14:textId="77777777" w:rsidR="001968A5" w:rsidRPr="001968A5" w:rsidRDefault="001968A5" w:rsidP="001968A5">
      <w:pPr>
        <w:widowControl w:val="0"/>
        <w:autoSpaceDE w:val="0"/>
        <w:autoSpaceDN w:val="0"/>
        <w:bidi w:val="0"/>
        <w:adjustRightInd w:val="0"/>
        <w:spacing w:after="0" w:line="360" w:lineRule="auto"/>
        <w:ind w:left="480" w:hanging="480"/>
        <w:rPr>
          <w:rFonts w:ascii="Times New Roman" w:hAnsi="Times New Roman" w:cs="Times New Roman"/>
          <w:noProof/>
          <w:sz w:val="24"/>
          <w:szCs w:val="24"/>
        </w:rPr>
      </w:pPr>
      <w:r w:rsidRPr="001968A5">
        <w:rPr>
          <w:rFonts w:ascii="Times New Roman" w:hAnsi="Times New Roman" w:cs="Times New Roman"/>
          <w:noProof/>
          <w:sz w:val="24"/>
          <w:szCs w:val="24"/>
        </w:rPr>
        <w:t xml:space="preserve">Bauguess, S. W., Slovin, M. B., &amp; Sushka, M. E. (2012). Large Shareholder Diversification, Corporate Risk Taking, and the Benefits of Changing to Differential Voting Rights. </w:t>
      </w:r>
      <w:r w:rsidRPr="001968A5">
        <w:rPr>
          <w:rFonts w:ascii="Times New Roman" w:hAnsi="Times New Roman" w:cs="Times New Roman"/>
          <w:i/>
          <w:iCs/>
          <w:noProof/>
          <w:sz w:val="24"/>
          <w:szCs w:val="24"/>
        </w:rPr>
        <w:t>Journal of Banking and Finance</w:t>
      </w:r>
      <w:r w:rsidRPr="001968A5">
        <w:rPr>
          <w:rFonts w:ascii="Times New Roman" w:hAnsi="Times New Roman" w:cs="Times New Roman"/>
          <w:noProof/>
          <w:sz w:val="24"/>
          <w:szCs w:val="24"/>
        </w:rPr>
        <w:t xml:space="preserve">, </w:t>
      </w:r>
      <w:r w:rsidRPr="001968A5">
        <w:rPr>
          <w:rFonts w:ascii="Times New Roman" w:hAnsi="Times New Roman" w:cs="Times New Roman"/>
          <w:i/>
          <w:iCs/>
          <w:noProof/>
          <w:sz w:val="24"/>
          <w:szCs w:val="24"/>
        </w:rPr>
        <w:t>36</w:t>
      </w:r>
      <w:r w:rsidRPr="001968A5">
        <w:rPr>
          <w:rFonts w:ascii="Times New Roman" w:hAnsi="Times New Roman" w:cs="Times New Roman"/>
          <w:noProof/>
          <w:sz w:val="24"/>
          <w:szCs w:val="24"/>
        </w:rPr>
        <w:t>(4), 1244–1253.</w:t>
      </w:r>
    </w:p>
    <w:p w14:paraId="477677BA" w14:textId="77777777" w:rsidR="001968A5" w:rsidRPr="001968A5" w:rsidRDefault="001968A5" w:rsidP="001968A5">
      <w:pPr>
        <w:widowControl w:val="0"/>
        <w:autoSpaceDE w:val="0"/>
        <w:autoSpaceDN w:val="0"/>
        <w:bidi w:val="0"/>
        <w:adjustRightInd w:val="0"/>
        <w:spacing w:after="0" w:line="360" w:lineRule="auto"/>
        <w:ind w:left="480" w:hanging="480"/>
        <w:rPr>
          <w:rFonts w:ascii="Times New Roman" w:hAnsi="Times New Roman" w:cs="Times New Roman"/>
          <w:noProof/>
          <w:sz w:val="24"/>
          <w:szCs w:val="24"/>
        </w:rPr>
      </w:pPr>
      <w:r w:rsidRPr="001968A5">
        <w:rPr>
          <w:rFonts w:ascii="Times New Roman" w:hAnsi="Times New Roman" w:cs="Times New Roman"/>
          <w:noProof/>
          <w:sz w:val="24"/>
          <w:szCs w:val="24"/>
        </w:rPr>
        <w:lastRenderedPageBreak/>
        <w:t xml:space="preserve">Bebchuk, L. A., &amp; Kastiel, K. (2019). The Perils of Small-Minority Controllers. </w:t>
      </w:r>
      <w:r w:rsidRPr="001968A5">
        <w:rPr>
          <w:rFonts w:ascii="Times New Roman" w:hAnsi="Times New Roman" w:cs="Times New Roman"/>
          <w:i/>
          <w:iCs/>
          <w:noProof/>
          <w:sz w:val="24"/>
          <w:szCs w:val="24"/>
        </w:rPr>
        <w:t>Georgetown Law Journal</w:t>
      </w:r>
      <w:r w:rsidRPr="001968A5">
        <w:rPr>
          <w:rFonts w:ascii="Times New Roman" w:hAnsi="Times New Roman" w:cs="Times New Roman"/>
          <w:noProof/>
          <w:sz w:val="24"/>
          <w:szCs w:val="24"/>
        </w:rPr>
        <w:t xml:space="preserve">, </w:t>
      </w:r>
      <w:r w:rsidRPr="001968A5">
        <w:rPr>
          <w:rFonts w:ascii="Times New Roman" w:hAnsi="Times New Roman" w:cs="Times New Roman"/>
          <w:i/>
          <w:iCs/>
          <w:noProof/>
          <w:sz w:val="24"/>
          <w:szCs w:val="24"/>
        </w:rPr>
        <w:t>107</w:t>
      </w:r>
      <w:r w:rsidRPr="001968A5">
        <w:rPr>
          <w:rFonts w:ascii="Times New Roman" w:hAnsi="Times New Roman" w:cs="Times New Roman"/>
          <w:noProof/>
          <w:sz w:val="24"/>
          <w:szCs w:val="24"/>
        </w:rPr>
        <w:t>, 1453–1514. https://doi.org/10.2139/ssrn.3128375</w:t>
      </w:r>
    </w:p>
    <w:p w14:paraId="26DBF8D5" w14:textId="77777777" w:rsidR="001968A5" w:rsidRPr="001968A5" w:rsidRDefault="001968A5" w:rsidP="001968A5">
      <w:pPr>
        <w:widowControl w:val="0"/>
        <w:autoSpaceDE w:val="0"/>
        <w:autoSpaceDN w:val="0"/>
        <w:bidi w:val="0"/>
        <w:adjustRightInd w:val="0"/>
        <w:spacing w:after="0" w:line="360" w:lineRule="auto"/>
        <w:ind w:left="480" w:hanging="480"/>
        <w:rPr>
          <w:rFonts w:ascii="Times New Roman" w:hAnsi="Times New Roman" w:cs="Times New Roman"/>
          <w:noProof/>
          <w:sz w:val="24"/>
          <w:szCs w:val="24"/>
        </w:rPr>
      </w:pPr>
      <w:r w:rsidRPr="001968A5">
        <w:rPr>
          <w:rFonts w:ascii="Times New Roman" w:hAnsi="Times New Roman" w:cs="Times New Roman"/>
          <w:noProof/>
          <w:sz w:val="24"/>
          <w:szCs w:val="24"/>
        </w:rPr>
        <w:t xml:space="preserve">Bebchuk, L. A., Kraakman, R., &amp; Triantis, G. G. (2000). Stock Pyramids, Cross-Ownership and Dual Class Equity: The Mechanisms and Agency Costs of Separating Control From Cash-Flow Rights. </w:t>
      </w:r>
      <w:r w:rsidRPr="001968A5">
        <w:rPr>
          <w:rFonts w:ascii="Times New Roman" w:hAnsi="Times New Roman" w:cs="Times New Roman"/>
          <w:i/>
          <w:iCs/>
          <w:noProof/>
          <w:sz w:val="24"/>
          <w:szCs w:val="24"/>
        </w:rPr>
        <w:t>Concentrated Corporate Ownership</w:t>
      </w:r>
      <w:r w:rsidRPr="001968A5">
        <w:rPr>
          <w:rFonts w:ascii="Times New Roman" w:hAnsi="Times New Roman" w:cs="Times New Roman"/>
          <w:noProof/>
          <w:sz w:val="24"/>
          <w:szCs w:val="24"/>
        </w:rPr>
        <w:t xml:space="preserve">, </w:t>
      </w:r>
      <w:r w:rsidRPr="001968A5">
        <w:rPr>
          <w:rFonts w:ascii="Times New Roman" w:hAnsi="Times New Roman" w:cs="Times New Roman"/>
          <w:i/>
          <w:iCs/>
          <w:noProof/>
          <w:sz w:val="24"/>
          <w:szCs w:val="24"/>
        </w:rPr>
        <w:t>R. Morck</w:t>
      </w:r>
      <w:r w:rsidRPr="001968A5">
        <w:rPr>
          <w:rFonts w:ascii="Times New Roman" w:hAnsi="Times New Roman" w:cs="Times New Roman"/>
          <w:noProof/>
          <w:sz w:val="24"/>
          <w:szCs w:val="24"/>
        </w:rPr>
        <w:t>, ed., 295–318.</w:t>
      </w:r>
    </w:p>
    <w:p w14:paraId="5FE5CA2F" w14:textId="77777777" w:rsidR="001968A5" w:rsidRPr="001968A5" w:rsidRDefault="001968A5" w:rsidP="001968A5">
      <w:pPr>
        <w:widowControl w:val="0"/>
        <w:autoSpaceDE w:val="0"/>
        <w:autoSpaceDN w:val="0"/>
        <w:bidi w:val="0"/>
        <w:adjustRightInd w:val="0"/>
        <w:spacing w:after="0" w:line="360" w:lineRule="auto"/>
        <w:ind w:left="480" w:hanging="480"/>
        <w:rPr>
          <w:rFonts w:ascii="Times New Roman" w:hAnsi="Times New Roman" w:cs="Times New Roman"/>
          <w:noProof/>
          <w:sz w:val="24"/>
          <w:szCs w:val="24"/>
        </w:rPr>
      </w:pPr>
      <w:r w:rsidRPr="001968A5">
        <w:rPr>
          <w:rFonts w:ascii="Times New Roman" w:hAnsi="Times New Roman" w:cs="Times New Roman"/>
          <w:noProof/>
          <w:sz w:val="24"/>
          <w:szCs w:val="24"/>
        </w:rPr>
        <w:t xml:space="preserve">Chen, F. (2008). </w:t>
      </w:r>
      <w:r w:rsidRPr="001968A5">
        <w:rPr>
          <w:rFonts w:ascii="Times New Roman" w:hAnsi="Times New Roman" w:cs="Times New Roman"/>
          <w:i/>
          <w:iCs/>
          <w:noProof/>
          <w:sz w:val="24"/>
          <w:szCs w:val="24"/>
        </w:rPr>
        <w:t>Capital Market Pressures and Earnings Management : Evidence from U.S. Dual-Class Firms</w:t>
      </w:r>
      <w:r w:rsidRPr="001968A5">
        <w:rPr>
          <w:rFonts w:ascii="Times New Roman" w:hAnsi="Times New Roman" w:cs="Times New Roman"/>
          <w:noProof/>
          <w:sz w:val="24"/>
          <w:szCs w:val="24"/>
        </w:rPr>
        <w:t>. PhD. Dissertation, Columbia University, NY.</w:t>
      </w:r>
    </w:p>
    <w:p w14:paraId="0D8A5FDE" w14:textId="77777777" w:rsidR="001968A5" w:rsidRPr="001968A5" w:rsidRDefault="001968A5" w:rsidP="001968A5">
      <w:pPr>
        <w:widowControl w:val="0"/>
        <w:autoSpaceDE w:val="0"/>
        <w:autoSpaceDN w:val="0"/>
        <w:bidi w:val="0"/>
        <w:adjustRightInd w:val="0"/>
        <w:spacing w:after="0" w:line="360" w:lineRule="auto"/>
        <w:ind w:left="480" w:hanging="480"/>
        <w:rPr>
          <w:rFonts w:ascii="Times New Roman" w:hAnsi="Times New Roman" w:cs="Times New Roman"/>
          <w:noProof/>
          <w:sz w:val="24"/>
          <w:szCs w:val="24"/>
        </w:rPr>
      </w:pPr>
      <w:r w:rsidRPr="001968A5">
        <w:rPr>
          <w:rFonts w:ascii="Times New Roman" w:hAnsi="Times New Roman" w:cs="Times New Roman"/>
          <w:noProof/>
          <w:sz w:val="24"/>
          <w:szCs w:val="24"/>
        </w:rPr>
        <w:t xml:space="preserve">Claessens, S., Djankov, S., Fan, J. P. H., &amp; Lang, L. H. P. (2002). Disentangling the Incentive and Entrenchment Effects of Large Shareholdings. </w:t>
      </w:r>
      <w:r w:rsidRPr="001968A5">
        <w:rPr>
          <w:rFonts w:ascii="Times New Roman" w:hAnsi="Times New Roman" w:cs="Times New Roman"/>
          <w:i/>
          <w:iCs/>
          <w:noProof/>
          <w:sz w:val="24"/>
          <w:szCs w:val="24"/>
        </w:rPr>
        <w:t>The Journal of Finance</w:t>
      </w:r>
      <w:r w:rsidRPr="001968A5">
        <w:rPr>
          <w:rFonts w:ascii="Times New Roman" w:hAnsi="Times New Roman" w:cs="Times New Roman"/>
          <w:noProof/>
          <w:sz w:val="24"/>
          <w:szCs w:val="24"/>
        </w:rPr>
        <w:t xml:space="preserve">, </w:t>
      </w:r>
      <w:r w:rsidRPr="001968A5">
        <w:rPr>
          <w:rFonts w:ascii="Times New Roman" w:hAnsi="Times New Roman" w:cs="Times New Roman"/>
          <w:i/>
          <w:iCs/>
          <w:noProof/>
          <w:sz w:val="24"/>
          <w:szCs w:val="24"/>
        </w:rPr>
        <w:t>57</w:t>
      </w:r>
      <w:r w:rsidRPr="001968A5">
        <w:rPr>
          <w:rFonts w:ascii="Times New Roman" w:hAnsi="Times New Roman" w:cs="Times New Roman"/>
          <w:noProof/>
          <w:sz w:val="24"/>
          <w:szCs w:val="24"/>
        </w:rPr>
        <w:t>(6), 2741–2771.</w:t>
      </w:r>
    </w:p>
    <w:p w14:paraId="108C859E" w14:textId="77777777" w:rsidR="001968A5" w:rsidRPr="001968A5" w:rsidRDefault="001968A5" w:rsidP="001968A5">
      <w:pPr>
        <w:widowControl w:val="0"/>
        <w:autoSpaceDE w:val="0"/>
        <w:autoSpaceDN w:val="0"/>
        <w:bidi w:val="0"/>
        <w:adjustRightInd w:val="0"/>
        <w:spacing w:after="0" w:line="360" w:lineRule="auto"/>
        <w:ind w:left="480" w:hanging="480"/>
        <w:rPr>
          <w:rFonts w:ascii="Times New Roman" w:hAnsi="Times New Roman" w:cs="Times New Roman"/>
          <w:noProof/>
          <w:sz w:val="24"/>
          <w:szCs w:val="24"/>
        </w:rPr>
      </w:pPr>
      <w:r w:rsidRPr="001968A5">
        <w:rPr>
          <w:rFonts w:ascii="Times New Roman" w:hAnsi="Times New Roman" w:cs="Times New Roman"/>
          <w:noProof/>
          <w:sz w:val="24"/>
          <w:szCs w:val="24"/>
        </w:rPr>
        <w:t xml:space="preserve">Cooper, L. A., Downes, J. F., &amp; Rao, R. P. (2018). Short Term Real Earnings Management Prior to Stock Repurchases. </w:t>
      </w:r>
      <w:r w:rsidRPr="001968A5">
        <w:rPr>
          <w:rFonts w:ascii="Times New Roman" w:hAnsi="Times New Roman" w:cs="Times New Roman"/>
          <w:i/>
          <w:iCs/>
          <w:noProof/>
          <w:sz w:val="24"/>
          <w:szCs w:val="24"/>
        </w:rPr>
        <w:t>Review of Quantitative Finance and Accounting</w:t>
      </w:r>
      <w:r w:rsidRPr="001968A5">
        <w:rPr>
          <w:rFonts w:ascii="Times New Roman" w:hAnsi="Times New Roman" w:cs="Times New Roman"/>
          <w:noProof/>
          <w:sz w:val="24"/>
          <w:szCs w:val="24"/>
        </w:rPr>
        <w:t xml:space="preserve">, </w:t>
      </w:r>
      <w:r w:rsidRPr="001968A5">
        <w:rPr>
          <w:rFonts w:ascii="Times New Roman" w:hAnsi="Times New Roman" w:cs="Times New Roman"/>
          <w:i/>
          <w:iCs/>
          <w:noProof/>
          <w:sz w:val="24"/>
          <w:szCs w:val="24"/>
        </w:rPr>
        <w:t>50</w:t>
      </w:r>
      <w:r w:rsidRPr="001968A5">
        <w:rPr>
          <w:rFonts w:ascii="Times New Roman" w:hAnsi="Times New Roman" w:cs="Times New Roman"/>
          <w:noProof/>
          <w:sz w:val="24"/>
          <w:szCs w:val="24"/>
        </w:rPr>
        <w:t>(1), 95–128. https://doi.org/10.1007/s11156-017-0624-2</w:t>
      </w:r>
    </w:p>
    <w:p w14:paraId="79EEBA30" w14:textId="77777777" w:rsidR="001968A5" w:rsidRPr="001968A5" w:rsidRDefault="001968A5" w:rsidP="001968A5">
      <w:pPr>
        <w:widowControl w:val="0"/>
        <w:autoSpaceDE w:val="0"/>
        <w:autoSpaceDN w:val="0"/>
        <w:bidi w:val="0"/>
        <w:adjustRightInd w:val="0"/>
        <w:spacing w:after="0" w:line="360" w:lineRule="auto"/>
        <w:ind w:left="480" w:hanging="480"/>
        <w:rPr>
          <w:rFonts w:ascii="Times New Roman" w:hAnsi="Times New Roman" w:cs="Times New Roman"/>
          <w:noProof/>
          <w:sz w:val="24"/>
          <w:szCs w:val="24"/>
        </w:rPr>
      </w:pPr>
      <w:r w:rsidRPr="001968A5">
        <w:rPr>
          <w:rFonts w:ascii="Times New Roman" w:hAnsi="Times New Roman" w:cs="Times New Roman"/>
          <w:noProof/>
          <w:sz w:val="24"/>
          <w:szCs w:val="24"/>
        </w:rPr>
        <w:t xml:space="preserve">Council of Institutional Investors. (2019). </w:t>
      </w:r>
      <w:r w:rsidRPr="001968A5">
        <w:rPr>
          <w:rFonts w:ascii="Times New Roman" w:hAnsi="Times New Roman" w:cs="Times New Roman"/>
          <w:i/>
          <w:iCs/>
          <w:noProof/>
          <w:sz w:val="24"/>
          <w:szCs w:val="24"/>
        </w:rPr>
        <w:t>Dual Class Companies List (Updated September 2019)</w:t>
      </w:r>
      <w:r w:rsidRPr="001968A5">
        <w:rPr>
          <w:rFonts w:ascii="Times New Roman" w:hAnsi="Times New Roman" w:cs="Times New Roman"/>
          <w:noProof/>
          <w:sz w:val="24"/>
          <w:szCs w:val="24"/>
        </w:rPr>
        <w:t>. https://www.cii.org/files/FINAL format Dual Class List 9-27-19.pdf</w:t>
      </w:r>
    </w:p>
    <w:p w14:paraId="5669C1B1" w14:textId="77777777" w:rsidR="001968A5" w:rsidRPr="001968A5" w:rsidRDefault="001968A5" w:rsidP="001968A5">
      <w:pPr>
        <w:widowControl w:val="0"/>
        <w:autoSpaceDE w:val="0"/>
        <w:autoSpaceDN w:val="0"/>
        <w:bidi w:val="0"/>
        <w:adjustRightInd w:val="0"/>
        <w:spacing w:after="0" w:line="360" w:lineRule="auto"/>
        <w:ind w:left="480" w:hanging="480"/>
        <w:rPr>
          <w:rFonts w:ascii="Times New Roman" w:hAnsi="Times New Roman" w:cs="Times New Roman"/>
          <w:noProof/>
          <w:sz w:val="24"/>
          <w:szCs w:val="24"/>
        </w:rPr>
      </w:pPr>
      <w:r w:rsidRPr="001968A5">
        <w:rPr>
          <w:rFonts w:ascii="Times New Roman" w:hAnsi="Times New Roman" w:cs="Times New Roman"/>
          <w:noProof/>
          <w:sz w:val="24"/>
          <w:szCs w:val="24"/>
        </w:rPr>
        <w:t xml:space="preserve">Council of Institutional Investors. (2022). </w:t>
      </w:r>
      <w:r w:rsidRPr="001968A5">
        <w:rPr>
          <w:rFonts w:ascii="Times New Roman" w:hAnsi="Times New Roman" w:cs="Times New Roman"/>
          <w:i/>
          <w:iCs/>
          <w:noProof/>
          <w:sz w:val="24"/>
          <w:szCs w:val="24"/>
        </w:rPr>
        <w:t>Newly Public Operating Companies Snapshot: 2021</w:t>
      </w:r>
      <w:r w:rsidRPr="001968A5">
        <w:rPr>
          <w:rFonts w:ascii="Times New Roman" w:hAnsi="Times New Roman" w:cs="Times New Roman"/>
          <w:noProof/>
          <w:sz w:val="24"/>
          <w:szCs w:val="24"/>
        </w:rPr>
        <w:t>. https://www.cii.org//Files/issues_and_advocacy/Dual Class post 6-25-19/2022_1_19 Dual-Class IPO Snapshot 2021_.pdf</w:t>
      </w:r>
    </w:p>
    <w:p w14:paraId="32387FB0" w14:textId="77777777" w:rsidR="001968A5" w:rsidRPr="001968A5" w:rsidRDefault="001968A5" w:rsidP="001968A5">
      <w:pPr>
        <w:widowControl w:val="0"/>
        <w:autoSpaceDE w:val="0"/>
        <w:autoSpaceDN w:val="0"/>
        <w:bidi w:val="0"/>
        <w:adjustRightInd w:val="0"/>
        <w:spacing w:after="0" w:line="360" w:lineRule="auto"/>
        <w:ind w:left="480" w:hanging="480"/>
        <w:rPr>
          <w:rFonts w:ascii="Times New Roman" w:hAnsi="Times New Roman" w:cs="Times New Roman"/>
          <w:noProof/>
          <w:sz w:val="24"/>
          <w:szCs w:val="24"/>
        </w:rPr>
      </w:pPr>
      <w:r w:rsidRPr="001968A5">
        <w:rPr>
          <w:rFonts w:ascii="Times New Roman" w:hAnsi="Times New Roman" w:cs="Times New Roman"/>
          <w:noProof/>
          <w:sz w:val="24"/>
          <w:szCs w:val="24"/>
        </w:rPr>
        <w:t xml:space="preserve">Cremers, K. M., Lauterbach, B., &amp; Pajuste, A. (2020). The Life-Cycle of Dual Class Firm Valuation October 2020. </w:t>
      </w:r>
      <w:r w:rsidRPr="001968A5">
        <w:rPr>
          <w:rFonts w:ascii="Times New Roman" w:hAnsi="Times New Roman" w:cs="Times New Roman"/>
          <w:i/>
          <w:iCs/>
          <w:noProof/>
          <w:sz w:val="24"/>
          <w:szCs w:val="24"/>
        </w:rPr>
        <w:t>ECGI Working Paper Series in Finance</w:t>
      </w:r>
      <w:r w:rsidRPr="001968A5">
        <w:rPr>
          <w:rFonts w:ascii="Times New Roman" w:hAnsi="Times New Roman" w:cs="Times New Roman"/>
          <w:noProof/>
          <w:sz w:val="24"/>
          <w:szCs w:val="24"/>
        </w:rPr>
        <w:t xml:space="preserve">, </w:t>
      </w:r>
      <w:r w:rsidRPr="001968A5">
        <w:rPr>
          <w:rFonts w:ascii="Times New Roman" w:hAnsi="Times New Roman" w:cs="Times New Roman"/>
          <w:i/>
          <w:iCs/>
          <w:noProof/>
          <w:sz w:val="24"/>
          <w:szCs w:val="24"/>
        </w:rPr>
        <w:t>550/2018</w:t>
      </w:r>
      <w:r w:rsidRPr="001968A5">
        <w:rPr>
          <w:rFonts w:ascii="Times New Roman" w:hAnsi="Times New Roman" w:cs="Times New Roman"/>
          <w:noProof/>
          <w:sz w:val="24"/>
          <w:szCs w:val="24"/>
        </w:rPr>
        <w:t>(October).</w:t>
      </w:r>
    </w:p>
    <w:p w14:paraId="3C875B5A" w14:textId="77777777" w:rsidR="001968A5" w:rsidRPr="001968A5" w:rsidRDefault="001968A5" w:rsidP="001968A5">
      <w:pPr>
        <w:widowControl w:val="0"/>
        <w:autoSpaceDE w:val="0"/>
        <w:autoSpaceDN w:val="0"/>
        <w:bidi w:val="0"/>
        <w:adjustRightInd w:val="0"/>
        <w:spacing w:after="0" w:line="360" w:lineRule="auto"/>
        <w:ind w:left="480" w:hanging="480"/>
        <w:rPr>
          <w:rFonts w:ascii="Times New Roman" w:hAnsi="Times New Roman" w:cs="Times New Roman"/>
          <w:noProof/>
          <w:sz w:val="24"/>
          <w:szCs w:val="24"/>
        </w:rPr>
      </w:pPr>
      <w:r w:rsidRPr="001968A5">
        <w:rPr>
          <w:rFonts w:ascii="Times New Roman" w:hAnsi="Times New Roman" w:cs="Times New Roman"/>
          <w:noProof/>
          <w:sz w:val="24"/>
          <w:szCs w:val="24"/>
        </w:rPr>
        <w:t xml:space="preserve">Dechow, P., Ge, W., &amp; Schrand, C. (2010). Understanding Earnings Quality: A Review of the Proxies, their Determinants and their Consequences. </w:t>
      </w:r>
      <w:r w:rsidRPr="001968A5">
        <w:rPr>
          <w:rFonts w:ascii="Times New Roman" w:hAnsi="Times New Roman" w:cs="Times New Roman"/>
          <w:i/>
          <w:iCs/>
          <w:noProof/>
          <w:sz w:val="24"/>
          <w:szCs w:val="24"/>
        </w:rPr>
        <w:t>Journal of Accounting and Economics</w:t>
      </w:r>
      <w:r w:rsidRPr="001968A5">
        <w:rPr>
          <w:rFonts w:ascii="Times New Roman" w:hAnsi="Times New Roman" w:cs="Times New Roman"/>
          <w:noProof/>
          <w:sz w:val="24"/>
          <w:szCs w:val="24"/>
        </w:rPr>
        <w:t xml:space="preserve">, </w:t>
      </w:r>
      <w:r w:rsidRPr="001968A5">
        <w:rPr>
          <w:rFonts w:ascii="Times New Roman" w:hAnsi="Times New Roman" w:cs="Times New Roman"/>
          <w:i/>
          <w:iCs/>
          <w:noProof/>
          <w:sz w:val="24"/>
          <w:szCs w:val="24"/>
        </w:rPr>
        <w:t>50</w:t>
      </w:r>
      <w:r w:rsidRPr="001968A5">
        <w:rPr>
          <w:rFonts w:ascii="Times New Roman" w:hAnsi="Times New Roman" w:cs="Times New Roman"/>
          <w:noProof/>
          <w:sz w:val="24"/>
          <w:szCs w:val="24"/>
        </w:rPr>
        <w:t>(2–3), 344–401. https://doi.org/10.1016/j.jacceco.2010.09.001</w:t>
      </w:r>
    </w:p>
    <w:p w14:paraId="2FC8726C" w14:textId="77777777" w:rsidR="001968A5" w:rsidRPr="001968A5" w:rsidRDefault="001968A5" w:rsidP="001968A5">
      <w:pPr>
        <w:widowControl w:val="0"/>
        <w:autoSpaceDE w:val="0"/>
        <w:autoSpaceDN w:val="0"/>
        <w:bidi w:val="0"/>
        <w:adjustRightInd w:val="0"/>
        <w:spacing w:after="0" w:line="360" w:lineRule="auto"/>
        <w:ind w:left="480" w:hanging="480"/>
        <w:rPr>
          <w:rFonts w:ascii="Times New Roman" w:hAnsi="Times New Roman" w:cs="Times New Roman"/>
          <w:noProof/>
          <w:sz w:val="24"/>
          <w:szCs w:val="24"/>
        </w:rPr>
      </w:pPr>
      <w:r w:rsidRPr="001968A5">
        <w:rPr>
          <w:rFonts w:ascii="Times New Roman" w:hAnsi="Times New Roman" w:cs="Times New Roman"/>
          <w:noProof/>
          <w:sz w:val="24"/>
          <w:szCs w:val="24"/>
        </w:rPr>
        <w:t xml:space="preserve">Dechow, P. M., &amp; Dichev, I. D. (2002). The Quality of Accruals and Earnings: The Role of Accrual Estimation Errors. </w:t>
      </w:r>
      <w:r w:rsidRPr="001968A5">
        <w:rPr>
          <w:rFonts w:ascii="Times New Roman" w:hAnsi="Times New Roman" w:cs="Times New Roman"/>
          <w:i/>
          <w:iCs/>
          <w:noProof/>
          <w:sz w:val="24"/>
          <w:szCs w:val="24"/>
        </w:rPr>
        <w:t>Accounting Review</w:t>
      </w:r>
      <w:r w:rsidRPr="001968A5">
        <w:rPr>
          <w:rFonts w:ascii="Times New Roman" w:hAnsi="Times New Roman" w:cs="Times New Roman"/>
          <w:noProof/>
          <w:sz w:val="24"/>
          <w:szCs w:val="24"/>
        </w:rPr>
        <w:t xml:space="preserve">, </w:t>
      </w:r>
      <w:r w:rsidRPr="001968A5">
        <w:rPr>
          <w:rFonts w:ascii="Times New Roman" w:hAnsi="Times New Roman" w:cs="Times New Roman"/>
          <w:i/>
          <w:iCs/>
          <w:noProof/>
          <w:sz w:val="24"/>
          <w:szCs w:val="24"/>
        </w:rPr>
        <w:t>77</w:t>
      </w:r>
      <w:r w:rsidRPr="001968A5">
        <w:rPr>
          <w:rFonts w:ascii="Times New Roman" w:hAnsi="Times New Roman" w:cs="Times New Roman"/>
          <w:noProof/>
          <w:sz w:val="24"/>
          <w:szCs w:val="24"/>
        </w:rPr>
        <w:t>(SUPPL.), 35–59. https://doi.org/10.2308/accr.2002.77.s-1.61</w:t>
      </w:r>
    </w:p>
    <w:p w14:paraId="37DA7433" w14:textId="77777777" w:rsidR="001968A5" w:rsidRPr="001968A5" w:rsidRDefault="001968A5" w:rsidP="001968A5">
      <w:pPr>
        <w:widowControl w:val="0"/>
        <w:autoSpaceDE w:val="0"/>
        <w:autoSpaceDN w:val="0"/>
        <w:bidi w:val="0"/>
        <w:adjustRightInd w:val="0"/>
        <w:spacing w:after="0" w:line="360" w:lineRule="auto"/>
        <w:ind w:left="480" w:hanging="480"/>
        <w:rPr>
          <w:rFonts w:ascii="Times New Roman" w:hAnsi="Times New Roman" w:cs="Times New Roman"/>
          <w:noProof/>
          <w:sz w:val="24"/>
          <w:szCs w:val="24"/>
        </w:rPr>
      </w:pPr>
      <w:r w:rsidRPr="001968A5">
        <w:rPr>
          <w:rFonts w:ascii="Times New Roman" w:hAnsi="Times New Roman" w:cs="Times New Roman"/>
          <w:noProof/>
          <w:sz w:val="24"/>
          <w:szCs w:val="24"/>
        </w:rPr>
        <w:t xml:space="preserve">Dechow, P. M., Sloan, R. G., &amp; Sweeney, A. P. (1995). Detecting Earnings Management. </w:t>
      </w:r>
      <w:r w:rsidRPr="001968A5">
        <w:rPr>
          <w:rFonts w:ascii="Times New Roman" w:hAnsi="Times New Roman" w:cs="Times New Roman"/>
          <w:i/>
          <w:iCs/>
          <w:noProof/>
          <w:sz w:val="24"/>
          <w:szCs w:val="24"/>
        </w:rPr>
        <w:t>The Accounting Review</w:t>
      </w:r>
      <w:r w:rsidRPr="001968A5">
        <w:rPr>
          <w:rFonts w:ascii="Times New Roman" w:hAnsi="Times New Roman" w:cs="Times New Roman"/>
          <w:noProof/>
          <w:sz w:val="24"/>
          <w:szCs w:val="24"/>
        </w:rPr>
        <w:t xml:space="preserve">, </w:t>
      </w:r>
      <w:r w:rsidRPr="001968A5">
        <w:rPr>
          <w:rFonts w:ascii="Times New Roman" w:hAnsi="Times New Roman" w:cs="Times New Roman"/>
          <w:i/>
          <w:iCs/>
          <w:noProof/>
          <w:sz w:val="24"/>
          <w:szCs w:val="24"/>
        </w:rPr>
        <w:t>70</w:t>
      </w:r>
      <w:r w:rsidRPr="001968A5">
        <w:rPr>
          <w:rFonts w:ascii="Times New Roman" w:hAnsi="Times New Roman" w:cs="Times New Roman"/>
          <w:noProof/>
          <w:sz w:val="24"/>
          <w:szCs w:val="24"/>
        </w:rPr>
        <w:t>(2), 193–225. https://doi.org/10.1002/9781119204763.ch4</w:t>
      </w:r>
    </w:p>
    <w:p w14:paraId="52A88FA2" w14:textId="77777777" w:rsidR="001968A5" w:rsidRPr="001968A5" w:rsidRDefault="001968A5" w:rsidP="001968A5">
      <w:pPr>
        <w:widowControl w:val="0"/>
        <w:autoSpaceDE w:val="0"/>
        <w:autoSpaceDN w:val="0"/>
        <w:bidi w:val="0"/>
        <w:adjustRightInd w:val="0"/>
        <w:spacing w:after="0" w:line="360" w:lineRule="auto"/>
        <w:ind w:left="480" w:hanging="480"/>
        <w:rPr>
          <w:rFonts w:ascii="Times New Roman" w:hAnsi="Times New Roman" w:cs="Times New Roman"/>
          <w:noProof/>
          <w:sz w:val="24"/>
          <w:szCs w:val="24"/>
        </w:rPr>
      </w:pPr>
      <w:r w:rsidRPr="001968A5">
        <w:rPr>
          <w:rFonts w:ascii="Times New Roman" w:hAnsi="Times New Roman" w:cs="Times New Roman"/>
          <w:noProof/>
          <w:sz w:val="24"/>
          <w:szCs w:val="24"/>
        </w:rPr>
        <w:t xml:space="preserve">Dimitrov, V., &amp; Jain, P. C. (2006). Recapitalization of One Class of Common Stock </w:t>
      </w:r>
      <w:r w:rsidRPr="001968A5">
        <w:rPr>
          <w:rFonts w:ascii="Times New Roman" w:hAnsi="Times New Roman" w:cs="Times New Roman"/>
          <w:noProof/>
          <w:sz w:val="24"/>
          <w:szCs w:val="24"/>
        </w:rPr>
        <w:lastRenderedPageBreak/>
        <w:t xml:space="preserve">into Dual-Class: Growth and Long-Run Stock Returns. </w:t>
      </w:r>
      <w:r w:rsidRPr="001968A5">
        <w:rPr>
          <w:rFonts w:ascii="Times New Roman" w:hAnsi="Times New Roman" w:cs="Times New Roman"/>
          <w:i/>
          <w:iCs/>
          <w:noProof/>
          <w:sz w:val="24"/>
          <w:szCs w:val="24"/>
        </w:rPr>
        <w:t>Journal of Corporate Finance</w:t>
      </w:r>
      <w:r w:rsidRPr="001968A5">
        <w:rPr>
          <w:rFonts w:ascii="Times New Roman" w:hAnsi="Times New Roman" w:cs="Times New Roman"/>
          <w:noProof/>
          <w:sz w:val="24"/>
          <w:szCs w:val="24"/>
        </w:rPr>
        <w:t xml:space="preserve">, </w:t>
      </w:r>
      <w:r w:rsidRPr="001968A5">
        <w:rPr>
          <w:rFonts w:ascii="Times New Roman" w:hAnsi="Times New Roman" w:cs="Times New Roman"/>
          <w:i/>
          <w:iCs/>
          <w:noProof/>
          <w:sz w:val="24"/>
          <w:szCs w:val="24"/>
        </w:rPr>
        <w:t>12</w:t>
      </w:r>
      <w:r w:rsidRPr="001968A5">
        <w:rPr>
          <w:rFonts w:ascii="Times New Roman" w:hAnsi="Times New Roman" w:cs="Times New Roman"/>
          <w:noProof/>
          <w:sz w:val="24"/>
          <w:szCs w:val="24"/>
        </w:rPr>
        <w:t>(2), 342–366.</w:t>
      </w:r>
    </w:p>
    <w:p w14:paraId="279B2227" w14:textId="77777777" w:rsidR="001968A5" w:rsidRPr="001968A5" w:rsidRDefault="001968A5" w:rsidP="001968A5">
      <w:pPr>
        <w:widowControl w:val="0"/>
        <w:autoSpaceDE w:val="0"/>
        <w:autoSpaceDN w:val="0"/>
        <w:bidi w:val="0"/>
        <w:adjustRightInd w:val="0"/>
        <w:spacing w:after="0" w:line="360" w:lineRule="auto"/>
        <w:ind w:left="480" w:hanging="480"/>
        <w:rPr>
          <w:rFonts w:ascii="Times New Roman" w:hAnsi="Times New Roman" w:cs="Times New Roman"/>
          <w:noProof/>
          <w:sz w:val="24"/>
          <w:szCs w:val="24"/>
        </w:rPr>
      </w:pPr>
      <w:r w:rsidRPr="001968A5">
        <w:rPr>
          <w:rFonts w:ascii="Times New Roman" w:hAnsi="Times New Roman" w:cs="Times New Roman"/>
          <w:noProof/>
          <w:sz w:val="24"/>
          <w:szCs w:val="24"/>
        </w:rPr>
        <w:t xml:space="preserve">Foerster, S., Tsagarelis, J., &amp; Wang, G. (2017). Are Cash Flows Better Stock Return Predictors than Profits? </w:t>
      </w:r>
      <w:r w:rsidRPr="001968A5">
        <w:rPr>
          <w:rFonts w:ascii="Times New Roman" w:hAnsi="Times New Roman" w:cs="Times New Roman"/>
          <w:i/>
          <w:iCs/>
          <w:noProof/>
          <w:sz w:val="24"/>
          <w:szCs w:val="24"/>
        </w:rPr>
        <w:t>Financial Analysts Journal</w:t>
      </w:r>
      <w:r w:rsidRPr="001968A5">
        <w:rPr>
          <w:rFonts w:ascii="Times New Roman" w:hAnsi="Times New Roman" w:cs="Times New Roman"/>
          <w:noProof/>
          <w:sz w:val="24"/>
          <w:szCs w:val="24"/>
        </w:rPr>
        <w:t xml:space="preserve">, </w:t>
      </w:r>
      <w:r w:rsidRPr="001968A5">
        <w:rPr>
          <w:rFonts w:ascii="Times New Roman" w:hAnsi="Times New Roman" w:cs="Times New Roman"/>
          <w:i/>
          <w:iCs/>
          <w:noProof/>
          <w:sz w:val="24"/>
          <w:szCs w:val="24"/>
        </w:rPr>
        <w:t>73</w:t>
      </w:r>
      <w:r w:rsidRPr="001968A5">
        <w:rPr>
          <w:rFonts w:ascii="Times New Roman" w:hAnsi="Times New Roman" w:cs="Times New Roman"/>
          <w:noProof/>
          <w:sz w:val="24"/>
          <w:szCs w:val="24"/>
        </w:rPr>
        <w:t>(1), 73–99. https://doi.org/10.2469/faj.v73.n1.2</w:t>
      </w:r>
    </w:p>
    <w:p w14:paraId="057A0604" w14:textId="77777777" w:rsidR="001968A5" w:rsidRPr="001968A5" w:rsidRDefault="001968A5" w:rsidP="001968A5">
      <w:pPr>
        <w:widowControl w:val="0"/>
        <w:autoSpaceDE w:val="0"/>
        <w:autoSpaceDN w:val="0"/>
        <w:bidi w:val="0"/>
        <w:adjustRightInd w:val="0"/>
        <w:spacing w:after="0" w:line="360" w:lineRule="auto"/>
        <w:ind w:left="480" w:hanging="480"/>
        <w:rPr>
          <w:rFonts w:ascii="Times New Roman" w:hAnsi="Times New Roman" w:cs="Times New Roman"/>
          <w:noProof/>
          <w:sz w:val="24"/>
          <w:szCs w:val="24"/>
        </w:rPr>
      </w:pPr>
      <w:r w:rsidRPr="001968A5">
        <w:rPr>
          <w:rFonts w:ascii="Times New Roman" w:hAnsi="Times New Roman" w:cs="Times New Roman"/>
          <w:noProof/>
          <w:sz w:val="24"/>
          <w:szCs w:val="24"/>
        </w:rPr>
        <w:t xml:space="preserve">Forst, A., Hettler, B., &amp; Barniv, R. R. (2019). Insider Ownership and Financial Analysts’ Information Environment: Evidence From Dual-Class Firms. </w:t>
      </w:r>
      <w:r w:rsidRPr="001968A5">
        <w:rPr>
          <w:rFonts w:ascii="Times New Roman" w:hAnsi="Times New Roman" w:cs="Times New Roman"/>
          <w:i/>
          <w:iCs/>
          <w:noProof/>
          <w:sz w:val="24"/>
          <w:szCs w:val="24"/>
        </w:rPr>
        <w:t>Journal of Accounting, Auditing and Finance</w:t>
      </w:r>
      <w:r w:rsidRPr="001968A5">
        <w:rPr>
          <w:rFonts w:ascii="Times New Roman" w:hAnsi="Times New Roman" w:cs="Times New Roman"/>
          <w:noProof/>
          <w:sz w:val="24"/>
          <w:szCs w:val="24"/>
        </w:rPr>
        <w:t xml:space="preserve">, </w:t>
      </w:r>
      <w:r w:rsidRPr="001968A5">
        <w:rPr>
          <w:rFonts w:ascii="Times New Roman" w:hAnsi="Times New Roman" w:cs="Times New Roman"/>
          <w:i/>
          <w:iCs/>
          <w:noProof/>
          <w:sz w:val="24"/>
          <w:szCs w:val="24"/>
        </w:rPr>
        <w:t>34</w:t>
      </w:r>
      <w:r w:rsidRPr="001968A5">
        <w:rPr>
          <w:rFonts w:ascii="Times New Roman" w:hAnsi="Times New Roman" w:cs="Times New Roman"/>
          <w:noProof/>
          <w:sz w:val="24"/>
          <w:szCs w:val="24"/>
        </w:rPr>
        <w:t>(1), 30–53. https://doi.org/10.1177/0148558X16670048</w:t>
      </w:r>
    </w:p>
    <w:p w14:paraId="354584BF" w14:textId="77777777" w:rsidR="001968A5" w:rsidRPr="001968A5" w:rsidRDefault="001968A5" w:rsidP="001968A5">
      <w:pPr>
        <w:widowControl w:val="0"/>
        <w:autoSpaceDE w:val="0"/>
        <w:autoSpaceDN w:val="0"/>
        <w:bidi w:val="0"/>
        <w:adjustRightInd w:val="0"/>
        <w:spacing w:after="0" w:line="360" w:lineRule="auto"/>
        <w:ind w:left="480" w:hanging="480"/>
        <w:rPr>
          <w:rFonts w:ascii="Times New Roman" w:hAnsi="Times New Roman" w:cs="Times New Roman"/>
          <w:noProof/>
          <w:sz w:val="24"/>
          <w:szCs w:val="24"/>
        </w:rPr>
      </w:pPr>
      <w:r w:rsidRPr="001968A5">
        <w:rPr>
          <w:rFonts w:ascii="Times New Roman" w:hAnsi="Times New Roman" w:cs="Times New Roman"/>
          <w:noProof/>
          <w:sz w:val="24"/>
          <w:szCs w:val="24"/>
        </w:rPr>
        <w:t xml:space="preserve">Francis, J., Schipper, K., &amp; Vincent, L. (2005). Earnings and Dividend Informativeness when Cash Flow Rights are Separated from Voting Rights. </w:t>
      </w:r>
      <w:r w:rsidRPr="001968A5">
        <w:rPr>
          <w:rFonts w:ascii="Times New Roman" w:hAnsi="Times New Roman" w:cs="Times New Roman"/>
          <w:i/>
          <w:iCs/>
          <w:noProof/>
          <w:sz w:val="24"/>
          <w:szCs w:val="24"/>
        </w:rPr>
        <w:t>Journal of Accounting and Economics</w:t>
      </w:r>
      <w:r w:rsidRPr="001968A5">
        <w:rPr>
          <w:rFonts w:ascii="Times New Roman" w:hAnsi="Times New Roman" w:cs="Times New Roman"/>
          <w:noProof/>
          <w:sz w:val="24"/>
          <w:szCs w:val="24"/>
        </w:rPr>
        <w:t xml:space="preserve">, </w:t>
      </w:r>
      <w:r w:rsidRPr="001968A5">
        <w:rPr>
          <w:rFonts w:ascii="Times New Roman" w:hAnsi="Times New Roman" w:cs="Times New Roman"/>
          <w:i/>
          <w:iCs/>
          <w:noProof/>
          <w:sz w:val="24"/>
          <w:szCs w:val="24"/>
        </w:rPr>
        <w:t>39</w:t>
      </w:r>
      <w:r w:rsidRPr="001968A5">
        <w:rPr>
          <w:rFonts w:ascii="Times New Roman" w:hAnsi="Times New Roman" w:cs="Times New Roman"/>
          <w:noProof/>
          <w:sz w:val="24"/>
          <w:szCs w:val="24"/>
        </w:rPr>
        <w:t>(2), 329–360. https://doi.org/10.1016/j.jacceco.2005.01.001</w:t>
      </w:r>
    </w:p>
    <w:p w14:paraId="47025D31" w14:textId="77777777" w:rsidR="001968A5" w:rsidRPr="001968A5" w:rsidRDefault="001968A5" w:rsidP="001968A5">
      <w:pPr>
        <w:widowControl w:val="0"/>
        <w:autoSpaceDE w:val="0"/>
        <w:autoSpaceDN w:val="0"/>
        <w:bidi w:val="0"/>
        <w:adjustRightInd w:val="0"/>
        <w:spacing w:after="0" w:line="360" w:lineRule="auto"/>
        <w:ind w:left="480" w:hanging="480"/>
        <w:rPr>
          <w:rFonts w:ascii="Times New Roman" w:hAnsi="Times New Roman" w:cs="Times New Roman"/>
          <w:noProof/>
          <w:sz w:val="24"/>
          <w:szCs w:val="24"/>
        </w:rPr>
      </w:pPr>
      <w:r w:rsidRPr="001968A5">
        <w:rPr>
          <w:rFonts w:ascii="Times New Roman" w:hAnsi="Times New Roman" w:cs="Times New Roman"/>
          <w:noProof/>
          <w:sz w:val="24"/>
          <w:szCs w:val="24"/>
        </w:rPr>
        <w:t xml:space="preserve">Gompers, P. A., Ishii, J., &amp; Metrick, A. (2010). Extreme Governance: An Analysis of Dual-Class Firms in the United States. </w:t>
      </w:r>
      <w:r w:rsidRPr="001968A5">
        <w:rPr>
          <w:rFonts w:ascii="Times New Roman" w:hAnsi="Times New Roman" w:cs="Times New Roman"/>
          <w:i/>
          <w:iCs/>
          <w:noProof/>
          <w:sz w:val="24"/>
          <w:szCs w:val="24"/>
        </w:rPr>
        <w:t>Review of Financial Studies</w:t>
      </w:r>
      <w:r w:rsidRPr="001968A5">
        <w:rPr>
          <w:rFonts w:ascii="Times New Roman" w:hAnsi="Times New Roman" w:cs="Times New Roman"/>
          <w:noProof/>
          <w:sz w:val="24"/>
          <w:szCs w:val="24"/>
        </w:rPr>
        <w:t xml:space="preserve">, </w:t>
      </w:r>
      <w:r w:rsidRPr="001968A5">
        <w:rPr>
          <w:rFonts w:ascii="Times New Roman" w:hAnsi="Times New Roman" w:cs="Times New Roman"/>
          <w:i/>
          <w:iCs/>
          <w:noProof/>
          <w:sz w:val="24"/>
          <w:szCs w:val="24"/>
        </w:rPr>
        <w:t>23</w:t>
      </w:r>
      <w:r w:rsidRPr="001968A5">
        <w:rPr>
          <w:rFonts w:ascii="Times New Roman" w:hAnsi="Times New Roman" w:cs="Times New Roman"/>
          <w:noProof/>
          <w:sz w:val="24"/>
          <w:szCs w:val="24"/>
        </w:rPr>
        <w:t>(3), 1051–1088.</w:t>
      </w:r>
    </w:p>
    <w:p w14:paraId="40BDF76B" w14:textId="77777777" w:rsidR="001968A5" w:rsidRPr="001968A5" w:rsidRDefault="001968A5" w:rsidP="001968A5">
      <w:pPr>
        <w:widowControl w:val="0"/>
        <w:autoSpaceDE w:val="0"/>
        <w:autoSpaceDN w:val="0"/>
        <w:bidi w:val="0"/>
        <w:adjustRightInd w:val="0"/>
        <w:spacing w:after="0" w:line="360" w:lineRule="auto"/>
        <w:ind w:left="480" w:hanging="480"/>
        <w:rPr>
          <w:rFonts w:ascii="Times New Roman" w:hAnsi="Times New Roman" w:cs="Times New Roman"/>
          <w:noProof/>
          <w:sz w:val="24"/>
          <w:szCs w:val="24"/>
        </w:rPr>
      </w:pPr>
      <w:r w:rsidRPr="001968A5">
        <w:rPr>
          <w:rFonts w:ascii="Times New Roman" w:hAnsi="Times New Roman" w:cs="Times New Roman"/>
          <w:noProof/>
          <w:sz w:val="24"/>
          <w:szCs w:val="24"/>
        </w:rPr>
        <w:t xml:space="preserve">Goshen, Z., &amp; Hamdani, A. (2016). Corporate Control and Idiosyncratic Vision. </w:t>
      </w:r>
      <w:r w:rsidRPr="001968A5">
        <w:rPr>
          <w:rFonts w:ascii="Times New Roman" w:hAnsi="Times New Roman" w:cs="Times New Roman"/>
          <w:i/>
          <w:iCs/>
          <w:noProof/>
          <w:sz w:val="24"/>
          <w:szCs w:val="24"/>
        </w:rPr>
        <w:t>Yale Law Journal</w:t>
      </w:r>
      <w:r w:rsidRPr="001968A5">
        <w:rPr>
          <w:rFonts w:ascii="Times New Roman" w:hAnsi="Times New Roman" w:cs="Times New Roman"/>
          <w:noProof/>
          <w:sz w:val="24"/>
          <w:szCs w:val="24"/>
        </w:rPr>
        <w:t xml:space="preserve">, </w:t>
      </w:r>
      <w:r w:rsidRPr="001968A5">
        <w:rPr>
          <w:rFonts w:ascii="Times New Roman" w:hAnsi="Times New Roman" w:cs="Times New Roman"/>
          <w:i/>
          <w:iCs/>
          <w:noProof/>
          <w:sz w:val="24"/>
          <w:szCs w:val="24"/>
        </w:rPr>
        <w:t>125</w:t>
      </w:r>
      <w:r w:rsidRPr="001968A5">
        <w:rPr>
          <w:rFonts w:ascii="Times New Roman" w:hAnsi="Times New Roman" w:cs="Times New Roman"/>
          <w:noProof/>
          <w:sz w:val="24"/>
          <w:szCs w:val="24"/>
        </w:rPr>
        <w:t>(3), 560–617.</w:t>
      </w:r>
    </w:p>
    <w:p w14:paraId="52C99CCF" w14:textId="77777777" w:rsidR="001968A5" w:rsidRPr="001968A5" w:rsidRDefault="001968A5" w:rsidP="001968A5">
      <w:pPr>
        <w:widowControl w:val="0"/>
        <w:autoSpaceDE w:val="0"/>
        <w:autoSpaceDN w:val="0"/>
        <w:bidi w:val="0"/>
        <w:adjustRightInd w:val="0"/>
        <w:spacing w:after="0" w:line="360" w:lineRule="auto"/>
        <w:ind w:left="480" w:hanging="480"/>
        <w:rPr>
          <w:rFonts w:ascii="Times New Roman" w:hAnsi="Times New Roman" w:cs="Times New Roman"/>
          <w:noProof/>
          <w:sz w:val="24"/>
          <w:szCs w:val="24"/>
        </w:rPr>
      </w:pPr>
      <w:r w:rsidRPr="001968A5">
        <w:rPr>
          <w:rFonts w:ascii="Times New Roman" w:hAnsi="Times New Roman" w:cs="Times New Roman"/>
          <w:noProof/>
          <w:sz w:val="24"/>
          <w:szCs w:val="24"/>
        </w:rPr>
        <w:t xml:space="preserve">Graham, J. R., Harvey, C. R., &amp; Rajgopal, S. (2005). The Economic Implications of Corporate Financial Reporting. </w:t>
      </w:r>
      <w:r w:rsidRPr="001968A5">
        <w:rPr>
          <w:rFonts w:ascii="Times New Roman" w:hAnsi="Times New Roman" w:cs="Times New Roman"/>
          <w:i/>
          <w:iCs/>
          <w:noProof/>
          <w:sz w:val="24"/>
          <w:szCs w:val="24"/>
        </w:rPr>
        <w:t>Journal of Accounting and Economics</w:t>
      </w:r>
      <w:r w:rsidRPr="001968A5">
        <w:rPr>
          <w:rFonts w:ascii="Times New Roman" w:hAnsi="Times New Roman" w:cs="Times New Roman"/>
          <w:noProof/>
          <w:sz w:val="24"/>
          <w:szCs w:val="24"/>
        </w:rPr>
        <w:t xml:space="preserve">, </w:t>
      </w:r>
      <w:r w:rsidRPr="001968A5">
        <w:rPr>
          <w:rFonts w:ascii="Times New Roman" w:hAnsi="Times New Roman" w:cs="Times New Roman"/>
          <w:i/>
          <w:iCs/>
          <w:noProof/>
          <w:sz w:val="24"/>
          <w:szCs w:val="24"/>
        </w:rPr>
        <w:t>40</w:t>
      </w:r>
      <w:r w:rsidRPr="001968A5">
        <w:rPr>
          <w:rFonts w:ascii="Times New Roman" w:hAnsi="Times New Roman" w:cs="Times New Roman"/>
          <w:noProof/>
          <w:sz w:val="24"/>
          <w:szCs w:val="24"/>
        </w:rPr>
        <w:t>(1–3), 3–73. https://doi.org/10.1016/j.jacceco.2005.01.002</w:t>
      </w:r>
    </w:p>
    <w:p w14:paraId="1B91A258" w14:textId="77777777" w:rsidR="001968A5" w:rsidRPr="001968A5" w:rsidRDefault="001968A5" w:rsidP="001968A5">
      <w:pPr>
        <w:widowControl w:val="0"/>
        <w:autoSpaceDE w:val="0"/>
        <w:autoSpaceDN w:val="0"/>
        <w:bidi w:val="0"/>
        <w:adjustRightInd w:val="0"/>
        <w:spacing w:after="0" w:line="360" w:lineRule="auto"/>
        <w:ind w:left="480" w:hanging="480"/>
        <w:rPr>
          <w:rFonts w:ascii="Times New Roman" w:hAnsi="Times New Roman" w:cs="Times New Roman"/>
          <w:noProof/>
          <w:sz w:val="24"/>
          <w:szCs w:val="24"/>
        </w:rPr>
      </w:pPr>
      <w:r w:rsidRPr="001968A5">
        <w:rPr>
          <w:rFonts w:ascii="Times New Roman" w:hAnsi="Times New Roman" w:cs="Times New Roman"/>
          <w:noProof/>
          <w:sz w:val="24"/>
          <w:szCs w:val="24"/>
        </w:rPr>
        <w:t xml:space="preserve">Hribar, P., Jenkins, N. T., &amp; Johnson, W. B. (2006). Stock Repurchases as an Earnings Management Device. </w:t>
      </w:r>
      <w:r w:rsidRPr="001968A5">
        <w:rPr>
          <w:rFonts w:ascii="Times New Roman" w:hAnsi="Times New Roman" w:cs="Times New Roman"/>
          <w:i/>
          <w:iCs/>
          <w:noProof/>
          <w:sz w:val="24"/>
          <w:szCs w:val="24"/>
        </w:rPr>
        <w:t>Journal of Accounting and Economics</w:t>
      </w:r>
      <w:r w:rsidRPr="001968A5">
        <w:rPr>
          <w:rFonts w:ascii="Times New Roman" w:hAnsi="Times New Roman" w:cs="Times New Roman"/>
          <w:noProof/>
          <w:sz w:val="24"/>
          <w:szCs w:val="24"/>
        </w:rPr>
        <w:t xml:space="preserve">, </w:t>
      </w:r>
      <w:r w:rsidRPr="001968A5">
        <w:rPr>
          <w:rFonts w:ascii="Times New Roman" w:hAnsi="Times New Roman" w:cs="Times New Roman"/>
          <w:i/>
          <w:iCs/>
          <w:noProof/>
          <w:sz w:val="24"/>
          <w:szCs w:val="24"/>
        </w:rPr>
        <w:t>41</w:t>
      </w:r>
      <w:r w:rsidRPr="001968A5">
        <w:rPr>
          <w:rFonts w:ascii="Times New Roman" w:hAnsi="Times New Roman" w:cs="Times New Roman"/>
          <w:noProof/>
          <w:sz w:val="24"/>
          <w:szCs w:val="24"/>
        </w:rPr>
        <w:t>(1–2), 3–27. https://doi.org/10.1016/j.jacceco.2005.10.002</w:t>
      </w:r>
    </w:p>
    <w:p w14:paraId="3D0DC816" w14:textId="77777777" w:rsidR="001968A5" w:rsidRPr="001968A5" w:rsidRDefault="001968A5" w:rsidP="001968A5">
      <w:pPr>
        <w:widowControl w:val="0"/>
        <w:autoSpaceDE w:val="0"/>
        <w:autoSpaceDN w:val="0"/>
        <w:bidi w:val="0"/>
        <w:adjustRightInd w:val="0"/>
        <w:spacing w:after="0" w:line="360" w:lineRule="auto"/>
        <w:ind w:left="480" w:hanging="480"/>
        <w:rPr>
          <w:rFonts w:ascii="Times New Roman" w:hAnsi="Times New Roman" w:cs="Times New Roman"/>
          <w:noProof/>
          <w:sz w:val="24"/>
          <w:szCs w:val="24"/>
        </w:rPr>
      </w:pPr>
      <w:r w:rsidRPr="001968A5">
        <w:rPr>
          <w:rFonts w:ascii="Times New Roman" w:hAnsi="Times New Roman" w:cs="Times New Roman"/>
          <w:noProof/>
          <w:sz w:val="24"/>
          <w:szCs w:val="24"/>
        </w:rPr>
        <w:t xml:space="preserve">Jiraporn, P. (2005). An Empirical Analysis of Corporate Takeover Defences and Earnings Management: Evidence from the US. </w:t>
      </w:r>
      <w:r w:rsidRPr="001968A5">
        <w:rPr>
          <w:rFonts w:ascii="Times New Roman" w:hAnsi="Times New Roman" w:cs="Times New Roman"/>
          <w:i/>
          <w:iCs/>
          <w:noProof/>
          <w:sz w:val="24"/>
          <w:szCs w:val="24"/>
        </w:rPr>
        <w:t>Applied Financial Economics</w:t>
      </w:r>
      <w:r w:rsidRPr="001968A5">
        <w:rPr>
          <w:rFonts w:ascii="Times New Roman" w:hAnsi="Times New Roman" w:cs="Times New Roman"/>
          <w:noProof/>
          <w:sz w:val="24"/>
          <w:szCs w:val="24"/>
        </w:rPr>
        <w:t xml:space="preserve">, </w:t>
      </w:r>
      <w:r w:rsidRPr="001968A5">
        <w:rPr>
          <w:rFonts w:ascii="Times New Roman" w:hAnsi="Times New Roman" w:cs="Times New Roman"/>
          <w:i/>
          <w:iCs/>
          <w:noProof/>
          <w:sz w:val="24"/>
          <w:szCs w:val="24"/>
        </w:rPr>
        <w:t>15</w:t>
      </w:r>
      <w:r w:rsidRPr="001968A5">
        <w:rPr>
          <w:rFonts w:ascii="Times New Roman" w:hAnsi="Times New Roman" w:cs="Times New Roman"/>
          <w:noProof/>
          <w:sz w:val="24"/>
          <w:szCs w:val="24"/>
        </w:rPr>
        <w:t>(5), 293–303. https://doi.org/10.1080/0960310042000323607</w:t>
      </w:r>
    </w:p>
    <w:p w14:paraId="54C1BDB8" w14:textId="77777777" w:rsidR="001968A5" w:rsidRPr="001968A5" w:rsidRDefault="001968A5" w:rsidP="001968A5">
      <w:pPr>
        <w:widowControl w:val="0"/>
        <w:autoSpaceDE w:val="0"/>
        <w:autoSpaceDN w:val="0"/>
        <w:bidi w:val="0"/>
        <w:adjustRightInd w:val="0"/>
        <w:spacing w:after="0" w:line="360" w:lineRule="auto"/>
        <w:ind w:left="480" w:hanging="480"/>
        <w:rPr>
          <w:rFonts w:ascii="Times New Roman" w:hAnsi="Times New Roman" w:cs="Times New Roman"/>
          <w:noProof/>
          <w:sz w:val="24"/>
          <w:szCs w:val="24"/>
        </w:rPr>
      </w:pPr>
      <w:r w:rsidRPr="001968A5">
        <w:rPr>
          <w:rFonts w:ascii="Times New Roman" w:hAnsi="Times New Roman" w:cs="Times New Roman"/>
          <w:noProof/>
          <w:sz w:val="24"/>
          <w:szCs w:val="24"/>
        </w:rPr>
        <w:t xml:space="preserve">Jones, J. J. (1991). Earnings Management During Import Relief Investigations. </w:t>
      </w:r>
      <w:r w:rsidRPr="001968A5">
        <w:rPr>
          <w:rFonts w:ascii="Times New Roman" w:hAnsi="Times New Roman" w:cs="Times New Roman"/>
          <w:i/>
          <w:iCs/>
          <w:noProof/>
          <w:sz w:val="24"/>
          <w:szCs w:val="24"/>
        </w:rPr>
        <w:t>Journal of Accounting Research</w:t>
      </w:r>
      <w:r w:rsidRPr="001968A5">
        <w:rPr>
          <w:rFonts w:ascii="Times New Roman" w:hAnsi="Times New Roman" w:cs="Times New Roman"/>
          <w:noProof/>
          <w:sz w:val="24"/>
          <w:szCs w:val="24"/>
        </w:rPr>
        <w:t xml:space="preserve">, </w:t>
      </w:r>
      <w:r w:rsidRPr="001968A5">
        <w:rPr>
          <w:rFonts w:ascii="Times New Roman" w:hAnsi="Times New Roman" w:cs="Times New Roman"/>
          <w:i/>
          <w:iCs/>
          <w:noProof/>
          <w:sz w:val="24"/>
          <w:szCs w:val="24"/>
        </w:rPr>
        <w:t>29</w:t>
      </w:r>
      <w:r w:rsidRPr="001968A5">
        <w:rPr>
          <w:rFonts w:ascii="Times New Roman" w:hAnsi="Times New Roman" w:cs="Times New Roman"/>
          <w:noProof/>
          <w:sz w:val="24"/>
          <w:szCs w:val="24"/>
        </w:rPr>
        <w:t>(2), 193–228. https://doi.org/10.2307/2491047</w:t>
      </w:r>
    </w:p>
    <w:p w14:paraId="279831DC" w14:textId="77777777" w:rsidR="001968A5" w:rsidRPr="001968A5" w:rsidRDefault="001968A5" w:rsidP="001968A5">
      <w:pPr>
        <w:widowControl w:val="0"/>
        <w:autoSpaceDE w:val="0"/>
        <w:autoSpaceDN w:val="0"/>
        <w:bidi w:val="0"/>
        <w:adjustRightInd w:val="0"/>
        <w:spacing w:after="0" w:line="360" w:lineRule="auto"/>
        <w:ind w:left="480" w:hanging="480"/>
        <w:rPr>
          <w:rFonts w:ascii="Times New Roman" w:hAnsi="Times New Roman" w:cs="Times New Roman"/>
          <w:noProof/>
          <w:sz w:val="24"/>
          <w:szCs w:val="24"/>
        </w:rPr>
      </w:pPr>
      <w:r w:rsidRPr="001968A5">
        <w:rPr>
          <w:rFonts w:ascii="Times New Roman" w:hAnsi="Times New Roman" w:cs="Times New Roman"/>
          <w:noProof/>
          <w:sz w:val="24"/>
          <w:szCs w:val="24"/>
        </w:rPr>
        <w:t xml:space="preserve">Jordan, B. D., Kim, S., &amp; Liu, M. H. (2016). Growth Opportunities, Short-Term Market Pressure, and Dual-Class Share Structure. </w:t>
      </w:r>
      <w:r w:rsidRPr="001968A5">
        <w:rPr>
          <w:rFonts w:ascii="Times New Roman" w:hAnsi="Times New Roman" w:cs="Times New Roman"/>
          <w:i/>
          <w:iCs/>
          <w:noProof/>
          <w:sz w:val="24"/>
          <w:szCs w:val="24"/>
        </w:rPr>
        <w:t>Journal of Corporate Finance</w:t>
      </w:r>
      <w:r w:rsidRPr="001968A5">
        <w:rPr>
          <w:rFonts w:ascii="Times New Roman" w:hAnsi="Times New Roman" w:cs="Times New Roman"/>
          <w:noProof/>
          <w:sz w:val="24"/>
          <w:szCs w:val="24"/>
        </w:rPr>
        <w:t xml:space="preserve">, </w:t>
      </w:r>
      <w:r w:rsidRPr="001968A5">
        <w:rPr>
          <w:rFonts w:ascii="Times New Roman" w:hAnsi="Times New Roman" w:cs="Times New Roman"/>
          <w:i/>
          <w:iCs/>
          <w:noProof/>
          <w:sz w:val="24"/>
          <w:szCs w:val="24"/>
        </w:rPr>
        <w:t>41</w:t>
      </w:r>
      <w:r w:rsidRPr="001968A5">
        <w:rPr>
          <w:rFonts w:ascii="Times New Roman" w:hAnsi="Times New Roman" w:cs="Times New Roman"/>
          <w:noProof/>
          <w:sz w:val="24"/>
          <w:szCs w:val="24"/>
        </w:rPr>
        <w:t>, 304–328. https://doi.org/10.1016/j.jcorpfin.2016.10.003</w:t>
      </w:r>
    </w:p>
    <w:p w14:paraId="14BD7B9F" w14:textId="77777777" w:rsidR="001968A5" w:rsidRPr="001968A5" w:rsidRDefault="001968A5" w:rsidP="001968A5">
      <w:pPr>
        <w:widowControl w:val="0"/>
        <w:autoSpaceDE w:val="0"/>
        <w:autoSpaceDN w:val="0"/>
        <w:bidi w:val="0"/>
        <w:adjustRightInd w:val="0"/>
        <w:spacing w:after="0" w:line="360" w:lineRule="auto"/>
        <w:ind w:left="480" w:hanging="480"/>
        <w:rPr>
          <w:rFonts w:ascii="Times New Roman" w:hAnsi="Times New Roman" w:cs="Times New Roman"/>
          <w:noProof/>
          <w:sz w:val="24"/>
          <w:szCs w:val="24"/>
        </w:rPr>
      </w:pPr>
      <w:r w:rsidRPr="001968A5">
        <w:rPr>
          <w:rFonts w:ascii="Times New Roman" w:hAnsi="Times New Roman" w:cs="Times New Roman"/>
          <w:noProof/>
          <w:sz w:val="24"/>
          <w:szCs w:val="24"/>
        </w:rPr>
        <w:t xml:space="preserve">Lauterbach, B., &amp; Pajuste, A. (2015). The Long-Term Valuation Effects of Voluntary </w:t>
      </w:r>
      <w:r w:rsidRPr="001968A5">
        <w:rPr>
          <w:rFonts w:ascii="Times New Roman" w:hAnsi="Times New Roman" w:cs="Times New Roman"/>
          <w:noProof/>
          <w:sz w:val="24"/>
          <w:szCs w:val="24"/>
        </w:rPr>
        <w:lastRenderedPageBreak/>
        <w:t xml:space="preserve">Dual Class Share Unifications. </w:t>
      </w:r>
      <w:r w:rsidRPr="001968A5">
        <w:rPr>
          <w:rFonts w:ascii="Times New Roman" w:hAnsi="Times New Roman" w:cs="Times New Roman"/>
          <w:i/>
          <w:iCs/>
          <w:noProof/>
          <w:sz w:val="24"/>
          <w:szCs w:val="24"/>
        </w:rPr>
        <w:t>Journal of Corporate Finance</w:t>
      </w:r>
      <w:r w:rsidRPr="001968A5">
        <w:rPr>
          <w:rFonts w:ascii="Times New Roman" w:hAnsi="Times New Roman" w:cs="Times New Roman"/>
          <w:noProof/>
          <w:sz w:val="24"/>
          <w:szCs w:val="24"/>
        </w:rPr>
        <w:t xml:space="preserve">, </w:t>
      </w:r>
      <w:r w:rsidRPr="001968A5">
        <w:rPr>
          <w:rFonts w:ascii="Times New Roman" w:hAnsi="Times New Roman" w:cs="Times New Roman"/>
          <w:i/>
          <w:iCs/>
          <w:noProof/>
          <w:sz w:val="24"/>
          <w:szCs w:val="24"/>
        </w:rPr>
        <w:t>31</w:t>
      </w:r>
      <w:r w:rsidRPr="001968A5">
        <w:rPr>
          <w:rFonts w:ascii="Times New Roman" w:hAnsi="Times New Roman" w:cs="Times New Roman"/>
          <w:noProof/>
          <w:sz w:val="24"/>
          <w:szCs w:val="24"/>
        </w:rPr>
        <w:t>, 171–185.</w:t>
      </w:r>
    </w:p>
    <w:p w14:paraId="443C4D2A" w14:textId="77777777" w:rsidR="001968A5" w:rsidRPr="001968A5" w:rsidRDefault="001968A5" w:rsidP="001968A5">
      <w:pPr>
        <w:widowControl w:val="0"/>
        <w:autoSpaceDE w:val="0"/>
        <w:autoSpaceDN w:val="0"/>
        <w:bidi w:val="0"/>
        <w:adjustRightInd w:val="0"/>
        <w:spacing w:after="0" w:line="360" w:lineRule="auto"/>
        <w:ind w:left="480" w:hanging="480"/>
        <w:rPr>
          <w:rFonts w:ascii="Times New Roman" w:hAnsi="Times New Roman" w:cs="Times New Roman"/>
          <w:noProof/>
          <w:sz w:val="24"/>
          <w:szCs w:val="24"/>
        </w:rPr>
      </w:pPr>
      <w:r w:rsidRPr="001968A5">
        <w:rPr>
          <w:rFonts w:ascii="Times New Roman" w:hAnsi="Times New Roman" w:cs="Times New Roman"/>
          <w:noProof/>
          <w:sz w:val="24"/>
          <w:szCs w:val="24"/>
        </w:rPr>
        <w:t xml:space="preserve">Li, T., &amp; Zaiats, N. (2017). Information Environment and Earnings Management of Dual Class Firms Around the World. </w:t>
      </w:r>
      <w:r w:rsidRPr="001968A5">
        <w:rPr>
          <w:rFonts w:ascii="Times New Roman" w:hAnsi="Times New Roman" w:cs="Times New Roman"/>
          <w:i/>
          <w:iCs/>
          <w:noProof/>
          <w:sz w:val="24"/>
          <w:szCs w:val="24"/>
        </w:rPr>
        <w:t>Journal of Banking and Finance</w:t>
      </w:r>
      <w:r w:rsidRPr="001968A5">
        <w:rPr>
          <w:rFonts w:ascii="Times New Roman" w:hAnsi="Times New Roman" w:cs="Times New Roman"/>
          <w:noProof/>
          <w:sz w:val="24"/>
          <w:szCs w:val="24"/>
        </w:rPr>
        <w:t xml:space="preserve">, </w:t>
      </w:r>
      <w:r w:rsidRPr="001968A5">
        <w:rPr>
          <w:rFonts w:ascii="Times New Roman" w:hAnsi="Times New Roman" w:cs="Times New Roman"/>
          <w:i/>
          <w:iCs/>
          <w:noProof/>
          <w:sz w:val="24"/>
          <w:szCs w:val="24"/>
        </w:rPr>
        <w:t>74</w:t>
      </w:r>
      <w:r w:rsidRPr="001968A5">
        <w:rPr>
          <w:rFonts w:ascii="Times New Roman" w:hAnsi="Times New Roman" w:cs="Times New Roman"/>
          <w:noProof/>
          <w:sz w:val="24"/>
          <w:szCs w:val="24"/>
        </w:rPr>
        <w:t>, 1–23. https://doi.org/10.1016/j.jbankfin.2016.09.009</w:t>
      </w:r>
    </w:p>
    <w:p w14:paraId="58692C42" w14:textId="77777777" w:rsidR="001968A5" w:rsidRPr="001968A5" w:rsidRDefault="001968A5" w:rsidP="001968A5">
      <w:pPr>
        <w:widowControl w:val="0"/>
        <w:autoSpaceDE w:val="0"/>
        <w:autoSpaceDN w:val="0"/>
        <w:bidi w:val="0"/>
        <w:adjustRightInd w:val="0"/>
        <w:spacing w:after="0" w:line="360" w:lineRule="auto"/>
        <w:ind w:left="480" w:hanging="480"/>
        <w:rPr>
          <w:rFonts w:ascii="Times New Roman" w:hAnsi="Times New Roman" w:cs="Times New Roman"/>
          <w:noProof/>
          <w:sz w:val="24"/>
          <w:szCs w:val="24"/>
        </w:rPr>
      </w:pPr>
      <w:r w:rsidRPr="001968A5">
        <w:rPr>
          <w:rFonts w:ascii="Times New Roman" w:hAnsi="Times New Roman" w:cs="Times New Roman"/>
          <w:noProof/>
          <w:sz w:val="24"/>
          <w:szCs w:val="24"/>
        </w:rPr>
        <w:t xml:space="preserve">Lipe, R. C. (1986). The Information Contained in the Components of Earnings. </w:t>
      </w:r>
      <w:r w:rsidRPr="001968A5">
        <w:rPr>
          <w:rFonts w:ascii="Times New Roman" w:hAnsi="Times New Roman" w:cs="Times New Roman"/>
          <w:i/>
          <w:iCs/>
          <w:noProof/>
          <w:sz w:val="24"/>
          <w:szCs w:val="24"/>
        </w:rPr>
        <w:t>Journal of Accounting Research</w:t>
      </w:r>
      <w:r w:rsidRPr="001968A5">
        <w:rPr>
          <w:rFonts w:ascii="Times New Roman" w:hAnsi="Times New Roman" w:cs="Times New Roman"/>
          <w:noProof/>
          <w:sz w:val="24"/>
          <w:szCs w:val="24"/>
        </w:rPr>
        <w:t xml:space="preserve">, </w:t>
      </w:r>
      <w:r w:rsidRPr="001968A5">
        <w:rPr>
          <w:rFonts w:ascii="Times New Roman" w:hAnsi="Times New Roman" w:cs="Times New Roman"/>
          <w:i/>
          <w:iCs/>
          <w:noProof/>
          <w:sz w:val="24"/>
          <w:szCs w:val="24"/>
        </w:rPr>
        <w:t>24</w:t>
      </w:r>
      <w:r w:rsidRPr="001968A5">
        <w:rPr>
          <w:rFonts w:ascii="Times New Roman" w:hAnsi="Times New Roman" w:cs="Times New Roman"/>
          <w:noProof/>
          <w:sz w:val="24"/>
          <w:szCs w:val="24"/>
        </w:rPr>
        <w:t>(Supplement), 37–64. https://doi.org/10.2307/2490728</w:t>
      </w:r>
    </w:p>
    <w:p w14:paraId="55D3BE4F" w14:textId="77777777" w:rsidR="001968A5" w:rsidRPr="001968A5" w:rsidRDefault="001968A5" w:rsidP="001968A5">
      <w:pPr>
        <w:widowControl w:val="0"/>
        <w:autoSpaceDE w:val="0"/>
        <w:autoSpaceDN w:val="0"/>
        <w:bidi w:val="0"/>
        <w:adjustRightInd w:val="0"/>
        <w:spacing w:after="0" w:line="360" w:lineRule="auto"/>
        <w:ind w:left="480" w:hanging="480"/>
        <w:rPr>
          <w:rFonts w:ascii="Times New Roman" w:hAnsi="Times New Roman" w:cs="Times New Roman"/>
          <w:noProof/>
          <w:sz w:val="24"/>
          <w:szCs w:val="24"/>
        </w:rPr>
      </w:pPr>
      <w:r w:rsidRPr="001968A5">
        <w:rPr>
          <w:rFonts w:ascii="Times New Roman" w:hAnsi="Times New Roman" w:cs="Times New Roman"/>
          <w:noProof/>
          <w:sz w:val="24"/>
          <w:szCs w:val="24"/>
        </w:rPr>
        <w:t xml:space="preserve">Lobanova, O., Barua, A., Mishra, S., &amp; Prakash, A. J. (2019). Earnings Informativeness in Dual-Class Firms: An Empirical Investigation of the Earnings Quality and the Information Environment. </w:t>
      </w:r>
      <w:r w:rsidRPr="001968A5">
        <w:rPr>
          <w:rFonts w:ascii="Times New Roman" w:hAnsi="Times New Roman" w:cs="Times New Roman"/>
          <w:i/>
          <w:iCs/>
          <w:noProof/>
          <w:sz w:val="24"/>
          <w:szCs w:val="24"/>
        </w:rPr>
        <w:t>Review of Accounting and Finance</w:t>
      </w:r>
      <w:r w:rsidRPr="001968A5">
        <w:rPr>
          <w:rFonts w:ascii="Times New Roman" w:hAnsi="Times New Roman" w:cs="Times New Roman"/>
          <w:noProof/>
          <w:sz w:val="24"/>
          <w:szCs w:val="24"/>
        </w:rPr>
        <w:t xml:space="preserve">, </w:t>
      </w:r>
      <w:r w:rsidRPr="001968A5">
        <w:rPr>
          <w:rFonts w:ascii="Times New Roman" w:hAnsi="Times New Roman" w:cs="Times New Roman"/>
          <w:i/>
          <w:iCs/>
          <w:noProof/>
          <w:sz w:val="24"/>
          <w:szCs w:val="24"/>
        </w:rPr>
        <w:t>18</w:t>
      </w:r>
      <w:r w:rsidRPr="001968A5">
        <w:rPr>
          <w:rFonts w:ascii="Times New Roman" w:hAnsi="Times New Roman" w:cs="Times New Roman"/>
          <w:noProof/>
          <w:sz w:val="24"/>
          <w:szCs w:val="24"/>
        </w:rPr>
        <w:t>(3), 399–431. https://doi.org/10.1108/RAF-09-2017-0178</w:t>
      </w:r>
    </w:p>
    <w:p w14:paraId="3738D0D7" w14:textId="77777777" w:rsidR="001968A5" w:rsidRPr="001968A5" w:rsidRDefault="001968A5" w:rsidP="001968A5">
      <w:pPr>
        <w:widowControl w:val="0"/>
        <w:autoSpaceDE w:val="0"/>
        <w:autoSpaceDN w:val="0"/>
        <w:bidi w:val="0"/>
        <w:adjustRightInd w:val="0"/>
        <w:spacing w:after="0" w:line="360" w:lineRule="auto"/>
        <w:ind w:left="480" w:hanging="480"/>
        <w:rPr>
          <w:rFonts w:ascii="Times New Roman" w:hAnsi="Times New Roman" w:cs="Times New Roman"/>
          <w:noProof/>
          <w:sz w:val="24"/>
          <w:szCs w:val="24"/>
        </w:rPr>
      </w:pPr>
      <w:r w:rsidRPr="001968A5">
        <w:rPr>
          <w:rFonts w:ascii="Times New Roman" w:hAnsi="Times New Roman" w:cs="Times New Roman"/>
          <w:noProof/>
          <w:sz w:val="24"/>
          <w:szCs w:val="24"/>
        </w:rPr>
        <w:t xml:space="preserve">Mailath, G. J., &amp; Samuelson, L. (2006). </w:t>
      </w:r>
      <w:r w:rsidRPr="001968A5">
        <w:rPr>
          <w:rFonts w:ascii="Times New Roman" w:hAnsi="Times New Roman" w:cs="Times New Roman"/>
          <w:i/>
          <w:iCs/>
          <w:noProof/>
          <w:sz w:val="24"/>
          <w:szCs w:val="24"/>
        </w:rPr>
        <w:t>Repeated Games and Reputations: Long-Run Relationships</w:t>
      </w:r>
      <w:r w:rsidRPr="001968A5">
        <w:rPr>
          <w:rFonts w:ascii="Times New Roman" w:hAnsi="Times New Roman" w:cs="Times New Roman"/>
          <w:noProof/>
          <w:sz w:val="24"/>
          <w:szCs w:val="24"/>
        </w:rPr>
        <w:t>. Oxford University Press.</w:t>
      </w:r>
    </w:p>
    <w:p w14:paraId="19B0906A" w14:textId="77777777" w:rsidR="001968A5" w:rsidRPr="001968A5" w:rsidRDefault="001968A5" w:rsidP="001968A5">
      <w:pPr>
        <w:widowControl w:val="0"/>
        <w:autoSpaceDE w:val="0"/>
        <w:autoSpaceDN w:val="0"/>
        <w:bidi w:val="0"/>
        <w:adjustRightInd w:val="0"/>
        <w:spacing w:after="0" w:line="360" w:lineRule="auto"/>
        <w:ind w:left="480" w:hanging="480"/>
        <w:rPr>
          <w:rFonts w:ascii="Times New Roman" w:hAnsi="Times New Roman" w:cs="Times New Roman"/>
          <w:noProof/>
          <w:sz w:val="24"/>
          <w:szCs w:val="24"/>
        </w:rPr>
      </w:pPr>
      <w:r w:rsidRPr="001968A5">
        <w:rPr>
          <w:rFonts w:ascii="Times New Roman" w:hAnsi="Times New Roman" w:cs="Times New Roman"/>
          <w:noProof/>
          <w:sz w:val="24"/>
          <w:szCs w:val="24"/>
        </w:rPr>
        <w:t xml:space="preserve">Masulis, R. W., Wang, C., &amp; Xie, F. (2009). Agency Problems at Dual-Class Companies. </w:t>
      </w:r>
      <w:r w:rsidRPr="001968A5">
        <w:rPr>
          <w:rFonts w:ascii="Times New Roman" w:hAnsi="Times New Roman" w:cs="Times New Roman"/>
          <w:i/>
          <w:iCs/>
          <w:noProof/>
          <w:sz w:val="24"/>
          <w:szCs w:val="24"/>
        </w:rPr>
        <w:t>The Journal of Finance</w:t>
      </w:r>
      <w:r w:rsidRPr="001968A5">
        <w:rPr>
          <w:rFonts w:ascii="Times New Roman" w:hAnsi="Times New Roman" w:cs="Times New Roman"/>
          <w:noProof/>
          <w:sz w:val="24"/>
          <w:szCs w:val="24"/>
        </w:rPr>
        <w:t xml:space="preserve">, </w:t>
      </w:r>
      <w:r w:rsidRPr="001968A5">
        <w:rPr>
          <w:rFonts w:ascii="Times New Roman" w:hAnsi="Times New Roman" w:cs="Times New Roman"/>
          <w:i/>
          <w:iCs/>
          <w:noProof/>
          <w:sz w:val="24"/>
          <w:szCs w:val="24"/>
        </w:rPr>
        <w:t>64</w:t>
      </w:r>
      <w:r w:rsidRPr="001968A5">
        <w:rPr>
          <w:rFonts w:ascii="Times New Roman" w:hAnsi="Times New Roman" w:cs="Times New Roman"/>
          <w:noProof/>
          <w:sz w:val="24"/>
          <w:szCs w:val="24"/>
        </w:rPr>
        <w:t>(4), 1697–1727.</w:t>
      </w:r>
    </w:p>
    <w:p w14:paraId="25A0F0DA" w14:textId="77777777" w:rsidR="001968A5" w:rsidRPr="001968A5" w:rsidRDefault="001968A5" w:rsidP="001968A5">
      <w:pPr>
        <w:widowControl w:val="0"/>
        <w:autoSpaceDE w:val="0"/>
        <w:autoSpaceDN w:val="0"/>
        <w:bidi w:val="0"/>
        <w:adjustRightInd w:val="0"/>
        <w:spacing w:after="0" w:line="360" w:lineRule="auto"/>
        <w:ind w:left="480" w:hanging="480"/>
        <w:rPr>
          <w:rFonts w:ascii="Times New Roman" w:hAnsi="Times New Roman" w:cs="Times New Roman"/>
          <w:noProof/>
          <w:sz w:val="24"/>
          <w:szCs w:val="24"/>
        </w:rPr>
      </w:pPr>
      <w:r w:rsidRPr="001968A5">
        <w:rPr>
          <w:rFonts w:ascii="Times New Roman" w:hAnsi="Times New Roman" w:cs="Times New Roman"/>
          <w:noProof/>
          <w:sz w:val="24"/>
          <w:szCs w:val="24"/>
        </w:rPr>
        <w:t xml:space="preserve">Nam, S., Brochet, F., &amp; Ronen, J. (2012). The Predictive Value of Accruals and Consequences for Market Anomalies. </w:t>
      </w:r>
      <w:r w:rsidRPr="001968A5">
        <w:rPr>
          <w:rFonts w:ascii="Times New Roman" w:hAnsi="Times New Roman" w:cs="Times New Roman"/>
          <w:i/>
          <w:iCs/>
          <w:noProof/>
          <w:sz w:val="24"/>
          <w:szCs w:val="24"/>
        </w:rPr>
        <w:t>Journal of Accounting, Auditing &amp; Finance</w:t>
      </w:r>
      <w:r w:rsidRPr="001968A5">
        <w:rPr>
          <w:rFonts w:ascii="Times New Roman" w:hAnsi="Times New Roman" w:cs="Times New Roman"/>
          <w:noProof/>
          <w:sz w:val="24"/>
          <w:szCs w:val="24"/>
        </w:rPr>
        <w:t xml:space="preserve">, </w:t>
      </w:r>
      <w:r w:rsidRPr="001968A5">
        <w:rPr>
          <w:rFonts w:ascii="Times New Roman" w:hAnsi="Times New Roman" w:cs="Times New Roman"/>
          <w:i/>
          <w:iCs/>
          <w:noProof/>
          <w:sz w:val="24"/>
          <w:szCs w:val="24"/>
        </w:rPr>
        <w:t>27</w:t>
      </w:r>
      <w:r w:rsidRPr="001968A5">
        <w:rPr>
          <w:rFonts w:ascii="Times New Roman" w:hAnsi="Times New Roman" w:cs="Times New Roman"/>
          <w:noProof/>
          <w:sz w:val="24"/>
          <w:szCs w:val="24"/>
        </w:rPr>
        <w:t>(2), 151–176. https://doi.org/0. l 177/0148558XI 1409149</w:t>
      </w:r>
    </w:p>
    <w:p w14:paraId="2A449378" w14:textId="77777777" w:rsidR="001968A5" w:rsidRPr="001968A5" w:rsidRDefault="001968A5" w:rsidP="001968A5">
      <w:pPr>
        <w:widowControl w:val="0"/>
        <w:autoSpaceDE w:val="0"/>
        <w:autoSpaceDN w:val="0"/>
        <w:bidi w:val="0"/>
        <w:adjustRightInd w:val="0"/>
        <w:spacing w:after="0" w:line="360" w:lineRule="auto"/>
        <w:ind w:left="480" w:hanging="480"/>
        <w:rPr>
          <w:rFonts w:ascii="Times New Roman" w:hAnsi="Times New Roman" w:cs="Times New Roman"/>
          <w:noProof/>
          <w:sz w:val="24"/>
          <w:szCs w:val="24"/>
        </w:rPr>
      </w:pPr>
      <w:r w:rsidRPr="001968A5">
        <w:rPr>
          <w:rFonts w:ascii="Times New Roman" w:hAnsi="Times New Roman" w:cs="Times New Roman"/>
          <w:noProof/>
          <w:sz w:val="24"/>
          <w:szCs w:val="24"/>
        </w:rPr>
        <w:t xml:space="preserve">Nguyen, V. T., &amp; Xu, L. (2010). The Impact of Dual Class Structure on Earnings Management Activities. </w:t>
      </w:r>
      <w:r w:rsidRPr="001968A5">
        <w:rPr>
          <w:rFonts w:ascii="Times New Roman" w:hAnsi="Times New Roman" w:cs="Times New Roman"/>
          <w:i/>
          <w:iCs/>
          <w:noProof/>
          <w:sz w:val="24"/>
          <w:szCs w:val="24"/>
        </w:rPr>
        <w:t>Journal of Business Finance and Accounting</w:t>
      </w:r>
      <w:r w:rsidRPr="001968A5">
        <w:rPr>
          <w:rFonts w:ascii="Times New Roman" w:hAnsi="Times New Roman" w:cs="Times New Roman"/>
          <w:noProof/>
          <w:sz w:val="24"/>
          <w:szCs w:val="24"/>
        </w:rPr>
        <w:t xml:space="preserve">, </w:t>
      </w:r>
      <w:r w:rsidRPr="001968A5">
        <w:rPr>
          <w:rFonts w:ascii="Times New Roman" w:hAnsi="Times New Roman" w:cs="Times New Roman"/>
          <w:i/>
          <w:iCs/>
          <w:noProof/>
          <w:sz w:val="24"/>
          <w:szCs w:val="24"/>
        </w:rPr>
        <w:t>37</w:t>
      </w:r>
      <w:r w:rsidRPr="001968A5">
        <w:rPr>
          <w:rFonts w:ascii="Times New Roman" w:hAnsi="Times New Roman" w:cs="Times New Roman"/>
          <w:noProof/>
          <w:sz w:val="24"/>
          <w:szCs w:val="24"/>
        </w:rPr>
        <w:t>(3–4), 456–485. https://doi.org/10.1111/j.1468-5957.2010.02203.x</w:t>
      </w:r>
    </w:p>
    <w:p w14:paraId="23DA25E2" w14:textId="77777777" w:rsidR="001968A5" w:rsidRPr="001968A5" w:rsidRDefault="001968A5" w:rsidP="001968A5">
      <w:pPr>
        <w:widowControl w:val="0"/>
        <w:autoSpaceDE w:val="0"/>
        <w:autoSpaceDN w:val="0"/>
        <w:bidi w:val="0"/>
        <w:adjustRightInd w:val="0"/>
        <w:spacing w:after="0" w:line="360" w:lineRule="auto"/>
        <w:ind w:left="480" w:hanging="480"/>
        <w:rPr>
          <w:rFonts w:ascii="Times New Roman" w:hAnsi="Times New Roman" w:cs="Times New Roman"/>
          <w:noProof/>
          <w:sz w:val="24"/>
          <w:szCs w:val="24"/>
        </w:rPr>
      </w:pPr>
      <w:r w:rsidRPr="001968A5">
        <w:rPr>
          <w:rFonts w:ascii="Times New Roman" w:hAnsi="Times New Roman" w:cs="Times New Roman"/>
          <w:noProof/>
          <w:sz w:val="24"/>
          <w:szCs w:val="24"/>
        </w:rPr>
        <w:t xml:space="preserve">Palas, R., &amp; Solomon, D. (2022). The Quality of Earnings Information in Dual-Class Firms : Persistence and Predictability. </w:t>
      </w:r>
      <w:r w:rsidRPr="001968A5">
        <w:rPr>
          <w:rFonts w:ascii="Times New Roman" w:hAnsi="Times New Roman" w:cs="Times New Roman"/>
          <w:i/>
          <w:iCs/>
          <w:noProof/>
          <w:sz w:val="24"/>
          <w:szCs w:val="24"/>
        </w:rPr>
        <w:t>Journal of Law, Finance, and Accounting</w:t>
      </w:r>
      <w:r w:rsidRPr="001968A5">
        <w:rPr>
          <w:rFonts w:ascii="Times New Roman" w:hAnsi="Times New Roman" w:cs="Times New Roman"/>
          <w:noProof/>
          <w:sz w:val="24"/>
          <w:szCs w:val="24"/>
        </w:rPr>
        <w:t xml:space="preserve">, </w:t>
      </w:r>
      <w:r w:rsidRPr="001968A5">
        <w:rPr>
          <w:rFonts w:ascii="Times New Roman" w:hAnsi="Times New Roman" w:cs="Times New Roman"/>
          <w:i/>
          <w:iCs/>
          <w:noProof/>
          <w:sz w:val="24"/>
          <w:szCs w:val="24"/>
        </w:rPr>
        <w:t>7</w:t>
      </w:r>
      <w:r w:rsidRPr="001968A5">
        <w:rPr>
          <w:rFonts w:ascii="Times New Roman" w:hAnsi="Times New Roman" w:cs="Times New Roman"/>
          <w:noProof/>
          <w:sz w:val="24"/>
          <w:szCs w:val="24"/>
        </w:rPr>
        <w:t>(1), 127–164. https://doi.org/10.1561/108.00000059</w:t>
      </w:r>
    </w:p>
    <w:p w14:paraId="02EC06ED" w14:textId="77777777" w:rsidR="001968A5" w:rsidRPr="001968A5" w:rsidRDefault="001968A5" w:rsidP="001968A5">
      <w:pPr>
        <w:widowControl w:val="0"/>
        <w:autoSpaceDE w:val="0"/>
        <w:autoSpaceDN w:val="0"/>
        <w:bidi w:val="0"/>
        <w:adjustRightInd w:val="0"/>
        <w:spacing w:after="0" w:line="360" w:lineRule="auto"/>
        <w:ind w:left="480" w:hanging="480"/>
        <w:rPr>
          <w:rFonts w:ascii="Times New Roman" w:hAnsi="Times New Roman" w:cs="Times New Roman"/>
          <w:noProof/>
          <w:sz w:val="24"/>
          <w:szCs w:val="24"/>
        </w:rPr>
      </w:pPr>
      <w:r w:rsidRPr="001968A5">
        <w:rPr>
          <w:rFonts w:ascii="Times New Roman" w:hAnsi="Times New Roman" w:cs="Times New Roman"/>
          <w:noProof/>
          <w:sz w:val="24"/>
          <w:szCs w:val="24"/>
        </w:rPr>
        <w:t xml:space="preserve">Reddy, B. (2021). </w:t>
      </w:r>
      <w:r w:rsidRPr="001968A5">
        <w:rPr>
          <w:rFonts w:ascii="Times New Roman" w:hAnsi="Times New Roman" w:cs="Times New Roman"/>
          <w:i/>
          <w:iCs/>
          <w:noProof/>
          <w:sz w:val="24"/>
          <w:szCs w:val="24"/>
        </w:rPr>
        <w:t>Founders without Limits: Dual-Class Stock and the Premium Tier of the London Stock Exchange</w:t>
      </w:r>
      <w:r w:rsidRPr="001968A5">
        <w:rPr>
          <w:rFonts w:ascii="Times New Roman" w:hAnsi="Times New Roman" w:cs="Times New Roman"/>
          <w:noProof/>
          <w:sz w:val="24"/>
          <w:szCs w:val="24"/>
        </w:rPr>
        <w:t>. Cambridge University Press.</w:t>
      </w:r>
    </w:p>
    <w:p w14:paraId="33D271F0" w14:textId="77777777" w:rsidR="001968A5" w:rsidRPr="001968A5" w:rsidRDefault="001968A5" w:rsidP="001968A5">
      <w:pPr>
        <w:widowControl w:val="0"/>
        <w:autoSpaceDE w:val="0"/>
        <w:autoSpaceDN w:val="0"/>
        <w:bidi w:val="0"/>
        <w:adjustRightInd w:val="0"/>
        <w:spacing w:after="0" w:line="360" w:lineRule="auto"/>
        <w:ind w:left="480" w:hanging="480"/>
        <w:rPr>
          <w:rFonts w:ascii="Times New Roman" w:hAnsi="Times New Roman" w:cs="Times New Roman"/>
          <w:noProof/>
          <w:sz w:val="24"/>
          <w:szCs w:val="24"/>
        </w:rPr>
      </w:pPr>
      <w:r w:rsidRPr="001968A5">
        <w:rPr>
          <w:rFonts w:ascii="Times New Roman" w:hAnsi="Times New Roman" w:cs="Times New Roman"/>
          <w:noProof/>
          <w:sz w:val="24"/>
          <w:szCs w:val="24"/>
        </w:rPr>
        <w:t xml:space="preserve">Schipper, K., &amp; Vincent, L. (2003). Earnings Quality. </w:t>
      </w:r>
      <w:r w:rsidRPr="001968A5">
        <w:rPr>
          <w:rFonts w:ascii="Times New Roman" w:hAnsi="Times New Roman" w:cs="Times New Roman"/>
          <w:i/>
          <w:iCs/>
          <w:noProof/>
          <w:sz w:val="24"/>
          <w:szCs w:val="24"/>
        </w:rPr>
        <w:t>Accounting Horizons</w:t>
      </w:r>
      <w:r w:rsidRPr="001968A5">
        <w:rPr>
          <w:rFonts w:ascii="Times New Roman" w:hAnsi="Times New Roman" w:cs="Times New Roman"/>
          <w:noProof/>
          <w:sz w:val="24"/>
          <w:szCs w:val="24"/>
        </w:rPr>
        <w:t xml:space="preserve">, </w:t>
      </w:r>
      <w:r w:rsidRPr="001968A5">
        <w:rPr>
          <w:rFonts w:ascii="Times New Roman" w:hAnsi="Times New Roman" w:cs="Times New Roman"/>
          <w:i/>
          <w:iCs/>
          <w:noProof/>
          <w:sz w:val="24"/>
          <w:szCs w:val="24"/>
        </w:rPr>
        <w:t>Supplement</w:t>
      </w:r>
      <w:r w:rsidRPr="001968A5">
        <w:rPr>
          <w:rFonts w:ascii="Times New Roman" w:hAnsi="Times New Roman" w:cs="Times New Roman"/>
          <w:noProof/>
          <w:sz w:val="24"/>
          <w:szCs w:val="24"/>
        </w:rPr>
        <w:t>, 97–110.</w:t>
      </w:r>
    </w:p>
    <w:p w14:paraId="712BDD63" w14:textId="77777777" w:rsidR="005C7916" w:rsidRDefault="005C7916" w:rsidP="001968A5">
      <w:pPr>
        <w:widowControl w:val="0"/>
        <w:autoSpaceDE w:val="0"/>
        <w:autoSpaceDN w:val="0"/>
        <w:bidi w:val="0"/>
        <w:adjustRightInd w:val="0"/>
        <w:spacing w:after="0" w:line="360" w:lineRule="auto"/>
        <w:ind w:left="480" w:hanging="480"/>
        <w:rPr>
          <w:rFonts w:ascii="Times New Roman" w:hAnsi="Times New Roman" w:cs="Times New Roman"/>
          <w:noProof/>
          <w:sz w:val="24"/>
          <w:szCs w:val="24"/>
        </w:rPr>
      </w:pPr>
      <w:r w:rsidRPr="009726C8">
        <w:rPr>
          <w:rFonts w:ascii="Times New Roman" w:hAnsi="Times New Roman" w:cs="Times New Roman"/>
          <w:noProof/>
          <w:sz w:val="24"/>
          <w:szCs w:val="24"/>
        </w:rPr>
        <w:t xml:space="preserve">Solomon, D. (2017). The Voice : the Minority Shareholder’s Perspective. </w:t>
      </w:r>
      <w:r w:rsidRPr="009726C8">
        <w:rPr>
          <w:rFonts w:ascii="Times New Roman" w:hAnsi="Times New Roman" w:cs="Times New Roman"/>
          <w:i/>
          <w:iCs/>
          <w:noProof/>
          <w:sz w:val="24"/>
          <w:szCs w:val="24"/>
        </w:rPr>
        <w:t>Nevada Law Journal</w:t>
      </w:r>
      <w:r w:rsidRPr="009726C8">
        <w:rPr>
          <w:rFonts w:ascii="Times New Roman" w:hAnsi="Times New Roman" w:cs="Times New Roman"/>
          <w:noProof/>
          <w:sz w:val="24"/>
          <w:szCs w:val="24"/>
        </w:rPr>
        <w:t xml:space="preserve">, </w:t>
      </w:r>
      <w:r w:rsidRPr="009726C8">
        <w:rPr>
          <w:rFonts w:ascii="Times New Roman" w:hAnsi="Times New Roman" w:cs="Times New Roman"/>
          <w:i/>
          <w:iCs/>
          <w:noProof/>
          <w:sz w:val="24"/>
          <w:szCs w:val="24"/>
        </w:rPr>
        <w:t>17</w:t>
      </w:r>
      <w:r w:rsidRPr="009726C8">
        <w:rPr>
          <w:rFonts w:ascii="Times New Roman" w:hAnsi="Times New Roman" w:cs="Times New Roman"/>
          <w:noProof/>
          <w:sz w:val="24"/>
          <w:szCs w:val="24"/>
        </w:rPr>
        <w:t>, 739–772.</w:t>
      </w:r>
    </w:p>
    <w:p w14:paraId="2B69D4BD" w14:textId="633E8973" w:rsidR="001968A5" w:rsidRPr="001968A5" w:rsidRDefault="001968A5" w:rsidP="005C7916">
      <w:pPr>
        <w:widowControl w:val="0"/>
        <w:autoSpaceDE w:val="0"/>
        <w:autoSpaceDN w:val="0"/>
        <w:bidi w:val="0"/>
        <w:adjustRightInd w:val="0"/>
        <w:spacing w:after="0" w:line="360" w:lineRule="auto"/>
        <w:ind w:left="480" w:hanging="480"/>
        <w:rPr>
          <w:rFonts w:ascii="Times New Roman" w:hAnsi="Times New Roman" w:cs="Times New Roman"/>
          <w:noProof/>
          <w:sz w:val="24"/>
          <w:szCs w:val="24"/>
        </w:rPr>
      </w:pPr>
      <w:r w:rsidRPr="001968A5">
        <w:rPr>
          <w:rFonts w:ascii="Times New Roman" w:hAnsi="Times New Roman" w:cs="Times New Roman"/>
          <w:noProof/>
          <w:sz w:val="24"/>
          <w:szCs w:val="24"/>
        </w:rPr>
        <w:t xml:space="preserve">Solomon, D. (2020). The Importance of Inferior Voting Rights in Dual-Class Firms. </w:t>
      </w:r>
      <w:r w:rsidRPr="001968A5">
        <w:rPr>
          <w:rFonts w:ascii="Times New Roman" w:hAnsi="Times New Roman" w:cs="Times New Roman"/>
          <w:i/>
          <w:iCs/>
          <w:noProof/>
          <w:sz w:val="24"/>
          <w:szCs w:val="24"/>
        </w:rPr>
        <w:t>BYU Law Review</w:t>
      </w:r>
      <w:r w:rsidRPr="001968A5">
        <w:rPr>
          <w:rFonts w:ascii="Times New Roman" w:hAnsi="Times New Roman" w:cs="Times New Roman"/>
          <w:noProof/>
          <w:sz w:val="24"/>
          <w:szCs w:val="24"/>
        </w:rPr>
        <w:t xml:space="preserve">, </w:t>
      </w:r>
      <w:r w:rsidRPr="001968A5">
        <w:rPr>
          <w:rFonts w:ascii="Times New Roman" w:hAnsi="Times New Roman" w:cs="Times New Roman"/>
          <w:i/>
          <w:iCs/>
          <w:noProof/>
          <w:sz w:val="24"/>
          <w:szCs w:val="24"/>
        </w:rPr>
        <w:t>2019</w:t>
      </w:r>
      <w:r w:rsidRPr="001968A5">
        <w:rPr>
          <w:rFonts w:ascii="Times New Roman" w:hAnsi="Times New Roman" w:cs="Times New Roman"/>
          <w:noProof/>
          <w:sz w:val="24"/>
          <w:szCs w:val="24"/>
        </w:rPr>
        <w:t>(2), 533–572.</w:t>
      </w:r>
    </w:p>
    <w:p w14:paraId="16132B42" w14:textId="77777777" w:rsidR="001968A5" w:rsidRPr="001968A5" w:rsidRDefault="001968A5" w:rsidP="001968A5">
      <w:pPr>
        <w:widowControl w:val="0"/>
        <w:autoSpaceDE w:val="0"/>
        <w:autoSpaceDN w:val="0"/>
        <w:bidi w:val="0"/>
        <w:adjustRightInd w:val="0"/>
        <w:spacing w:after="0" w:line="360" w:lineRule="auto"/>
        <w:ind w:left="480" w:hanging="480"/>
        <w:rPr>
          <w:rFonts w:ascii="Times New Roman" w:hAnsi="Times New Roman" w:cs="Times New Roman"/>
          <w:noProof/>
          <w:sz w:val="24"/>
          <w:szCs w:val="24"/>
        </w:rPr>
      </w:pPr>
      <w:r w:rsidRPr="001968A5">
        <w:rPr>
          <w:rFonts w:ascii="Times New Roman" w:hAnsi="Times New Roman" w:cs="Times New Roman"/>
          <w:noProof/>
          <w:sz w:val="24"/>
          <w:szCs w:val="24"/>
        </w:rPr>
        <w:t xml:space="preserve">Solomon, D., Palas, R., &amp; Baranes, A. (2020). The Quality of Information Provided by Dual-Class Firms. </w:t>
      </w:r>
      <w:r w:rsidRPr="001968A5">
        <w:rPr>
          <w:rFonts w:ascii="Times New Roman" w:hAnsi="Times New Roman" w:cs="Times New Roman"/>
          <w:i/>
          <w:iCs/>
          <w:noProof/>
          <w:sz w:val="24"/>
          <w:szCs w:val="24"/>
        </w:rPr>
        <w:t>American Business Law Journal</w:t>
      </w:r>
      <w:r w:rsidRPr="001968A5">
        <w:rPr>
          <w:rFonts w:ascii="Times New Roman" w:hAnsi="Times New Roman" w:cs="Times New Roman"/>
          <w:noProof/>
          <w:sz w:val="24"/>
          <w:szCs w:val="24"/>
        </w:rPr>
        <w:t xml:space="preserve">, </w:t>
      </w:r>
      <w:r w:rsidRPr="001968A5">
        <w:rPr>
          <w:rFonts w:ascii="Times New Roman" w:hAnsi="Times New Roman" w:cs="Times New Roman"/>
          <w:i/>
          <w:iCs/>
          <w:noProof/>
          <w:sz w:val="24"/>
          <w:szCs w:val="24"/>
        </w:rPr>
        <w:t>57</w:t>
      </w:r>
      <w:r w:rsidRPr="001968A5">
        <w:rPr>
          <w:rFonts w:ascii="Times New Roman" w:hAnsi="Times New Roman" w:cs="Times New Roman"/>
          <w:noProof/>
          <w:sz w:val="24"/>
          <w:szCs w:val="24"/>
        </w:rPr>
        <w:t xml:space="preserve">(3), 443–486. </w:t>
      </w:r>
      <w:r w:rsidRPr="001968A5">
        <w:rPr>
          <w:rFonts w:ascii="Times New Roman" w:hAnsi="Times New Roman" w:cs="Times New Roman"/>
          <w:noProof/>
          <w:sz w:val="24"/>
          <w:szCs w:val="24"/>
        </w:rPr>
        <w:lastRenderedPageBreak/>
        <w:t>https://doi.org/10.1111/ablj.12167</w:t>
      </w:r>
    </w:p>
    <w:p w14:paraId="786F3939" w14:textId="77777777" w:rsidR="001968A5" w:rsidRPr="001968A5" w:rsidRDefault="001968A5" w:rsidP="001968A5">
      <w:pPr>
        <w:widowControl w:val="0"/>
        <w:autoSpaceDE w:val="0"/>
        <w:autoSpaceDN w:val="0"/>
        <w:bidi w:val="0"/>
        <w:adjustRightInd w:val="0"/>
        <w:spacing w:after="0" w:line="360" w:lineRule="auto"/>
        <w:ind w:left="480" w:hanging="480"/>
        <w:rPr>
          <w:rFonts w:ascii="Times New Roman" w:hAnsi="Times New Roman" w:cs="Times New Roman"/>
          <w:noProof/>
          <w:sz w:val="24"/>
        </w:rPr>
      </w:pPr>
      <w:r w:rsidRPr="001968A5">
        <w:rPr>
          <w:rFonts w:ascii="Times New Roman" w:hAnsi="Times New Roman" w:cs="Times New Roman"/>
          <w:noProof/>
          <w:sz w:val="24"/>
          <w:szCs w:val="24"/>
        </w:rPr>
        <w:t xml:space="preserve">Vogt, W. P. (2005). </w:t>
      </w:r>
      <w:r w:rsidRPr="001968A5">
        <w:rPr>
          <w:rFonts w:ascii="Times New Roman" w:hAnsi="Times New Roman" w:cs="Times New Roman"/>
          <w:i/>
          <w:iCs/>
          <w:noProof/>
          <w:sz w:val="24"/>
          <w:szCs w:val="24"/>
        </w:rPr>
        <w:t>Dictionary of Statistics &amp; Methodology: A Nontechnical Guide for the Social Sciences</w:t>
      </w:r>
      <w:r w:rsidRPr="001968A5">
        <w:rPr>
          <w:rFonts w:ascii="Times New Roman" w:hAnsi="Times New Roman" w:cs="Times New Roman"/>
          <w:noProof/>
          <w:sz w:val="24"/>
          <w:szCs w:val="24"/>
        </w:rPr>
        <w:t>. SAGE Publications.</w:t>
      </w:r>
    </w:p>
    <w:p w14:paraId="0010A169" w14:textId="1C7A06D7" w:rsidR="005A7A50" w:rsidRPr="005A7A50" w:rsidRDefault="005A7A50" w:rsidP="003203CB">
      <w:pPr>
        <w:bidi w:val="0"/>
        <w:spacing w:after="0" w:line="360" w:lineRule="auto"/>
        <w:rPr>
          <w:rFonts w:asciiTheme="majorBidi" w:hAnsiTheme="majorBidi" w:cstheme="majorBidi"/>
          <w:sz w:val="24"/>
          <w:szCs w:val="24"/>
        </w:rPr>
      </w:pPr>
      <w:r w:rsidRPr="00A64E1B">
        <w:rPr>
          <w:rFonts w:asciiTheme="majorBidi" w:hAnsiTheme="majorBidi" w:cstheme="majorBidi"/>
          <w:sz w:val="24"/>
          <w:szCs w:val="24"/>
        </w:rPr>
        <w:fldChar w:fldCharType="end"/>
      </w:r>
    </w:p>
    <w:sectPr w:rsidR="005A7A50" w:rsidRPr="005A7A50" w:rsidSect="00FC55F2">
      <w:footnotePr>
        <w:numRestart w:val="eachSect"/>
      </w:footnotePr>
      <w:type w:val="continuous"/>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48CE1" w14:textId="77777777" w:rsidR="00397568" w:rsidRDefault="00397568" w:rsidP="000F4C07">
      <w:pPr>
        <w:spacing w:after="0" w:line="240" w:lineRule="auto"/>
      </w:pPr>
      <w:r>
        <w:separator/>
      </w:r>
    </w:p>
    <w:p w14:paraId="36DD7778" w14:textId="77777777" w:rsidR="00397568" w:rsidRDefault="00397568"/>
  </w:endnote>
  <w:endnote w:type="continuationSeparator" w:id="0">
    <w:p w14:paraId="655073A4" w14:textId="77777777" w:rsidR="00397568" w:rsidRDefault="00397568" w:rsidP="000F4C07">
      <w:pPr>
        <w:spacing w:after="0" w:line="240" w:lineRule="auto"/>
      </w:pPr>
      <w:r>
        <w:continuationSeparator/>
      </w:r>
    </w:p>
    <w:p w14:paraId="5A715A41" w14:textId="77777777" w:rsidR="00397568" w:rsidRDefault="003975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FB90E" w14:textId="6E679D4B" w:rsidR="001D6C54" w:rsidRDefault="001D6C54">
    <w:pPr>
      <w:pStyle w:val="Footer"/>
      <w:jc w:val="center"/>
    </w:pPr>
  </w:p>
  <w:p w14:paraId="221B371C" w14:textId="77777777" w:rsidR="001D6C54" w:rsidRDefault="001D6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F8737" w14:textId="77777777" w:rsidR="00397568" w:rsidRDefault="00397568" w:rsidP="00384012">
      <w:pPr>
        <w:spacing w:after="0" w:line="240" w:lineRule="auto"/>
        <w:jc w:val="right"/>
      </w:pPr>
      <w:r>
        <w:separator/>
      </w:r>
    </w:p>
    <w:p w14:paraId="546334CD" w14:textId="77777777" w:rsidR="00397568" w:rsidRDefault="00397568"/>
  </w:footnote>
  <w:footnote w:type="continuationSeparator" w:id="0">
    <w:p w14:paraId="3F113384" w14:textId="77777777" w:rsidR="00397568" w:rsidRDefault="00397568" w:rsidP="00384012">
      <w:pPr>
        <w:spacing w:after="0" w:line="240" w:lineRule="auto"/>
        <w:jc w:val="right"/>
      </w:pPr>
      <w:r>
        <w:continuationSeparator/>
      </w:r>
    </w:p>
    <w:p w14:paraId="11F22A72" w14:textId="77777777" w:rsidR="00397568" w:rsidRDefault="00397568"/>
  </w:footnote>
  <w:footnote w:type="continuationNotice" w:id="1">
    <w:p w14:paraId="15968CDC" w14:textId="77777777" w:rsidR="00397568" w:rsidRDefault="00397568" w:rsidP="00384012">
      <w:pPr>
        <w:spacing w:after="0" w:line="240" w:lineRule="auto"/>
        <w:jc w:val="right"/>
      </w:pPr>
    </w:p>
    <w:p w14:paraId="4BA68407" w14:textId="77777777" w:rsidR="00397568" w:rsidRDefault="00397568"/>
  </w:footnote>
  <w:footnote w:id="2">
    <w:p w14:paraId="68CBC7CD" w14:textId="142FD9FF" w:rsidR="0054443E" w:rsidRDefault="0054443E" w:rsidP="00352ECE">
      <w:pPr>
        <w:pStyle w:val="FootnoteText"/>
      </w:pPr>
      <w:r>
        <w:rPr>
          <w:rStyle w:val="FootnoteReference"/>
        </w:rPr>
        <w:footnoteRef/>
      </w:r>
      <w:r>
        <w:t xml:space="preserve"> </w:t>
      </w:r>
      <w:r w:rsidRPr="0054443E">
        <w:t xml:space="preserve">In contrast to the </w:t>
      </w:r>
      <w:r>
        <w:t xml:space="preserve">rational apathy </w:t>
      </w:r>
      <w:r w:rsidRPr="0054443E">
        <w:t xml:space="preserve">that characterizes </w:t>
      </w:r>
      <w:r w:rsidR="00E4078E">
        <w:t xml:space="preserve">retail </w:t>
      </w:r>
      <w:r w:rsidRPr="0054443E">
        <w:t>shareholders, institutional investors</w:t>
      </w:r>
      <w:r w:rsidR="00E1302C">
        <w:t>,</w:t>
      </w:r>
      <w:r w:rsidR="00612664" w:rsidRPr="00612664">
        <w:rPr>
          <w:rFonts w:asciiTheme="majorBidi" w:hAnsiTheme="majorBidi" w:cstheme="majorBidi"/>
          <w:sz w:val="24"/>
          <w:szCs w:val="24"/>
        </w:rPr>
        <w:t xml:space="preserve"> </w:t>
      </w:r>
      <w:r w:rsidR="00E1302C">
        <w:t>who hold</w:t>
      </w:r>
      <w:r w:rsidR="00612664" w:rsidRPr="00612664">
        <w:t xml:space="preserve"> most of the public float</w:t>
      </w:r>
      <w:r w:rsidR="00AE2128">
        <w:t xml:space="preserve"> </w:t>
      </w:r>
      <w:r w:rsidR="005870B8">
        <w:t xml:space="preserve">in the capital markets </w:t>
      </w:r>
      <w:r w:rsidR="00AE2128">
        <w:t xml:space="preserve">and thus </w:t>
      </w:r>
      <w:r w:rsidR="008A207E">
        <w:t xml:space="preserve">play an </w:t>
      </w:r>
      <w:r w:rsidR="00590C4D">
        <w:t>important</w:t>
      </w:r>
      <w:r w:rsidR="008A207E">
        <w:t xml:space="preserve"> role</w:t>
      </w:r>
      <w:r w:rsidR="00590C4D" w:rsidRPr="00590C4D">
        <w:t xml:space="preserve"> </w:t>
      </w:r>
      <w:r w:rsidR="00590C4D" w:rsidRPr="00612664">
        <w:t>in shareholder meetings</w:t>
      </w:r>
      <w:r w:rsidR="00E1302C">
        <w:t xml:space="preserve">, </w:t>
      </w:r>
      <w:r w:rsidR="00612664" w:rsidRPr="00E1302C">
        <w:t>do</w:t>
      </w:r>
      <w:r w:rsidR="00612664" w:rsidRPr="00612664">
        <w:t xml:space="preserve"> exercise their voting rights </w:t>
      </w:r>
      <w:r w:rsidR="00352ECE" w:rsidRPr="00352ECE">
        <w:fldChar w:fldCharType="begin" w:fldLock="1"/>
      </w:r>
      <w:r w:rsidR="00352ECE" w:rsidRPr="00352ECE">
        <w:instrText>ADDIN CSL_CITATION {"citationItems":[{"id":"ITEM-1","itemData":{"abstract":"Alinority shareholders tend not to participate in the decision-making process of public companies with a controlling shareholder, and their voice is rarely heard. Even when they disagree with how the company is being managed, they prefer to express this dissatisfaction by selling their shares rather than by ex- pressing their voice. Contrary to the prevailing view, this article provocatively suggests that their voice is important and desirable. On the deontological level, it asserts that shareholder voice has an intrinsic value that is independent of any utility it may yield. Corporate democracy and, specifically, minority shareholder suffrage, legitimizes the exercise of power by the public corporation's insiders: the controlling shareholder, directors, and managers. Indeed, the shareholder's right to vote is the foundation upon which the public corporation is constructed and sustained. On the utilitarian level, this article argues that shareholder suf- ftage is efficient because it reduces agency costs and contributes to the develop- ment of financial markets. Given the prevalence of controlled companies, the unique insights in this article can serve as an important normative basis for poli- cymakers in designing reforms aimed at incentivizing minority shareholders to exercise their voting rights and use their voice. TABLE","author":[{"dropping-particle":"","family":"Solomon","given":"Dov","non-dropping-particle":"","parse-names":false,"suffix":""}],"container-title":"Nevada Law Journal","id":"ITEM-1","issued":{"date-parts":[["2017"]]},"page":"739-772","title":"The Voice : the Minority Shareholder's Perspective","type":"article-journal","volume":"17"},"uris":["http://www.mendeley.com/documents/?uuid=0d7e9835-f747-4b47-9200-aa1402f54b42"]}],"mendeley":{"formattedCitation":"(Solomon, 2017)","plainTextFormattedCitation":"(Solomon, 2017)","previouslyFormattedCitation":"(Solomon, 2017)"},"properties":{"noteIndex":0},"schema":"https://github.com/citation-style-language/schema/raw/master/csl-citation.json"}</w:instrText>
      </w:r>
      <w:r w:rsidR="00352ECE" w:rsidRPr="00352ECE">
        <w:fldChar w:fldCharType="separate"/>
      </w:r>
      <w:r w:rsidR="00352ECE" w:rsidRPr="00352ECE">
        <w:t>(Solomon, 2017)</w:t>
      </w:r>
      <w:r w:rsidR="00352ECE" w:rsidRPr="00352ECE">
        <w:fldChar w:fldCharType="end"/>
      </w:r>
      <w:r w:rsidR="00612664" w:rsidRPr="00612664">
        <w:t xml:space="preserve">. </w:t>
      </w:r>
    </w:p>
  </w:footnote>
  <w:footnote w:id="3">
    <w:p w14:paraId="2728D9CC" w14:textId="7FE972A8" w:rsidR="00001381" w:rsidRPr="00EB5097" w:rsidRDefault="00001381" w:rsidP="00C25C27">
      <w:pPr>
        <w:pStyle w:val="FootnoteText"/>
      </w:pPr>
      <w:r w:rsidRPr="00EB5097">
        <w:rPr>
          <w:rStyle w:val="FootnoteReference"/>
        </w:rPr>
        <w:footnoteRef/>
      </w:r>
      <w:r w:rsidRPr="00EB5097">
        <w:rPr>
          <w:rtl/>
        </w:rPr>
        <w:t xml:space="preserve"> </w:t>
      </w:r>
      <w:r w:rsidRPr="00EB5097">
        <w:t xml:space="preserve">We use </w:t>
      </w:r>
      <w:r w:rsidRPr="00EB5097">
        <w:t xml:space="preserve">FinDynamics’ XBRL Analyst </w:t>
      </w:r>
      <w:r w:rsidR="005B080E">
        <w:t>(</w:t>
      </w:r>
      <w:hyperlink r:id="rId1" w:history="1">
        <w:r w:rsidR="005B080E" w:rsidRPr="006A1CE8">
          <w:rPr>
            <w:rStyle w:val="Hyperlink"/>
          </w:rPr>
          <w:t>https://findynamics.com/xbrlanalyst</w:t>
        </w:r>
      </w:hyperlink>
      <w:r w:rsidR="005B080E">
        <w:t xml:space="preserve">) </w:t>
      </w:r>
      <w:r w:rsidRPr="00EB5097">
        <w:t>to acquire the annual financial data. It is a plug</w:t>
      </w:r>
      <w:r w:rsidR="00461BE4">
        <w:t>-</w:t>
      </w:r>
      <w:r w:rsidRPr="00EB5097">
        <w:t xml:space="preserve">in </w:t>
      </w:r>
      <w:r w:rsidRPr="00C25C27">
        <w:rPr>
          <w:rStyle w:val="FootnoteReference"/>
          <w:vertAlign w:val="baseline"/>
        </w:rPr>
        <w:t>for</w:t>
      </w:r>
      <w:r w:rsidRPr="0061116F">
        <w:t xml:space="preserve"> </w:t>
      </w:r>
      <w:r w:rsidRPr="00EB5097">
        <w:t>Microsoft Excel that enables access to a firm’s XBRL tagged data from its SEC filing.</w:t>
      </w:r>
      <w:r w:rsidR="005B080E">
        <w:t xml:space="preserve"> </w:t>
      </w:r>
      <w:r w:rsidRPr="00EB5097">
        <w:t xml:space="preserve"> </w:t>
      </w:r>
    </w:p>
  </w:footnote>
  <w:footnote w:id="4">
    <w:p w14:paraId="0E796E7E" w14:textId="7C1CBFAE" w:rsidR="00C97054" w:rsidRPr="00EB5097" w:rsidRDefault="00C97054" w:rsidP="0061116F">
      <w:pPr>
        <w:pStyle w:val="FootnoteText"/>
      </w:pPr>
      <w:r w:rsidRPr="00EB5097">
        <w:rPr>
          <w:rStyle w:val="FootnoteReference"/>
        </w:rPr>
        <w:footnoteRef/>
      </w:r>
      <w:r w:rsidRPr="00EB5097">
        <w:rPr>
          <w:rtl/>
        </w:rPr>
        <w:t xml:space="preserve"> </w:t>
      </w:r>
      <w:r w:rsidRPr="00EB5097">
        <w:t xml:space="preserve"> For further explanation of how the data was extracted and analyzed</w:t>
      </w:r>
      <w:r w:rsidR="00461BE4">
        <w:t>,</w:t>
      </w:r>
      <w:r w:rsidRPr="00EB5097">
        <w:t xml:space="preserve"> see Palas and Solomon </w:t>
      </w:r>
      <w:r w:rsidR="00036C6C" w:rsidRPr="00EB5097">
        <w:t>(</w:t>
      </w:r>
      <w:r w:rsidRPr="00EB5097">
        <w:t>2022)</w:t>
      </w:r>
      <w:r w:rsidR="00036C6C" w:rsidRPr="00EB5097">
        <w:t>.</w:t>
      </w:r>
    </w:p>
  </w:footnote>
  <w:footnote w:id="5">
    <w:p w14:paraId="7757B125" w14:textId="560FC240" w:rsidR="005C32E8" w:rsidRPr="00EB5097" w:rsidRDefault="005C32E8" w:rsidP="0061116F">
      <w:pPr>
        <w:pStyle w:val="FootnoteText"/>
      </w:pPr>
      <w:r w:rsidRPr="00EB5097">
        <w:rPr>
          <w:rStyle w:val="FootnoteReference"/>
        </w:rPr>
        <w:footnoteRef/>
      </w:r>
      <w:r w:rsidRPr="00EB5097">
        <w:t xml:space="preserve"> A wedge of 100%, for example, would mean that the superior-voting class of shares controls all the voting power while representing none of the equity interest in a firm.</w:t>
      </w:r>
    </w:p>
  </w:footnote>
  <w:footnote w:id="6">
    <w:p w14:paraId="18EDD6FB" w14:textId="77777777" w:rsidR="00FE2730" w:rsidRDefault="00FE2730" w:rsidP="00FE2730">
      <w:pPr>
        <w:pStyle w:val="FootnoteText"/>
      </w:pPr>
      <w:bookmarkStart w:id="12" w:name="_Hlk120090574"/>
      <w:r>
        <w:rPr>
          <w:rStyle w:val="FootnoteReference"/>
        </w:rPr>
        <w:footnoteRef/>
      </w:r>
      <w:r>
        <w:t xml:space="preserve"> In all regressions the correlation between the wedge and the controlling variables, although significant, was not high so we do not suspect a </w:t>
      </w:r>
      <w:r w:rsidRPr="00C7587E">
        <w:t>multicollinearity problem</w:t>
      </w:r>
      <w:r>
        <w:t>.</w:t>
      </w:r>
    </w:p>
    <w:bookmarkEnd w:id="12"/>
    <w:p w14:paraId="014E5727" w14:textId="775D298E" w:rsidR="00FE2730" w:rsidRDefault="00FE2730">
      <w:pPr>
        <w:pStyle w:val="FootnoteText"/>
      </w:pPr>
    </w:p>
  </w:footnote>
  <w:footnote w:id="7">
    <w:p w14:paraId="21A26126" w14:textId="0C5462FF" w:rsidR="00FE2730" w:rsidRDefault="00FE2730" w:rsidP="00FE2730">
      <w:pPr>
        <w:pStyle w:val="FootnoteText"/>
      </w:pPr>
      <w:r>
        <w:rPr>
          <w:rStyle w:val="FootnoteReference"/>
        </w:rPr>
        <w:footnoteRef/>
      </w:r>
      <w:r>
        <w:t xml:space="preserve"> We examined both random and fixed firm effects for all regressions and then applied the Hausman test to the data. The Hausman test allows us to determine which test, random or fixed, is more appropriate </w:t>
      </w:r>
      <w:r>
        <w:fldChar w:fldCharType="begin" w:fldLock="1"/>
      </w:r>
      <w:r w:rsidR="0063250B">
        <w:instrText>ADDIN CSL_CITATION {"citationItems":[{"id":"ITEM-1","itemData":{"author":[{"dropping-particle":"","family":"Vogt","given":"William Paul","non-dropping-particle":"","parse-names":false,"suffix":""}],"id":"ITEM-1","issued":{"date-parts":[["2005"]]},"publisher":"SAGE Publications","publisher-place":"London, U.K.","title":"Dictionary of Statistics &amp; Methodology: A Nontechnical Guide for the Social Sciences","type":"book"},"uris":["http://www.mendeley.com/documents/?uuid=a7e052ed-a169-449c-b0e0-e9fc99713483"]}],"mendeley":{"formattedCitation":"(Vogt, 2005)","manualFormatting":"(Vogt, 2005)","plainTextFormattedCitation":"(Vogt, 2005)","previouslyFormattedCitation":"(Vogt, 2005)"},"properties":{"noteIndex":0},"schema":"https://github.com/citation-style-language/schema/raw/master/csl-citation.json"}</w:instrText>
      </w:r>
      <w:r>
        <w:fldChar w:fldCharType="separate"/>
      </w:r>
      <w:r>
        <w:rPr>
          <w:noProof/>
        </w:rPr>
        <w:fldChar w:fldCharType="begin" w:fldLock="1"/>
      </w:r>
      <w:r w:rsidR="0063250B">
        <w:rPr>
          <w:noProof/>
        </w:rPr>
        <w:instrText>ADDIN CSL_CITATION {"citationItems":[{"id":"ITEM-1","itemData":{"author":[{"dropping-particle":"","family":"Vogt","given":"William Paul","non-dropping-particle":"","parse-names":false,"suffix":""}],"id":"ITEM-1","issued":{"date-parts":[["2005"]]},"publisher":"SAGE Publications","publisher-place":"London, U.K.","title":"Dictionary of Statistics &amp; Methodology: A Nontechnical Guide for the Social Sciences","type":"book"},"uris":["http://www.mendeley.com/documents/?uuid=a7e052ed-a169-449c-b0e0-e9fc99713483"]}],"mendeley":{"formattedCitation":"(Vogt, 2005)","plainTextFormattedCitation":"(Vogt, 2005)","previouslyFormattedCitation":"(Vogt, 2005)"},"properties":{"noteIndex":0},"schema":"https://github.com/citation-style-language/schema/raw/master/csl-citation.json"}</w:instrText>
      </w:r>
      <w:r>
        <w:rPr>
          <w:noProof/>
        </w:rPr>
        <w:fldChar w:fldCharType="separate"/>
      </w:r>
      <w:r w:rsidRPr="00FE2730">
        <w:rPr>
          <w:noProof/>
        </w:rPr>
        <w:t>(Vogt, 2005)</w:t>
      </w:r>
      <w:r>
        <w:rPr>
          <w:noProof/>
        </w:rPr>
        <w:fldChar w:fldCharType="end"/>
      </w:r>
      <w:r>
        <w:fldChar w:fldCharType="end"/>
      </w:r>
      <w:r>
        <w:t>. Based on the Hausman test we determined that the model presenting fixed effects is more appropriate.</w:t>
      </w:r>
    </w:p>
    <w:p w14:paraId="31A85D38" w14:textId="6D75AB92" w:rsidR="00FE2730" w:rsidRDefault="00FE2730">
      <w:pPr>
        <w:pStyle w:val="FootnoteText"/>
      </w:pPr>
    </w:p>
  </w:footnote>
  <w:footnote w:id="8">
    <w:p w14:paraId="0D534349" w14:textId="4A8CFFFE" w:rsidR="005124B4" w:rsidRPr="001609E7" w:rsidRDefault="005124B4" w:rsidP="0061116F">
      <w:pPr>
        <w:pStyle w:val="FootnoteText"/>
      </w:pPr>
      <w:r w:rsidRPr="00EB5097">
        <w:rPr>
          <w:rStyle w:val="FootnoteReference"/>
        </w:rPr>
        <w:footnoteRef/>
      </w:r>
      <w:r w:rsidRPr="003F5626">
        <w:rPr>
          <w:rtl/>
        </w:rPr>
        <w:t xml:space="preserve"> </w:t>
      </w:r>
      <w:bookmarkStart w:id="18" w:name="_Hlk119227896"/>
      <w:bookmarkStart w:id="19" w:name="_Hlk119227897"/>
      <w:r w:rsidR="00F9234E">
        <w:rPr>
          <w:rFonts w:hint="cs"/>
          <w:rtl/>
        </w:rPr>
        <w:t xml:space="preserve"> </w:t>
      </w:r>
      <w:bookmarkStart w:id="20" w:name="_Hlk120091726"/>
      <w:bookmarkStart w:id="21" w:name="_Hlk120091727"/>
      <w:r w:rsidR="00F9234E">
        <w:rPr>
          <w:rFonts w:hint="cs"/>
        </w:rPr>
        <w:t>W</w:t>
      </w:r>
      <w:r w:rsidR="00F9234E">
        <w:t>hen DCA is calculated e</w:t>
      </w:r>
      <w:r w:rsidR="00C629B1">
        <w:t>ach variable is deflated by the book value of total assets.</w:t>
      </w:r>
      <w:r w:rsidR="00C629B1" w:rsidRPr="001609E7">
        <w:t xml:space="preserve"> </w:t>
      </w:r>
      <w:r w:rsidRPr="001609E7">
        <w:t>For a detailed explanation of the procedure</w:t>
      </w:r>
      <w:r w:rsidR="00461BE4">
        <w:t>,</w:t>
      </w:r>
      <w:r w:rsidRPr="001609E7">
        <w:t xml:space="preserve"> see Teoh</w:t>
      </w:r>
      <w:r w:rsidR="008B16D6">
        <w:t xml:space="preserve"> et al.</w:t>
      </w:r>
      <w:r w:rsidRPr="001609E7">
        <w:t>, 1998; Jiraporn 2005</w:t>
      </w:r>
      <w:r w:rsidR="00D305BD">
        <w:t>.</w:t>
      </w:r>
      <w:bookmarkEnd w:id="18"/>
      <w:bookmarkEnd w:id="19"/>
      <w:bookmarkEnd w:id="20"/>
      <w:bookmarkEnd w:id="2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D2AE4"/>
    <w:multiLevelType w:val="multilevel"/>
    <w:tmpl w:val="EEAA72D4"/>
    <w:styleLink w:val="CurrentList2"/>
    <w:lvl w:ilvl="0">
      <w:start w:val="1"/>
      <w:numFmt w:val="decimal"/>
      <w:lvlText w:val="%1."/>
      <w:lvlJc w:val="left"/>
      <w:pPr>
        <w:ind w:left="360" w:hanging="360"/>
      </w:pPr>
      <w:rPr>
        <w:rFonts w:hint="default"/>
        <w:sz w:val="24"/>
      </w:rPr>
    </w:lvl>
    <w:lvl w:ilvl="1">
      <w:start w:val="1"/>
      <w:numFmt w:val="decimal"/>
      <w:isLgl/>
      <w:lvlText w:val="%1.%2"/>
      <w:lvlJc w:val="left"/>
      <w:pPr>
        <w:ind w:left="279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52E38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1410B52"/>
    <w:multiLevelType w:val="multilevel"/>
    <w:tmpl w:val="1408E930"/>
    <w:lvl w:ilvl="0">
      <w:start w:val="1"/>
      <w:numFmt w:val="decimal"/>
      <w:pStyle w:val="Heading1"/>
      <w:lvlText w:val="%1."/>
      <w:lvlJc w:val="left"/>
      <w:pPr>
        <w:ind w:left="-2070" w:hanging="360"/>
      </w:pPr>
      <w:rPr>
        <w:rFonts w:hint="default"/>
        <w:sz w:val="24"/>
      </w:rPr>
    </w:lvl>
    <w:lvl w:ilvl="1">
      <w:start w:val="1"/>
      <w:numFmt w:val="decimal"/>
      <w:pStyle w:val="Heading2"/>
      <w:isLgl/>
      <w:lvlText w:val="%1.%2"/>
      <w:lvlJc w:val="left"/>
      <w:pPr>
        <w:ind w:left="360" w:hanging="360"/>
      </w:pPr>
      <w:rPr>
        <w:rFonts w:hint="default"/>
        <w:sz w:val="24"/>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990" w:hanging="1440"/>
      </w:pPr>
      <w:rPr>
        <w:rFonts w:hint="default"/>
      </w:rPr>
    </w:lvl>
    <w:lvl w:ilvl="6">
      <w:start w:val="1"/>
      <w:numFmt w:val="decimal"/>
      <w:isLgl/>
      <w:lvlText w:val="%1.%2.%3.%4.%5.%6.%7"/>
      <w:lvlJc w:val="left"/>
      <w:pPr>
        <w:ind w:left="-990" w:hanging="1440"/>
      </w:pPr>
      <w:rPr>
        <w:rFonts w:hint="default"/>
      </w:rPr>
    </w:lvl>
    <w:lvl w:ilvl="7">
      <w:start w:val="1"/>
      <w:numFmt w:val="decimal"/>
      <w:isLgl/>
      <w:lvlText w:val="%1.%2.%3.%4.%5.%6.%7.%8"/>
      <w:lvlJc w:val="left"/>
      <w:pPr>
        <w:ind w:left="-630" w:hanging="1800"/>
      </w:pPr>
      <w:rPr>
        <w:rFonts w:hint="default"/>
      </w:rPr>
    </w:lvl>
    <w:lvl w:ilvl="8">
      <w:start w:val="1"/>
      <w:numFmt w:val="decimal"/>
      <w:isLgl/>
      <w:lvlText w:val="%1.%2.%3.%4.%5.%6.%7.%8.%9"/>
      <w:lvlJc w:val="left"/>
      <w:pPr>
        <w:ind w:left="-630" w:hanging="1800"/>
      </w:pPr>
      <w:rPr>
        <w:rFonts w:hint="default"/>
      </w:rPr>
    </w:lvl>
  </w:abstractNum>
  <w:abstractNum w:abstractNumId="3" w15:restartNumberingAfterBreak="0">
    <w:nsid w:val="438F7F80"/>
    <w:multiLevelType w:val="multilevel"/>
    <w:tmpl w:val="BD76E23C"/>
    <w:styleLink w:val="CurrentList1"/>
    <w:lvl w:ilvl="0">
      <w:start w:val="1"/>
      <w:numFmt w:val="decimal"/>
      <w:lvlText w:val="%1."/>
      <w:lvlJc w:val="left"/>
      <w:pPr>
        <w:ind w:left="540" w:hanging="360"/>
      </w:p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1980" w:hanging="1800"/>
      </w:pPr>
      <w:rPr>
        <w:rFonts w:hint="default"/>
      </w:rPr>
    </w:lvl>
  </w:abstractNum>
  <w:num w:numId="1" w16cid:durableId="360400066">
    <w:abstractNumId w:val="2"/>
  </w:num>
  <w:num w:numId="2" w16cid:durableId="1513372205">
    <w:abstractNumId w:val="1"/>
  </w:num>
  <w:num w:numId="3" w16cid:durableId="570047305">
    <w:abstractNumId w:val="3"/>
  </w:num>
  <w:num w:numId="4" w16cid:durableId="858812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65"/>
    <w:rsid w:val="00000606"/>
    <w:rsid w:val="0000112F"/>
    <w:rsid w:val="00001381"/>
    <w:rsid w:val="000014EA"/>
    <w:rsid w:val="0000201A"/>
    <w:rsid w:val="00002B1F"/>
    <w:rsid w:val="00002E88"/>
    <w:rsid w:val="00003AC7"/>
    <w:rsid w:val="000050A3"/>
    <w:rsid w:val="00005920"/>
    <w:rsid w:val="00005F3A"/>
    <w:rsid w:val="00006B2E"/>
    <w:rsid w:val="00007FEE"/>
    <w:rsid w:val="00010795"/>
    <w:rsid w:val="0001088F"/>
    <w:rsid w:val="00011B32"/>
    <w:rsid w:val="00013558"/>
    <w:rsid w:val="000206A7"/>
    <w:rsid w:val="00020E6F"/>
    <w:rsid w:val="00022C8E"/>
    <w:rsid w:val="00023563"/>
    <w:rsid w:val="000248FC"/>
    <w:rsid w:val="000261DF"/>
    <w:rsid w:val="000270CA"/>
    <w:rsid w:val="00030107"/>
    <w:rsid w:val="000314D4"/>
    <w:rsid w:val="00031CE2"/>
    <w:rsid w:val="00031F74"/>
    <w:rsid w:val="000324FD"/>
    <w:rsid w:val="00032E25"/>
    <w:rsid w:val="00033645"/>
    <w:rsid w:val="00033C54"/>
    <w:rsid w:val="00033E91"/>
    <w:rsid w:val="00035A13"/>
    <w:rsid w:val="0003674F"/>
    <w:rsid w:val="00036C6C"/>
    <w:rsid w:val="00037A57"/>
    <w:rsid w:val="000403E5"/>
    <w:rsid w:val="00040D48"/>
    <w:rsid w:val="000412AE"/>
    <w:rsid w:val="00043CD9"/>
    <w:rsid w:val="00045306"/>
    <w:rsid w:val="00045F58"/>
    <w:rsid w:val="000472E1"/>
    <w:rsid w:val="00047B0E"/>
    <w:rsid w:val="00051FF8"/>
    <w:rsid w:val="000527E1"/>
    <w:rsid w:val="00053B71"/>
    <w:rsid w:val="00054DB2"/>
    <w:rsid w:val="00054E16"/>
    <w:rsid w:val="00055C85"/>
    <w:rsid w:val="00055DE8"/>
    <w:rsid w:val="00056621"/>
    <w:rsid w:val="00057611"/>
    <w:rsid w:val="00060041"/>
    <w:rsid w:val="00060306"/>
    <w:rsid w:val="00060BE5"/>
    <w:rsid w:val="0006145C"/>
    <w:rsid w:val="00061C2B"/>
    <w:rsid w:val="000632C3"/>
    <w:rsid w:val="00064105"/>
    <w:rsid w:val="0006608D"/>
    <w:rsid w:val="00067410"/>
    <w:rsid w:val="000705B4"/>
    <w:rsid w:val="00070FE8"/>
    <w:rsid w:val="00071720"/>
    <w:rsid w:val="000718AA"/>
    <w:rsid w:val="00071A0D"/>
    <w:rsid w:val="00071BD8"/>
    <w:rsid w:val="00071E50"/>
    <w:rsid w:val="000745A8"/>
    <w:rsid w:val="000747A9"/>
    <w:rsid w:val="00075283"/>
    <w:rsid w:val="000755A1"/>
    <w:rsid w:val="000760E6"/>
    <w:rsid w:val="00076E06"/>
    <w:rsid w:val="00076EDF"/>
    <w:rsid w:val="000775A0"/>
    <w:rsid w:val="00077CBE"/>
    <w:rsid w:val="0008007A"/>
    <w:rsid w:val="00081613"/>
    <w:rsid w:val="00083933"/>
    <w:rsid w:val="0008497B"/>
    <w:rsid w:val="00084B28"/>
    <w:rsid w:val="00084EA4"/>
    <w:rsid w:val="00085A65"/>
    <w:rsid w:val="000874F9"/>
    <w:rsid w:val="00087531"/>
    <w:rsid w:val="000879F9"/>
    <w:rsid w:val="00090A90"/>
    <w:rsid w:val="00092C3D"/>
    <w:rsid w:val="00094B70"/>
    <w:rsid w:val="00095380"/>
    <w:rsid w:val="00097062"/>
    <w:rsid w:val="00097631"/>
    <w:rsid w:val="000A24AD"/>
    <w:rsid w:val="000A3F6C"/>
    <w:rsid w:val="000A4CCD"/>
    <w:rsid w:val="000A4D12"/>
    <w:rsid w:val="000A6562"/>
    <w:rsid w:val="000A6850"/>
    <w:rsid w:val="000A74BE"/>
    <w:rsid w:val="000B00C0"/>
    <w:rsid w:val="000B0E02"/>
    <w:rsid w:val="000B2500"/>
    <w:rsid w:val="000B277F"/>
    <w:rsid w:val="000B29B8"/>
    <w:rsid w:val="000B4917"/>
    <w:rsid w:val="000B57AA"/>
    <w:rsid w:val="000B6767"/>
    <w:rsid w:val="000C106C"/>
    <w:rsid w:val="000C1993"/>
    <w:rsid w:val="000C3CE6"/>
    <w:rsid w:val="000C5800"/>
    <w:rsid w:val="000D09A3"/>
    <w:rsid w:val="000D0BF2"/>
    <w:rsid w:val="000D0E2E"/>
    <w:rsid w:val="000D1E1D"/>
    <w:rsid w:val="000D37B4"/>
    <w:rsid w:val="000D4D48"/>
    <w:rsid w:val="000D5446"/>
    <w:rsid w:val="000D59B5"/>
    <w:rsid w:val="000D7AB1"/>
    <w:rsid w:val="000E088E"/>
    <w:rsid w:val="000E08E0"/>
    <w:rsid w:val="000E3E1E"/>
    <w:rsid w:val="000E5219"/>
    <w:rsid w:val="000E5317"/>
    <w:rsid w:val="000E582F"/>
    <w:rsid w:val="000E5FE2"/>
    <w:rsid w:val="000E63B2"/>
    <w:rsid w:val="000E7E11"/>
    <w:rsid w:val="000F03B4"/>
    <w:rsid w:val="000F0952"/>
    <w:rsid w:val="000F18E5"/>
    <w:rsid w:val="000F1924"/>
    <w:rsid w:val="000F2A8C"/>
    <w:rsid w:val="000F388E"/>
    <w:rsid w:val="000F4BCF"/>
    <w:rsid w:val="000F4C07"/>
    <w:rsid w:val="000F591B"/>
    <w:rsid w:val="000F7759"/>
    <w:rsid w:val="0010033E"/>
    <w:rsid w:val="00100638"/>
    <w:rsid w:val="00101BCC"/>
    <w:rsid w:val="0010243C"/>
    <w:rsid w:val="00102E45"/>
    <w:rsid w:val="00103A5A"/>
    <w:rsid w:val="00104987"/>
    <w:rsid w:val="00105368"/>
    <w:rsid w:val="0010559D"/>
    <w:rsid w:val="001060DC"/>
    <w:rsid w:val="00107053"/>
    <w:rsid w:val="00107224"/>
    <w:rsid w:val="0010741F"/>
    <w:rsid w:val="001100C2"/>
    <w:rsid w:val="00110122"/>
    <w:rsid w:val="001102DC"/>
    <w:rsid w:val="001105FF"/>
    <w:rsid w:val="001123C2"/>
    <w:rsid w:val="00113D38"/>
    <w:rsid w:val="00115DDE"/>
    <w:rsid w:val="0011724A"/>
    <w:rsid w:val="00117981"/>
    <w:rsid w:val="00120058"/>
    <w:rsid w:val="00122A6A"/>
    <w:rsid w:val="0012324E"/>
    <w:rsid w:val="0012374A"/>
    <w:rsid w:val="00123BC5"/>
    <w:rsid w:val="00123D95"/>
    <w:rsid w:val="00124E4A"/>
    <w:rsid w:val="001251C3"/>
    <w:rsid w:val="00127003"/>
    <w:rsid w:val="00127358"/>
    <w:rsid w:val="0013037A"/>
    <w:rsid w:val="00130953"/>
    <w:rsid w:val="00130A6E"/>
    <w:rsid w:val="00131044"/>
    <w:rsid w:val="00131D03"/>
    <w:rsid w:val="001337CA"/>
    <w:rsid w:val="00134E0C"/>
    <w:rsid w:val="00135D6D"/>
    <w:rsid w:val="00137159"/>
    <w:rsid w:val="00137D58"/>
    <w:rsid w:val="0014217F"/>
    <w:rsid w:val="001436E0"/>
    <w:rsid w:val="00144C1D"/>
    <w:rsid w:val="00144CD2"/>
    <w:rsid w:val="00145F86"/>
    <w:rsid w:val="00147089"/>
    <w:rsid w:val="0015042C"/>
    <w:rsid w:val="001506CC"/>
    <w:rsid w:val="001507BA"/>
    <w:rsid w:val="00150DFA"/>
    <w:rsid w:val="001512A9"/>
    <w:rsid w:val="001514A6"/>
    <w:rsid w:val="00151944"/>
    <w:rsid w:val="00151D8E"/>
    <w:rsid w:val="0015241F"/>
    <w:rsid w:val="00152D8C"/>
    <w:rsid w:val="00153D52"/>
    <w:rsid w:val="00153EC7"/>
    <w:rsid w:val="00153FD6"/>
    <w:rsid w:val="001544CD"/>
    <w:rsid w:val="00155829"/>
    <w:rsid w:val="00157BA2"/>
    <w:rsid w:val="00157C80"/>
    <w:rsid w:val="001609E7"/>
    <w:rsid w:val="00161212"/>
    <w:rsid w:val="00161CD4"/>
    <w:rsid w:val="00161F2D"/>
    <w:rsid w:val="00163AEF"/>
    <w:rsid w:val="00163C45"/>
    <w:rsid w:val="00164122"/>
    <w:rsid w:val="001664C0"/>
    <w:rsid w:val="0016786D"/>
    <w:rsid w:val="00167BB9"/>
    <w:rsid w:val="00167EE5"/>
    <w:rsid w:val="001710B0"/>
    <w:rsid w:val="0017146C"/>
    <w:rsid w:val="00173137"/>
    <w:rsid w:val="00175936"/>
    <w:rsid w:val="00181CA5"/>
    <w:rsid w:val="00181DAB"/>
    <w:rsid w:val="0018346A"/>
    <w:rsid w:val="00184594"/>
    <w:rsid w:val="001846E8"/>
    <w:rsid w:val="00184AB5"/>
    <w:rsid w:val="00185FAE"/>
    <w:rsid w:val="0018650E"/>
    <w:rsid w:val="001874D9"/>
    <w:rsid w:val="00190925"/>
    <w:rsid w:val="00190B55"/>
    <w:rsid w:val="001911B7"/>
    <w:rsid w:val="001918B6"/>
    <w:rsid w:val="00192A41"/>
    <w:rsid w:val="00192B46"/>
    <w:rsid w:val="00192FFB"/>
    <w:rsid w:val="001935F4"/>
    <w:rsid w:val="00193CCC"/>
    <w:rsid w:val="0019448B"/>
    <w:rsid w:val="00195817"/>
    <w:rsid w:val="00195FEF"/>
    <w:rsid w:val="0019612B"/>
    <w:rsid w:val="0019659A"/>
    <w:rsid w:val="001968A5"/>
    <w:rsid w:val="001968A9"/>
    <w:rsid w:val="001A04A9"/>
    <w:rsid w:val="001A0CAE"/>
    <w:rsid w:val="001A24F2"/>
    <w:rsid w:val="001A2716"/>
    <w:rsid w:val="001A2A65"/>
    <w:rsid w:val="001A2C39"/>
    <w:rsid w:val="001A467B"/>
    <w:rsid w:val="001A4C74"/>
    <w:rsid w:val="001A701B"/>
    <w:rsid w:val="001A7B73"/>
    <w:rsid w:val="001B046F"/>
    <w:rsid w:val="001B33B0"/>
    <w:rsid w:val="001B3C2D"/>
    <w:rsid w:val="001B499D"/>
    <w:rsid w:val="001B58A8"/>
    <w:rsid w:val="001B6F91"/>
    <w:rsid w:val="001B79FF"/>
    <w:rsid w:val="001C0001"/>
    <w:rsid w:val="001C069F"/>
    <w:rsid w:val="001C183B"/>
    <w:rsid w:val="001C1DCC"/>
    <w:rsid w:val="001C1F23"/>
    <w:rsid w:val="001C4C22"/>
    <w:rsid w:val="001C6789"/>
    <w:rsid w:val="001C6E4A"/>
    <w:rsid w:val="001D0502"/>
    <w:rsid w:val="001D2879"/>
    <w:rsid w:val="001D2D64"/>
    <w:rsid w:val="001D332F"/>
    <w:rsid w:val="001D414B"/>
    <w:rsid w:val="001D43B8"/>
    <w:rsid w:val="001D4D71"/>
    <w:rsid w:val="001D4E4E"/>
    <w:rsid w:val="001D5230"/>
    <w:rsid w:val="001D6C54"/>
    <w:rsid w:val="001D6CE3"/>
    <w:rsid w:val="001D7F51"/>
    <w:rsid w:val="001E4282"/>
    <w:rsid w:val="001E4715"/>
    <w:rsid w:val="001E4CC5"/>
    <w:rsid w:val="001E5429"/>
    <w:rsid w:val="001E56E5"/>
    <w:rsid w:val="001E6837"/>
    <w:rsid w:val="001E6FB0"/>
    <w:rsid w:val="001E7C0D"/>
    <w:rsid w:val="001E7F9A"/>
    <w:rsid w:val="001F0253"/>
    <w:rsid w:val="001F07FA"/>
    <w:rsid w:val="001F0BED"/>
    <w:rsid w:val="001F164D"/>
    <w:rsid w:val="001F3314"/>
    <w:rsid w:val="001F3323"/>
    <w:rsid w:val="001F5126"/>
    <w:rsid w:val="001F5578"/>
    <w:rsid w:val="001F6FEC"/>
    <w:rsid w:val="001F70DA"/>
    <w:rsid w:val="00201B7E"/>
    <w:rsid w:val="002027C2"/>
    <w:rsid w:val="00202ABA"/>
    <w:rsid w:val="00203BD2"/>
    <w:rsid w:val="00204379"/>
    <w:rsid w:val="002065A6"/>
    <w:rsid w:val="002076DD"/>
    <w:rsid w:val="00214146"/>
    <w:rsid w:val="002160F8"/>
    <w:rsid w:val="00216A30"/>
    <w:rsid w:val="0021780F"/>
    <w:rsid w:val="00217E32"/>
    <w:rsid w:val="002201D3"/>
    <w:rsid w:val="0022057E"/>
    <w:rsid w:val="00220709"/>
    <w:rsid w:val="00221401"/>
    <w:rsid w:val="00221667"/>
    <w:rsid w:val="00222140"/>
    <w:rsid w:val="002262AC"/>
    <w:rsid w:val="0022658E"/>
    <w:rsid w:val="00226DA9"/>
    <w:rsid w:val="00227C0A"/>
    <w:rsid w:val="00231EAD"/>
    <w:rsid w:val="00232D79"/>
    <w:rsid w:val="002337CD"/>
    <w:rsid w:val="0023383B"/>
    <w:rsid w:val="00234325"/>
    <w:rsid w:val="00235A5D"/>
    <w:rsid w:val="00235B00"/>
    <w:rsid w:val="00235C2C"/>
    <w:rsid w:val="00237297"/>
    <w:rsid w:val="0023792C"/>
    <w:rsid w:val="00241419"/>
    <w:rsid w:val="00243BCD"/>
    <w:rsid w:val="00244C79"/>
    <w:rsid w:val="00245F63"/>
    <w:rsid w:val="002462F9"/>
    <w:rsid w:val="0024742E"/>
    <w:rsid w:val="00247568"/>
    <w:rsid w:val="00247A7A"/>
    <w:rsid w:val="002504EF"/>
    <w:rsid w:val="002515FB"/>
    <w:rsid w:val="002532AF"/>
    <w:rsid w:val="00253310"/>
    <w:rsid w:val="00254256"/>
    <w:rsid w:val="002552C3"/>
    <w:rsid w:val="00255AE2"/>
    <w:rsid w:val="002565A0"/>
    <w:rsid w:val="00262B7A"/>
    <w:rsid w:val="00263DEE"/>
    <w:rsid w:val="002645AB"/>
    <w:rsid w:val="00265A68"/>
    <w:rsid w:val="00265EF6"/>
    <w:rsid w:val="00265F06"/>
    <w:rsid w:val="00266B75"/>
    <w:rsid w:val="00266EBF"/>
    <w:rsid w:val="00267848"/>
    <w:rsid w:val="00270E63"/>
    <w:rsid w:val="002716BB"/>
    <w:rsid w:val="00272AB6"/>
    <w:rsid w:val="002741C4"/>
    <w:rsid w:val="00274EF8"/>
    <w:rsid w:val="00275278"/>
    <w:rsid w:val="00276126"/>
    <w:rsid w:val="00276C14"/>
    <w:rsid w:val="00277BAD"/>
    <w:rsid w:val="00277E08"/>
    <w:rsid w:val="002824D2"/>
    <w:rsid w:val="00284A23"/>
    <w:rsid w:val="00290084"/>
    <w:rsid w:val="002909B7"/>
    <w:rsid w:val="00291CE5"/>
    <w:rsid w:val="00293A55"/>
    <w:rsid w:val="002945B2"/>
    <w:rsid w:val="00294658"/>
    <w:rsid w:val="00294912"/>
    <w:rsid w:val="0029495B"/>
    <w:rsid w:val="00296D42"/>
    <w:rsid w:val="00297EE8"/>
    <w:rsid w:val="002A0911"/>
    <w:rsid w:val="002A1403"/>
    <w:rsid w:val="002A1EC4"/>
    <w:rsid w:val="002A36F5"/>
    <w:rsid w:val="002A4114"/>
    <w:rsid w:val="002A6C47"/>
    <w:rsid w:val="002A6DBB"/>
    <w:rsid w:val="002A75C1"/>
    <w:rsid w:val="002B011A"/>
    <w:rsid w:val="002B0B92"/>
    <w:rsid w:val="002B207A"/>
    <w:rsid w:val="002B23FC"/>
    <w:rsid w:val="002B2404"/>
    <w:rsid w:val="002B4A84"/>
    <w:rsid w:val="002B4C33"/>
    <w:rsid w:val="002B61A2"/>
    <w:rsid w:val="002B65F0"/>
    <w:rsid w:val="002B75D4"/>
    <w:rsid w:val="002B78E2"/>
    <w:rsid w:val="002B7EFA"/>
    <w:rsid w:val="002C06F2"/>
    <w:rsid w:val="002C0841"/>
    <w:rsid w:val="002C1387"/>
    <w:rsid w:val="002C1EE9"/>
    <w:rsid w:val="002C2FAC"/>
    <w:rsid w:val="002C36B8"/>
    <w:rsid w:val="002C5B46"/>
    <w:rsid w:val="002D0201"/>
    <w:rsid w:val="002D0DD9"/>
    <w:rsid w:val="002D1AE1"/>
    <w:rsid w:val="002D1DAC"/>
    <w:rsid w:val="002D3084"/>
    <w:rsid w:val="002D3191"/>
    <w:rsid w:val="002D3352"/>
    <w:rsid w:val="002D417C"/>
    <w:rsid w:val="002D5847"/>
    <w:rsid w:val="002D6751"/>
    <w:rsid w:val="002D70A9"/>
    <w:rsid w:val="002D7B23"/>
    <w:rsid w:val="002E040E"/>
    <w:rsid w:val="002E25D7"/>
    <w:rsid w:val="002E31C0"/>
    <w:rsid w:val="002E48AF"/>
    <w:rsid w:val="002E4D7C"/>
    <w:rsid w:val="002E5F59"/>
    <w:rsid w:val="002E6605"/>
    <w:rsid w:val="002F0408"/>
    <w:rsid w:val="002F0C93"/>
    <w:rsid w:val="002F201A"/>
    <w:rsid w:val="002F4051"/>
    <w:rsid w:val="002F42A0"/>
    <w:rsid w:val="002F4C38"/>
    <w:rsid w:val="002F56E7"/>
    <w:rsid w:val="002F633F"/>
    <w:rsid w:val="00300B86"/>
    <w:rsid w:val="00301786"/>
    <w:rsid w:val="00303356"/>
    <w:rsid w:val="003047A1"/>
    <w:rsid w:val="00306595"/>
    <w:rsid w:val="00307CEE"/>
    <w:rsid w:val="00312613"/>
    <w:rsid w:val="00313ABB"/>
    <w:rsid w:val="003148BB"/>
    <w:rsid w:val="003149D2"/>
    <w:rsid w:val="00315BC0"/>
    <w:rsid w:val="00315D77"/>
    <w:rsid w:val="0031745B"/>
    <w:rsid w:val="00317524"/>
    <w:rsid w:val="00317731"/>
    <w:rsid w:val="003203CB"/>
    <w:rsid w:val="00320AC1"/>
    <w:rsid w:val="00322050"/>
    <w:rsid w:val="003223CD"/>
    <w:rsid w:val="003271C7"/>
    <w:rsid w:val="003305B5"/>
    <w:rsid w:val="00331397"/>
    <w:rsid w:val="00333A75"/>
    <w:rsid w:val="00334308"/>
    <w:rsid w:val="0033547E"/>
    <w:rsid w:val="00336A4F"/>
    <w:rsid w:val="00336E21"/>
    <w:rsid w:val="003378FC"/>
    <w:rsid w:val="003405F4"/>
    <w:rsid w:val="003414F5"/>
    <w:rsid w:val="00344BF6"/>
    <w:rsid w:val="00344FE9"/>
    <w:rsid w:val="00345CFF"/>
    <w:rsid w:val="00346BDB"/>
    <w:rsid w:val="0035104B"/>
    <w:rsid w:val="003510F3"/>
    <w:rsid w:val="0035174C"/>
    <w:rsid w:val="00351C05"/>
    <w:rsid w:val="00351C1E"/>
    <w:rsid w:val="00352337"/>
    <w:rsid w:val="00352ECE"/>
    <w:rsid w:val="00353119"/>
    <w:rsid w:val="003532F0"/>
    <w:rsid w:val="00354890"/>
    <w:rsid w:val="00355652"/>
    <w:rsid w:val="00355BE3"/>
    <w:rsid w:val="00356348"/>
    <w:rsid w:val="00357CB3"/>
    <w:rsid w:val="00357F43"/>
    <w:rsid w:val="0036011A"/>
    <w:rsid w:val="003619C4"/>
    <w:rsid w:val="0036225E"/>
    <w:rsid w:val="003625F5"/>
    <w:rsid w:val="00362FAD"/>
    <w:rsid w:val="003633E0"/>
    <w:rsid w:val="00363DFA"/>
    <w:rsid w:val="00365ADA"/>
    <w:rsid w:val="0036745E"/>
    <w:rsid w:val="00371298"/>
    <w:rsid w:val="003713B4"/>
    <w:rsid w:val="00372689"/>
    <w:rsid w:val="003745A6"/>
    <w:rsid w:val="003766E9"/>
    <w:rsid w:val="00376DE1"/>
    <w:rsid w:val="00377BE2"/>
    <w:rsid w:val="00377C14"/>
    <w:rsid w:val="00377DEE"/>
    <w:rsid w:val="00381CE7"/>
    <w:rsid w:val="00382321"/>
    <w:rsid w:val="0038234D"/>
    <w:rsid w:val="003826B1"/>
    <w:rsid w:val="00383CAE"/>
    <w:rsid w:val="00383F7C"/>
    <w:rsid w:val="00384012"/>
    <w:rsid w:val="00384544"/>
    <w:rsid w:val="0038640B"/>
    <w:rsid w:val="003901FC"/>
    <w:rsid w:val="00391827"/>
    <w:rsid w:val="00392013"/>
    <w:rsid w:val="00392021"/>
    <w:rsid w:val="00392120"/>
    <w:rsid w:val="003928FA"/>
    <w:rsid w:val="00394173"/>
    <w:rsid w:val="00394FAD"/>
    <w:rsid w:val="00395455"/>
    <w:rsid w:val="003962EF"/>
    <w:rsid w:val="00397568"/>
    <w:rsid w:val="003976FD"/>
    <w:rsid w:val="003A0210"/>
    <w:rsid w:val="003A025F"/>
    <w:rsid w:val="003A15A3"/>
    <w:rsid w:val="003A18E3"/>
    <w:rsid w:val="003A1944"/>
    <w:rsid w:val="003A2B67"/>
    <w:rsid w:val="003A4144"/>
    <w:rsid w:val="003A4D79"/>
    <w:rsid w:val="003A7012"/>
    <w:rsid w:val="003A7497"/>
    <w:rsid w:val="003A795E"/>
    <w:rsid w:val="003A7E2E"/>
    <w:rsid w:val="003B05FF"/>
    <w:rsid w:val="003B1C00"/>
    <w:rsid w:val="003B3EE3"/>
    <w:rsid w:val="003B59A4"/>
    <w:rsid w:val="003B6AF5"/>
    <w:rsid w:val="003B6DE7"/>
    <w:rsid w:val="003B73E1"/>
    <w:rsid w:val="003B7B74"/>
    <w:rsid w:val="003C03A8"/>
    <w:rsid w:val="003C0B58"/>
    <w:rsid w:val="003C1601"/>
    <w:rsid w:val="003C53D9"/>
    <w:rsid w:val="003C6CDF"/>
    <w:rsid w:val="003C6DCF"/>
    <w:rsid w:val="003C7614"/>
    <w:rsid w:val="003D1232"/>
    <w:rsid w:val="003D1692"/>
    <w:rsid w:val="003D19F0"/>
    <w:rsid w:val="003D1A3D"/>
    <w:rsid w:val="003D2557"/>
    <w:rsid w:val="003D3045"/>
    <w:rsid w:val="003D3D75"/>
    <w:rsid w:val="003D41CC"/>
    <w:rsid w:val="003D45A0"/>
    <w:rsid w:val="003D7185"/>
    <w:rsid w:val="003D7C87"/>
    <w:rsid w:val="003E212C"/>
    <w:rsid w:val="003E2349"/>
    <w:rsid w:val="003E3055"/>
    <w:rsid w:val="003E324B"/>
    <w:rsid w:val="003E32D6"/>
    <w:rsid w:val="003E35AC"/>
    <w:rsid w:val="003E497A"/>
    <w:rsid w:val="003E6693"/>
    <w:rsid w:val="003E6DC8"/>
    <w:rsid w:val="003E7BD6"/>
    <w:rsid w:val="003F0A02"/>
    <w:rsid w:val="003F2856"/>
    <w:rsid w:val="003F2DB8"/>
    <w:rsid w:val="003F3885"/>
    <w:rsid w:val="003F442A"/>
    <w:rsid w:val="003F4964"/>
    <w:rsid w:val="003F5626"/>
    <w:rsid w:val="003F6B90"/>
    <w:rsid w:val="004034F0"/>
    <w:rsid w:val="00404A2F"/>
    <w:rsid w:val="00404CCC"/>
    <w:rsid w:val="004059BE"/>
    <w:rsid w:val="004060C5"/>
    <w:rsid w:val="004060EB"/>
    <w:rsid w:val="00412AD9"/>
    <w:rsid w:val="00416CB8"/>
    <w:rsid w:val="004175CC"/>
    <w:rsid w:val="00421551"/>
    <w:rsid w:val="004215B0"/>
    <w:rsid w:val="004219DC"/>
    <w:rsid w:val="004236EE"/>
    <w:rsid w:val="00423D6D"/>
    <w:rsid w:val="004251BD"/>
    <w:rsid w:val="004278EE"/>
    <w:rsid w:val="004310E4"/>
    <w:rsid w:val="00431BD2"/>
    <w:rsid w:val="004329BB"/>
    <w:rsid w:val="00433FBA"/>
    <w:rsid w:val="004343B9"/>
    <w:rsid w:val="00434B87"/>
    <w:rsid w:val="004353AC"/>
    <w:rsid w:val="00436501"/>
    <w:rsid w:val="00436D36"/>
    <w:rsid w:val="0043718B"/>
    <w:rsid w:val="004374F5"/>
    <w:rsid w:val="0043793A"/>
    <w:rsid w:val="00437BBB"/>
    <w:rsid w:val="00437F83"/>
    <w:rsid w:val="00440355"/>
    <w:rsid w:val="004429EE"/>
    <w:rsid w:val="004473DE"/>
    <w:rsid w:val="004509BD"/>
    <w:rsid w:val="00451EFF"/>
    <w:rsid w:val="00452DA0"/>
    <w:rsid w:val="00453B0D"/>
    <w:rsid w:val="00453C8A"/>
    <w:rsid w:val="004547FF"/>
    <w:rsid w:val="00454A35"/>
    <w:rsid w:val="00455F7D"/>
    <w:rsid w:val="00455FCB"/>
    <w:rsid w:val="00457151"/>
    <w:rsid w:val="00460D4C"/>
    <w:rsid w:val="00461BE4"/>
    <w:rsid w:val="00461E68"/>
    <w:rsid w:val="00464C05"/>
    <w:rsid w:val="0046586C"/>
    <w:rsid w:val="00466374"/>
    <w:rsid w:val="004665F7"/>
    <w:rsid w:val="00467617"/>
    <w:rsid w:val="00467A88"/>
    <w:rsid w:val="00470C84"/>
    <w:rsid w:val="004721C6"/>
    <w:rsid w:val="00472276"/>
    <w:rsid w:val="004724D9"/>
    <w:rsid w:val="00472A93"/>
    <w:rsid w:val="00475928"/>
    <w:rsid w:val="00475A2B"/>
    <w:rsid w:val="00475C81"/>
    <w:rsid w:val="00476F9E"/>
    <w:rsid w:val="004778E8"/>
    <w:rsid w:val="00477A10"/>
    <w:rsid w:val="004808BB"/>
    <w:rsid w:val="00482C2D"/>
    <w:rsid w:val="00482DB6"/>
    <w:rsid w:val="00483A08"/>
    <w:rsid w:val="00486A45"/>
    <w:rsid w:val="004874F9"/>
    <w:rsid w:val="004910F9"/>
    <w:rsid w:val="00491873"/>
    <w:rsid w:val="0049267C"/>
    <w:rsid w:val="00492C5E"/>
    <w:rsid w:val="00493F04"/>
    <w:rsid w:val="004941A3"/>
    <w:rsid w:val="004941DB"/>
    <w:rsid w:val="00495AAF"/>
    <w:rsid w:val="004A044B"/>
    <w:rsid w:val="004A17B0"/>
    <w:rsid w:val="004A31E0"/>
    <w:rsid w:val="004A5815"/>
    <w:rsid w:val="004A5A24"/>
    <w:rsid w:val="004A5C7E"/>
    <w:rsid w:val="004A68B1"/>
    <w:rsid w:val="004A74B1"/>
    <w:rsid w:val="004B0E13"/>
    <w:rsid w:val="004B1C20"/>
    <w:rsid w:val="004B26E2"/>
    <w:rsid w:val="004B2F2E"/>
    <w:rsid w:val="004B4203"/>
    <w:rsid w:val="004B506A"/>
    <w:rsid w:val="004B5267"/>
    <w:rsid w:val="004B5833"/>
    <w:rsid w:val="004B6385"/>
    <w:rsid w:val="004B63D3"/>
    <w:rsid w:val="004B66F4"/>
    <w:rsid w:val="004B7A31"/>
    <w:rsid w:val="004C0686"/>
    <w:rsid w:val="004C149E"/>
    <w:rsid w:val="004C3CE3"/>
    <w:rsid w:val="004C3F90"/>
    <w:rsid w:val="004C4025"/>
    <w:rsid w:val="004C43F6"/>
    <w:rsid w:val="004C5383"/>
    <w:rsid w:val="004C7D72"/>
    <w:rsid w:val="004D13E1"/>
    <w:rsid w:val="004D4A90"/>
    <w:rsid w:val="004D6F10"/>
    <w:rsid w:val="004D7A2E"/>
    <w:rsid w:val="004D7B77"/>
    <w:rsid w:val="004E07B1"/>
    <w:rsid w:val="004E0B5B"/>
    <w:rsid w:val="004E18C2"/>
    <w:rsid w:val="004E2FFE"/>
    <w:rsid w:val="004E388E"/>
    <w:rsid w:val="004E4B49"/>
    <w:rsid w:val="004E4B8C"/>
    <w:rsid w:val="004E6D9B"/>
    <w:rsid w:val="004E7944"/>
    <w:rsid w:val="004E7DDE"/>
    <w:rsid w:val="004F0618"/>
    <w:rsid w:val="004F0D1B"/>
    <w:rsid w:val="004F0DCA"/>
    <w:rsid w:val="004F1135"/>
    <w:rsid w:val="004F3DBC"/>
    <w:rsid w:val="004F45A5"/>
    <w:rsid w:val="004F466E"/>
    <w:rsid w:val="004F499B"/>
    <w:rsid w:val="004F4C2D"/>
    <w:rsid w:val="004F545C"/>
    <w:rsid w:val="004F57C6"/>
    <w:rsid w:val="004F61D8"/>
    <w:rsid w:val="00500C89"/>
    <w:rsid w:val="0050253A"/>
    <w:rsid w:val="00502BB5"/>
    <w:rsid w:val="00502F36"/>
    <w:rsid w:val="00504712"/>
    <w:rsid w:val="005054FE"/>
    <w:rsid w:val="00505CEF"/>
    <w:rsid w:val="00506B96"/>
    <w:rsid w:val="00506ED4"/>
    <w:rsid w:val="00507260"/>
    <w:rsid w:val="0050744F"/>
    <w:rsid w:val="00510351"/>
    <w:rsid w:val="0051109B"/>
    <w:rsid w:val="005113E0"/>
    <w:rsid w:val="005114B3"/>
    <w:rsid w:val="005124B4"/>
    <w:rsid w:val="005131DF"/>
    <w:rsid w:val="00513489"/>
    <w:rsid w:val="005136EF"/>
    <w:rsid w:val="00514BC4"/>
    <w:rsid w:val="005152D1"/>
    <w:rsid w:val="005208D9"/>
    <w:rsid w:val="00521CDE"/>
    <w:rsid w:val="0052368E"/>
    <w:rsid w:val="00523E0F"/>
    <w:rsid w:val="005247BB"/>
    <w:rsid w:val="00526FE5"/>
    <w:rsid w:val="00527361"/>
    <w:rsid w:val="00530031"/>
    <w:rsid w:val="005306A8"/>
    <w:rsid w:val="005306E6"/>
    <w:rsid w:val="0053157B"/>
    <w:rsid w:val="00531C10"/>
    <w:rsid w:val="005327F7"/>
    <w:rsid w:val="00533112"/>
    <w:rsid w:val="005338E9"/>
    <w:rsid w:val="00533A58"/>
    <w:rsid w:val="00533AAF"/>
    <w:rsid w:val="00533B35"/>
    <w:rsid w:val="005355E3"/>
    <w:rsid w:val="00536273"/>
    <w:rsid w:val="00536637"/>
    <w:rsid w:val="00536B5C"/>
    <w:rsid w:val="0053708E"/>
    <w:rsid w:val="00537598"/>
    <w:rsid w:val="00537776"/>
    <w:rsid w:val="00537918"/>
    <w:rsid w:val="00537A91"/>
    <w:rsid w:val="00537BB2"/>
    <w:rsid w:val="005402A5"/>
    <w:rsid w:val="005405F7"/>
    <w:rsid w:val="005406DF"/>
    <w:rsid w:val="00540B7B"/>
    <w:rsid w:val="00541434"/>
    <w:rsid w:val="00541B0B"/>
    <w:rsid w:val="00541EC0"/>
    <w:rsid w:val="00542083"/>
    <w:rsid w:val="00542BA5"/>
    <w:rsid w:val="005430EC"/>
    <w:rsid w:val="0054443E"/>
    <w:rsid w:val="005445DB"/>
    <w:rsid w:val="00546732"/>
    <w:rsid w:val="0055068E"/>
    <w:rsid w:val="0055219A"/>
    <w:rsid w:val="005524E9"/>
    <w:rsid w:val="005526B1"/>
    <w:rsid w:val="00552A6C"/>
    <w:rsid w:val="00552E47"/>
    <w:rsid w:val="005532F3"/>
    <w:rsid w:val="00553650"/>
    <w:rsid w:val="00553F5E"/>
    <w:rsid w:val="00554817"/>
    <w:rsid w:val="00554EE7"/>
    <w:rsid w:val="00555BC0"/>
    <w:rsid w:val="00557B74"/>
    <w:rsid w:val="00560168"/>
    <w:rsid w:val="00561337"/>
    <w:rsid w:val="00561E16"/>
    <w:rsid w:val="005620A3"/>
    <w:rsid w:val="005624E9"/>
    <w:rsid w:val="00565888"/>
    <w:rsid w:val="00565BA0"/>
    <w:rsid w:val="00565E59"/>
    <w:rsid w:val="00566C36"/>
    <w:rsid w:val="005714BF"/>
    <w:rsid w:val="00573266"/>
    <w:rsid w:val="00573A93"/>
    <w:rsid w:val="00573E89"/>
    <w:rsid w:val="00575241"/>
    <w:rsid w:val="00575525"/>
    <w:rsid w:val="00577765"/>
    <w:rsid w:val="00580376"/>
    <w:rsid w:val="00581003"/>
    <w:rsid w:val="005817B2"/>
    <w:rsid w:val="00583C1F"/>
    <w:rsid w:val="00583D5E"/>
    <w:rsid w:val="005855E6"/>
    <w:rsid w:val="005870B8"/>
    <w:rsid w:val="00587332"/>
    <w:rsid w:val="005906CA"/>
    <w:rsid w:val="00590C4D"/>
    <w:rsid w:val="00592556"/>
    <w:rsid w:val="00593CA6"/>
    <w:rsid w:val="005948A5"/>
    <w:rsid w:val="00596F5B"/>
    <w:rsid w:val="00597D8A"/>
    <w:rsid w:val="005A08F1"/>
    <w:rsid w:val="005A1AA1"/>
    <w:rsid w:val="005A30D0"/>
    <w:rsid w:val="005A3A96"/>
    <w:rsid w:val="005A3E83"/>
    <w:rsid w:val="005A4BDB"/>
    <w:rsid w:val="005A5848"/>
    <w:rsid w:val="005A7A50"/>
    <w:rsid w:val="005B080E"/>
    <w:rsid w:val="005B1C1C"/>
    <w:rsid w:val="005B21FE"/>
    <w:rsid w:val="005B2957"/>
    <w:rsid w:val="005B2FD3"/>
    <w:rsid w:val="005B424C"/>
    <w:rsid w:val="005B4287"/>
    <w:rsid w:val="005B52AD"/>
    <w:rsid w:val="005C170C"/>
    <w:rsid w:val="005C218C"/>
    <w:rsid w:val="005C2648"/>
    <w:rsid w:val="005C32E8"/>
    <w:rsid w:val="005C407B"/>
    <w:rsid w:val="005C42F8"/>
    <w:rsid w:val="005C4ADD"/>
    <w:rsid w:val="005C6DB9"/>
    <w:rsid w:val="005C7916"/>
    <w:rsid w:val="005D0166"/>
    <w:rsid w:val="005D072B"/>
    <w:rsid w:val="005D0AC6"/>
    <w:rsid w:val="005D13A0"/>
    <w:rsid w:val="005D162D"/>
    <w:rsid w:val="005D2C44"/>
    <w:rsid w:val="005D2CCF"/>
    <w:rsid w:val="005D31EB"/>
    <w:rsid w:val="005D40A0"/>
    <w:rsid w:val="005D5A54"/>
    <w:rsid w:val="005D689A"/>
    <w:rsid w:val="005D7479"/>
    <w:rsid w:val="005E18EF"/>
    <w:rsid w:val="005E1CCE"/>
    <w:rsid w:val="005E206C"/>
    <w:rsid w:val="005E2D5F"/>
    <w:rsid w:val="005E3FE7"/>
    <w:rsid w:val="005E54F8"/>
    <w:rsid w:val="005E5BEE"/>
    <w:rsid w:val="005E7976"/>
    <w:rsid w:val="005E7C65"/>
    <w:rsid w:val="005F1036"/>
    <w:rsid w:val="005F1467"/>
    <w:rsid w:val="005F27CB"/>
    <w:rsid w:val="005F39D3"/>
    <w:rsid w:val="005F47A8"/>
    <w:rsid w:val="005F4D31"/>
    <w:rsid w:val="005F4E7B"/>
    <w:rsid w:val="005F6628"/>
    <w:rsid w:val="00600E47"/>
    <w:rsid w:val="00600F70"/>
    <w:rsid w:val="00601724"/>
    <w:rsid w:val="006032FD"/>
    <w:rsid w:val="006037EA"/>
    <w:rsid w:val="00604A47"/>
    <w:rsid w:val="00605642"/>
    <w:rsid w:val="006067F5"/>
    <w:rsid w:val="00607EAD"/>
    <w:rsid w:val="00610F51"/>
    <w:rsid w:val="0061116F"/>
    <w:rsid w:val="0061195E"/>
    <w:rsid w:val="006119CA"/>
    <w:rsid w:val="00612664"/>
    <w:rsid w:val="00612DF1"/>
    <w:rsid w:val="006131FB"/>
    <w:rsid w:val="00613A90"/>
    <w:rsid w:val="006176BF"/>
    <w:rsid w:val="00617EC3"/>
    <w:rsid w:val="0062004F"/>
    <w:rsid w:val="00620F79"/>
    <w:rsid w:val="00621588"/>
    <w:rsid w:val="006249EB"/>
    <w:rsid w:val="00624AC1"/>
    <w:rsid w:val="00625C34"/>
    <w:rsid w:val="00625FEE"/>
    <w:rsid w:val="0062705E"/>
    <w:rsid w:val="0062776D"/>
    <w:rsid w:val="006319AD"/>
    <w:rsid w:val="00632165"/>
    <w:rsid w:val="0063250B"/>
    <w:rsid w:val="00632F80"/>
    <w:rsid w:val="00633E7A"/>
    <w:rsid w:val="00635FBF"/>
    <w:rsid w:val="00637156"/>
    <w:rsid w:val="0063774A"/>
    <w:rsid w:val="00637F4F"/>
    <w:rsid w:val="0064081C"/>
    <w:rsid w:val="00642F90"/>
    <w:rsid w:val="00643A61"/>
    <w:rsid w:val="00644656"/>
    <w:rsid w:val="00644A44"/>
    <w:rsid w:val="00645775"/>
    <w:rsid w:val="00651D9A"/>
    <w:rsid w:val="00652047"/>
    <w:rsid w:val="006537C9"/>
    <w:rsid w:val="00660053"/>
    <w:rsid w:val="00660245"/>
    <w:rsid w:val="00660A98"/>
    <w:rsid w:val="00662987"/>
    <w:rsid w:val="00662CBA"/>
    <w:rsid w:val="0066307C"/>
    <w:rsid w:val="0066349A"/>
    <w:rsid w:val="006639C0"/>
    <w:rsid w:val="006650F7"/>
    <w:rsid w:val="00665AA3"/>
    <w:rsid w:val="00665C81"/>
    <w:rsid w:val="00665D91"/>
    <w:rsid w:val="0066618F"/>
    <w:rsid w:val="006704FB"/>
    <w:rsid w:val="00671188"/>
    <w:rsid w:val="006716F8"/>
    <w:rsid w:val="00671CDD"/>
    <w:rsid w:val="00672162"/>
    <w:rsid w:val="006723B1"/>
    <w:rsid w:val="00672859"/>
    <w:rsid w:val="0067296F"/>
    <w:rsid w:val="006732BA"/>
    <w:rsid w:val="00673D82"/>
    <w:rsid w:val="00674678"/>
    <w:rsid w:val="006746CB"/>
    <w:rsid w:val="00674AD4"/>
    <w:rsid w:val="006754A6"/>
    <w:rsid w:val="0067569B"/>
    <w:rsid w:val="00680142"/>
    <w:rsid w:val="00680D11"/>
    <w:rsid w:val="00682EE1"/>
    <w:rsid w:val="00684106"/>
    <w:rsid w:val="006848E7"/>
    <w:rsid w:val="00686205"/>
    <w:rsid w:val="0068628A"/>
    <w:rsid w:val="00687862"/>
    <w:rsid w:val="00693C32"/>
    <w:rsid w:val="00694E9E"/>
    <w:rsid w:val="006961F1"/>
    <w:rsid w:val="00696A11"/>
    <w:rsid w:val="00696FAC"/>
    <w:rsid w:val="006A112B"/>
    <w:rsid w:val="006A344A"/>
    <w:rsid w:val="006A4246"/>
    <w:rsid w:val="006A69A8"/>
    <w:rsid w:val="006B063D"/>
    <w:rsid w:val="006B0D8A"/>
    <w:rsid w:val="006B0E60"/>
    <w:rsid w:val="006B2091"/>
    <w:rsid w:val="006B2912"/>
    <w:rsid w:val="006B2DD0"/>
    <w:rsid w:val="006B2F39"/>
    <w:rsid w:val="006B32E0"/>
    <w:rsid w:val="006B385D"/>
    <w:rsid w:val="006B451E"/>
    <w:rsid w:val="006B6498"/>
    <w:rsid w:val="006B673E"/>
    <w:rsid w:val="006B693E"/>
    <w:rsid w:val="006C03A0"/>
    <w:rsid w:val="006C05DC"/>
    <w:rsid w:val="006C05F1"/>
    <w:rsid w:val="006C0680"/>
    <w:rsid w:val="006C3902"/>
    <w:rsid w:val="006C3E48"/>
    <w:rsid w:val="006C4D34"/>
    <w:rsid w:val="006C552B"/>
    <w:rsid w:val="006C6D72"/>
    <w:rsid w:val="006C6DCE"/>
    <w:rsid w:val="006C7E49"/>
    <w:rsid w:val="006D0D43"/>
    <w:rsid w:val="006D19B2"/>
    <w:rsid w:val="006D2130"/>
    <w:rsid w:val="006D37E4"/>
    <w:rsid w:val="006D5CED"/>
    <w:rsid w:val="006D7500"/>
    <w:rsid w:val="006E0CF9"/>
    <w:rsid w:val="006E0E42"/>
    <w:rsid w:val="006E1612"/>
    <w:rsid w:val="006E1E5B"/>
    <w:rsid w:val="006E2135"/>
    <w:rsid w:val="006E3610"/>
    <w:rsid w:val="006E3B63"/>
    <w:rsid w:val="006E3D32"/>
    <w:rsid w:val="006E4409"/>
    <w:rsid w:val="006E50AB"/>
    <w:rsid w:val="006E55AA"/>
    <w:rsid w:val="006E685D"/>
    <w:rsid w:val="006E708C"/>
    <w:rsid w:val="006E7DBD"/>
    <w:rsid w:val="006F05CF"/>
    <w:rsid w:val="006F0718"/>
    <w:rsid w:val="006F0D46"/>
    <w:rsid w:val="006F131C"/>
    <w:rsid w:val="006F5071"/>
    <w:rsid w:val="006F754C"/>
    <w:rsid w:val="006F7C82"/>
    <w:rsid w:val="00702312"/>
    <w:rsid w:val="00703CFA"/>
    <w:rsid w:val="0070436F"/>
    <w:rsid w:val="00704789"/>
    <w:rsid w:val="00705048"/>
    <w:rsid w:val="0070665B"/>
    <w:rsid w:val="00706A36"/>
    <w:rsid w:val="00711306"/>
    <w:rsid w:val="00714F46"/>
    <w:rsid w:val="007157C7"/>
    <w:rsid w:val="00720355"/>
    <w:rsid w:val="0072059E"/>
    <w:rsid w:val="00720822"/>
    <w:rsid w:val="00720A32"/>
    <w:rsid w:val="0072242E"/>
    <w:rsid w:val="0072257D"/>
    <w:rsid w:val="00722CF5"/>
    <w:rsid w:val="00722F46"/>
    <w:rsid w:val="007233DE"/>
    <w:rsid w:val="00724505"/>
    <w:rsid w:val="007249D7"/>
    <w:rsid w:val="0072764E"/>
    <w:rsid w:val="00733549"/>
    <w:rsid w:val="00735A04"/>
    <w:rsid w:val="00736983"/>
    <w:rsid w:val="0074081F"/>
    <w:rsid w:val="00740EE6"/>
    <w:rsid w:val="00741DEF"/>
    <w:rsid w:val="00743074"/>
    <w:rsid w:val="007434D9"/>
    <w:rsid w:val="007437D3"/>
    <w:rsid w:val="00745919"/>
    <w:rsid w:val="00745E97"/>
    <w:rsid w:val="007473B4"/>
    <w:rsid w:val="007477B7"/>
    <w:rsid w:val="0075258E"/>
    <w:rsid w:val="0075292A"/>
    <w:rsid w:val="00752A2B"/>
    <w:rsid w:val="00752A82"/>
    <w:rsid w:val="00752B17"/>
    <w:rsid w:val="0075347A"/>
    <w:rsid w:val="00754693"/>
    <w:rsid w:val="007550EA"/>
    <w:rsid w:val="0075574B"/>
    <w:rsid w:val="0075783B"/>
    <w:rsid w:val="00761305"/>
    <w:rsid w:val="00761E7A"/>
    <w:rsid w:val="007643C9"/>
    <w:rsid w:val="00764D97"/>
    <w:rsid w:val="00766157"/>
    <w:rsid w:val="00766773"/>
    <w:rsid w:val="00766B2E"/>
    <w:rsid w:val="0076744D"/>
    <w:rsid w:val="00770DCA"/>
    <w:rsid w:val="0077186E"/>
    <w:rsid w:val="007727E7"/>
    <w:rsid w:val="00774FCF"/>
    <w:rsid w:val="0077681A"/>
    <w:rsid w:val="00776DB9"/>
    <w:rsid w:val="00777463"/>
    <w:rsid w:val="00777476"/>
    <w:rsid w:val="00780DC6"/>
    <w:rsid w:val="007827C0"/>
    <w:rsid w:val="007837DE"/>
    <w:rsid w:val="00784E87"/>
    <w:rsid w:val="00785422"/>
    <w:rsid w:val="00785C0A"/>
    <w:rsid w:val="0078689A"/>
    <w:rsid w:val="00786ACE"/>
    <w:rsid w:val="00787ED1"/>
    <w:rsid w:val="0079042F"/>
    <w:rsid w:val="00790A7D"/>
    <w:rsid w:val="00795848"/>
    <w:rsid w:val="00795D24"/>
    <w:rsid w:val="00796699"/>
    <w:rsid w:val="00796985"/>
    <w:rsid w:val="007A08D4"/>
    <w:rsid w:val="007A168C"/>
    <w:rsid w:val="007A1CB9"/>
    <w:rsid w:val="007A1EEE"/>
    <w:rsid w:val="007A2735"/>
    <w:rsid w:val="007A34F1"/>
    <w:rsid w:val="007A3AAE"/>
    <w:rsid w:val="007A3D74"/>
    <w:rsid w:val="007A3E81"/>
    <w:rsid w:val="007A5BE6"/>
    <w:rsid w:val="007A670D"/>
    <w:rsid w:val="007A69CB"/>
    <w:rsid w:val="007A6D14"/>
    <w:rsid w:val="007A6FC5"/>
    <w:rsid w:val="007A7D46"/>
    <w:rsid w:val="007B03AF"/>
    <w:rsid w:val="007B043F"/>
    <w:rsid w:val="007B0DD6"/>
    <w:rsid w:val="007B0ECF"/>
    <w:rsid w:val="007B2368"/>
    <w:rsid w:val="007B2C68"/>
    <w:rsid w:val="007B2D5A"/>
    <w:rsid w:val="007B4172"/>
    <w:rsid w:val="007B51D5"/>
    <w:rsid w:val="007B5A43"/>
    <w:rsid w:val="007B66A8"/>
    <w:rsid w:val="007B67E7"/>
    <w:rsid w:val="007B6BDD"/>
    <w:rsid w:val="007B71CB"/>
    <w:rsid w:val="007C1592"/>
    <w:rsid w:val="007C188B"/>
    <w:rsid w:val="007C1CF8"/>
    <w:rsid w:val="007C1E30"/>
    <w:rsid w:val="007C2467"/>
    <w:rsid w:val="007C2FD4"/>
    <w:rsid w:val="007C34EB"/>
    <w:rsid w:val="007C4051"/>
    <w:rsid w:val="007C5BEE"/>
    <w:rsid w:val="007C5CA7"/>
    <w:rsid w:val="007C5EB9"/>
    <w:rsid w:val="007C6A5C"/>
    <w:rsid w:val="007C6DB2"/>
    <w:rsid w:val="007C6ED8"/>
    <w:rsid w:val="007C707D"/>
    <w:rsid w:val="007D2B13"/>
    <w:rsid w:val="007D3589"/>
    <w:rsid w:val="007D4D10"/>
    <w:rsid w:val="007D5590"/>
    <w:rsid w:val="007D68DC"/>
    <w:rsid w:val="007D695E"/>
    <w:rsid w:val="007D6A8F"/>
    <w:rsid w:val="007D6F17"/>
    <w:rsid w:val="007D7C26"/>
    <w:rsid w:val="007D7C9B"/>
    <w:rsid w:val="007D7EEB"/>
    <w:rsid w:val="007E03C4"/>
    <w:rsid w:val="007E20C6"/>
    <w:rsid w:val="007E25E6"/>
    <w:rsid w:val="007E3F3A"/>
    <w:rsid w:val="007E478D"/>
    <w:rsid w:val="007E4E47"/>
    <w:rsid w:val="007E528F"/>
    <w:rsid w:val="007E5CBE"/>
    <w:rsid w:val="007E6125"/>
    <w:rsid w:val="007E73F1"/>
    <w:rsid w:val="007F06D6"/>
    <w:rsid w:val="007F0EFE"/>
    <w:rsid w:val="007F153E"/>
    <w:rsid w:val="007F28C6"/>
    <w:rsid w:val="007F3B1F"/>
    <w:rsid w:val="007F46A4"/>
    <w:rsid w:val="007F5133"/>
    <w:rsid w:val="007F7BB7"/>
    <w:rsid w:val="0080059A"/>
    <w:rsid w:val="00801C63"/>
    <w:rsid w:val="00802449"/>
    <w:rsid w:val="00803CFA"/>
    <w:rsid w:val="00806ECC"/>
    <w:rsid w:val="0080797F"/>
    <w:rsid w:val="00807D1F"/>
    <w:rsid w:val="00810E79"/>
    <w:rsid w:val="00811F1C"/>
    <w:rsid w:val="008130DE"/>
    <w:rsid w:val="00813AB1"/>
    <w:rsid w:val="00813B12"/>
    <w:rsid w:val="0081709F"/>
    <w:rsid w:val="0081717D"/>
    <w:rsid w:val="00817BD5"/>
    <w:rsid w:val="00817D91"/>
    <w:rsid w:val="00820C0A"/>
    <w:rsid w:val="00820C7D"/>
    <w:rsid w:val="00820F38"/>
    <w:rsid w:val="008221B1"/>
    <w:rsid w:val="00822559"/>
    <w:rsid w:val="0082285F"/>
    <w:rsid w:val="00822E0A"/>
    <w:rsid w:val="008243A9"/>
    <w:rsid w:val="00824955"/>
    <w:rsid w:val="0082595D"/>
    <w:rsid w:val="00826683"/>
    <w:rsid w:val="0082683A"/>
    <w:rsid w:val="00826E7F"/>
    <w:rsid w:val="008270A6"/>
    <w:rsid w:val="008270FD"/>
    <w:rsid w:val="0083026D"/>
    <w:rsid w:val="00832FE6"/>
    <w:rsid w:val="00833D2B"/>
    <w:rsid w:val="00834085"/>
    <w:rsid w:val="00836A68"/>
    <w:rsid w:val="00843A74"/>
    <w:rsid w:val="00844042"/>
    <w:rsid w:val="008452AF"/>
    <w:rsid w:val="00845E53"/>
    <w:rsid w:val="008469D2"/>
    <w:rsid w:val="0085207E"/>
    <w:rsid w:val="0085267A"/>
    <w:rsid w:val="00852937"/>
    <w:rsid w:val="008533D2"/>
    <w:rsid w:val="008552B0"/>
    <w:rsid w:val="008579EB"/>
    <w:rsid w:val="00861002"/>
    <w:rsid w:val="008618EB"/>
    <w:rsid w:val="008620DF"/>
    <w:rsid w:val="008627CA"/>
    <w:rsid w:val="00863687"/>
    <w:rsid w:val="008637B8"/>
    <w:rsid w:val="00863BA4"/>
    <w:rsid w:val="0086503C"/>
    <w:rsid w:val="008653D4"/>
    <w:rsid w:val="00867955"/>
    <w:rsid w:val="00870361"/>
    <w:rsid w:val="00871B54"/>
    <w:rsid w:val="0087230E"/>
    <w:rsid w:val="008740CB"/>
    <w:rsid w:val="008754C3"/>
    <w:rsid w:val="008755B4"/>
    <w:rsid w:val="00875C12"/>
    <w:rsid w:val="008760E8"/>
    <w:rsid w:val="00880A17"/>
    <w:rsid w:val="00880A87"/>
    <w:rsid w:val="008814B9"/>
    <w:rsid w:val="008821CB"/>
    <w:rsid w:val="00883526"/>
    <w:rsid w:val="00883C3A"/>
    <w:rsid w:val="00884067"/>
    <w:rsid w:val="00884938"/>
    <w:rsid w:val="0088548A"/>
    <w:rsid w:val="00885D7A"/>
    <w:rsid w:val="00886AE1"/>
    <w:rsid w:val="008872F4"/>
    <w:rsid w:val="00891342"/>
    <w:rsid w:val="00891DCB"/>
    <w:rsid w:val="008957E6"/>
    <w:rsid w:val="00895EF7"/>
    <w:rsid w:val="008A1009"/>
    <w:rsid w:val="008A13BF"/>
    <w:rsid w:val="008A207E"/>
    <w:rsid w:val="008A2A1A"/>
    <w:rsid w:val="008A3526"/>
    <w:rsid w:val="008A453D"/>
    <w:rsid w:val="008A500F"/>
    <w:rsid w:val="008A5D98"/>
    <w:rsid w:val="008A7DAE"/>
    <w:rsid w:val="008A7EBD"/>
    <w:rsid w:val="008B050E"/>
    <w:rsid w:val="008B0902"/>
    <w:rsid w:val="008B0F45"/>
    <w:rsid w:val="008B16D6"/>
    <w:rsid w:val="008B222E"/>
    <w:rsid w:val="008B2730"/>
    <w:rsid w:val="008B4BB2"/>
    <w:rsid w:val="008B51CF"/>
    <w:rsid w:val="008B599E"/>
    <w:rsid w:val="008B5C85"/>
    <w:rsid w:val="008B66D9"/>
    <w:rsid w:val="008C0299"/>
    <w:rsid w:val="008C0472"/>
    <w:rsid w:val="008C0EBA"/>
    <w:rsid w:val="008C158B"/>
    <w:rsid w:val="008C2AE6"/>
    <w:rsid w:val="008C549B"/>
    <w:rsid w:val="008C5BA4"/>
    <w:rsid w:val="008C62E8"/>
    <w:rsid w:val="008C78AA"/>
    <w:rsid w:val="008D0883"/>
    <w:rsid w:val="008D2185"/>
    <w:rsid w:val="008D3448"/>
    <w:rsid w:val="008D4B11"/>
    <w:rsid w:val="008D655B"/>
    <w:rsid w:val="008D7022"/>
    <w:rsid w:val="008E07FF"/>
    <w:rsid w:val="008E13F7"/>
    <w:rsid w:val="008E44D9"/>
    <w:rsid w:val="008E6E4D"/>
    <w:rsid w:val="008E74CF"/>
    <w:rsid w:val="008E7532"/>
    <w:rsid w:val="008F115D"/>
    <w:rsid w:val="008F2431"/>
    <w:rsid w:val="008F4402"/>
    <w:rsid w:val="008F6C2F"/>
    <w:rsid w:val="008F7016"/>
    <w:rsid w:val="0090040B"/>
    <w:rsid w:val="00902297"/>
    <w:rsid w:val="00903399"/>
    <w:rsid w:val="00903BE5"/>
    <w:rsid w:val="009040D6"/>
    <w:rsid w:val="00911314"/>
    <w:rsid w:val="00911CF7"/>
    <w:rsid w:val="00911D10"/>
    <w:rsid w:val="00912602"/>
    <w:rsid w:val="0091349C"/>
    <w:rsid w:val="00913945"/>
    <w:rsid w:val="00914C97"/>
    <w:rsid w:val="00915AB5"/>
    <w:rsid w:val="00915C58"/>
    <w:rsid w:val="009160C4"/>
    <w:rsid w:val="0091670D"/>
    <w:rsid w:val="00917506"/>
    <w:rsid w:val="00917ACD"/>
    <w:rsid w:val="00917DAC"/>
    <w:rsid w:val="00920833"/>
    <w:rsid w:val="00920895"/>
    <w:rsid w:val="00921474"/>
    <w:rsid w:val="00922483"/>
    <w:rsid w:val="00923408"/>
    <w:rsid w:val="009250E8"/>
    <w:rsid w:val="00925FD4"/>
    <w:rsid w:val="009267B1"/>
    <w:rsid w:val="009302FF"/>
    <w:rsid w:val="00930B2B"/>
    <w:rsid w:val="00931453"/>
    <w:rsid w:val="0093184E"/>
    <w:rsid w:val="00931ED1"/>
    <w:rsid w:val="0093420C"/>
    <w:rsid w:val="009345C0"/>
    <w:rsid w:val="00935A17"/>
    <w:rsid w:val="009377B2"/>
    <w:rsid w:val="009404D0"/>
    <w:rsid w:val="00944465"/>
    <w:rsid w:val="009449C1"/>
    <w:rsid w:val="00946452"/>
    <w:rsid w:val="009466D9"/>
    <w:rsid w:val="0094699D"/>
    <w:rsid w:val="00947AF7"/>
    <w:rsid w:val="00947E36"/>
    <w:rsid w:val="0095018E"/>
    <w:rsid w:val="00950B12"/>
    <w:rsid w:val="009511D3"/>
    <w:rsid w:val="0095144D"/>
    <w:rsid w:val="00952219"/>
    <w:rsid w:val="00953F9B"/>
    <w:rsid w:val="00954AA0"/>
    <w:rsid w:val="00954C7A"/>
    <w:rsid w:val="00955372"/>
    <w:rsid w:val="00955F41"/>
    <w:rsid w:val="00956172"/>
    <w:rsid w:val="00956344"/>
    <w:rsid w:val="00956C08"/>
    <w:rsid w:val="009577BF"/>
    <w:rsid w:val="009601DE"/>
    <w:rsid w:val="00961B2C"/>
    <w:rsid w:val="009621D9"/>
    <w:rsid w:val="0096535B"/>
    <w:rsid w:val="00965D74"/>
    <w:rsid w:val="009663AF"/>
    <w:rsid w:val="0096653F"/>
    <w:rsid w:val="00967194"/>
    <w:rsid w:val="009673F6"/>
    <w:rsid w:val="009675E0"/>
    <w:rsid w:val="009709F0"/>
    <w:rsid w:val="00971036"/>
    <w:rsid w:val="00971739"/>
    <w:rsid w:val="00971ACA"/>
    <w:rsid w:val="009733BD"/>
    <w:rsid w:val="00976519"/>
    <w:rsid w:val="00976B6A"/>
    <w:rsid w:val="009830C9"/>
    <w:rsid w:val="009834CC"/>
    <w:rsid w:val="009844A4"/>
    <w:rsid w:val="009860BC"/>
    <w:rsid w:val="00986C93"/>
    <w:rsid w:val="00987C49"/>
    <w:rsid w:val="009910B2"/>
    <w:rsid w:val="00992051"/>
    <w:rsid w:val="00992459"/>
    <w:rsid w:val="00992A8A"/>
    <w:rsid w:val="00996793"/>
    <w:rsid w:val="009973BA"/>
    <w:rsid w:val="009A0385"/>
    <w:rsid w:val="009A03A2"/>
    <w:rsid w:val="009A223D"/>
    <w:rsid w:val="009A3078"/>
    <w:rsid w:val="009A37F0"/>
    <w:rsid w:val="009A3A14"/>
    <w:rsid w:val="009A6716"/>
    <w:rsid w:val="009A72F0"/>
    <w:rsid w:val="009B2580"/>
    <w:rsid w:val="009B29BA"/>
    <w:rsid w:val="009B34EA"/>
    <w:rsid w:val="009B3914"/>
    <w:rsid w:val="009B3B73"/>
    <w:rsid w:val="009B4DC6"/>
    <w:rsid w:val="009B4F3B"/>
    <w:rsid w:val="009B644C"/>
    <w:rsid w:val="009B668B"/>
    <w:rsid w:val="009B66FC"/>
    <w:rsid w:val="009B773A"/>
    <w:rsid w:val="009C0FC9"/>
    <w:rsid w:val="009C196B"/>
    <w:rsid w:val="009C2027"/>
    <w:rsid w:val="009C2A1B"/>
    <w:rsid w:val="009C2D64"/>
    <w:rsid w:val="009C3758"/>
    <w:rsid w:val="009C3C62"/>
    <w:rsid w:val="009C49DF"/>
    <w:rsid w:val="009C4A64"/>
    <w:rsid w:val="009C4FAF"/>
    <w:rsid w:val="009C55B7"/>
    <w:rsid w:val="009C5B98"/>
    <w:rsid w:val="009C6F50"/>
    <w:rsid w:val="009C72EA"/>
    <w:rsid w:val="009D1188"/>
    <w:rsid w:val="009D4024"/>
    <w:rsid w:val="009D4579"/>
    <w:rsid w:val="009D48F0"/>
    <w:rsid w:val="009D5AAA"/>
    <w:rsid w:val="009D5DAF"/>
    <w:rsid w:val="009D6425"/>
    <w:rsid w:val="009D6954"/>
    <w:rsid w:val="009D6D14"/>
    <w:rsid w:val="009D716C"/>
    <w:rsid w:val="009E07B4"/>
    <w:rsid w:val="009E1733"/>
    <w:rsid w:val="009E20A2"/>
    <w:rsid w:val="009E3175"/>
    <w:rsid w:val="009E4025"/>
    <w:rsid w:val="009E4425"/>
    <w:rsid w:val="009E4481"/>
    <w:rsid w:val="009E4B25"/>
    <w:rsid w:val="009E4BA8"/>
    <w:rsid w:val="009E73CE"/>
    <w:rsid w:val="009E7ECE"/>
    <w:rsid w:val="009F01FB"/>
    <w:rsid w:val="009F0275"/>
    <w:rsid w:val="009F07DC"/>
    <w:rsid w:val="009F0A43"/>
    <w:rsid w:val="009F0D62"/>
    <w:rsid w:val="009F1746"/>
    <w:rsid w:val="009F1B07"/>
    <w:rsid w:val="009F1C72"/>
    <w:rsid w:val="009F209D"/>
    <w:rsid w:val="009F27DF"/>
    <w:rsid w:val="009F2933"/>
    <w:rsid w:val="009F3109"/>
    <w:rsid w:val="009F3343"/>
    <w:rsid w:val="009F33A9"/>
    <w:rsid w:val="009F3E56"/>
    <w:rsid w:val="009F59F4"/>
    <w:rsid w:val="009F7B58"/>
    <w:rsid w:val="00A01F07"/>
    <w:rsid w:val="00A02428"/>
    <w:rsid w:val="00A02730"/>
    <w:rsid w:val="00A02F86"/>
    <w:rsid w:val="00A03942"/>
    <w:rsid w:val="00A04E3C"/>
    <w:rsid w:val="00A061E5"/>
    <w:rsid w:val="00A10628"/>
    <w:rsid w:val="00A10D69"/>
    <w:rsid w:val="00A117ED"/>
    <w:rsid w:val="00A11C5F"/>
    <w:rsid w:val="00A1431B"/>
    <w:rsid w:val="00A14673"/>
    <w:rsid w:val="00A14BBF"/>
    <w:rsid w:val="00A1609E"/>
    <w:rsid w:val="00A16B6D"/>
    <w:rsid w:val="00A16E7B"/>
    <w:rsid w:val="00A17370"/>
    <w:rsid w:val="00A178A9"/>
    <w:rsid w:val="00A17D2A"/>
    <w:rsid w:val="00A20251"/>
    <w:rsid w:val="00A2091E"/>
    <w:rsid w:val="00A209E5"/>
    <w:rsid w:val="00A20B29"/>
    <w:rsid w:val="00A24E64"/>
    <w:rsid w:val="00A276FC"/>
    <w:rsid w:val="00A27A83"/>
    <w:rsid w:val="00A27F22"/>
    <w:rsid w:val="00A3092B"/>
    <w:rsid w:val="00A31855"/>
    <w:rsid w:val="00A32D03"/>
    <w:rsid w:val="00A34860"/>
    <w:rsid w:val="00A34C2B"/>
    <w:rsid w:val="00A3655D"/>
    <w:rsid w:val="00A3712A"/>
    <w:rsid w:val="00A37783"/>
    <w:rsid w:val="00A400DA"/>
    <w:rsid w:val="00A40622"/>
    <w:rsid w:val="00A40D17"/>
    <w:rsid w:val="00A418CF"/>
    <w:rsid w:val="00A41E36"/>
    <w:rsid w:val="00A42C16"/>
    <w:rsid w:val="00A44226"/>
    <w:rsid w:val="00A44E4A"/>
    <w:rsid w:val="00A46508"/>
    <w:rsid w:val="00A500A7"/>
    <w:rsid w:val="00A54626"/>
    <w:rsid w:val="00A54A7F"/>
    <w:rsid w:val="00A54DD2"/>
    <w:rsid w:val="00A54DE3"/>
    <w:rsid w:val="00A54F8F"/>
    <w:rsid w:val="00A5601A"/>
    <w:rsid w:val="00A56868"/>
    <w:rsid w:val="00A57654"/>
    <w:rsid w:val="00A605F2"/>
    <w:rsid w:val="00A618B1"/>
    <w:rsid w:val="00A61A6C"/>
    <w:rsid w:val="00A61D09"/>
    <w:rsid w:val="00A62333"/>
    <w:rsid w:val="00A626FB"/>
    <w:rsid w:val="00A62F3E"/>
    <w:rsid w:val="00A63D7A"/>
    <w:rsid w:val="00A6482A"/>
    <w:rsid w:val="00A64E1B"/>
    <w:rsid w:val="00A65CC3"/>
    <w:rsid w:val="00A65F82"/>
    <w:rsid w:val="00A6740F"/>
    <w:rsid w:val="00A67CA2"/>
    <w:rsid w:val="00A720BB"/>
    <w:rsid w:val="00A72719"/>
    <w:rsid w:val="00A7314E"/>
    <w:rsid w:val="00A73789"/>
    <w:rsid w:val="00A73C2A"/>
    <w:rsid w:val="00A75B15"/>
    <w:rsid w:val="00A75E54"/>
    <w:rsid w:val="00A7634E"/>
    <w:rsid w:val="00A77522"/>
    <w:rsid w:val="00A81717"/>
    <w:rsid w:val="00A82025"/>
    <w:rsid w:val="00A82E23"/>
    <w:rsid w:val="00A83797"/>
    <w:rsid w:val="00A86415"/>
    <w:rsid w:val="00A86CA0"/>
    <w:rsid w:val="00A86CD1"/>
    <w:rsid w:val="00A92637"/>
    <w:rsid w:val="00A927ED"/>
    <w:rsid w:val="00A92BCD"/>
    <w:rsid w:val="00A93A32"/>
    <w:rsid w:val="00A94B62"/>
    <w:rsid w:val="00A95063"/>
    <w:rsid w:val="00A95F25"/>
    <w:rsid w:val="00A97684"/>
    <w:rsid w:val="00A976AC"/>
    <w:rsid w:val="00A977E3"/>
    <w:rsid w:val="00A97A3B"/>
    <w:rsid w:val="00AA140B"/>
    <w:rsid w:val="00AA2398"/>
    <w:rsid w:val="00AA2624"/>
    <w:rsid w:val="00AA2FE1"/>
    <w:rsid w:val="00AA32BE"/>
    <w:rsid w:val="00AA34E4"/>
    <w:rsid w:val="00AA41E3"/>
    <w:rsid w:val="00AA5648"/>
    <w:rsid w:val="00AB0414"/>
    <w:rsid w:val="00AB07DB"/>
    <w:rsid w:val="00AB1280"/>
    <w:rsid w:val="00AB1A0A"/>
    <w:rsid w:val="00AB1E27"/>
    <w:rsid w:val="00AB1F51"/>
    <w:rsid w:val="00AB2543"/>
    <w:rsid w:val="00AB25F4"/>
    <w:rsid w:val="00AB3D73"/>
    <w:rsid w:val="00AB461B"/>
    <w:rsid w:val="00AB4BD7"/>
    <w:rsid w:val="00AB592A"/>
    <w:rsid w:val="00AB5FF8"/>
    <w:rsid w:val="00AB79EA"/>
    <w:rsid w:val="00AB7C79"/>
    <w:rsid w:val="00AB7F24"/>
    <w:rsid w:val="00AC0593"/>
    <w:rsid w:val="00AC087A"/>
    <w:rsid w:val="00AC14BF"/>
    <w:rsid w:val="00AC2971"/>
    <w:rsid w:val="00AC31B1"/>
    <w:rsid w:val="00AC41A7"/>
    <w:rsid w:val="00AC4A4E"/>
    <w:rsid w:val="00AC4C4D"/>
    <w:rsid w:val="00AC4CE3"/>
    <w:rsid w:val="00AC58A8"/>
    <w:rsid w:val="00AC5D4F"/>
    <w:rsid w:val="00AC661E"/>
    <w:rsid w:val="00AC6C90"/>
    <w:rsid w:val="00AC77B1"/>
    <w:rsid w:val="00AC7FF6"/>
    <w:rsid w:val="00AD0814"/>
    <w:rsid w:val="00AD0825"/>
    <w:rsid w:val="00AD24E9"/>
    <w:rsid w:val="00AD5051"/>
    <w:rsid w:val="00AD5B8E"/>
    <w:rsid w:val="00AD5E18"/>
    <w:rsid w:val="00AD627D"/>
    <w:rsid w:val="00AD6AD7"/>
    <w:rsid w:val="00AD7113"/>
    <w:rsid w:val="00AD7159"/>
    <w:rsid w:val="00AE041F"/>
    <w:rsid w:val="00AE079B"/>
    <w:rsid w:val="00AE0EF7"/>
    <w:rsid w:val="00AE2128"/>
    <w:rsid w:val="00AE2E6C"/>
    <w:rsid w:val="00AE39F1"/>
    <w:rsid w:val="00AE3DE7"/>
    <w:rsid w:val="00AE3FB4"/>
    <w:rsid w:val="00AE4B31"/>
    <w:rsid w:val="00AE5859"/>
    <w:rsid w:val="00AE587D"/>
    <w:rsid w:val="00AE68F5"/>
    <w:rsid w:val="00AE6EA0"/>
    <w:rsid w:val="00AE7878"/>
    <w:rsid w:val="00AF0223"/>
    <w:rsid w:val="00AF0354"/>
    <w:rsid w:val="00AF2BC9"/>
    <w:rsid w:val="00AF486D"/>
    <w:rsid w:val="00AF4F21"/>
    <w:rsid w:val="00AF5124"/>
    <w:rsid w:val="00AF54F4"/>
    <w:rsid w:val="00AF639C"/>
    <w:rsid w:val="00AF7695"/>
    <w:rsid w:val="00AF7E3A"/>
    <w:rsid w:val="00B008A4"/>
    <w:rsid w:val="00B02034"/>
    <w:rsid w:val="00B02309"/>
    <w:rsid w:val="00B025DD"/>
    <w:rsid w:val="00B0287B"/>
    <w:rsid w:val="00B02E87"/>
    <w:rsid w:val="00B03EB1"/>
    <w:rsid w:val="00B04477"/>
    <w:rsid w:val="00B0488C"/>
    <w:rsid w:val="00B052D5"/>
    <w:rsid w:val="00B07002"/>
    <w:rsid w:val="00B0761B"/>
    <w:rsid w:val="00B07F55"/>
    <w:rsid w:val="00B1126D"/>
    <w:rsid w:val="00B1366C"/>
    <w:rsid w:val="00B15441"/>
    <w:rsid w:val="00B161F4"/>
    <w:rsid w:val="00B2057F"/>
    <w:rsid w:val="00B206A1"/>
    <w:rsid w:val="00B22276"/>
    <w:rsid w:val="00B23BAC"/>
    <w:rsid w:val="00B255A2"/>
    <w:rsid w:val="00B25C22"/>
    <w:rsid w:val="00B3016A"/>
    <w:rsid w:val="00B30335"/>
    <w:rsid w:val="00B31943"/>
    <w:rsid w:val="00B32463"/>
    <w:rsid w:val="00B333D0"/>
    <w:rsid w:val="00B33D43"/>
    <w:rsid w:val="00B348EB"/>
    <w:rsid w:val="00B378E0"/>
    <w:rsid w:val="00B4028E"/>
    <w:rsid w:val="00B40532"/>
    <w:rsid w:val="00B428A8"/>
    <w:rsid w:val="00B43270"/>
    <w:rsid w:val="00B4338C"/>
    <w:rsid w:val="00B4434A"/>
    <w:rsid w:val="00B447BC"/>
    <w:rsid w:val="00B47009"/>
    <w:rsid w:val="00B47BB5"/>
    <w:rsid w:val="00B50BF6"/>
    <w:rsid w:val="00B50C75"/>
    <w:rsid w:val="00B54840"/>
    <w:rsid w:val="00B55F18"/>
    <w:rsid w:val="00B565C5"/>
    <w:rsid w:val="00B56C4C"/>
    <w:rsid w:val="00B574BF"/>
    <w:rsid w:val="00B63394"/>
    <w:rsid w:val="00B63BA6"/>
    <w:rsid w:val="00B6495C"/>
    <w:rsid w:val="00B657A7"/>
    <w:rsid w:val="00B66DFE"/>
    <w:rsid w:val="00B67EAA"/>
    <w:rsid w:val="00B706B5"/>
    <w:rsid w:val="00B72AE0"/>
    <w:rsid w:val="00B732F1"/>
    <w:rsid w:val="00B74D7F"/>
    <w:rsid w:val="00B74F37"/>
    <w:rsid w:val="00B758B3"/>
    <w:rsid w:val="00B76778"/>
    <w:rsid w:val="00B77C2C"/>
    <w:rsid w:val="00B81F2C"/>
    <w:rsid w:val="00B845F6"/>
    <w:rsid w:val="00B859BD"/>
    <w:rsid w:val="00B85FD8"/>
    <w:rsid w:val="00B87156"/>
    <w:rsid w:val="00B8727B"/>
    <w:rsid w:val="00B90165"/>
    <w:rsid w:val="00B9124D"/>
    <w:rsid w:val="00B914EE"/>
    <w:rsid w:val="00B92AEC"/>
    <w:rsid w:val="00B93DC3"/>
    <w:rsid w:val="00B95E6C"/>
    <w:rsid w:val="00B96359"/>
    <w:rsid w:val="00BA23B1"/>
    <w:rsid w:val="00BA26F5"/>
    <w:rsid w:val="00BA2F14"/>
    <w:rsid w:val="00BA2F65"/>
    <w:rsid w:val="00BA36D6"/>
    <w:rsid w:val="00BA45A5"/>
    <w:rsid w:val="00BA4D7E"/>
    <w:rsid w:val="00BA6A08"/>
    <w:rsid w:val="00BA7B5E"/>
    <w:rsid w:val="00BA7CC9"/>
    <w:rsid w:val="00BB0BB9"/>
    <w:rsid w:val="00BB10F0"/>
    <w:rsid w:val="00BB4085"/>
    <w:rsid w:val="00BB4572"/>
    <w:rsid w:val="00BB6690"/>
    <w:rsid w:val="00BC083E"/>
    <w:rsid w:val="00BC5542"/>
    <w:rsid w:val="00BC555B"/>
    <w:rsid w:val="00BC5679"/>
    <w:rsid w:val="00BC5F97"/>
    <w:rsid w:val="00BC7181"/>
    <w:rsid w:val="00BC7995"/>
    <w:rsid w:val="00BC7F42"/>
    <w:rsid w:val="00BD146E"/>
    <w:rsid w:val="00BD2C42"/>
    <w:rsid w:val="00BD2F0A"/>
    <w:rsid w:val="00BD34E2"/>
    <w:rsid w:val="00BD4361"/>
    <w:rsid w:val="00BD6077"/>
    <w:rsid w:val="00BD64EA"/>
    <w:rsid w:val="00BD6940"/>
    <w:rsid w:val="00BD6CF6"/>
    <w:rsid w:val="00BD7985"/>
    <w:rsid w:val="00BE0B06"/>
    <w:rsid w:val="00BE1B2A"/>
    <w:rsid w:val="00BE4A34"/>
    <w:rsid w:val="00BE4E84"/>
    <w:rsid w:val="00BE4F0D"/>
    <w:rsid w:val="00BE5928"/>
    <w:rsid w:val="00BE6A63"/>
    <w:rsid w:val="00BE7114"/>
    <w:rsid w:val="00BE764C"/>
    <w:rsid w:val="00BF0C85"/>
    <w:rsid w:val="00BF1220"/>
    <w:rsid w:val="00BF5951"/>
    <w:rsid w:val="00BF61A1"/>
    <w:rsid w:val="00BF6E08"/>
    <w:rsid w:val="00C00265"/>
    <w:rsid w:val="00C0205C"/>
    <w:rsid w:val="00C0284D"/>
    <w:rsid w:val="00C03EF5"/>
    <w:rsid w:val="00C0429A"/>
    <w:rsid w:val="00C04A15"/>
    <w:rsid w:val="00C07637"/>
    <w:rsid w:val="00C0774A"/>
    <w:rsid w:val="00C07D8A"/>
    <w:rsid w:val="00C10A98"/>
    <w:rsid w:val="00C11984"/>
    <w:rsid w:val="00C11FD9"/>
    <w:rsid w:val="00C1493D"/>
    <w:rsid w:val="00C150C9"/>
    <w:rsid w:val="00C16650"/>
    <w:rsid w:val="00C170B7"/>
    <w:rsid w:val="00C20064"/>
    <w:rsid w:val="00C20374"/>
    <w:rsid w:val="00C20B8F"/>
    <w:rsid w:val="00C223B7"/>
    <w:rsid w:val="00C23363"/>
    <w:rsid w:val="00C234F2"/>
    <w:rsid w:val="00C23FB6"/>
    <w:rsid w:val="00C25C27"/>
    <w:rsid w:val="00C26A4C"/>
    <w:rsid w:val="00C26CD2"/>
    <w:rsid w:val="00C26F87"/>
    <w:rsid w:val="00C27FA6"/>
    <w:rsid w:val="00C30A78"/>
    <w:rsid w:val="00C30A80"/>
    <w:rsid w:val="00C3157E"/>
    <w:rsid w:val="00C31C62"/>
    <w:rsid w:val="00C31DD4"/>
    <w:rsid w:val="00C31F99"/>
    <w:rsid w:val="00C347A1"/>
    <w:rsid w:val="00C34979"/>
    <w:rsid w:val="00C34A85"/>
    <w:rsid w:val="00C34E7A"/>
    <w:rsid w:val="00C37F78"/>
    <w:rsid w:val="00C403F0"/>
    <w:rsid w:val="00C409F8"/>
    <w:rsid w:val="00C40A3D"/>
    <w:rsid w:val="00C41035"/>
    <w:rsid w:val="00C421CE"/>
    <w:rsid w:val="00C42E3B"/>
    <w:rsid w:val="00C42FE9"/>
    <w:rsid w:val="00C43D7D"/>
    <w:rsid w:val="00C44276"/>
    <w:rsid w:val="00C456A5"/>
    <w:rsid w:val="00C4739D"/>
    <w:rsid w:val="00C47CC7"/>
    <w:rsid w:val="00C50846"/>
    <w:rsid w:val="00C52431"/>
    <w:rsid w:val="00C54E1B"/>
    <w:rsid w:val="00C54E8A"/>
    <w:rsid w:val="00C55201"/>
    <w:rsid w:val="00C55E9E"/>
    <w:rsid w:val="00C55FE3"/>
    <w:rsid w:val="00C577C9"/>
    <w:rsid w:val="00C57CFE"/>
    <w:rsid w:val="00C612CB"/>
    <w:rsid w:val="00C629B1"/>
    <w:rsid w:val="00C62E86"/>
    <w:rsid w:val="00C64C45"/>
    <w:rsid w:val="00C64CC2"/>
    <w:rsid w:val="00C657ED"/>
    <w:rsid w:val="00C65E3B"/>
    <w:rsid w:val="00C663FD"/>
    <w:rsid w:val="00C67D28"/>
    <w:rsid w:val="00C7051A"/>
    <w:rsid w:val="00C712CA"/>
    <w:rsid w:val="00C7226E"/>
    <w:rsid w:val="00C73A40"/>
    <w:rsid w:val="00C76CE5"/>
    <w:rsid w:val="00C80CEB"/>
    <w:rsid w:val="00C82774"/>
    <w:rsid w:val="00C828EC"/>
    <w:rsid w:val="00C83732"/>
    <w:rsid w:val="00C83CF0"/>
    <w:rsid w:val="00C84AD5"/>
    <w:rsid w:val="00C85498"/>
    <w:rsid w:val="00C8696B"/>
    <w:rsid w:val="00C86CCA"/>
    <w:rsid w:val="00C86F93"/>
    <w:rsid w:val="00C87795"/>
    <w:rsid w:val="00C9068F"/>
    <w:rsid w:val="00C9101D"/>
    <w:rsid w:val="00C9129F"/>
    <w:rsid w:val="00C91F9C"/>
    <w:rsid w:val="00C930A7"/>
    <w:rsid w:val="00C97054"/>
    <w:rsid w:val="00CA0829"/>
    <w:rsid w:val="00CA1665"/>
    <w:rsid w:val="00CA36A0"/>
    <w:rsid w:val="00CA3EF0"/>
    <w:rsid w:val="00CA67EE"/>
    <w:rsid w:val="00CA7EAE"/>
    <w:rsid w:val="00CB1334"/>
    <w:rsid w:val="00CB193F"/>
    <w:rsid w:val="00CB2514"/>
    <w:rsid w:val="00CB321B"/>
    <w:rsid w:val="00CB3680"/>
    <w:rsid w:val="00CB3DDB"/>
    <w:rsid w:val="00CB4A2B"/>
    <w:rsid w:val="00CB66D0"/>
    <w:rsid w:val="00CB72B8"/>
    <w:rsid w:val="00CB7FE2"/>
    <w:rsid w:val="00CC03AA"/>
    <w:rsid w:val="00CC0724"/>
    <w:rsid w:val="00CC1203"/>
    <w:rsid w:val="00CC1379"/>
    <w:rsid w:val="00CC4808"/>
    <w:rsid w:val="00CC4AB8"/>
    <w:rsid w:val="00CC6E2A"/>
    <w:rsid w:val="00CD0339"/>
    <w:rsid w:val="00CD04C0"/>
    <w:rsid w:val="00CD0A45"/>
    <w:rsid w:val="00CD0D37"/>
    <w:rsid w:val="00CD22EF"/>
    <w:rsid w:val="00CD499D"/>
    <w:rsid w:val="00CD5147"/>
    <w:rsid w:val="00CD517C"/>
    <w:rsid w:val="00CD5F39"/>
    <w:rsid w:val="00CD614D"/>
    <w:rsid w:val="00CD69F6"/>
    <w:rsid w:val="00CE2073"/>
    <w:rsid w:val="00CE2EEB"/>
    <w:rsid w:val="00CE4D85"/>
    <w:rsid w:val="00CE4FAA"/>
    <w:rsid w:val="00CE5E10"/>
    <w:rsid w:val="00CE6208"/>
    <w:rsid w:val="00CE70FD"/>
    <w:rsid w:val="00CE727F"/>
    <w:rsid w:val="00CE74AE"/>
    <w:rsid w:val="00CE7886"/>
    <w:rsid w:val="00CF0615"/>
    <w:rsid w:val="00CF0EB3"/>
    <w:rsid w:val="00CF142F"/>
    <w:rsid w:val="00CF178F"/>
    <w:rsid w:val="00CF1D4D"/>
    <w:rsid w:val="00CF2176"/>
    <w:rsid w:val="00CF251C"/>
    <w:rsid w:val="00CF291C"/>
    <w:rsid w:val="00CF2CC3"/>
    <w:rsid w:val="00D006F9"/>
    <w:rsid w:val="00D00AD8"/>
    <w:rsid w:val="00D01B68"/>
    <w:rsid w:val="00D01BAF"/>
    <w:rsid w:val="00D02499"/>
    <w:rsid w:val="00D03198"/>
    <w:rsid w:val="00D05654"/>
    <w:rsid w:val="00D0589B"/>
    <w:rsid w:val="00D07A37"/>
    <w:rsid w:val="00D07C2D"/>
    <w:rsid w:val="00D10175"/>
    <w:rsid w:val="00D11768"/>
    <w:rsid w:val="00D12AA9"/>
    <w:rsid w:val="00D13231"/>
    <w:rsid w:val="00D13E59"/>
    <w:rsid w:val="00D14360"/>
    <w:rsid w:val="00D15014"/>
    <w:rsid w:val="00D1534C"/>
    <w:rsid w:val="00D15624"/>
    <w:rsid w:val="00D17F05"/>
    <w:rsid w:val="00D20C66"/>
    <w:rsid w:val="00D21EC4"/>
    <w:rsid w:val="00D2308C"/>
    <w:rsid w:val="00D239EF"/>
    <w:rsid w:val="00D26FC4"/>
    <w:rsid w:val="00D27082"/>
    <w:rsid w:val="00D27F6E"/>
    <w:rsid w:val="00D305BD"/>
    <w:rsid w:val="00D309CE"/>
    <w:rsid w:val="00D31192"/>
    <w:rsid w:val="00D315C4"/>
    <w:rsid w:val="00D322B2"/>
    <w:rsid w:val="00D3329F"/>
    <w:rsid w:val="00D35254"/>
    <w:rsid w:val="00D3663A"/>
    <w:rsid w:val="00D372A0"/>
    <w:rsid w:val="00D37E79"/>
    <w:rsid w:val="00D40A42"/>
    <w:rsid w:val="00D422F0"/>
    <w:rsid w:val="00D43B0D"/>
    <w:rsid w:val="00D45185"/>
    <w:rsid w:val="00D452E3"/>
    <w:rsid w:val="00D45FC8"/>
    <w:rsid w:val="00D46EF3"/>
    <w:rsid w:val="00D47607"/>
    <w:rsid w:val="00D501E2"/>
    <w:rsid w:val="00D50869"/>
    <w:rsid w:val="00D5209F"/>
    <w:rsid w:val="00D5297C"/>
    <w:rsid w:val="00D55766"/>
    <w:rsid w:val="00D56144"/>
    <w:rsid w:val="00D563D3"/>
    <w:rsid w:val="00D5706E"/>
    <w:rsid w:val="00D6028C"/>
    <w:rsid w:val="00D6493B"/>
    <w:rsid w:val="00D6538F"/>
    <w:rsid w:val="00D6692D"/>
    <w:rsid w:val="00D671BE"/>
    <w:rsid w:val="00D70A6C"/>
    <w:rsid w:val="00D70A86"/>
    <w:rsid w:val="00D70D2C"/>
    <w:rsid w:val="00D73BA0"/>
    <w:rsid w:val="00D7453A"/>
    <w:rsid w:val="00D75BF6"/>
    <w:rsid w:val="00D75DA8"/>
    <w:rsid w:val="00D75E23"/>
    <w:rsid w:val="00D7653D"/>
    <w:rsid w:val="00D76D0B"/>
    <w:rsid w:val="00D7753F"/>
    <w:rsid w:val="00D77E3F"/>
    <w:rsid w:val="00D82BD3"/>
    <w:rsid w:val="00D833B5"/>
    <w:rsid w:val="00D8429C"/>
    <w:rsid w:val="00D84C88"/>
    <w:rsid w:val="00D85565"/>
    <w:rsid w:val="00D856B7"/>
    <w:rsid w:val="00D900FA"/>
    <w:rsid w:val="00D90626"/>
    <w:rsid w:val="00D9171A"/>
    <w:rsid w:val="00D917E5"/>
    <w:rsid w:val="00D92982"/>
    <w:rsid w:val="00D92A72"/>
    <w:rsid w:val="00D92CC7"/>
    <w:rsid w:val="00D93560"/>
    <w:rsid w:val="00D93A40"/>
    <w:rsid w:val="00D94DB6"/>
    <w:rsid w:val="00D96FA7"/>
    <w:rsid w:val="00D97D24"/>
    <w:rsid w:val="00DA0EDE"/>
    <w:rsid w:val="00DA166F"/>
    <w:rsid w:val="00DA22FF"/>
    <w:rsid w:val="00DA3D5E"/>
    <w:rsid w:val="00DA3E1A"/>
    <w:rsid w:val="00DA4A5B"/>
    <w:rsid w:val="00DA50E4"/>
    <w:rsid w:val="00DA6E5D"/>
    <w:rsid w:val="00DB0FEF"/>
    <w:rsid w:val="00DB1CF5"/>
    <w:rsid w:val="00DB218D"/>
    <w:rsid w:val="00DB24D9"/>
    <w:rsid w:val="00DB2768"/>
    <w:rsid w:val="00DB4927"/>
    <w:rsid w:val="00DB5204"/>
    <w:rsid w:val="00DB59CE"/>
    <w:rsid w:val="00DB63F0"/>
    <w:rsid w:val="00DB6CA6"/>
    <w:rsid w:val="00DC0103"/>
    <w:rsid w:val="00DC3863"/>
    <w:rsid w:val="00DC469C"/>
    <w:rsid w:val="00DC6164"/>
    <w:rsid w:val="00DD1404"/>
    <w:rsid w:val="00DD14D8"/>
    <w:rsid w:val="00DD15BC"/>
    <w:rsid w:val="00DD1EE4"/>
    <w:rsid w:val="00DD32F6"/>
    <w:rsid w:val="00DD4010"/>
    <w:rsid w:val="00DD453E"/>
    <w:rsid w:val="00DD531D"/>
    <w:rsid w:val="00DE00F6"/>
    <w:rsid w:val="00DE04EA"/>
    <w:rsid w:val="00DE0A01"/>
    <w:rsid w:val="00DE1761"/>
    <w:rsid w:val="00DE1DB4"/>
    <w:rsid w:val="00DE2885"/>
    <w:rsid w:val="00DE2B15"/>
    <w:rsid w:val="00DE368C"/>
    <w:rsid w:val="00DE4754"/>
    <w:rsid w:val="00DE55EC"/>
    <w:rsid w:val="00DE6366"/>
    <w:rsid w:val="00DF0782"/>
    <w:rsid w:val="00DF0B75"/>
    <w:rsid w:val="00DF1393"/>
    <w:rsid w:val="00DF1625"/>
    <w:rsid w:val="00DF1F41"/>
    <w:rsid w:val="00DF2C3A"/>
    <w:rsid w:val="00DF5EC0"/>
    <w:rsid w:val="00E011B2"/>
    <w:rsid w:val="00E03E13"/>
    <w:rsid w:val="00E04AC8"/>
    <w:rsid w:val="00E05C4B"/>
    <w:rsid w:val="00E061AA"/>
    <w:rsid w:val="00E07C21"/>
    <w:rsid w:val="00E100B0"/>
    <w:rsid w:val="00E11D7D"/>
    <w:rsid w:val="00E1256D"/>
    <w:rsid w:val="00E128A0"/>
    <w:rsid w:val="00E1302C"/>
    <w:rsid w:val="00E13043"/>
    <w:rsid w:val="00E13590"/>
    <w:rsid w:val="00E13646"/>
    <w:rsid w:val="00E13A07"/>
    <w:rsid w:val="00E14682"/>
    <w:rsid w:val="00E20D3C"/>
    <w:rsid w:val="00E20D9A"/>
    <w:rsid w:val="00E217BB"/>
    <w:rsid w:val="00E22A73"/>
    <w:rsid w:val="00E2330D"/>
    <w:rsid w:val="00E246B7"/>
    <w:rsid w:val="00E30B00"/>
    <w:rsid w:val="00E346FA"/>
    <w:rsid w:val="00E35166"/>
    <w:rsid w:val="00E35403"/>
    <w:rsid w:val="00E358E0"/>
    <w:rsid w:val="00E36F59"/>
    <w:rsid w:val="00E37419"/>
    <w:rsid w:val="00E37D4E"/>
    <w:rsid w:val="00E401E2"/>
    <w:rsid w:val="00E4078E"/>
    <w:rsid w:val="00E42363"/>
    <w:rsid w:val="00E42B45"/>
    <w:rsid w:val="00E44227"/>
    <w:rsid w:val="00E443B5"/>
    <w:rsid w:val="00E44A8D"/>
    <w:rsid w:val="00E44B15"/>
    <w:rsid w:val="00E44F79"/>
    <w:rsid w:val="00E4524E"/>
    <w:rsid w:val="00E46340"/>
    <w:rsid w:val="00E46F5E"/>
    <w:rsid w:val="00E47336"/>
    <w:rsid w:val="00E47459"/>
    <w:rsid w:val="00E50421"/>
    <w:rsid w:val="00E51125"/>
    <w:rsid w:val="00E5294D"/>
    <w:rsid w:val="00E52A2F"/>
    <w:rsid w:val="00E53497"/>
    <w:rsid w:val="00E6052E"/>
    <w:rsid w:val="00E60CFE"/>
    <w:rsid w:val="00E62929"/>
    <w:rsid w:val="00E64837"/>
    <w:rsid w:val="00E663BC"/>
    <w:rsid w:val="00E66F0C"/>
    <w:rsid w:val="00E673F6"/>
    <w:rsid w:val="00E67815"/>
    <w:rsid w:val="00E70069"/>
    <w:rsid w:val="00E701FC"/>
    <w:rsid w:val="00E70E59"/>
    <w:rsid w:val="00E7355E"/>
    <w:rsid w:val="00E73668"/>
    <w:rsid w:val="00E74814"/>
    <w:rsid w:val="00E75020"/>
    <w:rsid w:val="00E75AE7"/>
    <w:rsid w:val="00E75BC5"/>
    <w:rsid w:val="00E764BD"/>
    <w:rsid w:val="00E77235"/>
    <w:rsid w:val="00E77704"/>
    <w:rsid w:val="00E81922"/>
    <w:rsid w:val="00E8332E"/>
    <w:rsid w:val="00E855BE"/>
    <w:rsid w:val="00E85EEE"/>
    <w:rsid w:val="00E86A23"/>
    <w:rsid w:val="00E8785F"/>
    <w:rsid w:val="00E909B3"/>
    <w:rsid w:val="00E90E0D"/>
    <w:rsid w:val="00E91FDB"/>
    <w:rsid w:val="00E92BD3"/>
    <w:rsid w:val="00E93084"/>
    <w:rsid w:val="00E93F60"/>
    <w:rsid w:val="00E94C39"/>
    <w:rsid w:val="00E94F0B"/>
    <w:rsid w:val="00E95133"/>
    <w:rsid w:val="00E95180"/>
    <w:rsid w:val="00E959AB"/>
    <w:rsid w:val="00E96D8D"/>
    <w:rsid w:val="00EA068B"/>
    <w:rsid w:val="00EA1F16"/>
    <w:rsid w:val="00EA353A"/>
    <w:rsid w:val="00EA3E7E"/>
    <w:rsid w:val="00EA3ED9"/>
    <w:rsid w:val="00EA51BC"/>
    <w:rsid w:val="00EB131E"/>
    <w:rsid w:val="00EB2438"/>
    <w:rsid w:val="00EB2459"/>
    <w:rsid w:val="00EB28F7"/>
    <w:rsid w:val="00EB2947"/>
    <w:rsid w:val="00EB30A7"/>
    <w:rsid w:val="00EB392D"/>
    <w:rsid w:val="00EB3A6F"/>
    <w:rsid w:val="00EB4233"/>
    <w:rsid w:val="00EB4603"/>
    <w:rsid w:val="00EB4C32"/>
    <w:rsid w:val="00EB5097"/>
    <w:rsid w:val="00EB5B7B"/>
    <w:rsid w:val="00EB6840"/>
    <w:rsid w:val="00EB72B7"/>
    <w:rsid w:val="00EB7660"/>
    <w:rsid w:val="00EC1127"/>
    <w:rsid w:val="00EC19A0"/>
    <w:rsid w:val="00EC19B4"/>
    <w:rsid w:val="00EC24E2"/>
    <w:rsid w:val="00EC423E"/>
    <w:rsid w:val="00EC54C2"/>
    <w:rsid w:val="00EC5587"/>
    <w:rsid w:val="00EC55ED"/>
    <w:rsid w:val="00EC5C2E"/>
    <w:rsid w:val="00EC6AFB"/>
    <w:rsid w:val="00EC6C35"/>
    <w:rsid w:val="00EC6CB5"/>
    <w:rsid w:val="00EC74A3"/>
    <w:rsid w:val="00ED3FB6"/>
    <w:rsid w:val="00ED5434"/>
    <w:rsid w:val="00ED626E"/>
    <w:rsid w:val="00ED6276"/>
    <w:rsid w:val="00ED62DB"/>
    <w:rsid w:val="00ED68A6"/>
    <w:rsid w:val="00ED69DE"/>
    <w:rsid w:val="00ED6DB2"/>
    <w:rsid w:val="00EE0B1B"/>
    <w:rsid w:val="00EE1016"/>
    <w:rsid w:val="00EE325B"/>
    <w:rsid w:val="00EE4B75"/>
    <w:rsid w:val="00EE587D"/>
    <w:rsid w:val="00EE7429"/>
    <w:rsid w:val="00EE752E"/>
    <w:rsid w:val="00EF4639"/>
    <w:rsid w:val="00EF4D3A"/>
    <w:rsid w:val="00EF56F3"/>
    <w:rsid w:val="00EF6682"/>
    <w:rsid w:val="00EF7A6E"/>
    <w:rsid w:val="00F00D88"/>
    <w:rsid w:val="00F0232A"/>
    <w:rsid w:val="00F02D63"/>
    <w:rsid w:val="00F03660"/>
    <w:rsid w:val="00F03B36"/>
    <w:rsid w:val="00F1094A"/>
    <w:rsid w:val="00F11B1F"/>
    <w:rsid w:val="00F11F55"/>
    <w:rsid w:val="00F12DC5"/>
    <w:rsid w:val="00F12E83"/>
    <w:rsid w:val="00F13066"/>
    <w:rsid w:val="00F13290"/>
    <w:rsid w:val="00F1393C"/>
    <w:rsid w:val="00F151F7"/>
    <w:rsid w:val="00F15C3F"/>
    <w:rsid w:val="00F17913"/>
    <w:rsid w:val="00F203B8"/>
    <w:rsid w:val="00F20554"/>
    <w:rsid w:val="00F2095B"/>
    <w:rsid w:val="00F21030"/>
    <w:rsid w:val="00F220D7"/>
    <w:rsid w:val="00F22D5D"/>
    <w:rsid w:val="00F22ED4"/>
    <w:rsid w:val="00F23CFB"/>
    <w:rsid w:val="00F25875"/>
    <w:rsid w:val="00F26012"/>
    <w:rsid w:val="00F26557"/>
    <w:rsid w:val="00F26777"/>
    <w:rsid w:val="00F26EA2"/>
    <w:rsid w:val="00F31734"/>
    <w:rsid w:val="00F3384D"/>
    <w:rsid w:val="00F343CB"/>
    <w:rsid w:val="00F35160"/>
    <w:rsid w:val="00F36075"/>
    <w:rsid w:val="00F3786E"/>
    <w:rsid w:val="00F378B7"/>
    <w:rsid w:val="00F37A55"/>
    <w:rsid w:val="00F400E3"/>
    <w:rsid w:val="00F40326"/>
    <w:rsid w:val="00F417C9"/>
    <w:rsid w:val="00F43374"/>
    <w:rsid w:val="00F444BE"/>
    <w:rsid w:val="00F44531"/>
    <w:rsid w:val="00F453BA"/>
    <w:rsid w:val="00F45C96"/>
    <w:rsid w:val="00F462E3"/>
    <w:rsid w:val="00F5002B"/>
    <w:rsid w:val="00F522C6"/>
    <w:rsid w:val="00F53BA7"/>
    <w:rsid w:val="00F54149"/>
    <w:rsid w:val="00F548A7"/>
    <w:rsid w:val="00F55010"/>
    <w:rsid w:val="00F5683F"/>
    <w:rsid w:val="00F56D44"/>
    <w:rsid w:val="00F56F17"/>
    <w:rsid w:val="00F574F5"/>
    <w:rsid w:val="00F60213"/>
    <w:rsid w:val="00F602CE"/>
    <w:rsid w:val="00F61C6F"/>
    <w:rsid w:val="00F630D5"/>
    <w:rsid w:val="00F64C2C"/>
    <w:rsid w:val="00F65D46"/>
    <w:rsid w:val="00F67123"/>
    <w:rsid w:val="00F6714A"/>
    <w:rsid w:val="00F672C1"/>
    <w:rsid w:val="00F6764E"/>
    <w:rsid w:val="00F678B6"/>
    <w:rsid w:val="00F67A6B"/>
    <w:rsid w:val="00F67AEB"/>
    <w:rsid w:val="00F70556"/>
    <w:rsid w:val="00F70BA3"/>
    <w:rsid w:val="00F70EFC"/>
    <w:rsid w:val="00F71BEB"/>
    <w:rsid w:val="00F72190"/>
    <w:rsid w:val="00F729EB"/>
    <w:rsid w:val="00F73765"/>
    <w:rsid w:val="00F73CAE"/>
    <w:rsid w:val="00F76443"/>
    <w:rsid w:val="00F8036C"/>
    <w:rsid w:val="00F843AA"/>
    <w:rsid w:val="00F84BAA"/>
    <w:rsid w:val="00F853CD"/>
    <w:rsid w:val="00F86081"/>
    <w:rsid w:val="00F86B51"/>
    <w:rsid w:val="00F91568"/>
    <w:rsid w:val="00F919B9"/>
    <w:rsid w:val="00F91E5C"/>
    <w:rsid w:val="00F9234E"/>
    <w:rsid w:val="00F92C50"/>
    <w:rsid w:val="00F930AC"/>
    <w:rsid w:val="00F941EE"/>
    <w:rsid w:val="00F95797"/>
    <w:rsid w:val="00F9632A"/>
    <w:rsid w:val="00F96F24"/>
    <w:rsid w:val="00F9750E"/>
    <w:rsid w:val="00F977A4"/>
    <w:rsid w:val="00F97E39"/>
    <w:rsid w:val="00FA143D"/>
    <w:rsid w:val="00FA27A4"/>
    <w:rsid w:val="00FA37C4"/>
    <w:rsid w:val="00FA59E1"/>
    <w:rsid w:val="00FA59F6"/>
    <w:rsid w:val="00FA5B38"/>
    <w:rsid w:val="00FA6373"/>
    <w:rsid w:val="00FB0958"/>
    <w:rsid w:val="00FB0D21"/>
    <w:rsid w:val="00FB21C4"/>
    <w:rsid w:val="00FB24D8"/>
    <w:rsid w:val="00FB2BB1"/>
    <w:rsid w:val="00FB3B07"/>
    <w:rsid w:val="00FB4D96"/>
    <w:rsid w:val="00FB5521"/>
    <w:rsid w:val="00FB58EB"/>
    <w:rsid w:val="00FB619F"/>
    <w:rsid w:val="00FB6399"/>
    <w:rsid w:val="00FC0794"/>
    <w:rsid w:val="00FC1374"/>
    <w:rsid w:val="00FC149C"/>
    <w:rsid w:val="00FC3163"/>
    <w:rsid w:val="00FC457A"/>
    <w:rsid w:val="00FC50B6"/>
    <w:rsid w:val="00FC50CF"/>
    <w:rsid w:val="00FC55F2"/>
    <w:rsid w:val="00FC5763"/>
    <w:rsid w:val="00FD1961"/>
    <w:rsid w:val="00FD2AC9"/>
    <w:rsid w:val="00FD4770"/>
    <w:rsid w:val="00FD6484"/>
    <w:rsid w:val="00FD6CD9"/>
    <w:rsid w:val="00FD7BD4"/>
    <w:rsid w:val="00FD7E71"/>
    <w:rsid w:val="00FD7FF3"/>
    <w:rsid w:val="00FE0907"/>
    <w:rsid w:val="00FE2730"/>
    <w:rsid w:val="00FE3301"/>
    <w:rsid w:val="00FE3C3E"/>
    <w:rsid w:val="00FE50FA"/>
    <w:rsid w:val="00FE6576"/>
    <w:rsid w:val="00FE76F8"/>
    <w:rsid w:val="00FF0FD9"/>
    <w:rsid w:val="00FF15F9"/>
    <w:rsid w:val="00FF1747"/>
    <w:rsid w:val="00FF6D4E"/>
    <w:rsid w:val="00FF7A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ECE51"/>
  <w15:docId w15:val="{E06F577C-E9B0-4F5A-917C-ECEEB98D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C58"/>
    <w:pPr>
      <w:bidi/>
    </w:pPr>
  </w:style>
  <w:style w:type="paragraph" w:styleId="Heading1">
    <w:name w:val="heading 1"/>
    <w:basedOn w:val="Normal"/>
    <w:next w:val="Normal"/>
    <w:link w:val="Heading1Char"/>
    <w:uiPriority w:val="9"/>
    <w:qFormat/>
    <w:rsid w:val="00D6538F"/>
    <w:pPr>
      <w:keepNext/>
      <w:keepLines/>
      <w:numPr>
        <w:numId w:val="1"/>
      </w:numPr>
      <w:bidi w:val="0"/>
      <w:spacing w:before="240" w:after="0" w:line="480" w:lineRule="auto"/>
      <w:ind w:left="720" w:hanging="720"/>
      <w:outlineLvl w:val="0"/>
    </w:pPr>
    <w:rPr>
      <w:rFonts w:asciiTheme="majorBidi" w:eastAsiaTheme="majorEastAsia" w:hAnsiTheme="majorBidi" w:cstheme="majorBidi"/>
      <w:b/>
      <w:bCs/>
      <w:sz w:val="24"/>
      <w:szCs w:val="32"/>
    </w:rPr>
  </w:style>
  <w:style w:type="paragraph" w:styleId="Heading2">
    <w:name w:val="heading 2"/>
    <w:basedOn w:val="Normal"/>
    <w:next w:val="Normal"/>
    <w:link w:val="Heading2Char"/>
    <w:uiPriority w:val="9"/>
    <w:unhideWhenUsed/>
    <w:qFormat/>
    <w:rsid w:val="00055C85"/>
    <w:pPr>
      <w:keepNext/>
      <w:keepLines/>
      <w:numPr>
        <w:ilvl w:val="1"/>
        <w:numId w:val="1"/>
      </w:numPr>
      <w:bidi w:val="0"/>
      <w:spacing w:before="240" w:after="240" w:line="240" w:lineRule="auto"/>
      <w:ind w:left="720" w:hanging="720"/>
      <w:outlineLvl w:val="1"/>
    </w:pPr>
    <w:rPr>
      <w:rFonts w:asciiTheme="majorBidi" w:eastAsiaTheme="majorEastAsia" w:hAnsiTheme="majorBid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6A8"/>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5306A8"/>
    <w:rPr>
      <w:rFonts w:ascii="Tahoma" w:hAnsi="Tahoma" w:cs="Tahoma"/>
      <w:sz w:val="18"/>
      <w:szCs w:val="18"/>
    </w:rPr>
  </w:style>
  <w:style w:type="paragraph" w:styleId="NormalWeb">
    <w:name w:val="Normal (Web)"/>
    <w:basedOn w:val="Normal"/>
    <w:uiPriority w:val="99"/>
    <w:unhideWhenUsed/>
    <w:rsid w:val="00EF4D3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Char Char Char,Footnote Text Char1 Char,Footnote Text Char Char1 Char,Footnote Text Char1 Char Char Char,Footnote Text Char Char1 Char Char Char,Footnote Text Char Char2 Char,Footnote Text Char1 Char1,Footnote Text Char Char1 Char1"/>
    <w:basedOn w:val="Normal"/>
    <w:link w:val="FootnoteTextChar"/>
    <w:uiPriority w:val="99"/>
    <w:unhideWhenUsed/>
    <w:rsid w:val="0061116F"/>
    <w:pPr>
      <w:bidi w:val="0"/>
      <w:spacing w:after="0" w:line="240" w:lineRule="auto"/>
      <w:ind w:firstLine="360"/>
      <w:jc w:val="both"/>
    </w:pPr>
    <w:rPr>
      <w:rFonts w:ascii="Times New Roman" w:hAnsi="Times New Roman" w:cs="Times New Roman"/>
      <w:sz w:val="20"/>
      <w:szCs w:val="20"/>
    </w:rPr>
  </w:style>
  <w:style w:type="character" w:customStyle="1" w:styleId="FootnoteTextChar">
    <w:name w:val="Footnote Text Char"/>
    <w:aliases w:val="Char Char Char Char,Footnote Text Char1 Char Char,Footnote Text Char Char1 Char Char,Footnote Text Char1 Char Char Char Char,Footnote Text Char Char1 Char Char Char Char,Footnote Text Char Char2 Char Char"/>
    <w:basedOn w:val="DefaultParagraphFont"/>
    <w:link w:val="FootnoteText"/>
    <w:uiPriority w:val="99"/>
    <w:rsid w:val="0061116F"/>
    <w:rPr>
      <w:rFonts w:ascii="Times New Roman" w:hAnsi="Times New Roman" w:cs="Times New Roman"/>
      <w:sz w:val="20"/>
      <w:szCs w:val="20"/>
    </w:rPr>
  </w:style>
  <w:style w:type="character" w:styleId="FootnoteReference">
    <w:name w:val="footnote reference"/>
    <w:basedOn w:val="DefaultParagraphFont"/>
    <w:uiPriority w:val="99"/>
    <w:unhideWhenUsed/>
    <w:rsid w:val="000F4C07"/>
    <w:rPr>
      <w:vertAlign w:val="superscript"/>
    </w:rPr>
  </w:style>
  <w:style w:type="paragraph" w:styleId="Header">
    <w:name w:val="header"/>
    <w:basedOn w:val="Normal"/>
    <w:link w:val="HeaderChar"/>
    <w:uiPriority w:val="99"/>
    <w:unhideWhenUsed/>
    <w:rsid w:val="001D6C54"/>
    <w:pPr>
      <w:tabs>
        <w:tab w:val="center" w:pos="4153"/>
        <w:tab w:val="right" w:pos="8306"/>
      </w:tabs>
      <w:spacing w:after="0" w:line="240" w:lineRule="auto"/>
    </w:pPr>
  </w:style>
  <w:style w:type="character" w:customStyle="1" w:styleId="HeaderChar">
    <w:name w:val="Header Char"/>
    <w:basedOn w:val="DefaultParagraphFont"/>
    <w:link w:val="Header"/>
    <w:uiPriority w:val="99"/>
    <w:rsid w:val="001D6C54"/>
  </w:style>
  <w:style w:type="paragraph" w:styleId="Footer">
    <w:name w:val="footer"/>
    <w:basedOn w:val="Normal"/>
    <w:link w:val="FooterChar"/>
    <w:uiPriority w:val="99"/>
    <w:unhideWhenUsed/>
    <w:rsid w:val="001D6C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1D6C54"/>
  </w:style>
  <w:style w:type="character" w:styleId="Hyperlink">
    <w:name w:val="Hyperlink"/>
    <w:uiPriority w:val="99"/>
    <w:unhideWhenUsed/>
    <w:rsid w:val="002E31C0"/>
    <w:rPr>
      <w:color w:val="0000FF"/>
      <w:u w:val="single"/>
    </w:rPr>
  </w:style>
  <w:style w:type="character" w:styleId="UnresolvedMention">
    <w:name w:val="Unresolved Mention"/>
    <w:basedOn w:val="DefaultParagraphFont"/>
    <w:uiPriority w:val="99"/>
    <w:semiHidden/>
    <w:unhideWhenUsed/>
    <w:rsid w:val="00F203B8"/>
    <w:rPr>
      <w:color w:val="605E5C"/>
      <w:shd w:val="clear" w:color="auto" w:fill="E1DFDD"/>
    </w:rPr>
  </w:style>
  <w:style w:type="character" w:styleId="FollowedHyperlink">
    <w:name w:val="FollowedHyperlink"/>
    <w:basedOn w:val="DefaultParagraphFont"/>
    <w:uiPriority w:val="99"/>
    <w:semiHidden/>
    <w:unhideWhenUsed/>
    <w:rsid w:val="00F86081"/>
    <w:rPr>
      <w:color w:val="954F72" w:themeColor="followedHyperlink"/>
      <w:u w:val="single"/>
    </w:rPr>
  </w:style>
  <w:style w:type="paragraph" w:styleId="Revision">
    <w:name w:val="Revision"/>
    <w:hidden/>
    <w:uiPriority w:val="99"/>
    <w:semiHidden/>
    <w:rsid w:val="00660053"/>
    <w:pPr>
      <w:spacing w:after="0" w:line="240" w:lineRule="auto"/>
    </w:pPr>
  </w:style>
  <w:style w:type="character" w:customStyle="1" w:styleId="Heading1Char">
    <w:name w:val="Heading 1 Char"/>
    <w:basedOn w:val="DefaultParagraphFont"/>
    <w:link w:val="Heading1"/>
    <w:uiPriority w:val="9"/>
    <w:rsid w:val="00D6538F"/>
    <w:rPr>
      <w:rFonts w:asciiTheme="majorBidi" w:eastAsiaTheme="majorEastAsia" w:hAnsiTheme="majorBidi" w:cstheme="majorBidi"/>
      <w:b/>
      <w:bCs/>
      <w:sz w:val="24"/>
      <w:szCs w:val="32"/>
    </w:rPr>
  </w:style>
  <w:style w:type="character" w:customStyle="1" w:styleId="Heading2Char">
    <w:name w:val="Heading 2 Char"/>
    <w:basedOn w:val="DefaultParagraphFont"/>
    <w:link w:val="Heading2"/>
    <w:uiPriority w:val="9"/>
    <w:rsid w:val="00055C85"/>
    <w:rPr>
      <w:rFonts w:asciiTheme="majorBidi" w:eastAsiaTheme="majorEastAsia" w:hAnsiTheme="majorBidi" w:cstheme="majorBidi"/>
      <w:b/>
      <w:bCs/>
      <w:sz w:val="24"/>
      <w:szCs w:val="26"/>
    </w:rPr>
  </w:style>
  <w:style w:type="paragraph" w:styleId="ListParagraph">
    <w:name w:val="List Paragraph"/>
    <w:basedOn w:val="Normal"/>
    <w:link w:val="ListParagraphChar"/>
    <w:uiPriority w:val="34"/>
    <w:qFormat/>
    <w:rsid w:val="005C32E8"/>
    <w:pPr>
      <w:bidi w:val="0"/>
      <w:spacing w:after="0" w:line="480" w:lineRule="auto"/>
      <w:ind w:left="720" w:firstLine="720"/>
      <w:contextualSpacing/>
      <w:jc w:val="both"/>
    </w:pPr>
    <w:rPr>
      <w:rFonts w:asciiTheme="majorBidi" w:eastAsiaTheme="minorEastAsia" w:hAnsiTheme="majorBidi" w:cs="Times New Roman"/>
      <w:sz w:val="26"/>
      <w:szCs w:val="26"/>
    </w:rPr>
  </w:style>
  <w:style w:type="character" w:customStyle="1" w:styleId="ListParagraphChar">
    <w:name w:val="List Paragraph Char"/>
    <w:basedOn w:val="DefaultParagraphFont"/>
    <w:link w:val="ListParagraph"/>
    <w:uiPriority w:val="34"/>
    <w:locked/>
    <w:rsid w:val="005C32E8"/>
    <w:rPr>
      <w:rFonts w:asciiTheme="majorBidi" w:eastAsiaTheme="minorEastAsia" w:hAnsiTheme="majorBidi" w:cs="Times New Roman"/>
      <w:sz w:val="26"/>
      <w:szCs w:val="26"/>
    </w:rPr>
  </w:style>
  <w:style w:type="table" w:styleId="TableGrid">
    <w:name w:val="Table Grid"/>
    <w:basedOn w:val="TableNormal"/>
    <w:uiPriority w:val="39"/>
    <w:rsid w:val="005C32E8"/>
    <w:pPr>
      <w:spacing w:after="0" w:line="240" w:lineRule="auto"/>
      <w:ind w:firstLine="720"/>
      <w:jc w:val="both"/>
    </w:pPr>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C32E8"/>
    <w:pPr>
      <w:bidi w:val="0"/>
      <w:spacing w:before="62" w:line="221" w:lineRule="exact"/>
      <w:ind w:left="108" w:right="981" w:firstLine="720"/>
    </w:pPr>
    <w:rPr>
      <w:rFonts w:ascii="Times New Roman" w:eastAsia="Times New Roman" w:hAnsi="Times New Roman" w:cs="Times New Roman"/>
      <w:lang w:bidi="ar-SA"/>
    </w:rPr>
  </w:style>
  <w:style w:type="paragraph" w:customStyle="1" w:styleId="IBBodyStyle1stpar">
    <w:name w:val="IB Body Style 1st par."/>
    <w:basedOn w:val="Normal"/>
    <w:qFormat/>
    <w:rsid w:val="000E5FE2"/>
    <w:pPr>
      <w:bidi w:val="0"/>
      <w:spacing w:after="0" w:line="240" w:lineRule="auto"/>
      <w:jc w:val="both"/>
    </w:pPr>
    <w:rPr>
      <w:rFonts w:asciiTheme="majorBidi" w:hAnsiTheme="majorBidi" w:cstheme="majorBidi"/>
      <w:sz w:val="24"/>
      <w:szCs w:val="24"/>
    </w:rPr>
  </w:style>
  <w:style w:type="character" w:styleId="CommentReference">
    <w:name w:val="annotation reference"/>
    <w:basedOn w:val="DefaultParagraphFont"/>
    <w:uiPriority w:val="99"/>
    <w:semiHidden/>
    <w:unhideWhenUsed/>
    <w:rsid w:val="00955372"/>
    <w:rPr>
      <w:sz w:val="16"/>
      <w:szCs w:val="16"/>
    </w:rPr>
  </w:style>
  <w:style w:type="paragraph" w:styleId="CommentText">
    <w:name w:val="annotation text"/>
    <w:basedOn w:val="Normal"/>
    <w:link w:val="CommentTextChar"/>
    <w:uiPriority w:val="99"/>
    <w:unhideWhenUsed/>
    <w:rsid w:val="00955372"/>
    <w:pPr>
      <w:spacing w:line="240" w:lineRule="auto"/>
    </w:pPr>
    <w:rPr>
      <w:sz w:val="20"/>
      <w:szCs w:val="20"/>
    </w:rPr>
  </w:style>
  <w:style w:type="character" w:customStyle="1" w:styleId="CommentTextChar">
    <w:name w:val="Comment Text Char"/>
    <w:basedOn w:val="DefaultParagraphFont"/>
    <w:link w:val="CommentText"/>
    <w:uiPriority w:val="99"/>
    <w:rsid w:val="00955372"/>
    <w:rPr>
      <w:sz w:val="20"/>
      <w:szCs w:val="20"/>
    </w:rPr>
  </w:style>
  <w:style w:type="paragraph" w:styleId="CommentSubject">
    <w:name w:val="annotation subject"/>
    <w:basedOn w:val="CommentText"/>
    <w:next w:val="CommentText"/>
    <w:link w:val="CommentSubjectChar"/>
    <w:uiPriority w:val="99"/>
    <w:semiHidden/>
    <w:unhideWhenUsed/>
    <w:rsid w:val="00955372"/>
    <w:rPr>
      <w:b/>
      <w:bCs/>
    </w:rPr>
  </w:style>
  <w:style w:type="character" w:customStyle="1" w:styleId="CommentSubjectChar">
    <w:name w:val="Comment Subject Char"/>
    <w:basedOn w:val="CommentTextChar"/>
    <w:link w:val="CommentSubject"/>
    <w:uiPriority w:val="99"/>
    <w:semiHidden/>
    <w:rsid w:val="00955372"/>
    <w:rPr>
      <w:b/>
      <w:bCs/>
      <w:sz w:val="20"/>
      <w:szCs w:val="20"/>
    </w:rPr>
  </w:style>
  <w:style w:type="character" w:styleId="EndnoteReference">
    <w:name w:val="endnote reference"/>
    <w:basedOn w:val="DefaultParagraphFont"/>
    <w:uiPriority w:val="99"/>
    <w:semiHidden/>
    <w:unhideWhenUsed/>
    <w:rsid w:val="006D5CED"/>
    <w:rPr>
      <w:vertAlign w:val="superscript"/>
    </w:rPr>
  </w:style>
  <w:style w:type="character" w:customStyle="1" w:styleId="cf01">
    <w:name w:val="cf01"/>
    <w:basedOn w:val="DefaultParagraphFont"/>
    <w:rsid w:val="0043793A"/>
    <w:rPr>
      <w:rFonts w:ascii="Segoe UI" w:hAnsi="Segoe UI" w:cs="Segoe UI" w:hint="default"/>
      <w:sz w:val="18"/>
      <w:szCs w:val="18"/>
    </w:rPr>
  </w:style>
  <w:style w:type="paragraph" w:customStyle="1" w:styleId="LSbodytext">
    <w:name w:val="LS body text"/>
    <w:qFormat/>
    <w:rsid w:val="00122A6A"/>
    <w:pPr>
      <w:spacing w:after="0" w:line="240" w:lineRule="auto"/>
      <w:ind w:firstLine="720"/>
      <w:jc w:val="both"/>
    </w:pPr>
    <w:rPr>
      <w:rFonts w:ascii="Times New Roman" w:hAnsi="Times New Roman" w:cs="Times New Roman"/>
      <w:sz w:val="24"/>
      <w:szCs w:val="24"/>
    </w:rPr>
  </w:style>
  <w:style w:type="numbering" w:customStyle="1" w:styleId="CurrentList1">
    <w:name w:val="Current List1"/>
    <w:uiPriority w:val="99"/>
    <w:rsid w:val="00B657A7"/>
    <w:pPr>
      <w:numPr>
        <w:numId w:val="3"/>
      </w:numPr>
    </w:pPr>
  </w:style>
  <w:style w:type="numbering" w:customStyle="1" w:styleId="CurrentList2">
    <w:name w:val="Current List2"/>
    <w:uiPriority w:val="99"/>
    <w:rsid w:val="00D6538F"/>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4177">
      <w:bodyDiv w:val="1"/>
      <w:marLeft w:val="0"/>
      <w:marRight w:val="0"/>
      <w:marTop w:val="0"/>
      <w:marBottom w:val="0"/>
      <w:divBdr>
        <w:top w:val="none" w:sz="0" w:space="0" w:color="auto"/>
        <w:left w:val="none" w:sz="0" w:space="0" w:color="auto"/>
        <w:bottom w:val="none" w:sz="0" w:space="0" w:color="auto"/>
        <w:right w:val="none" w:sz="0" w:space="0" w:color="auto"/>
      </w:divBdr>
    </w:div>
    <w:div w:id="274871449">
      <w:bodyDiv w:val="1"/>
      <w:marLeft w:val="0"/>
      <w:marRight w:val="0"/>
      <w:marTop w:val="0"/>
      <w:marBottom w:val="0"/>
      <w:divBdr>
        <w:top w:val="none" w:sz="0" w:space="0" w:color="auto"/>
        <w:left w:val="none" w:sz="0" w:space="0" w:color="auto"/>
        <w:bottom w:val="none" w:sz="0" w:space="0" w:color="auto"/>
        <w:right w:val="none" w:sz="0" w:space="0" w:color="auto"/>
      </w:divBdr>
    </w:div>
    <w:div w:id="368729162">
      <w:bodyDiv w:val="1"/>
      <w:marLeft w:val="0"/>
      <w:marRight w:val="0"/>
      <w:marTop w:val="0"/>
      <w:marBottom w:val="0"/>
      <w:divBdr>
        <w:top w:val="none" w:sz="0" w:space="0" w:color="auto"/>
        <w:left w:val="none" w:sz="0" w:space="0" w:color="auto"/>
        <w:bottom w:val="none" w:sz="0" w:space="0" w:color="auto"/>
        <w:right w:val="none" w:sz="0" w:space="0" w:color="auto"/>
      </w:divBdr>
    </w:div>
    <w:div w:id="600063610">
      <w:bodyDiv w:val="1"/>
      <w:marLeft w:val="0"/>
      <w:marRight w:val="0"/>
      <w:marTop w:val="0"/>
      <w:marBottom w:val="0"/>
      <w:divBdr>
        <w:top w:val="none" w:sz="0" w:space="0" w:color="auto"/>
        <w:left w:val="none" w:sz="0" w:space="0" w:color="auto"/>
        <w:bottom w:val="none" w:sz="0" w:space="0" w:color="auto"/>
        <w:right w:val="none" w:sz="0" w:space="0" w:color="auto"/>
      </w:divBdr>
    </w:div>
    <w:div w:id="821773915">
      <w:bodyDiv w:val="1"/>
      <w:marLeft w:val="0"/>
      <w:marRight w:val="0"/>
      <w:marTop w:val="0"/>
      <w:marBottom w:val="0"/>
      <w:divBdr>
        <w:top w:val="none" w:sz="0" w:space="0" w:color="auto"/>
        <w:left w:val="none" w:sz="0" w:space="0" w:color="auto"/>
        <w:bottom w:val="none" w:sz="0" w:space="0" w:color="auto"/>
        <w:right w:val="none" w:sz="0" w:space="0" w:color="auto"/>
      </w:divBdr>
      <w:divsChild>
        <w:div w:id="1187910271">
          <w:marLeft w:val="0"/>
          <w:marRight w:val="0"/>
          <w:marTop w:val="0"/>
          <w:marBottom w:val="0"/>
          <w:divBdr>
            <w:top w:val="none" w:sz="0" w:space="0" w:color="auto"/>
            <w:left w:val="none" w:sz="0" w:space="0" w:color="auto"/>
            <w:bottom w:val="none" w:sz="0" w:space="0" w:color="auto"/>
            <w:right w:val="none" w:sz="0" w:space="0" w:color="auto"/>
          </w:divBdr>
          <w:divsChild>
            <w:div w:id="1856536100">
              <w:marLeft w:val="0"/>
              <w:marRight w:val="0"/>
              <w:marTop w:val="0"/>
              <w:marBottom w:val="0"/>
              <w:divBdr>
                <w:top w:val="none" w:sz="0" w:space="0" w:color="auto"/>
                <w:left w:val="none" w:sz="0" w:space="0" w:color="auto"/>
                <w:bottom w:val="none" w:sz="0" w:space="0" w:color="auto"/>
                <w:right w:val="none" w:sz="0" w:space="0" w:color="auto"/>
              </w:divBdr>
            </w:div>
          </w:divsChild>
        </w:div>
        <w:div w:id="1911380130">
          <w:marLeft w:val="0"/>
          <w:marRight w:val="0"/>
          <w:marTop w:val="0"/>
          <w:marBottom w:val="0"/>
          <w:divBdr>
            <w:top w:val="none" w:sz="0" w:space="0" w:color="auto"/>
            <w:left w:val="none" w:sz="0" w:space="0" w:color="auto"/>
            <w:bottom w:val="none" w:sz="0" w:space="0" w:color="auto"/>
            <w:right w:val="none" w:sz="0" w:space="0" w:color="auto"/>
          </w:divBdr>
          <w:divsChild>
            <w:div w:id="17603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35175">
      <w:bodyDiv w:val="1"/>
      <w:marLeft w:val="0"/>
      <w:marRight w:val="0"/>
      <w:marTop w:val="0"/>
      <w:marBottom w:val="0"/>
      <w:divBdr>
        <w:top w:val="none" w:sz="0" w:space="0" w:color="auto"/>
        <w:left w:val="none" w:sz="0" w:space="0" w:color="auto"/>
        <w:bottom w:val="none" w:sz="0" w:space="0" w:color="auto"/>
        <w:right w:val="none" w:sz="0" w:space="0" w:color="auto"/>
      </w:divBdr>
    </w:div>
    <w:div w:id="1295989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findynamics.com/xbrlanalys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962DC7F09B4346A813D529EF136256" ma:contentTypeVersion="5" ma:contentTypeDescription="Create a new document." ma:contentTypeScope="" ma:versionID="39ace23d3a017308c7c08c592b41e95b">
  <xsd:schema xmlns:xsd="http://www.w3.org/2001/XMLSchema" xmlns:xs="http://www.w3.org/2001/XMLSchema" xmlns:p="http://schemas.microsoft.com/office/2006/metadata/properties" xmlns:ns3="f62eacb0-8ab5-4111-be42-a86864d00690" xmlns:ns4="ebde5773-3725-44dc-891b-43b3c086c9de" targetNamespace="http://schemas.microsoft.com/office/2006/metadata/properties" ma:root="true" ma:fieldsID="bdcd676b944b9d4622a31b231d9e1377" ns3:_="" ns4:_="">
    <xsd:import namespace="f62eacb0-8ab5-4111-be42-a86864d00690"/>
    <xsd:import namespace="ebde5773-3725-44dc-891b-43b3c086c9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eacb0-8ab5-4111-be42-a86864d00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de5773-3725-44dc-891b-43b3c086c9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88EAED-9C4B-4D63-B7E9-C81B48CE6818}">
  <ds:schemaRefs>
    <ds:schemaRef ds:uri="http://schemas.microsoft.com/sharepoint/v3/contenttype/forms"/>
  </ds:schemaRefs>
</ds:datastoreItem>
</file>

<file path=customXml/itemProps2.xml><?xml version="1.0" encoding="utf-8"?>
<ds:datastoreItem xmlns:ds="http://schemas.openxmlformats.org/officeDocument/2006/customXml" ds:itemID="{691BD104-5121-4911-8E25-94F024794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eacb0-8ab5-4111-be42-a86864d00690"/>
    <ds:schemaRef ds:uri="ebde5773-3725-44dc-891b-43b3c086c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DAD17-4C7D-4E44-AB7D-B0CD8DBFA160}">
  <ds:schemaRefs>
    <ds:schemaRef ds:uri="http://schemas.openxmlformats.org/officeDocument/2006/bibliography"/>
  </ds:schemaRefs>
</ds:datastoreItem>
</file>

<file path=customXml/itemProps4.xml><?xml version="1.0" encoding="utf-8"?>
<ds:datastoreItem xmlns:ds="http://schemas.openxmlformats.org/officeDocument/2006/customXml" ds:itemID="{38355128-B03D-4AF8-95F9-0E87D2EF0C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25164</Words>
  <Characters>125820</Characters>
  <Application>Microsoft Office Word</Application>
  <DocSecurity>0</DocSecurity>
  <Lines>1048</Lines>
  <Paragraphs>301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150683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rimona palas</dc:creator>
  <cp:keywords/>
  <dc:description/>
  <cp:lastModifiedBy>Dr. Rimona Palas</cp:lastModifiedBy>
  <cp:revision>2</cp:revision>
  <dcterms:created xsi:type="dcterms:W3CDTF">2022-12-11T09:34:00Z</dcterms:created>
  <dcterms:modified xsi:type="dcterms:W3CDTF">2022-12-11T09:34:00Z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http://www.zotero.org/styles/the-accounting-review</vt:lpwstr>
  </property>
  <property fmtid="{D5CDD505-2E9C-101B-9397-08002B2CF9AE}" pid="21" name="Mendeley Recent Style Name 9_1">
    <vt:lpwstr>The Accounting Review</vt:lpwstr>
  </property>
  <property fmtid="{D5CDD505-2E9C-101B-9397-08002B2CF9AE}" pid="22" name="Mendeley Document_1">
    <vt:lpwstr>True</vt:lpwstr>
  </property>
  <property fmtid="{D5CDD505-2E9C-101B-9397-08002B2CF9AE}" pid="23" name="Mendeley Unique User Id_1">
    <vt:lpwstr>ce435285-7621-37ac-aab5-60326a2e3974</vt:lpwstr>
  </property>
  <property fmtid="{D5CDD505-2E9C-101B-9397-08002B2CF9AE}" pid="24" name="Mendeley Citation Style_1">
    <vt:lpwstr>http://www.zotero.org/styles/apa</vt:lpwstr>
  </property>
  <property fmtid="{D5CDD505-2E9C-101B-9397-08002B2CF9AE}" pid="25" name="ContentTypeId">
    <vt:lpwstr>0x010100AD962DC7F09B4346A813D529EF136256</vt:lpwstr>
  </property>
</Properties>
</file>