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8972C37" wp14:paraId="3293BC8D" wp14:textId="25D50403">
      <w:pPr>
        <w:ind w:left="708"/>
        <w:jc w:val="center"/>
        <w:rPr>
          <w:rFonts w:ascii="Aptos" w:hAnsi="Aptos" w:eastAsia="Aptos" w:cs="Aptos"/>
          <w:b w:val="0"/>
          <w:bCs w:val="0"/>
          <w:i w:val="0"/>
          <w:iCs w:val="0"/>
          <w:caps w:val="0"/>
          <w:smallCaps w:val="0"/>
          <w:noProof w:val="0"/>
          <w:color w:val="000000" w:themeColor="text1" w:themeTint="FF" w:themeShade="FF"/>
          <w:sz w:val="24"/>
          <w:szCs w:val="24"/>
          <w:lang w:val="it-IT"/>
        </w:rPr>
      </w:pPr>
      <w:r w:rsidRPr="68972C37" w:rsidR="26AF80F9">
        <w:rPr>
          <w:rFonts w:ascii="Aptos" w:hAnsi="Aptos" w:eastAsia="Aptos" w:cs="Aptos"/>
          <w:b w:val="1"/>
          <w:bCs w:val="1"/>
          <w:i w:val="0"/>
          <w:iCs w:val="0"/>
          <w:caps w:val="0"/>
          <w:smallCaps w:val="0"/>
          <w:noProof w:val="0"/>
          <w:color w:val="000000" w:themeColor="text1" w:themeTint="FF" w:themeShade="FF"/>
          <w:sz w:val="24"/>
          <w:szCs w:val="24"/>
          <w:lang w:val="en-US"/>
        </w:rPr>
        <w:t>SIDE 2025</w:t>
      </w:r>
    </w:p>
    <w:p xmlns:wp14="http://schemas.microsoft.com/office/word/2010/wordml" w:rsidP="68972C37" wp14:paraId="0CD9A1AF" wp14:textId="59E5A6B4">
      <w:pPr>
        <w:ind w:left="708"/>
        <w:jc w:val="right"/>
        <w:rPr>
          <w:rFonts w:ascii="Aptos" w:hAnsi="Aptos" w:eastAsia="Aptos" w:cs="Aptos"/>
          <w:b w:val="0"/>
          <w:bCs w:val="0"/>
          <w:i w:val="0"/>
          <w:iCs w:val="0"/>
          <w:caps w:val="0"/>
          <w:smallCaps w:val="0"/>
          <w:noProof w:val="0"/>
          <w:color w:val="000000" w:themeColor="text1" w:themeTint="FF" w:themeShade="FF"/>
          <w:sz w:val="24"/>
          <w:szCs w:val="24"/>
          <w:lang w:val="it-IT"/>
        </w:rPr>
      </w:pPr>
      <w:r w:rsidRPr="68972C37" w:rsidR="26AF80F9">
        <w:rPr>
          <w:rFonts w:ascii="Aptos" w:hAnsi="Aptos" w:eastAsia="Aptos" w:cs="Aptos"/>
          <w:b w:val="1"/>
          <w:bCs w:val="1"/>
          <w:i w:val="0"/>
          <w:iCs w:val="0"/>
          <w:caps w:val="0"/>
          <w:smallCaps w:val="0"/>
          <w:noProof w:val="0"/>
          <w:color w:val="000000" w:themeColor="text1" w:themeTint="FF" w:themeShade="FF"/>
          <w:sz w:val="24"/>
          <w:szCs w:val="24"/>
          <w:lang w:val="en-US"/>
        </w:rPr>
        <w:t>Agnese Colucci</w:t>
      </w:r>
    </w:p>
    <w:p xmlns:wp14="http://schemas.microsoft.com/office/word/2010/wordml" w:rsidP="68972C37" wp14:paraId="4250F8F0" wp14:textId="6A1228AE">
      <w:pPr>
        <w:jc w:val="center"/>
        <w:rPr>
          <w:rFonts w:ascii="Aptos" w:hAnsi="Aptos" w:eastAsia="Aptos" w:cs="Aptos"/>
          <w:b w:val="1"/>
          <w:bCs w:val="1"/>
          <w:i w:val="0"/>
          <w:iCs w:val="0"/>
          <w:caps w:val="0"/>
          <w:smallCaps w:val="0"/>
          <w:noProof w:val="0"/>
          <w:color w:val="000000" w:themeColor="text1" w:themeTint="FF" w:themeShade="FF"/>
          <w:sz w:val="24"/>
          <w:szCs w:val="24"/>
          <w:lang w:val="en-US"/>
        </w:rPr>
      </w:pPr>
    </w:p>
    <w:p xmlns:wp14="http://schemas.microsoft.com/office/word/2010/wordml" w:rsidP="68972C37" wp14:paraId="2DC08235" wp14:textId="3D4B93FD">
      <w:pPr>
        <w:jc w:val="center"/>
        <w:rPr>
          <w:rFonts w:ascii="Aptos" w:hAnsi="Aptos" w:eastAsia="Aptos" w:cs="Aptos"/>
          <w:noProof w:val="0"/>
          <w:sz w:val="24"/>
          <w:szCs w:val="24"/>
          <w:lang w:val="it-IT"/>
        </w:rPr>
      </w:pPr>
      <w:r w:rsidRPr="68972C37" w:rsidR="26AF80F9">
        <w:rPr>
          <w:rFonts w:ascii="Aptos" w:hAnsi="Aptos" w:eastAsia="Aptos" w:cs="Aptos"/>
          <w:b w:val="1"/>
          <w:bCs w:val="1"/>
          <w:i w:val="0"/>
          <w:iCs w:val="0"/>
          <w:caps w:val="0"/>
          <w:smallCaps w:val="0"/>
          <w:noProof w:val="0"/>
          <w:color w:val="000000" w:themeColor="text1" w:themeTint="FF" w:themeShade="FF"/>
          <w:sz w:val="24"/>
          <w:szCs w:val="24"/>
          <w:lang w:val="en-US"/>
        </w:rPr>
        <w:t>European regulatory private law and sustainable development</w:t>
      </w:r>
    </w:p>
    <w:p w:rsidR="26AF80F9" w:rsidP="68972C37" w:rsidRDefault="26AF80F9" w14:paraId="2F74E6F4" w14:textId="7254DAD5">
      <w:pPr>
        <w:pStyle w:val="Normal"/>
        <w:spacing w:before="0" w:beforeAutospacing="off" w:after="160" w:afterAutospacing="off" w:line="278"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This paper </w:t>
      </w:r>
      <w:r w:rsidRPr="68972C37" w:rsidR="427E9C75">
        <w:rPr>
          <w:rFonts w:ascii="Aptos" w:hAnsi="Aptos" w:eastAsia="Aptos" w:cs="Aptos"/>
          <w:b w:val="0"/>
          <w:bCs w:val="0"/>
          <w:i w:val="0"/>
          <w:iCs w:val="0"/>
          <w:caps w:val="0"/>
          <w:smallCaps w:val="0"/>
          <w:noProof w:val="0"/>
          <w:color w:val="000000" w:themeColor="text1" w:themeTint="FF" w:themeShade="FF"/>
          <w:sz w:val="24"/>
          <w:szCs w:val="24"/>
          <w:lang w:val="en-US"/>
        </w:rPr>
        <w:t>seeks to reconceptualize</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European regulatory private law </w:t>
      </w:r>
      <w:r w:rsidRPr="68972C37" w:rsidR="093C81AC">
        <w:rPr>
          <w:rFonts w:ascii="Aptos" w:hAnsi="Aptos" w:eastAsia="Aptos" w:cs="Aptos"/>
          <w:b w:val="0"/>
          <w:bCs w:val="0"/>
          <w:i w:val="0"/>
          <w:iCs w:val="0"/>
          <w:caps w:val="0"/>
          <w:smallCaps w:val="0"/>
          <w:noProof w:val="0"/>
          <w:color w:val="000000" w:themeColor="text1" w:themeTint="FF" w:themeShade="FF"/>
          <w:sz w:val="24"/>
          <w:szCs w:val="24"/>
          <w:lang w:val="en-US"/>
        </w:rPr>
        <w:t>through the lens of the</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principle of sustainable development, as </w:t>
      </w:r>
      <w:r w:rsidRPr="68972C37" w:rsidR="62FC37DA">
        <w:rPr>
          <w:rFonts w:ascii="Aptos" w:hAnsi="Aptos" w:eastAsia="Aptos" w:cs="Aptos"/>
          <w:noProof w:val="0"/>
          <w:sz w:val="24"/>
          <w:szCs w:val="24"/>
          <w:lang w:val="en-US"/>
        </w:rPr>
        <w:t>articulated</w:t>
      </w:r>
      <w:r w:rsidRPr="68972C37" w:rsidR="4335A54F">
        <w:rPr>
          <w:rFonts w:ascii="Aptos" w:hAnsi="Aptos" w:eastAsia="Aptos" w:cs="Aptos"/>
          <w:b w:val="0"/>
          <w:bCs w:val="0"/>
          <w:i w:val="0"/>
          <w:iCs w:val="0"/>
          <w:caps w:val="0"/>
          <w:smallCaps w:val="0"/>
          <w:noProof w:val="0"/>
          <w:color w:val="000000" w:themeColor="text1" w:themeTint="FF" w:themeShade="FF"/>
          <w:sz w:val="24"/>
          <w:szCs w:val="24"/>
          <w:lang w:val="en-US"/>
        </w:rPr>
        <w:t xml:space="preserve"> in</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in Article 3 (3) of the Treaty on European Union (</w:t>
      </w:r>
      <w:r w:rsidRPr="68972C37" w:rsidR="11DDAE94">
        <w:rPr>
          <w:rFonts w:ascii="Aptos" w:hAnsi="Aptos" w:eastAsia="Aptos" w:cs="Aptos"/>
          <w:b w:val="0"/>
          <w:bCs w:val="0"/>
          <w:i w:val="0"/>
          <w:iCs w:val="0"/>
          <w:caps w:val="0"/>
          <w:smallCaps w:val="0"/>
          <w:noProof w:val="0"/>
          <w:color w:val="000000" w:themeColor="text1" w:themeTint="FF" w:themeShade="FF"/>
          <w:sz w:val="24"/>
          <w:szCs w:val="24"/>
          <w:lang w:val="en-US"/>
        </w:rPr>
        <w:t>T</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EU), and in the context of the EU sustainable finance framework. </w:t>
      </w:r>
      <w:r w:rsidRPr="68972C37" w:rsidR="343766AB">
        <w:rPr>
          <w:rFonts w:ascii="Aptos" w:hAnsi="Aptos" w:eastAsia="Aptos" w:cs="Aptos"/>
          <w:b w:val="0"/>
          <w:bCs w:val="0"/>
          <w:i w:val="0"/>
          <w:iCs w:val="0"/>
          <w:caps w:val="0"/>
          <w:smallCaps w:val="0"/>
          <w:noProof w:val="0"/>
          <w:color w:val="000000" w:themeColor="text1" w:themeTint="FF" w:themeShade="FF"/>
          <w:sz w:val="24"/>
          <w:szCs w:val="24"/>
          <w:lang w:val="en-US"/>
        </w:rPr>
        <w:t xml:space="preserve">The central </w:t>
      </w:r>
      <w:r w:rsidRPr="68972C37" w:rsidR="343766AB">
        <w:rPr>
          <w:rFonts w:ascii="Aptos" w:hAnsi="Aptos" w:eastAsia="Aptos" w:cs="Aptos"/>
          <w:b w:val="0"/>
          <w:bCs w:val="0"/>
          <w:i w:val="0"/>
          <w:iCs w:val="0"/>
          <w:caps w:val="0"/>
          <w:smallCaps w:val="0"/>
          <w:noProof w:val="0"/>
          <w:color w:val="000000" w:themeColor="text1" w:themeTint="FF" w:themeShade="FF"/>
          <w:sz w:val="24"/>
          <w:szCs w:val="24"/>
          <w:lang w:val="en-US"/>
        </w:rPr>
        <w:t>objective</w:t>
      </w:r>
      <w:r w:rsidRPr="68972C37" w:rsidR="343766AB">
        <w:rPr>
          <w:rFonts w:ascii="Aptos" w:hAnsi="Aptos" w:eastAsia="Aptos" w:cs="Aptos"/>
          <w:b w:val="0"/>
          <w:bCs w:val="0"/>
          <w:i w:val="0"/>
          <w:iCs w:val="0"/>
          <w:caps w:val="0"/>
          <w:smallCaps w:val="0"/>
          <w:noProof w:val="0"/>
          <w:color w:val="000000" w:themeColor="text1" w:themeTint="FF" w:themeShade="FF"/>
          <w:sz w:val="24"/>
          <w:szCs w:val="24"/>
          <w:lang w:val="en-US"/>
        </w:rPr>
        <w:t xml:space="preserve"> is to examine whether, and to what extent, European regulatory private law can be understood as encompassing the EU sustainable finance framework, thereby reflecting a normative and functional evolution in the role of</w:t>
      </w:r>
      <w:r w:rsidRPr="68972C37" w:rsidR="58B0F96E">
        <w:rPr>
          <w:rFonts w:ascii="Aptos" w:hAnsi="Aptos" w:eastAsia="Aptos" w:cs="Aptos"/>
          <w:b w:val="0"/>
          <w:bCs w:val="0"/>
          <w:i w:val="0"/>
          <w:iCs w:val="0"/>
          <w:caps w:val="0"/>
          <w:smallCaps w:val="0"/>
          <w:noProof w:val="0"/>
          <w:color w:val="000000" w:themeColor="text1" w:themeTint="FF" w:themeShade="FF"/>
          <w:sz w:val="24"/>
          <w:szCs w:val="24"/>
          <w:lang w:val="en-US"/>
        </w:rPr>
        <w:t xml:space="preserve"> regulatory</w:t>
      </w:r>
      <w:r w:rsidRPr="68972C37" w:rsidR="343766AB">
        <w:rPr>
          <w:rFonts w:ascii="Aptos" w:hAnsi="Aptos" w:eastAsia="Aptos" w:cs="Aptos"/>
          <w:b w:val="0"/>
          <w:bCs w:val="0"/>
          <w:i w:val="0"/>
          <w:iCs w:val="0"/>
          <w:caps w:val="0"/>
          <w:smallCaps w:val="0"/>
          <w:noProof w:val="0"/>
          <w:color w:val="000000" w:themeColor="text1" w:themeTint="FF" w:themeShade="FF"/>
          <w:sz w:val="24"/>
          <w:szCs w:val="24"/>
          <w:lang w:val="en-US"/>
        </w:rPr>
        <w:t xml:space="preserve"> private </w:t>
      </w:r>
      <w:r w:rsidRPr="68972C37" w:rsidR="343766AB">
        <w:rPr>
          <w:rFonts w:ascii="Aptos" w:hAnsi="Aptos" w:eastAsia="Aptos" w:cs="Aptos"/>
          <w:b w:val="0"/>
          <w:bCs w:val="0"/>
          <w:i w:val="0"/>
          <w:iCs w:val="0"/>
          <w:caps w:val="0"/>
          <w:smallCaps w:val="0"/>
          <w:noProof w:val="0"/>
          <w:color w:val="000000" w:themeColor="text1" w:themeTint="FF" w:themeShade="FF"/>
          <w:sz w:val="24"/>
          <w:szCs w:val="24"/>
          <w:lang w:val="en-US"/>
        </w:rPr>
        <w:t>law within the Union’s legal order.</w:t>
      </w:r>
    </w:p>
    <w:p w:rsidR="343766AB" w:rsidP="68972C37" w:rsidRDefault="343766AB" w14:paraId="257E4671" w14:textId="7764777D">
      <w:pPr>
        <w:spacing w:before="0" w:beforeAutospacing="off" w:after="160" w:afterAutospacing="off" w:line="278"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8972C37" w:rsidR="343766AB">
        <w:rPr>
          <w:rFonts w:ascii="Aptos" w:hAnsi="Aptos" w:eastAsia="Aptos" w:cs="Aptos"/>
          <w:b w:val="0"/>
          <w:bCs w:val="0"/>
          <w:i w:val="0"/>
          <w:iCs w:val="0"/>
          <w:caps w:val="0"/>
          <w:smallCaps w:val="0"/>
          <w:noProof w:val="0"/>
          <w:color w:val="000000" w:themeColor="text1" w:themeTint="FF" w:themeShade="FF"/>
          <w:sz w:val="24"/>
          <w:szCs w:val="24"/>
          <w:lang w:val="en-US"/>
        </w:rPr>
        <w:t>To this end, the first section undertakes a critical review of the existing literature on European regulatory private law.</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8972C37" w:rsidR="43B993DE">
        <w:rPr>
          <w:rFonts w:ascii="Aptos" w:hAnsi="Aptos" w:eastAsia="Aptos" w:cs="Aptos"/>
          <w:b w:val="0"/>
          <w:bCs w:val="0"/>
          <w:i w:val="0"/>
          <w:iCs w:val="0"/>
          <w:caps w:val="0"/>
          <w:smallCaps w:val="0"/>
          <w:noProof w:val="0"/>
          <w:color w:val="000000" w:themeColor="text1" w:themeTint="FF" w:themeShade="FF"/>
          <w:sz w:val="24"/>
          <w:szCs w:val="24"/>
          <w:lang w:val="en-US"/>
        </w:rPr>
        <w:t xml:space="preserve">Traditionally, this body of law has been understood as a set of legislative instruments that recalibrate private autonomy </w:t>
      </w:r>
      <w:r w:rsidRPr="68972C37" w:rsidR="43B993DE">
        <w:rPr>
          <w:rFonts w:ascii="Aptos" w:hAnsi="Aptos" w:eastAsia="Aptos" w:cs="Aptos"/>
          <w:b w:val="0"/>
          <w:bCs w:val="0"/>
          <w:i w:val="0"/>
          <w:iCs w:val="0"/>
          <w:caps w:val="0"/>
          <w:smallCaps w:val="0"/>
          <w:noProof w:val="0"/>
          <w:color w:val="000000" w:themeColor="text1" w:themeTint="FF" w:themeShade="FF"/>
          <w:sz w:val="24"/>
          <w:szCs w:val="24"/>
          <w:lang w:val="en-US"/>
        </w:rPr>
        <w:t>in order to</w:t>
      </w:r>
      <w:r w:rsidRPr="68972C37" w:rsidR="43B993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8972C37" w:rsidR="43B993DE">
        <w:rPr>
          <w:rFonts w:ascii="Aptos" w:hAnsi="Aptos" w:eastAsia="Aptos" w:cs="Aptos"/>
          <w:b w:val="0"/>
          <w:bCs w:val="0"/>
          <w:i w:val="0"/>
          <w:iCs w:val="0"/>
          <w:caps w:val="0"/>
          <w:smallCaps w:val="0"/>
          <w:noProof w:val="0"/>
          <w:color w:val="000000" w:themeColor="text1" w:themeTint="FF" w:themeShade="FF"/>
          <w:sz w:val="24"/>
          <w:szCs w:val="24"/>
          <w:lang w:val="en-US"/>
        </w:rPr>
        <w:t>facilitate</w:t>
      </w:r>
      <w:r w:rsidRPr="68972C37" w:rsidR="43B993DE">
        <w:rPr>
          <w:rFonts w:ascii="Aptos" w:hAnsi="Aptos" w:eastAsia="Aptos" w:cs="Aptos"/>
          <w:b w:val="0"/>
          <w:bCs w:val="0"/>
          <w:i w:val="0"/>
          <w:iCs w:val="0"/>
          <w:caps w:val="0"/>
          <w:smallCaps w:val="0"/>
          <w:noProof w:val="0"/>
          <w:color w:val="000000" w:themeColor="text1" w:themeTint="FF" w:themeShade="FF"/>
          <w:sz w:val="24"/>
          <w:szCs w:val="24"/>
          <w:lang w:val="en-US"/>
        </w:rPr>
        <w:t xml:space="preserve"> more efficient market outcomes, particularly in contexts where market mechanisms alone are insufficient to correct structural inefficiencies or asymmetries. This corrective function is often justified by reference to the need for a well-functioning internal market, where private law is deployed not merely as a framework for individual transactions, but as a regulatory tool that serves broader economic and social </w:t>
      </w:r>
      <w:r w:rsidRPr="68972C37" w:rsidR="43B993DE">
        <w:rPr>
          <w:rFonts w:ascii="Aptos" w:hAnsi="Aptos" w:eastAsia="Aptos" w:cs="Aptos"/>
          <w:b w:val="0"/>
          <w:bCs w:val="0"/>
          <w:i w:val="0"/>
          <w:iCs w:val="0"/>
          <w:caps w:val="0"/>
          <w:smallCaps w:val="0"/>
          <w:noProof w:val="0"/>
          <w:color w:val="000000" w:themeColor="text1" w:themeTint="FF" w:themeShade="FF"/>
          <w:sz w:val="24"/>
          <w:szCs w:val="24"/>
          <w:lang w:val="en-US"/>
        </w:rPr>
        <w:t>objectives</w:t>
      </w:r>
      <w:r w:rsidRPr="68972C37" w:rsidR="43B993DE">
        <w:rPr>
          <w:rFonts w:ascii="Aptos" w:hAnsi="Aptos" w:eastAsia="Aptos" w:cs="Aptos"/>
          <w:b w:val="0"/>
          <w:bCs w:val="0"/>
          <w:i w:val="0"/>
          <w:iCs w:val="0"/>
          <w:caps w:val="0"/>
          <w:smallCaps w:val="0"/>
          <w:noProof w:val="0"/>
          <w:color w:val="000000" w:themeColor="text1" w:themeTint="FF" w:themeShade="FF"/>
          <w:sz w:val="24"/>
          <w:szCs w:val="24"/>
          <w:lang w:val="en-US"/>
        </w:rPr>
        <w:t>.</w:t>
      </w:r>
    </w:p>
    <w:p w:rsidR="5825DEC6" w:rsidP="68972C37" w:rsidRDefault="5825DEC6" w14:paraId="74D491BC" w14:textId="3C0894FF">
      <w:pPr>
        <w:spacing w:before="0" w:beforeAutospacing="off" w:after="160" w:afterAutospacing="off" w:line="278"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8972C37" w:rsidR="5825DEC6">
        <w:rPr>
          <w:rFonts w:ascii="Aptos" w:hAnsi="Aptos" w:eastAsia="Aptos" w:cs="Aptos"/>
          <w:b w:val="0"/>
          <w:bCs w:val="0"/>
          <w:i w:val="0"/>
          <w:iCs w:val="0"/>
          <w:caps w:val="0"/>
          <w:smallCaps w:val="0"/>
          <w:noProof w:val="0"/>
          <w:color w:val="000000" w:themeColor="text1" w:themeTint="FF" w:themeShade="FF"/>
          <w:sz w:val="24"/>
          <w:szCs w:val="24"/>
          <w:lang w:val="en-US"/>
        </w:rPr>
        <w:t>However, the emergence of centrality of the principle of sustainable development in the European Union’s policy making requires a rethinking of the foundations</w:t>
      </w:r>
      <w:r w:rsidRPr="68972C37" w:rsidR="598275FD">
        <w:rPr>
          <w:rFonts w:ascii="Aptos" w:hAnsi="Aptos" w:eastAsia="Aptos" w:cs="Aptos"/>
          <w:b w:val="0"/>
          <w:bCs w:val="0"/>
          <w:i w:val="0"/>
          <w:iCs w:val="0"/>
          <w:caps w:val="0"/>
          <w:smallCaps w:val="0"/>
          <w:noProof w:val="0"/>
          <w:color w:val="000000" w:themeColor="text1" w:themeTint="FF" w:themeShade="FF"/>
          <w:sz w:val="24"/>
          <w:szCs w:val="24"/>
          <w:lang w:val="en-US"/>
        </w:rPr>
        <w:t xml:space="preserve"> of European regulatory private law.</w:t>
      </w:r>
    </w:p>
    <w:p w:rsidR="26AF80F9" w:rsidP="68972C37" w:rsidRDefault="26AF80F9" w14:paraId="629CD240" w14:textId="5BDBBDFE">
      <w:pPr>
        <w:spacing w:before="0" w:beforeAutospacing="off" w:after="160" w:afterAutospacing="off" w:line="278"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Th</w:t>
      </w:r>
      <w:r w:rsidRPr="68972C37" w:rsidR="72C99BBE">
        <w:rPr>
          <w:rFonts w:ascii="Aptos" w:hAnsi="Aptos" w:eastAsia="Aptos" w:cs="Aptos"/>
          <w:b w:val="0"/>
          <w:bCs w:val="0"/>
          <w:i w:val="0"/>
          <w:iCs w:val="0"/>
          <w:caps w:val="0"/>
          <w:smallCaps w:val="0"/>
          <w:noProof w:val="0"/>
          <w:color w:val="000000" w:themeColor="text1" w:themeTint="FF" w:themeShade="FF"/>
          <w:sz w:val="24"/>
          <w:szCs w:val="24"/>
          <w:lang w:val="en-US"/>
        </w:rPr>
        <w:t>e second part</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8972C37" w:rsidR="24575631">
        <w:rPr>
          <w:rFonts w:ascii="Aptos" w:hAnsi="Aptos" w:eastAsia="Aptos" w:cs="Aptos"/>
          <w:b w:val="0"/>
          <w:bCs w:val="0"/>
          <w:i w:val="0"/>
          <w:iCs w:val="0"/>
          <w:caps w:val="0"/>
          <w:smallCaps w:val="0"/>
          <w:noProof w:val="0"/>
          <w:color w:val="000000" w:themeColor="text1" w:themeTint="FF" w:themeShade="FF"/>
          <w:sz w:val="24"/>
          <w:szCs w:val="24"/>
          <w:lang w:val="en-US"/>
        </w:rPr>
        <w:t xml:space="preserve">of this paper </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maps the legal bases of two groups of EU laws: those traditionally considered part of the European regulatory private law framework, and of those that form the EU sustainable finance framework. Based on this mapping, it compares the differences and commonalities in the legal bases </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across both groups. </w:t>
      </w:r>
    </w:p>
    <w:p w:rsidR="26AF80F9" w:rsidP="68972C37" w:rsidRDefault="26AF80F9" w14:paraId="188F9917" w14:textId="20F61E93">
      <w:pPr>
        <w:spacing w:before="0" w:beforeAutospacing="off" w:after="160" w:afterAutospacing="off" w:line="278" w:lineRule="auto"/>
        <w:jc w:val="both"/>
        <w:rPr>
          <w:rFonts w:ascii="Aptos" w:hAnsi="Aptos" w:eastAsia="Aptos" w:cs="Aptos"/>
          <w:b w:val="0"/>
          <w:bCs w:val="0"/>
          <w:i w:val="0"/>
          <w:iCs w:val="0"/>
          <w:caps w:val="0"/>
          <w:smallCaps w:val="0"/>
          <w:noProof w:val="0"/>
          <w:color w:val="000000" w:themeColor="text1" w:themeTint="FF" w:themeShade="FF"/>
          <w:sz w:val="27"/>
          <w:szCs w:val="27"/>
          <w:lang w:val="en-US"/>
        </w:rPr>
      </w:pP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In this context, th</w:t>
      </w:r>
      <w:r w:rsidRPr="68972C37" w:rsidR="2387AA2E">
        <w:rPr>
          <w:rFonts w:ascii="Aptos" w:hAnsi="Aptos" w:eastAsia="Aptos" w:cs="Aptos"/>
          <w:b w:val="0"/>
          <w:bCs w:val="0"/>
          <w:i w:val="0"/>
          <w:iCs w:val="0"/>
          <w:caps w:val="0"/>
          <w:smallCaps w:val="0"/>
          <w:noProof w:val="0"/>
          <w:color w:val="000000" w:themeColor="text1" w:themeTint="FF" w:themeShade="FF"/>
          <w:sz w:val="24"/>
          <w:szCs w:val="24"/>
          <w:lang w:val="en-US"/>
        </w:rPr>
        <w:t>e paper</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explores - also through a literature review - whether the interpretation of the shared legal basis reflects an evolution in the foundational legal concepts, due to a more concrete application of the sustainable development principle.</w:t>
      </w:r>
      <w:r w:rsidRPr="68972C37" w:rsidR="26AF80F9">
        <w:rPr>
          <w:rFonts w:ascii="Aptos" w:hAnsi="Aptos" w:eastAsia="Aptos" w:cs="Aptos"/>
          <w:b w:val="0"/>
          <w:bCs w:val="0"/>
          <w:i w:val="0"/>
          <w:iCs w:val="0"/>
          <w:caps w:val="0"/>
          <w:smallCaps w:val="0"/>
          <w:noProof w:val="0"/>
          <w:color w:val="000000" w:themeColor="text1" w:themeTint="FF" w:themeShade="FF"/>
          <w:sz w:val="27"/>
          <w:szCs w:val="27"/>
          <w:lang w:val="en-US"/>
        </w:rPr>
        <w:t xml:space="preserve"> </w:t>
      </w:r>
    </w:p>
    <w:p w:rsidR="26AF80F9" w:rsidP="68972C37" w:rsidRDefault="26AF80F9" w14:paraId="215EBD65" w14:textId="0D9F839D">
      <w:pPr>
        <w:spacing w:before="0" w:beforeAutospacing="off" w:after="160" w:afterAutospacing="off" w:line="278"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To assess this, laws from both groups that rely on the same legal bases are paired and their core provisions compared in terms of aims and functions. The objective is to determine whether these shared legal bases have been subject to evolutive usage aligned with sustainability goals. </w:t>
      </w:r>
    </w:p>
    <w:p w:rsidR="26AF80F9" w:rsidP="68972C37" w:rsidRDefault="26AF80F9" w14:paraId="395F246F" w14:textId="718C56F6">
      <w:pPr>
        <w:spacing w:before="0" w:beforeAutospacing="off" w:after="160" w:afterAutospacing="off" w:line="278"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The analysis is expected to support the conclusion that the current definition of European regulatory private law</w:t>
      </w:r>
      <w:r w:rsidRPr="68972C37" w:rsidR="26AF80F9">
        <w:rPr>
          <w:rFonts w:ascii="Aptos" w:hAnsi="Aptos" w:eastAsia="Aptos" w:cs="Aptos"/>
          <w:b w:val="0"/>
          <w:bCs w:val="0"/>
          <w:i w:val="0"/>
          <w:iCs w:val="0"/>
          <w:caps w:val="0"/>
          <w:smallCaps w:val="0"/>
          <w:noProof w:val="0"/>
          <w:color w:val="000000" w:themeColor="text1" w:themeTint="FF" w:themeShade="FF"/>
          <w:sz w:val="27"/>
          <w:szCs w:val="27"/>
          <w:lang w:val="en-US"/>
        </w:rPr>
        <w:t xml:space="preserve"> </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anchored in the idea of the social market economy —has become outdated, given the evolving interpretation of legal bases in the context of sustainable finance and the increasing legal relevance of the sustainable development principle.   </w:t>
      </w:r>
    </w:p>
    <w:p w:rsidR="26AF80F9" w:rsidP="68972C37" w:rsidRDefault="26AF80F9" w14:paraId="69260A2F" w14:textId="4C5F3C8F">
      <w:pPr>
        <w:spacing w:before="0" w:beforeAutospacing="off" w:after="160" w:afterAutospacing="off" w:line="278"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Based on the literature review and the analysis above, th</w:t>
      </w:r>
      <w:r w:rsidRPr="68972C37" w:rsidR="23301510">
        <w:rPr>
          <w:rFonts w:ascii="Aptos" w:hAnsi="Aptos" w:eastAsia="Aptos" w:cs="Aptos"/>
          <w:b w:val="0"/>
          <w:bCs w:val="0"/>
          <w:i w:val="0"/>
          <w:iCs w:val="0"/>
          <w:caps w:val="0"/>
          <w:smallCaps w:val="0"/>
          <w:noProof w:val="0"/>
          <w:color w:val="000000" w:themeColor="text1" w:themeTint="FF" w:themeShade="FF"/>
          <w:sz w:val="24"/>
          <w:szCs w:val="24"/>
          <w:lang w:val="en-US"/>
        </w:rPr>
        <w:t>e</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pa</w:t>
      </w:r>
      <w:r w:rsidRPr="68972C37" w:rsidR="18E9FE9A">
        <w:rPr>
          <w:rFonts w:ascii="Aptos" w:hAnsi="Aptos" w:eastAsia="Aptos" w:cs="Aptos"/>
          <w:b w:val="0"/>
          <w:bCs w:val="0"/>
          <w:i w:val="0"/>
          <w:iCs w:val="0"/>
          <w:caps w:val="0"/>
          <w:smallCaps w:val="0"/>
          <w:noProof w:val="0"/>
          <w:color w:val="000000" w:themeColor="text1" w:themeTint="FF" w:themeShade="FF"/>
          <w:sz w:val="24"/>
          <w:szCs w:val="24"/>
          <w:lang w:val="en-US"/>
        </w:rPr>
        <w:t>per</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formulates a definition of European private regulatory law that includes the EU sustainable finance framework within its scope.</w:t>
      </w:r>
      <w:r w:rsidRPr="68972C37" w:rsidR="6B76223D">
        <w:rPr>
          <w:rFonts w:ascii="Aptos" w:hAnsi="Aptos" w:eastAsia="Aptos" w:cs="Aptos"/>
          <w:b w:val="0"/>
          <w:bCs w:val="0"/>
          <w:i w:val="0"/>
          <w:iCs w:val="0"/>
          <w:caps w:val="0"/>
          <w:smallCaps w:val="0"/>
          <w:noProof w:val="0"/>
          <w:color w:val="000000" w:themeColor="text1" w:themeTint="FF" w:themeShade="FF"/>
          <w:sz w:val="24"/>
          <w:szCs w:val="24"/>
          <w:lang w:val="en-US"/>
        </w:rPr>
        <w:t xml:space="preserve"> This redefinition acknowledges the growing interdependence between private law and public regulatory </w:t>
      </w:r>
      <w:r w:rsidRPr="68972C37" w:rsidR="6B76223D">
        <w:rPr>
          <w:rFonts w:ascii="Aptos" w:hAnsi="Aptos" w:eastAsia="Aptos" w:cs="Aptos"/>
          <w:b w:val="0"/>
          <w:bCs w:val="0"/>
          <w:i w:val="0"/>
          <w:iCs w:val="0"/>
          <w:caps w:val="0"/>
          <w:smallCaps w:val="0"/>
          <w:noProof w:val="0"/>
          <w:color w:val="000000" w:themeColor="text1" w:themeTint="FF" w:themeShade="FF"/>
          <w:sz w:val="24"/>
          <w:szCs w:val="24"/>
          <w:lang w:val="en-US"/>
        </w:rPr>
        <w:t>objectives</w:t>
      </w:r>
      <w:r w:rsidRPr="68972C37" w:rsidR="314D515A">
        <w:rPr>
          <w:rFonts w:ascii="Aptos" w:hAnsi="Aptos" w:eastAsia="Aptos" w:cs="Aptos"/>
          <w:b w:val="0"/>
          <w:bCs w:val="0"/>
          <w:i w:val="0"/>
          <w:iCs w:val="0"/>
          <w:caps w:val="0"/>
          <w:smallCaps w:val="0"/>
          <w:noProof w:val="0"/>
          <w:color w:val="000000" w:themeColor="text1" w:themeTint="FF" w:themeShade="FF"/>
          <w:sz w:val="24"/>
          <w:szCs w:val="24"/>
          <w:lang w:val="en-US"/>
        </w:rPr>
        <w:t xml:space="preserve"> and</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supports the broader theory that European private law has shifted from autonomy to functionalism in competition and regulation. </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In light of</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this, </w:t>
      </w:r>
      <w:r w:rsidRPr="68972C37" w:rsidR="54D534E8">
        <w:rPr>
          <w:rFonts w:ascii="Aptos" w:hAnsi="Aptos" w:eastAsia="Aptos" w:cs="Aptos"/>
          <w:b w:val="0"/>
          <w:bCs w:val="0"/>
          <w:i w:val="0"/>
          <w:iCs w:val="0"/>
          <w:caps w:val="0"/>
          <w:smallCaps w:val="0"/>
          <w:noProof w:val="0"/>
          <w:color w:val="000000" w:themeColor="text1" w:themeTint="FF" w:themeShade="FF"/>
          <w:sz w:val="24"/>
          <w:szCs w:val="24"/>
          <w:lang w:val="en-US"/>
        </w:rPr>
        <w:t xml:space="preserve">the </w:t>
      </w:r>
      <w:r w:rsidRPr="68972C37" w:rsidR="6E7556A4">
        <w:rPr>
          <w:rFonts w:ascii="Aptos" w:hAnsi="Aptos" w:eastAsia="Aptos" w:cs="Aptos"/>
          <w:b w:val="0"/>
          <w:bCs w:val="0"/>
          <w:i w:val="0"/>
          <w:iCs w:val="0"/>
          <w:caps w:val="0"/>
          <w:smallCaps w:val="0"/>
          <w:noProof w:val="0"/>
          <w:color w:val="000000" w:themeColor="text1" w:themeTint="FF" w:themeShade="FF"/>
          <w:sz w:val="24"/>
          <w:szCs w:val="24"/>
          <w:lang w:val="en-US"/>
        </w:rPr>
        <w:t>paper</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ultimately reflects</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on the </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objectives</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 xml:space="preserve"> of EU competition law under EU primary law with particular attention to the normative role of the sustainable development principle</w:t>
      </w:r>
      <w:r w:rsidRPr="68972C37" w:rsidR="3A5EE89D">
        <w:rPr>
          <w:rFonts w:ascii="Aptos" w:hAnsi="Aptos" w:eastAsia="Aptos" w:cs="Aptos"/>
          <w:b w:val="0"/>
          <w:bCs w:val="0"/>
          <w:i w:val="0"/>
          <w:iCs w:val="0"/>
          <w:caps w:val="0"/>
          <w:smallCaps w:val="0"/>
          <w:noProof w:val="0"/>
          <w:color w:val="000000" w:themeColor="text1" w:themeTint="FF" w:themeShade="FF"/>
          <w:sz w:val="24"/>
          <w:szCs w:val="24"/>
          <w:lang w:val="en-US"/>
        </w:rPr>
        <w:t xml:space="preserve"> in the context of the interaction between competition, private autonomy and regulation</w:t>
      </w:r>
      <w:r w:rsidRPr="68972C37" w:rsidR="26AF80F9">
        <w:rPr>
          <w:rFonts w:ascii="Aptos" w:hAnsi="Aptos" w:eastAsia="Aptos" w:cs="Aptos"/>
          <w:b w:val="0"/>
          <w:bCs w:val="0"/>
          <w:i w:val="0"/>
          <w:iCs w:val="0"/>
          <w:caps w:val="0"/>
          <w:smallCaps w:val="0"/>
          <w:noProof w:val="0"/>
          <w:color w:val="000000" w:themeColor="text1" w:themeTint="FF" w:themeShade="FF"/>
          <w:sz w:val="24"/>
          <w:szCs w:val="24"/>
          <w:lang w:val="en-US"/>
        </w:rPr>
        <w:t>.</w:t>
      </w:r>
    </w:p>
    <w:p w:rsidR="68972C37" w:rsidP="68972C37" w:rsidRDefault="68972C37" w14:paraId="17B82D53" w14:textId="08BF92DF">
      <w:pPr>
        <w:pStyle w:val="Normal"/>
        <w:jc w:val="both"/>
        <w:rPr>
          <w:rFonts w:ascii="Aptos" w:hAnsi="Aptos" w:eastAsia="Aptos" w:cs="Aptos"/>
          <w:b w:val="1"/>
          <w:bCs w:val="1"/>
          <w:i w:val="0"/>
          <w:iCs w:val="0"/>
          <w:caps w:val="0"/>
          <w:smallCaps w:val="0"/>
          <w:noProof w:val="0"/>
          <w:color w:val="000000" w:themeColor="text1" w:themeTint="FF" w:themeShade="FF"/>
          <w:sz w:val="24"/>
          <w:szCs w:val="24"/>
          <w:lang w:val="en-U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34bb0971"/>
    <w:multiLevelType xmlns:w="http://schemas.openxmlformats.org/wordprocessingml/2006/main" w:val="hybridMultilevel"/>
    <w:lvl xmlns:w="http://schemas.openxmlformats.org/wordprocessingml/2006/main" w:ilvl="0">
      <w:start w:val="1"/>
      <w:numFmt w:val="upperRoman"/>
      <w:lvlText w:val="%1."/>
      <w:lvlJc w:val="righ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F255CA"/>
    <w:rsid w:val="06FD32EC"/>
    <w:rsid w:val="093C81AC"/>
    <w:rsid w:val="093E248B"/>
    <w:rsid w:val="0CF255CA"/>
    <w:rsid w:val="0EC6EB4D"/>
    <w:rsid w:val="0F0D033F"/>
    <w:rsid w:val="1065205C"/>
    <w:rsid w:val="10B9F96E"/>
    <w:rsid w:val="11DDAE94"/>
    <w:rsid w:val="15969953"/>
    <w:rsid w:val="15D0C874"/>
    <w:rsid w:val="18E9FE9A"/>
    <w:rsid w:val="194891CD"/>
    <w:rsid w:val="1B5A736A"/>
    <w:rsid w:val="1C49C826"/>
    <w:rsid w:val="1DE10D17"/>
    <w:rsid w:val="23301510"/>
    <w:rsid w:val="2387AA2E"/>
    <w:rsid w:val="24575631"/>
    <w:rsid w:val="26AF12FA"/>
    <w:rsid w:val="26AF80F9"/>
    <w:rsid w:val="314D515A"/>
    <w:rsid w:val="3160E6AA"/>
    <w:rsid w:val="326A4432"/>
    <w:rsid w:val="32FC8184"/>
    <w:rsid w:val="343766AB"/>
    <w:rsid w:val="345DDE1C"/>
    <w:rsid w:val="364501A4"/>
    <w:rsid w:val="3697AF89"/>
    <w:rsid w:val="3880FD6E"/>
    <w:rsid w:val="3A5EE89D"/>
    <w:rsid w:val="3D4A7126"/>
    <w:rsid w:val="416741DD"/>
    <w:rsid w:val="427E9C75"/>
    <w:rsid w:val="4335A54F"/>
    <w:rsid w:val="43B993DE"/>
    <w:rsid w:val="45F2647D"/>
    <w:rsid w:val="4775506F"/>
    <w:rsid w:val="47949558"/>
    <w:rsid w:val="54D534E8"/>
    <w:rsid w:val="5825DEC6"/>
    <w:rsid w:val="58B0F96E"/>
    <w:rsid w:val="58CC4917"/>
    <w:rsid w:val="598275FD"/>
    <w:rsid w:val="5BE808E0"/>
    <w:rsid w:val="5D4AF825"/>
    <w:rsid w:val="62FC37DA"/>
    <w:rsid w:val="68972C37"/>
    <w:rsid w:val="6B76223D"/>
    <w:rsid w:val="6E7556A4"/>
    <w:rsid w:val="72C99BBE"/>
    <w:rsid w:val="7563ACBB"/>
    <w:rsid w:val="7E084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55CA"/>
  <w15:chartTrackingRefBased/>
  <w15:docId w15:val="{2400DA76-3F18-48AF-9E70-C9B43EB836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8972C3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d79f0c37c7646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2025-09-29T14:57:20.3529448Z</dcterms:created>
  <dcterms:modified xsi:type="dcterms:W3CDTF">2025-09-30T18:59:25.0682085Z</dcterms:modified>
  <dc:creator>agnese colucci</dc:creator>
  <lastModifiedBy>agnese colucci</lastModifiedBy>
</coreProperties>
</file>