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1A48" w14:textId="7085F917" w:rsidR="00B35D7B" w:rsidRPr="00BF4413" w:rsidRDefault="00B35D7B" w:rsidP="004127C4">
      <w:pPr>
        <w:jc w:val="center"/>
        <w:rPr>
          <w:rFonts w:asciiTheme="majorBidi" w:hAnsiTheme="majorBidi" w:cstheme="majorBidi"/>
          <w:sz w:val="32"/>
          <w:szCs w:val="32"/>
        </w:rPr>
      </w:pPr>
      <w:r w:rsidRPr="00BF4413">
        <w:rPr>
          <w:rFonts w:asciiTheme="majorBidi" w:hAnsiTheme="majorBidi" w:cstheme="majorBidi"/>
          <w:sz w:val="32"/>
          <w:szCs w:val="32"/>
        </w:rPr>
        <w:t xml:space="preserve">A Comparative Analysis of Startup Equity Compensation: </w:t>
      </w:r>
      <w:r w:rsidR="00767BDD">
        <w:rPr>
          <w:rFonts w:asciiTheme="majorBidi" w:hAnsiTheme="majorBidi" w:cstheme="majorBidi"/>
          <w:sz w:val="32"/>
          <w:szCs w:val="32"/>
        </w:rPr>
        <w:br/>
      </w:r>
      <w:r w:rsidRPr="00BF4413">
        <w:rPr>
          <w:rFonts w:asciiTheme="majorBidi" w:hAnsiTheme="majorBidi" w:cstheme="majorBidi"/>
          <w:sz w:val="32"/>
          <w:szCs w:val="32"/>
        </w:rPr>
        <w:t>Does Law Matter?</w:t>
      </w:r>
    </w:p>
    <w:p w14:paraId="12582489" w14:textId="4B626C6E" w:rsidR="00B35D7B" w:rsidRPr="00BF4413" w:rsidRDefault="00B35D7B" w:rsidP="004127C4">
      <w:pPr>
        <w:jc w:val="center"/>
        <w:rPr>
          <w:rFonts w:asciiTheme="majorBidi" w:hAnsiTheme="majorBidi" w:cstheme="majorBidi"/>
          <w:sz w:val="24"/>
          <w:szCs w:val="24"/>
        </w:rPr>
      </w:pPr>
      <w:r w:rsidRPr="00BF4413">
        <w:rPr>
          <w:rFonts w:asciiTheme="majorBidi" w:hAnsiTheme="majorBidi" w:cstheme="majorBidi"/>
          <w:sz w:val="24"/>
          <w:szCs w:val="24"/>
        </w:rPr>
        <w:t>Yifat Aran</w:t>
      </w:r>
      <w:r w:rsidRPr="00BF4413">
        <w:rPr>
          <w:rFonts w:asciiTheme="majorBidi" w:hAnsiTheme="majorBidi" w:cstheme="majorBidi"/>
          <w:sz w:val="24"/>
          <w:szCs w:val="24"/>
          <w:vertAlign w:val="superscript"/>
        </w:rPr>
        <w:footnoteReference w:id="1"/>
      </w:r>
      <w:r w:rsidRPr="00BF4413">
        <w:rPr>
          <w:rFonts w:asciiTheme="majorBidi" w:hAnsiTheme="majorBidi" w:cstheme="majorBidi"/>
          <w:sz w:val="24"/>
          <w:szCs w:val="24"/>
        </w:rPr>
        <w:t xml:space="preserve"> &amp; Casimiro A Nigro</w:t>
      </w:r>
      <w:r w:rsidRPr="00BF4413">
        <w:rPr>
          <w:rFonts w:asciiTheme="majorBidi" w:hAnsiTheme="majorBidi" w:cstheme="majorBidi"/>
          <w:sz w:val="24"/>
          <w:szCs w:val="24"/>
          <w:vertAlign w:val="superscript"/>
        </w:rPr>
        <w:footnoteReference w:id="2"/>
      </w:r>
    </w:p>
    <w:p w14:paraId="1B4F27BC" w14:textId="77777777" w:rsidR="00B35D7B" w:rsidRDefault="00B35D7B" w:rsidP="00283303">
      <w:pPr>
        <w:rPr>
          <w:rFonts w:asciiTheme="majorBidi" w:hAnsiTheme="majorBidi" w:cstheme="majorBidi"/>
        </w:rPr>
      </w:pPr>
    </w:p>
    <w:p w14:paraId="5A7E504B" w14:textId="77777777" w:rsidR="00AC3446" w:rsidRPr="00BF4413" w:rsidRDefault="00AC3446" w:rsidP="00283303">
      <w:pPr>
        <w:rPr>
          <w:rFonts w:asciiTheme="majorBidi" w:hAnsiTheme="majorBidi" w:cstheme="majorBidi"/>
        </w:rPr>
        <w:sectPr w:rsidR="00AC3446" w:rsidRPr="00BF4413" w:rsidSect="00B35D7B">
          <w:headerReference w:type="default" r:id="rId8"/>
          <w:footerReference w:type="default" r:id="rId9"/>
          <w:footnotePr>
            <w:numFmt w:val="lowerRoman"/>
          </w:footnotePr>
          <w:pgSz w:w="11906" w:h="16838"/>
          <w:pgMar w:top="1440" w:right="1440" w:bottom="1440" w:left="1440" w:header="708" w:footer="708" w:gutter="0"/>
          <w:cols w:space="708"/>
          <w:docGrid w:linePitch="360"/>
        </w:sectPr>
      </w:pPr>
    </w:p>
    <w:p w14:paraId="3F736E36" w14:textId="442306B6" w:rsidR="00CF778E" w:rsidRDefault="00CF778E" w:rsidP="007A7838">
      <w:pPr>
        <w:pStyle w:val="Style1"/>
      </w:pPr>
      <w:r>
        <w:t xml:space="preserve">Abstract </w:t>
      </w:r>
    </w:p>
    <w:p w14:paraId="3F6F82A7" w14:textId="5589EB56" w:rsidR="00CF778E" w:rsidRDefault="00B3307E" w:rsidP="007A7838">
      <w:pPr>
        <w:pStyle w:val="Style1"/>
        <w:rPr>
          <w:b w:val="0"/>
          <w:bCs w:val="0"/>
        </w:rPr>
      </w:pPr>
      <w:r w:rsidRPr="00B3307E">
        <w:rPr>
          <w:b w:val="0"/>
          <w:bCs w:val="0"/>
        </w:rPr>
        <w:t>We examine the relationship between legal infrastructures and the propensity of startups to offer equity compensation to their employees. Using a proprietary dataset from Equidam, an international startup valuation service, paired with a metric from Index Ventures, an EU-based venture capital fund, which assesses a country's legal environment's favorability toward startup employee stock options, our study includes over 4,300 early-stage startups across 24 jurisdictions. We identif</w:t>
      </w:r>
      <w:r>
        <w:rPr>
          <w:b w:val="0"/>
          <w:bCs w:val="0"/>
        </w:rPr>
        <w:t>y</w:t>
      </w:r>
      <w:r w:rsidRPr="00B3307E">
        <w:rPr>
          <w:b w:val="0"/>
          <w:bCs w:val="0"/>
        </w:rPr>
        <w:t xml:space="preserve"> a moderate and significant correlation between a country's legal favorability to employee stock options and the likelihood of startups in that jurisdiction offering equity compensation. Our logistic regression analysis also points to other crucial factors, such as founders' prior startup experience, engagement with external legal consultants, and a more recent year of incorporation. This suggests that experience and sophistication play roles beyond just legal considerations. We also </w:t>
      </w:r>
      <w:r>
        <w:rPr>
          <w:b w:val="0"/>
          <w:bCs w:val="0"/>
        </w:rPr>
        <w:t>find</w:t>
      </w:r>
      <w:r w:rsidRPr="00B3307E">
        <w:rPr>
          <w:b w:val="0"/>
          <w:bCs w:val="0"/>
        </w:rPr>
        <w:t xml:space="preserve"> that flexibility in stock option pricing, especially in determining the strike price, is a </w:t>
      </w:r>
      <w:r w:rsidR="00353264" w:rsidRPr="00B3307E">
        <w:rPr>
          <w:b w:val="0"/>
          <w:bCs w:val="0"/>
        </w:rPr>
        <w:t>significant</w:t>
      </w:r>
      <w:r w:rsidRPr="00B3307E">
        <w:rPr>
          <w:b w:val="0"/>
          <w:bCs w:val="0"/>
        </w:rPr>
        <w:t xml:space="preserve"> legal </w:t>
      </w:r>
      <w:r w:rsidR="000D5CBB" w:rsidRPr="00B3307E">
        <w:rPr>
          <w:b w:val="0"/>
          <w:bCs w:val="0"/>
        </w:rPr>
        <w:t>factor</w:t>
      </w:r>
      <w:r w:rsidRPr="00B3307E">
        <w:rPr>
          <w:b w:val="0"/>
          <w:bCs w:val="0"/>
        </w:rPr>
        <w:t>. As equity compensation becomes a focal point in policy debates, especially in the EU, our research offers empirical insights underscoring the importance of regulatory strategies that acknowledge and champion equity compensation practices in startups.</w:t>
      </w:r>
    </w:p>
    <w:p w14:paraId="5790957D" w14:textId="77777777" w:rsidR="00AC3446" w:rsidRPr="00CF778E" w:rsidRDefault="00AC3446" w:rsidP="007A7838">
      <w:pPr>
        <w:pStyle w:val="Style1"/>
        <w:rPr>
          <w:b w:val="0"/>
          <w:bCs w:val="0"/>
        </w:rPr>
      </w:pPr>
    </w:p>
    <w:p w14:paraId="3BA762AC" w14:textId="77096BA4" w:rsidR="00B35D7B" w:rsidRPr="00BF4413" w:rsidRDefault="00B35D7B" w:rsidP="007A7838">
      <w:pPr>
        <w:pStyle w:val="Style1"/>
      </w:pPr>
      <w:r w:rsidRPr="00BF4413">
        <w:t xml:space="preserve">I. Introduction </w:t>
      </w:r>
    </w:p>
    <w:p w14:paraId="6EC5BF5A" w14:textId="4E97D06E" w:rsidR="00B936A4" w:rsidRPr="00BF4413" w:rsidRDefault="00FA705E" w:rsidP="00FA705E">
      <w:pPr>
        <w:spacing w:line="360" w:lineRule="auto"/>
        <w:jc w:val="both"/>
        <w:rPr>
          <w:rFonts w:asciiTheme="majorBidi" w:hAnsiTheme="majorBidi" w:cstheme="majorBidi"/>
          <w:sz w:val="24"/>
          <w:szCs w:val="24"/>
        </w:rPr>
      </w:pPr>
      <w:r w:rsidRPr="00BF4413">
        <w:rPr>
          <w:rFonts w:asciiTheme="majorBidi" w:hAnsiTheme="majorBidi" w:cstheme="majorBidi"/>
          <w:sz w:val="24"/>
          <w:szCs w:val="24"/>
        </w:rPr>
        <w:t xml:space="preserve">Sam </w:t>
      </w:r>
      <w:bookmarkStart w:id="0" w:name="_Hlk146139210"/>
      <w:r w:rsidRPr="00BF4413">
        <w:rPr>
          <w:rFonts w:asciiTheme="majorBidi" w:hAnsiTheme="majorBidi" w:cstheme="majorBidi"/>
          <w:sz w:val="24"/>
          <w:szCs w:val="24"/>
        </w:rPr>
        <w:t>Altman</w:t>
      </w:r>
      <w:bookmarkEnd w:id="0"/>
      <w:r w:rsidRPr="00BF4413">
        <w:rPr>
          <w:rFonts w:asciiTheme="majorBidi" w:hAnsiTheme="majorBidi" w:cstheme="majorBidi"/>
          <w:sz w:val="24"/>
          <w:szCs w:val="24"/>
        </w:rPr>
        <w:t xml:space="preserve">, CEO of OpenAI and former president of Y Combinator, remarked that "[G]iving equity to employees is perhaps the key element to making startups work. It's amazing to me that some countries make this so hard (sometimes totally economically impractical) and then wonder why they don't have more successful startups." (tweet by @sama, February 14, 2023). </w:t>
      </w:r>
      <w:r w:rsidR="00405A89" w:rsidRPr="00BF4413">
        <w:rPr>
          <w:rFonts w:asciiTheme="majorBidi" w:hAnsiTheme="majorBidi" w:cstheme="majorBidi"/>
          <w:sz w:val="24"/>
          <w:szCs w:val="24"/>
        </w:rPr>
        <w:t>Altman</w:t>
      </w:r>
      <w:r w:rsidR="00405A89">
        <w:rPr>
          <w:rFonts w:asciiTheme="majorBidi" w:hAnsiTheme="majorBidi" w:cstheme="majorBidi"/>
          <w:sz w:val="24"/>
          <w:szCs w:val="24"/>
        </w:rPr>
        <w:t xml:space="preserve">’s </w:t>
      </w:r>
      <w:r w:rsidRPr="00BF4413">
        <w:rPr>
          <w:rFonts w:asciiTheme="majorBidi" w:hAnsiTheme="majorBidi" w:cstheme="majorBidi"/>
          <w:sz w:val="24"/>
          <w:szCs w:val="24"/>
        </w:rPr>
        <w:t xml:space="preserve">observation highlights both the pivotal role of equity compensation in Silicon Valley startups and the varied legislative landscapes across countries. This paper examines the </w:t>
      </w:r>
      <w:r w:rsidRPr="00BF4413">
        <w:rPr>
          <w:rFonts w:asciiTheme="majorBidi" w:hAnsiTheme="majorBidi" w:cstheme="majorBidi"/>
          <w:sz w:val="24"/>
          <w:szCs w:val="24"/>
        </w:rPr>
        <w:lastRenderedPageBreak/>
        <w:t xml:space="preserve">nuanced relationship between these local regulatory frameworks and startups' </w:t>
      </w:r>
      <w:r w:rsidR="00405A89">
        <w:rPr>
          <w:rFonts w:asciiTheme="majorBidi" w:hAnsiTheme="majorBidi" w:cstheme="majorBidi"/>
          <w:sz w:val="24"/>
          <w:szCs w:val="24"/>
        </w:rPr>
        <w:t>tendency to grant</w:t>
      </w:r>
      <w:r w:rsidRPr="00BF4413">
        <w:rPr>
          <w:rFonts w:asciiTheme="majorBidi" w:hAnsiTheme="majorBidi" w:cstheme="majorBidi"/>
          <w:sz w:val="24"/>
          <w:szCs w:val="24"/>
        </w:rPr>
        <w:t xml:space="preserve"> equity </w:t>
      </w:r>
      <w:r w:rsidR="00405A89">
        <w:rPr>
          <w:rFonts w:asciiTheme="majorBidi" w:hAnsiTheme="majorBidi" w:cstheme="majorBidi"/>
          <w:sz w:val="24"/>
          <w:szCs w:val="24"/>
        </w:rPr>
        <w:t>compensation to their employees</w:t>
      </w:r>
      <w:r w:rsidRPr="00BF4413">
        <w:rPr>
          <w:rFonts w:asciiTheme="majorBidi" w:hAnsiTheme="majorBidi" w:cstheme="majorBidi"/>
          <w:sz w:val="24"/>
          <w:szCs w:val="24"/>
        </w:rPr>
        <w:t>.</w:t>
      </w:r>
    </w:p>
    <w:p w14:paraId="1F81214D" w14:textId="66E6FFA9" w:rsidR="00B35D7B" w:rsidRPr="00BF4413" w:rsidRDefault="00FA705E" w:rsidP="00B936A4">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Venture capital (VC) is instrumental in driving innovation and fostering economic growth (Kortum &amp; Lerner 2000; Samila, Sampsa, &amp; Sorenson 2011). This assertion is evident in our daily lives, as major market leaders like Apple, Alphabet, Microsoft, and Amazon all began as VC-backed startups. </w:t>
      </w:r>
      <w:r w:rsidR="00405A89">
        <w:rPr>
          <w:rFonts w:asciiTheme="majorBidi" w:hAnsiTheme="majorBidi" w:cstheme="majorBidi"/>
          <w:sz w:val="24"/>
          <w:szCs w:val="24"/>
        </w:rPr>
        <w:t>VC</w:t>
      </w:r>
      <w:r w:rsidRPr="00BF4413">
        <w:rPr>
          <w:rFonts w:asciiTheme="majorBidi" w:hAnsiTheme="majorBidi" w:cstheme="majorBidi"/>
          <w:sz w:val="24"/>
          <w:szCs w:val="24"/>
        </w:rPr>
        <w:t xml:space="preserve"> funding facilitates the birth of innovative products and services, propelling technological advancements and engendering creative disruptions. Consequently, VC-backed companies are often characterized by higher investment in research and development, a propensity to go public, and a trajectory toward market leadership (Gornall &amp; Strebulaev 2021</w:t>
      </w:r>
      <w:r w:rsidR="00B35D7B" w:rsidRPr="00BF4413">
        <w:rPr>
          <w:rFonts w:asciiTheme="majorBidi" w:hAnsiTheme="majorBidi" w:cstheme="majorBidi"/>
          <w:sz w:val="24"/>
          <w:szCs w:val="24"/>
        </w:rPr>
        <w:t xml:space="preserve">). </w:t>
      </w:r>
    </w:p>
    <w:p w14:paraId="603BADD8" w14:textId="77777777" w:rsidR="00140EDD" w:rsidRDefault="003A0FA4" w:rsidP="007A7838">
      <w:pPr>
        <w:spacing w:line="360" w:lineRule="auto"/>
        <w:ind w:firstLine="720"/>
        <w:jc w:val="both"/>
        <w:rPr>
          <w:rFonts w:asciiTheme="majorBidi" w:hAnsiTheme="majorBidi" w:cstheme="majorBidi"/>
          <w:sz w:val="24"/>
          <w:szCs w:val="24"/>
        </w:rPr>
      </w:pPr>
      <w:r w:rsidRPr="003A0FA4">
        <w:rPr>
          <w:rFonts w:asciiTheme="majorBidi" w:hAnsiTheme="majorBidi" w:cstheme="majorBidi"/>
          <w:sz w:val="24"/>
          <w:szCs w:val="24"/>
        </w:rPr>
        <w:t xml:space="preserve">The role of </w:t>
      </w:r>
      <w:r>
        <w:rPr>
          <w:rFonts w:asciiTheme="majorBidi" w:hAnsiTheme="majorBidi" w:cstheme="majorBidi"/>
          <w:sz w:val="24"/>
          <w:szCs w:val="24"/>
        </w:rPr>
        <w:t>VC</w:t>
      </w:r>
      <w:r w:rsidR="003502A6">
        <w:rPr>
          <w:rFonts w:asciiTheme="majorBidi" w:hAnsiTheme="majorBidi" w:cstheme="majorBidi"/>
          <w:sz w:val="24"/>
          <w:szCs w:val="24"/>
        </w:rPr>
        <w:t>s</w:t>
      </w:r>
      <w:r w:rsidRPr="003A0FA4">
        <w:rPr>
          <w:rFonts w:asciiTheme="majorBidi" w:hAnsiTheme="majorBidi" w:cstheme="majorBidi"/>
          <w:sz w:val="24"/>
          <w:szCs w:val="24"/>
        </w:rPr>
        <w:t xml:space="preserve"> in molding startup ecosystems has been extensively studied, but the role of human capital management practices in the growth and success of VC-backed firms and the broader ecosystem</w:t>
      </w:r>
      <w:r>
        <w:rPr>
          <w:rFonts w:asciiTheme="majorBidi" w:hAnsiTheme="majorBidi" w:cstheme="majorBidi"/>
          <w:sz w:val="24"/>
          <w:szCs w:val="24"/>
        </w:rPr>
        <w:t>s</w:t>
      </w:r>
      <w:r w:rsidRPr="003A0FA4">
        <w:rPr>
          <w:rFonts w:asciiTheme="majorBidi" w:hAnsiTheme="majorBidi" w:cstheme="majorBidi"/>
          <w:sz w:val="24"/>
          <w:szCs w:val="24"/>
        </w:rPr>
        <w:t xml:space="preserve"> </w:t>
      </w:r>
      <w:r w:rsidR="003502A6">
        <w:rPr>
          <w:rFonts w:asciiTheme="majorBidi" w:hAnsiTheme="majorBidi" w:cstheme="majorBidi"/>
          <w:sz w:val="24"/>
          <w:szCs w:val="24"/>
        </w:rPr>
        <w:t xml:space="preserve">surrounding them </w:t>
      </w:r>
      <w:r w:rsidRPr="003A0FA4">
        <w:rPr>
          <w:rFonts w:asciiTheme="majorBidi" w:hAnsiTheme="majorBidi" w:cstheme="majorBidi"/>
          <w:sz w:val="24"/>
          <w:szCs w:val="24"/>
        </w:rPr>
        <w:t>remains relatively under-explored.</w:t>
      </w:r>
      <w:r w:rsidR="00C9410A" w:rsidRPr="00BF4413">
        <w:rPr>
          <w:rFonts w:asciiTheme="majorBidi" w:hAnsiTheme="majorBidi" w:cstheme="majorBidi"/>
          <w:sz w:val="24"/>
          <w:szCs w:val="24"/>
        </w:rPr>
        <w:t xml:space="preserve"> </w:t>
      </w:r>
      <w:r w:rsidR="002534AE" w:rsidRPr="00BF4413">
        <w:rPr>
          <w:rFonts w:asciiTheme="majorBidi" w:hAnsiTheme="majorBidi" w:cstheme="majorBidi"/>
          <w:sz w:val="24"/>
          <w:szCs w:val="24"/>
        </w:rPr>
        <w:t>For early-stage startups, where cash constraints are prevalent and employees undertake significant risks by joining an emerging enterprise, equity compensation stands out as an essential consideration</w:t>
      </w:r>
      <w:r w:rsidR="00C9410A" w:rsidRPr="00BF4413">
        <w:rPr>
          <w:rFonts w:asciiTheme="majorBidi" w:hAnsiTheme="majorBidi" w:cstheme="majorBidi"/>
          <w:sz w:val="24"/>
          <w:szCs w:val="24"/>
        </w:rPr>
        <w:t xml:space="preserve">. Startups heavily rely on the skills, knowledge, and experience of their </w:t>
      </w:r>
      <w:r w:rsidR="003502A6">
        <w:rPr>
          <w:rFonts w:asciiTheme="majorBidi" w:hAnsiTheme="majorBidi" w:cstheme="majorBidi"/>
          <w:sz w:val="24"/>
          <w:szCs w:val="24"/>
        </w:rPr>
        <w:t>employees</w:t>
      </w:r>
      <w:r w:rsidR="00C9410A" w:rsidRPr="00BF4413">
        <w:rPr>
          <w:rFonts w:asciiTheme="majorBidi" w:hAnsiTheme="majorBidi" w:cstheme="majorBidi"/>
          <w:sz w:val="24"/>
          <w:szCs w:val="24"/>
        </w:rPr>
        <w:t xml:space="preserve">, which are </w:t>
      </w:r>
      <w:r w:rsidR="002534AE" w:rsidRPr="00BF4413">
        <w:rPr>
          <w:rFonts w:asciiTheme="majorBidi" w:hAnsiTheme="majorBidi" w:cstheme="majorBidi"/>
          <w:sz w:val="24"/>
          <w:szCs w:val="24"/>
        </w:rPr>
        <w:t xml:space="preserve">often </w:t>
      </w:r>
      <w:r w:rsidR="00C9410A" w:rsidRPr="00BF4413">
        <w:rPr>
          <w:rFonts w:asciiTheme="majorBidi" w:hAnsiTheme="majorBidi" w:cstheme="majorBidi"/>
          <w:sz w:val="24"/>
          <w:szCs w:val="24"/>
        </w:rPr>
        <w:t xml:space="preserve">their primary assets </w:t>
      </w:r>
      <w:r w:rsidR="00B35D7B" w:rsidRPr="00BF4413">
        <w:rPr>
          <w:rFonts w:asciiTheme="majorBidi" w:hAnsiTheme="majorBidi" w:cstheme="majorBidi"/>
          <w:sz w:val="24"/>
          <w:szCs w:val="24"/>
        </w:rPr>
        <w:t>(Zingales 2000; Hall &amp; Lerner 2010; Dimov &amp; Shepherd 2005). Equity compensation</w:t>
      </w:r>
      <w:r w:rsidR="00405A89">
        <w:rPr>
          <w:rFonts w:asciiTheme="majorBidi" w:hAnsiTheme="majorBidi" w:cstheme="majorBidi"/>
          <w:sz w:val="24"/>
          <w:szCs w:val="24"/>
        </w:rPr>
        <w:t xml:space="preserve"> grants of </w:t>
      </w:r>
      <w:r w:rsidR="00B35D7B" w:rsidRPr="00BF4413">
        <w:rPr>
          <w:rFonts w:asciiTheme="majorBidi" w:hAnsiTheme="majorBidi" w:cstheme="majorBidi"/>
          <w:sz w:val="24"/>
          <w:szCs w:val="24"/>
        </w:rPr>
        <w:t xml:space="preserve">stock options </w:t>
      </w:r>
      <w:r w:rsidR="00405A89">
        <w:rPr>
          <w:rFonts w:asciiTheme="majorBidi" w:hAnsiTheme="majorBidi" w:cstheme="majorBidi"/>
          <w:sz w:val="24"/>
          <w:szCs w:val="24"/>
        </w:rPr>
        <w:t>or</w:t>
      </w:r>
      <w:r w:rsidR="00B35D7B" w:rsidRPr="00BF4413">
        <w:rPr>
          <w:rFonts w:asciiTheme="majorBidi" w:hAnsiTheme="majorBidi" w:cstheme="majorBidi"/>
          <w:sz w:val="24"/>
          <w:szCs w:val="24"/>
        </w:rPr>
        <w:t xml:space="preserve"> restricted stock units are commonly used to attract, </w:t>
      </w:r>
      <w:r w:rsidRPr="00BF4413">
        <w:rPr>
          <w:rFonts w:asciiTheme="majorBidi" w:hAnsiTheme="majorBidi" w:cstheme="majorBidi"/>
          <w:sz w:val="24"/>
          <w:szCs w:val="24"/>
        </w:rPr>
        <w:t>incentivize,</w:t>
      </w:r>
      <w:r w:rsidR="00B35D7B" w:rsidRPr="00BF4413">
        <w:rPr>
          <w:rFonts w:asciiTheme="majorBidi" w:hAnsiTheme="majorBidi" w:cstheme="majorBidi"/>
          <w:sz w:val="24"/>
          <w:szCs w:val="24"/>
        </w:rPr>
        <w:t xml:space="preserve"> and retain start-up employees (Booth 2006</w:t>
      </w:r>
      <w:r w:rsidR="00C4261C" w:rsidRPr="00BF4413">
        <w:rPr>
          <w:rFonts w:asciiTheme="majorBidi" w:hAnsiTheme="majorBidi" w:cstheme="majorBidi"/>
          <w:sz w:val="24"/>
          <w:szCs w:val="24"/>
        </w:rPr>
        <w:t xml:space="preserve">; </w:t>
      </w:r>
      <w:r w:rsidR="00175AE2" w:rsidRPr="00BF4413">
        <w:rPr>
          <w:rFonts w:asciiTheme="majorBidi" w:hAnsiTheme="majorBidi" w:cstheme="majorBidi"/>
          <w:sz w:val="24"/>
          <w:szCs w:val="24"/>
        </w:rPr>
        <w:t>Cable 2016; Aran 2019</w:t>
      </w:r>
      <w:r w:rsidR="00B35D7B" w:rsidRPr="00BF4413">
        <w:rPr>
          <w:rFonts w:asciiTheme="majorBidi" w:hAnsiTheme="majorBidi" w:cstheme="majorBidi"/>
          <w:sz w:val="24"/>
          <w:szCs w:val="24"/>
        </w:rPr>
        <w:t xml:space="preserve">). These </w:t>
      </w:r>
      <w:r w:rsidR="00BF4413" w:rsidRPr="00BF4413">
        <w:rPr>
          <w:rFonts w:asciiTheme="majorBidi" w:hAnsiTheme="majorBidi" w:cstheme="majorBidi"/>
          <w:sz w:val="24"/>
          <w:szCs w:val="24"/>
        </w:rPr>
        <w:t>arrangements</w:t>
      </w:r>
      <w:r w:rsidR="00B35D7B" w:rsidRPr="00BF4413">
        <w:rPr>
          <w:rFonts w:asciiTheme="majorBidi" w:hAnsiTheme="majorBidi" w:cstheme="majorBidi"/>
          <w:sz w:val="24"/>
          <w:szCs w:val="24"/>
        </w:rPr>
        <w:t xml:space="preserve"> allow employees to participate in the potential upside of the company's success, aligning their interests with those of the firm's investors and founders (</w:t>
      </w:r>
      <w:r w:rsidR="003502A6" w:rsidRPr="00BF4413">
        <w:rPr>
          <w:rFonts w:asciiTheme="majorBidi" w:hAnsiTheme="majorBidi" w:cstheme="majorBidi"/>
          <w:sz w:val="24"/>
          <w:szCs w:val="24"/>
        </w:rPr>
        <w:t>Booth 2006;</w:t>
      </w:r>
      <w:r w:rsidR="003502A6">
        <w:rPr>
          <w:rFonts w:asciiTheme="majorBidi" w:hAnsiTheme="majorBidi" w:cstheme="majorBidi"/>
          <w:sz w:val="24"/>
          <w:szCs w:val="24"/>
        </w:rPr>
        <w:t xml:space="preserve"> </w:t>
      </w:r>
      <w:r w:rsidR="00B35D7B" w:rsidRPr="00BF4413">
        <w:rPr>
          <w:rFonts w:asciiTheme="majorBidi" w:hAnsiTheme="majorBidi" w:cstheme="majorBidi"/>
          <w:sz w:val="24"/>
          <w:szCs w:val="24"/>
        </w:rPr>
        <w:t xml:space="preserve">Aran 2018). </w:t>
      </w:r>
    </w:p>
    <w:p w14:paraId="6458139D" w14:textId="77777777" w:rsidR="00140EDD" w:rsidRDefault="00405A89" w:rsidP="007A783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Furthermore, e</w:t>
      </w:r>
      <w:r w:rsidR="00B35D7B" w:rsidRPr="00BF4413">
        <w:rPr>
          <w:rFonts w:asciiTheme="majorBidi" w:hAnsiTheme="majorBidi" w:cstheme="majorBidi"/>
          <w:sz w:val="24"/>
          <w:szCs w:val="24"/>
        </w:rPr>
        <w:t>quity compensation can serve as a strategic tool to curb the outflow of human capital, and by extension, intellectual property from a firm. In this sense, it can function much like a non-compete clause or intellectual property protection</w:t>
      </w:r>
      <w:r>
        <w:rPr>
          <w:rFonts w:asciiTheme="majorBidi" w:hAnsiTheme="majorBidi" w:cstheme="majorBidi"/>
          <w:sz w:val="24"/>
          <w:szCs w:val="24"/>
        </w:rPr>
        <w:t>s</w:t>
      </w:r>
      <w:r w:rsidR="00B35D7B" w:rsidRPr="00BF4413">
        <w:rPr>
          <w:rFonts w:asciiTheme="majorBidi" w:hAnsiTheme="majorBidi" w:cstheme="majorBidi"/>
          <w:sz w:val="24"/>
          <w:szCs w:val="24"/>
        </w:rPr>
        <w:t xml:space="preserve"> (Aran 2018; Alon Beck 2019). </w:t>
      </w:r>
      <w:r w:rsidR="00D329D8" w:rsidRPr="00BF4413">
        <w:rPr>
          <w:rFonts w:asciiTheme="majorBidi" w:hAnsiTheme="majorBidi" w:cstheme="majorBidi"/>
          <w:sz w:val="24"/>
          <w:szCs w:val="24"/>
        </w:rPr>
        <w:t>Accordingly</w:t>
      </w:r>
      <w:r w:rsidR="00C048D4" w:rsidRPr="00BF4413">
        <w:rPr>
          <w:rFonts w:asciiTheme="majorBidi" w:hAnsiTheme="majorBidi" w:cstheme="majorBidi"/>
          <w:sz w:val="24"/>
          <w:szCs w:val="24"/>
        </w:rPr>
        <w:t>, the use of stock options in startup employee compensation is negatively correlated with such protective measures</w:t>
      </w:r>
      <w:r w:rsidR="00B35D7B" w:rsidRPr="00BF4413">
        <w:rPr>
          <w:rFonts w:asciiTheme="majorBidi" w:hAnsiTheme="majorBidi" w:cstheme="majorBidi"/>
          <w:sz w:val="24"/>
          <w:szCs w:val="24"/>
        </w:rPr>
        <w:t xml:space="preserve"> (Lie &amp; Que 2019; Bias 2022; Lakkis 2023). </w:t>
      </w:r>
    </w:p>
    <w:p w14:paraId="37E73F05" w14:textId="6C8924DD" w:rsidR="00B35D7B" w:rsidRDefault="00B35D7B" w:rsidP="007A7838">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Moreover, equity compensation can contribute to the development of local ecosystems, as employees who strike it rich in an IPO or a</w:t>
      </w:r>
      <w:r w:rsidR="002C7248" w:rsidRPr="00BF4413">
        <w:rPr>
          <w:rFonts w:asciiTheme="majorBidi" w:hAnsiTheme="majorBidi" w:cstheme="majorBidi"/>
          <w:sz w:val="24"/>
          <w:szCs w:val="24"/>
        </w:rPr>
        <w:t>cqui</w:t>
      </w:r>
      <w:r w:rsidRPr="00BF4413">
        <w:rPr>
          <w:rFonts w:asciiTheme="majorBidi" w:hAnsiTheme="majorBidi" w:cstheme="majorBidi"/>
          <w:sz w:val="24"/>
          <w:szCs w:val="24"/>
        </w:rPr>
        <w:t xml:space="preserve">sition often become the next generation of entrepreneurs and investors (Bernstein 2015; Babina, Ouimet &amp; Zarutskie 2017; Ng, &amp; Stuart 2022; Stuart &amp; Sorenson 2003). </w:t>
      </w:r>
      <w:r w:rsidR="00090F2A" w:rsidRPr="00090F2A">
        <w:rPr>
          <w:rFonts w:asciiTheme="majorBidi" w:hAnsiTheme="majorBidi" w:cstheme="majorBidi"/>
          <w:sz w:val="24"/>
          <w:szCs w:val="24"/>
        </w:rPr>
        <w:t xml:space="preserve">This "flywheel effect" originates from the early days of the semiconductor industry in Silicon Valley. One of the earliest manifestations of this effect was the emergence of the "Fairchildren," companies established by former Fairchild Semiconductor </w:t>
      </w:r>
      <w:r w:rsidR="00090F2A" w:rsidRPr="00090F2A">
        <w:rPr>
          <w:rFonts w:asciiTheme="majorBidi" w:hAnsiTheme="majorBidi" w:cstheme="majorBidi"/>
          <w:sz w:val="24"/>
          <w:szCs w:val="24"/>
        </w:rPr>
        <w:lastRenderedPageBreak/>
        <w:t xml:space="preserve">employees. These companies rose to prominence as major players in the semiconductor sector. In a later wave of this momentum, the "PayPal Mafia" </w:t>
      </w:r>
      <w:r w:rsidR="00090F2A">
        <w:rPr>
          <w:rFonts w:asciiTheme="majorBidi" w:hAnsiTheme="majorBidi" w:cstheme="majorBidi"/>
          <w:sz w:val="24"/>
          <w:szCs w:val="24"/>
        </w:rPr>
        <w:t>d</w:t>
      </w:r>
      <w:r w:rsidR="00090F2A" w:rsidRPr="00090F2A">
        <w:rPr>
          <w:rFonts w:asciiTheme="majorBidi" w:hAnsiTheme="majorBidi" w:cstheme="majorBidi"/>
          <w:sz w:val="24"/>
          <w:szCs w:val="24"/>
        </w:rPr>
        <w:t xml:space="preserve">rew public interest. Members of this group founded </w:t>
      </w:r>
      <w:r w:rsidR="00090F2A">
        <w:rPr>
          <w:rFonts w:asciiTheme="majorBidi" w:hAnsiTheme="majorBidi" w:cstheme="majorBidi"/>
          <w:sz w:val="24"/>
          <w:szCs w:val="24"/>
        </w:rPr>
        <w:t xml:space="preserve">numerous </w:t>
      </w:r>
      <w:r w:rsidR="00090F2A" w:rsidRPr="00090F2A">
        <w:rPr>
          <w:rFonts w:asciiTheme="majorBidi" w:hAnsiTheme="majorBidi" w:cstheme="majorBidi"/>
          <w:sz w:val="24"/>
          <w:szCs w:val="24"/>
        </w:rPr>
        <w:t>influential technology firms, including Tesla, Inc., LinkedIn, Palantir Technologies, SpaceX, Affirm, YouTube, Yelp, and Yammer. Beyond these startups, they also initiated the Founders Fund.</w:t>
      </w:r>
    </w:p>
    <w:p w14:paraId="7234A8DE" w14:textId="28B0A3B4" w:rsidR="006A6ABD" w:rsidRPr="00BF4413" w:rsidRDefault="006A6ABD" w:rsidP="007A783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However, t</w:t>
      </w:r>
      <w:r w:rsidRPr="006A6ABD">
        <w:rPr>
          <w:rFonts w:asciiTheme="majorBidi" w:hAnsiTheme="majorBidi" w:cstheme="majorBidi"/>
          <w:sz w:val="24"/>
          <w:szCs w:val="24"/>
        </w:rPr>
        <w:t xml:space="preserve">he prevalence of stock options in VC-backed companies exhibits notable disparities, particularly when comparing the </w:t>
      </w:r>
      <w:r w:rsidR="00405A89">
        <w:rPr>
          <w:rFonts w:asciiTheme="majorBidi" w:hAnsiTheme="majorBidi" w:cstheme="majorBidi"/>
          <w:sz w:val="24"/>
          <w:szCs w:val="24"/>
        </w:rPr>
        <w:t>United States (</w:t>
      </w:r>
      <w:r>
        <w:rPr>
          <w:rFonts w:asciiTheme="majorBidi" w:hAnsiTheme="majorBidi" w:cstheme="majorBidi"/>
          <w:sz w:val="24"/>
          <w:szCs w:val="24"/>
        </w:rPr>
        <w:t>US</w:t>
      </w:r>
      <w:r w:rsidR="00405A89">
        <w:rPr>
          <w:rFonts w:asciiTheme="majorBidi" w:hAnsiTheme="majorBidi" w:cstheme="majorBidi"/>
          <w:sz w:val="24"/>
          <w:szCs w:val="24"/>
        </w:rPr>
        <w:t>)</w:t>
      </w:r>
      <w:r w:rsidRPr="006A6ABD">
        <w:rPr>
          <w:rFonts w:asciiTheme="majorBidi" w:hAnsiTheme="majorBidi" w:cstheme="majorBidi"/>
          <w:sz w:val="24"/>
          <w:szCs w:val="24"/>
        </w:rPr>
        <w:t xml:space="preserve"> to other regions (Hege et al. 2003; Kaplan et al. 2007). Despite the recognition of this phenomenon, there </w:t>
      </w:r>
      <w:r>
        <w:rPr>
          <w:rFonts w:asciiTheme="majorBidi" w:hAnsiTheme="majorBidi" w:cstheme="majorBidi"/>
          <w:sz w:val="24"/>
          <w:szCs w:val="24"/>
        </w:rPr>
        <w:t>i</w:t>
      </w:r>
      <w:r w:rsidRPr="006A6ABD">
        <w:rPr>
          <w:rFonts w:asciiTheme="majorBidi" w:hAnsiTheme="majorBidi" w:cstheme="majorBidi"/>
          <w:sz w:val="24"/>
          <w:szCs w:val="24"/>
        </w:rPr>
        <w:t xml:space="preserve">s a lack of consensus regarding its underlying causes. Various factors have been proposed to account for this divergence, including differences in the sophistication levels of European VCs and founders, as well as unfavorable tax treatment. Kaplan et al. (2007) contribute empirical evidence supporting the </w:t>
      </w:r>
      <w:r w:rsidR="004C313D">
        <w:rPr>
          <w:rFonts w:asciiTheme="majorBidi" w:hAnsiTheme="majorBidi" w:cstheme="majorBidi"/>
          <w:sz w:val="24"/>
          <w:szCs w:val="24"/>
        </w:rPr>
        <w:t>hypothesis</w:t>
      </w:r>
      <w:r w:rsidRPr="006A6ABD">
        <w:rPr>
          <w:rFonts w:asciiTheme="majorBidi" w:hAnsiTheme="majorBidi" w:cstheme="majorBidi"/>
          <w:sz w:val="24"/>
          <w:szCs w:val="24"/>
        </w:rPr>
        <w:t xml:space="preserve"> of limited sophistication in European VC markets. Additionally, Henrekson and Sanandaji (2018</w:t>
      </w:r>
      <w:r>
        <w:rPr>
          <w:rFonts w:asciiTheme="majorBidi" w:hAnsiTheme="majorBidi" w:cstheme="majorBidi"/>
          <w:sz w:val="24"/>
          <w:szCs w:val="24"/>
        </w:rPr>
        <w:t xml:space="preserve"> a, b</w:t>
      </w:r>
      <w:r w:rsidRPr="006A6ABD">
        <w:rPr>
          <w:rFonts w:asciiTheme="majorBidi" w:hAnsiTheme="majorBidi" w:cstheme="majorBidi"/>
          <w:sz w:val="24"/>
          <w:szCs w:val="24"/>
        </w:rPr>
        <w:t xml:space="preserve">) </w:t>
      </w:r>
      <w:r w:rsidR="004C313D">
        <w:rPr>
          <w:rFonts w:asciiTheme="majorBidi" w:hAnsiTheme="majorBidi" w:cstheme="majorBidi"/>
          <w:sz w:val="24"/>
          <w:szCs w:val="24"/>
        </w:rPr>
        <w:t>document</w:t>
      </w:r>
      <w:r w:rsidRPr="006A6ABD">
        <w:rPr>
          <w:rFonts w:asciiTheme="majorBidi" w:hAnsiTheme="majorBidi" w:cstheme="majorBidi"/>
          <w:sz w:val="24"/>
          <w:szCs w:val="24"/>
        </w:rPr>
        <w:t xml:space="preserve"> a negative correlation between the effective tax rate on employee stock options and the extent of VC activity particularly in Europe. </w:t>
      </w:r>
      <w:r w:rsidR="004C313D">
        <w:rPr>
          <w:rFonts w:asciiTheme="majorBidi" w:hAnsiTheme="majorBidi" w:cstheme="majorBidi"/>
          <w:sz w:val="24"/>
          <w:szCs w:val="24"/>
        </w:rPr>
        <w:t>However, l</w:t>
      </w:r>
      <w:r w:rsidRPr="006A6ABD">
        <w:rPr>
          <w:rFonts w:asciiTheme="majorBidi" w:hAnsiTheme="majorBidi" w:cstheme="majorBidi"/>
          <w:sz w:val="24"/>
          <w:szCs w:val="24"/>
        </w:rPr>
        <w:t>imitations in the existing literature includ</w:t>
      </w:r>
      <w:r>
        <w:rPr>
          <w:rFonts w:asciiTheme="majorBidi" w:hAnsiTheme="majorBidi" w:cstheme="majorBidi"/>
          <w:sz w:val="24"/>
          <w:szCs w:val="24"/>
        </w:rPr>
        <w:t>e</w:t>
      </w:r>
      <w:r w:rsidRPr="006A6ABD">
        <w:rPr>
          <w:rFonts w:asciiTheme="majorBidi" w:hAnsiTheme="majorBidi" w:cstheme="majorBidi"/>
          <w:sz w:val="24"/>
          <w:szCs w:val="24"/>
        </w:rPr>
        <w:t xml:space="preserve"> the predominantly high-level examination of legal issues, the absence of comprehensive cap table data, and the reliance on relatively small sample sizes to draw these conclusions. </w:t>
      </w:r>
      <w:r w:rsidR="004C313D" w:rsidRPr="004C313D">
        <w:rPr>
          <w:rFonts w:asciiTheme="majorBidi" w:hAnsiTheme="majorBidi" w:cstheme="majorBidi"/>
          <w:sz w:val="24"/>
          <w:szCs w:val="24"/>
        </w:rPr>
        <w:t>A more nuanced understanding of the factors contributing to the differential use of stock options in VC ecosystems is therefore needed</w:t>
      </w:r>
      <w:r w:rsidRPr="006A6ABD">
        <w:rPr>
          <w:rFonts w:asciiTheme="majorBidi" w:hAnsiTheme="majorBidi" w:cstheme="majorBidi"/>
          <w:sz w:val="24"/>
          <w:szCs w:val="24"/>
        </w:rPr>
        <w:t>.</w:t>
      </w:r>
    </w:p>
    <w:p w14:paraId="1BFCBF4A" w14:textId="5CA1678A" w:rsidR="00DB0F05" w:rsidRPr="00BF4413" w:rsidRDefault="004C313D" w:rsidP="0058593F">
      <w:pPr>
        <w:spacing w:line="360" w:lineRule="auto"/>
        <w:ind w:firstLine="720"/>
        <w:jc w:val="both"/>
        <w:rPr>
          <w:rFonts w:asciiTheme="majorBidi" w:hAnsiTheme="majorBidi" w:cstheme="majorBidi"/>
          <w:sz w:val="24"/>
          <w:szCs w:val="24"/>
        </w:rPr>
      </w:pPr>
      <w:r w:rsidRPr="004C313D">
        <w:rPr>
          <w:rFonts w:asciiTheme="majorBidi" w:hAnsiTheme="majorBidi" w:cstheme="majorBidi"/>
          <w:sz w:val="24"/>
          <w:szCs w:val="24"/>
        </w:rPr>
        <w:t>In this study, we examine the state-level policies and regulations relating to equity compensation and their relation to employee ownership in early-stage startups</w:t>
      </w:r>
      <w:r w:rsidR="0058593F" w:rsidRPr="00BF4413">
        <w:rPr>
          <w:rFonts w:asciiTheme="majorBidi" w:hAnsiTheme="majorBidi" w:cstheme="majorBidi"/>
          <w:sz w:val="24"/>
          <w:szCs w:val="24"/>
        </w:rPr>
        <w:t>. We combined data from Equidam, a</w:t>
      </w:r>
      <w:r>
        <w:rPr>
          <w:rFonts w:asciiTheme="majorBidi" w:hAnsiTheme="majorBidi" w:cstheme="majorBidi"/>
          <w:sz w:val="24"/>
          <w:szCs w:val="24"/>
        </w:rPr>
        <w:t>n online</w:t>
      </w:r>
      <w:r w:rsidR="0058593F" w:rsidRPr="00BF4413">
        <w:rPr>
          <w:rFonts w:asciiTheme="majorBidi" w:hAnsiTheme="majorBidi" w:cstheme="majorBidi"/>
          <w:sz w:val="24"/>
          <w:szCs w:val="24"/>
        </w:rPr>
        <w:t xml:space="preserve"> platform specializing in cap table management and valuation, with a ranking system from Index Ventures that measures the friendliness of a country's policies toward startup employee stock options (Index Ventures 2022). Our research covers nearly </w:t>
      </w:r>
      <w:r w:rsidR="00352B22">
        <w:rPr>
          <w:rFonts w:asciiTheme="majorBidi" w:hAnsiTheme="majorBidi" w:cstheme="majorBidi"/>
          <w:sz w:val="24"/>
          <w:szCs w:val="24"/>
        </w:rPr>
        <w:t>4</w:t>
      </w:r>
      <w:r w:rsidR="0058593F" w:rsidRPr="00BF4413">
        <w:rPr>
          <w:rFonts w:asciiTheme="majorBidi" w:hAnsiTheme="majorBidi" w:cstheme="majorBidi"/>
          <w:sz w:val="24"/>
          <w:szCs w:val="24"/>
        </w:rPr>
        <w:t xml:space="preserve">,300 early-stage startups from 24 countries, including the </w:t>
      </w:r>
      <w:r w:rsidR="00A36685" w:rsidRPr="00BF4413">
        <w:rPr>
          <w:rFonts w:asciiTheme="majorBidi" w:hAnsiTheme="majorBidi" w:cstheme="majorBidi"/>
          <w:sz w:val="24"/>
          <w:szCs w:val="24"/>
        </w:rPr>
        <w:t>US</w:t>
      </w:r>
      <w:r w:rsidR="0058593F" w:rsidRPr="00BF4413">
        <w:rPr>
          <w:rFonts w:asciiTheme="majorBidi" w:hAnsiTheme="majorBidi" w:cstheme="majorBidi"/>
          <w:sz w:val="24"/>
          <w:szCs w:val="24"/>
        </w:rPr>
        <w:t>, the United Kingdom</w:t>
      </w:r>
      <w:r w:rsidR="00A36685" w:rsidRPr="00BF4413">
        <w:rPr>
          <w:rFonts w:asciiTheme="majorBidi" w:hAnsiTheme="majorBidi" w:cstheme="majorBidi"/>
          <w:sz w:val="24"/>
          <w:szCs w:val="24"/>
        </w:rPr>
        <w:t xml:space="preserve"> (UK)</w:t>
      </w:r>
      <w:r w:rsidR="0058593F" w:rsidRPr="00BF4413">
        <w:rPr>
          <w:rFonts w:asciiTheme="majorBidi" w:hAnsiTheme="majorBidi" w:cstheme="majorBidi"/>
          <w:sz w:val="24"/>
          <w:szCs w:val="24"/>
        </w:rPr>
        <w:t xml:space="preserve">, </w:t>
      </w:r>
      <w:r>
        <w:rPr>
          <w:rFonts w:asciiTheme="majorBidi" w:hAnsiTheme="majorBidi" w:cstheme="majorBidi"/>
          <w:sz w:val="24"/>
          <w:szCs w:val="24"/>
        </w:rPr>
        <w:t>Ca</w:t>
      </w:r>
      <w:r w:rsidR="007755FC">
        <w:rPr>
          <w:rFonts w:asciiTheme="majorBidi" w:hAnsiTheme="majorBidi" w:cstheme="majorBidi"/>
          <w:sz w:val="24"/>
          <w:szCs w:val="24"/>
        </w:rPr>
        <w:t xml:space="preserve">nada, Australia, </w:t>
      </w:r>
      <w:r w:rsidR="0058593F" w:rsidRPr="00BF4413">
        <w:rPr>
          <w:rFonts w:asciiTheme="majorBidi" w:hAnsiTheme="majorBidi" w:cstheme="majorBidi"/>
          <w:sz w:val="24"/>
          <w:szCs w:val="24"/>
        </w:rPr>
        <w:t xml:space="preserve">Israel, and most European Union </w:t>
      </w:r>
      <w:r w:rsidR="001F2633" w:rsidRPr="00BF4413">
        <w:rPr>
          <w:rFonts w:asciiTheme="majorBidi" w:hAnsiTheme="majorBidi" w:cstheme="majorBidi"/>
          <w:sz w:val="24"/>
          <w:szCs w:val="24"/>
        </w:rPr>
        <w:t xml:space="preserve">(EU) </w:t>
      </w:r>
      <w:r w:rsidR="0058593F" w:rsidRPr="00BF4413">
        <w:rPr>
          <w:rFonts w:asciiTheme="majorBidi" w:hAnsiTheme="majorBidi" w:cstheme="majorBidi"/>
          <w:sz w:val="24"/>
          <w:szCs w:val="24"/>
        </w:rPr>
        <w:t xml:space="preserve">countries. Using </w:t>
      </w:r>
      <w:r w:rsidR="00EA44C7" w:rsidRPr="00BF4413">
        <w:rPr>
          <w:rFonts w:asciiTheme="majorBidi" w:hAnsiTheme="majorBidi" w:cstheme="majorBidi"/>
          <w:sz w:val="24"/>
          <w:szCs w:val="24"/>
        </w:rPr>
        <w:t xml:space="preserve">Index Ventures’ </w:t>
      </w:r>
      <w:r w:rsidR="0058593F" w:rsidRPr="00BF4413">
        <w:rPr>
          <w:rFonts w:asciiTheme="majorBidi" w:hAnsiTheme="majorBidi" w:cstheme="majorBidi"/>
          <w:sz w:val="24"/>
          <w:szCs w:val="24"/>
        </w:rPr>
        <w:t xml:space="preserve">scale, we </w:t>
      </w:r>
      <w:r w:rsidR="006B3563" w:rsidRPr="00BF4413">
        <w:rPr>
          <w:rFonts w:asciiTheme="majorBidi" w:hAnsiTheme="majorBidi" w:cstheme="majorBidi"/>
          <w:sz w:val="24"/>
          <w:szCs w:val="24"/>
        </w:rPr>
        <w:t xml:space="preserve">compared countries based on </w:t>
      </w:r>
      <w:r w:rsidR="00C74004" w:rsidRPr="00BF4413">
        <w:rPr>
          <w:rFonts w:asciiTheme="majorBidi" w:hAnsiTheme="majorBidi" w:cstheme="majorBidi"/>
          <w:sz w:val="24"/>
          <w:szCs w:val="24"/>
        </w:rPr>
        <w:t xml:space="preserve">the </w:t>
      </w:r>
      <w:r w:rsidR="00BA65C7" w:rsidRPr="00BF4413">
        <w:rPr>
          <w:rFonts w:asciiTheme="majorBidi" w:hAnsiTheme="majorBidi" w:cstheme="majorBidi"/>
          <w:sz w:val="24"/>
          <w:szCs w:val="24"/>
        </w:rPr>
        <w:t>extent</w:t>
      </w:r>
      <w:r w:rsidR="00C74004" w:rsidRPr="00BF4413">
        <w:rPr>
          <w:rFonts w:asciiTheme="majorBidi" w:hAnsiTheme="majorBidi" w:cstheme="majorBidi"/>
          <w:sz w:val="24"/>
          <w:szCs w:val="24"/>
        </w:rPr>
        <w:t xml:space="preserve"> to which</w:t>
      </w:r>
      <w:r w:rsidR="006B3563" w:rsidRPr="00BF4413">
        <w:rPr>
          <w:rFonts w:asciiTheme="majorBidi" w:hAnsiTheme="majorBidi" w:cstheme="majorBidi"/>
          <w:sz w:val="24"/>
          <w:szCs w:val="24"/>
        </w:rPr>
        <w:t xml:space="preserve"> they</w:t>
      </w:r>
      <w:r w:rsidR="0058593F" w:rsidRPr="00BF4413">
        <w:rPr>
          <w:rFonts w:asciiTheme="majorBidi" w:hAnsiTheme="majorBidi" w:cstheme="majorBidi"/>
          <w:sz w:val="24"/>
          <w:szCs w:val="24"/>
        </w:rPr>
        <w:t xml:space="preserve"> support startup employee stock options. This allowed us to analyze key factors affecting </w:t>
      </w:r>
      <w:r w:rsidR="00AC7A18" w:rsidRPr="00BF4413">
        <w:rPr>
          <w:rFonts w:asciiTheme="majorBidi" w:hAnsiTheme="majorBidi" w:cstheme="majorBidi"/>
          <w:sz w:val="24"/>
          <w:szCs w:val="24"/>
        </w:rPr>
        <w:t xml:space="preserve">the adoption of </w:t>
      </w:r>
      <w:r w:rsidR="0058593F" w:rsidRPr="00BF4413">
        <w:rPr>
          <w:rFonts w:asciiTheme="majorBidi" w:hAnsiTheme="majorBidi" w:cstheme="majorBidi"/>
          <w:sz w:val="24"/>
          <w:szCs w:val="24"/>
        </w:rPr>
        <w:t>equity compensation plans</w:t>
      </w:r>
      <w:r w:rsidR="00B2674B" w:rsidRPr="00BF4413">
        <w:rPr>
          <w:rFonts w:asciiTheme="majorBidi" w:hAnsiTheme="majorBidi" w:cstheme="majorBidi"/>
          <w:sz w:val="24"/>
          <w:szCs w:val="24"/>
        </w:rPr>
        <w:t xml:space="preserve"> including</w:t>
      </w:r>
      <w:r w:rsidR="0058593F" w:rsidRPr="00BF4413">
        <w:rPr>
          <w:rFonts w:asciiTheme="majorBidi" w:hAnsiTheme="majorBidi" w:cstheme="majorBidi"/>
          <w:sz w:val="24"/>
          <w:szCs w:val="24"/>
        </w:rPr>
        <w:t xml:space="preserve"> the compatibility of local legal systems with startup employee equity</w:t>
      </w:r>
      <w:r w:rsidR="00EB795C" w:rsidRPr="00BF4413">
        <w:rPr>
          <w:rFonts w:asciiTheme="majorBidi" w:hAnsiTheme="majorBidi" w:cstheme="majorBidi"/>
          <w:sz w:val="24"/>
          <w:szCs w:val="24"/>
        </w:rPr>
        <w:t xml:space="preserve"> ownership</w:t>
      </w:r>
      <w:r w:rsidR="0058593F" w:rsidRPr="00BF4413">
        <w:rPr>
          <w:rFonts w:asciiTheme="majorBidi" w:hAnsiTheme="majorBidi" w:cstheme="majorBidi"/>
          <w:sz w:val="24"/>
          <w:szCs w:val="24"/>
        </w:rPr>
        <w:t>.</w:t>
      </w:r>
    </w:p>
    <w:p w14:paraId="67357ED0" w14:textId="0B467DA2" w:rsidR="00BA6E3E" w:rsidRPr="00BA6E3E" w:rsidRDefault="0004297B" w:rsidP="007755FC">
      <w:pPr>
        <w:spacing w:line="360" w:lineRule="auto"/>
        <w:ind w:firstLine="720"/>
        <w:jc w:val="both"/>
        <w:rPr>
          <w:rFonts w:asciiTheme="majorBidi" w:hAnsiTheme="majorBidi" w:cstheme="majorBidi"/>
          <w:sz w:val="24"/>
          <w:szCs w:val="24"/>
        </w:rPr>
      </w:pPr>
      <w:r w:rsidRPr="0004297B">
        <w:rPr>
          <w:rFonts w:asciiTheme="majorBidi" w:hAnsiTheme="majorBidi" w:cstheme="majorBidi"/>
          <w:sz w:val="24"/>
          <w:szCs w:val="24"/>
        </w:rPr>
        <w:t xml:space="preserve">We </w:t>
      </w:r>
      <w:r w:rsidR="002C3BD4">
        <w:rPr>
          <w:rFonts w:asciiTheme="majorBidi" w:hAnsiTheme="majorBidi" w:cstheme="majorBidi"/>
          <w:sz w:val="24"/>
          <w:szCs w:val="24"/>
        </w:rPr>
        <w:t>found</w:t>
      </w:r>
      <w:r w:rsidRPr="0004297B">
        <w:rPr>
          <w:rFonts w:asciiTheme="majorBidi" w:hAnsiTheme="majorBidi" w:cstheme="majorBidi"/>
          <w:sz w:val="24"/>
          <w:szCs w:val="24"/>
        </w:rPr>
        <w:t xml:space="preserve"> a moderate</w:t>
      </w:r>
      <w:r w:rsidR="002C3BD4">
        <w:rPr>
          <w:rFonts w:asciiTheme="majorBidi" w:hAnsiTheme="majorBidi" w:cstheme="majorBidi"/>
          <w:sz w:val="24"/>
          <w:szCs w:val="24"/>
        </w:rPr>
        <w:t xml:space="preserve"> and</w:t>
      </w:r>
      <w:r w:rsidRPr="0004297B">
        <w:rPr>
          <w:rFonts w:asciiTheme="majorBidi" w:hAnsiTheme="majorBidi" w:cstheme="majorBidi"/>
          <w:sz w:val="24"/>
          <w:szCs w:val="24"/>
        </w:rPr>
        <w:t xml:space="preserve"> significant positive correlation between Index Ventures</w:t>
      </w:r>
      <w:r>
        <w:rPr>
          <w:rFonts w:asciiTheme="majorBidi" w:hAnsiTheme="majorBidi" w:cstheme="majorBidi"/>
          <w:sz w:val="24"/>
          <w:szCs w:val="24"/>
        </w:rPr>
        <w:t xml:space="preserve">’ </w:t>
      </w:r>
      <w:r w:rsidRPr="0004297B">
        <w:rPr>
          <w:rFonts w:asciiTheme="majorBidi" w:hAnsiTheme="majorBidi" w:cstheme="majorBidi"/>
          <w:sz w:val="24"/>
          <w:szCs w:val="24"/>
        </w:rPr>
        <w:t xml:space="preserve">scale and the inclination of startups to grant equity to their employees, with variations </w:t>
      </w:r>
      <w:r w:rsidRPr="0004297B">
        <w:rPr>
          <w:rFonts w:asciiTheme="majorBidi" w:hAnsiTheme="majorBidi" w:cstheme="majorBidi"/>
          <w:sz w:val="24"/>
          <w:szCs w:val="24"/>
        </w:rPr>
        <w:lastRenderedPageBreak/>
        <w:t xml:space="preserve">observable across European countries. The US, UK, Israel, and Canada are at the forefront, showing strong positive correlations between favorable stock option policies and high rates of startup employee ownership. In contrast, countries like Switzerland and the Netherlands exhibit </w:t>
      </w:r>
      <w:r w:rsidR="009A5259">
        <w:rPr>
          <w:rFonts w:asciiTheme="majorBidi" w:hAnsiTheme="majorBidi" w:cstheme="majorBidi"/>
          <w:sz w:val="24"/>
          <w:szCs w:val="24"/>
        </w:rPr>
        <w:t>relatively high</w:t>
      </w:r>
      <w:r w:rsidRPr="0004297B">
        <w:rPr>
          <w:rFonts w:asciiTheme="majorBidi" w:hAnsiTheme="majorBidi" w:cstheme="majorBidi"/>
          <w:sz w:val="24"/>
          <w:szCs w:val="24"/>
        </w:rPr>
        <w:t xml:space="preserve"> ownership rates despite only having moderate scores on Index Ventures' scale, suggesting the presence of other influential factors. On the other hand, countries such as Germany and Spain lag behind due to their less favorable stock option policies, which correlate with lower employee ownership rates</w:t>
      </w:r>
      <w:r w:rsidR="007755FC" w:rsidRPr="007755FC">
        <w:rPr>
          <w:rFonts w:asciiTheme="majorBidi" w:hAnsiTheme="majorBidi" w:cstheme="majorBidi"/>
          <w:sz w:val="24"/>
          <w:szCs w:val="24"/>
        </w:rPr>
        <w:t>.</w:t>
      </w:r>
    </w:p>
    <w:p w14:paraId="57F1AF80" w14:textId="4A32A442" w:rsidR="00CC542F" w:rsidRDefault="0046304A" w:rsidP="00BA6E3E">
      <w:pPr>
        <w:spacing w:line="360" w:lineRule="auto"/>
        <w:ind w:firstLine="720"/>
        <w:jc w:val="both"/>
        <w:rPr>
          <w:rFonts w:asciiTheme="majorBidi" w:hAnsiTheme="majorBidi" w:cstheme="majorBidi"/>
          <w:sz w:val="24"/>
          <w:szCs w:val="24"/>
        </w:rPr>
      </w:pPr>
      <w:r w:rsidRPr="0046304A">
        <w:rPr>
          <w:rFonts w:asciiTheme="majorBidi" w:hAnsiTheme="majorBidi" w:cstheme="majorBidi"/>
          <w:sz w:val="24"/>
          <w:szCs w:val="24"/>
        </w:rPr>
        <w:t xml:space="preserve">In our logistic regression model, we identified several factors that correlate with </w:t>
      </w:r>
      <w:r w:rsidR="0004297B">
        <w:rPr>
          <w:rFonts w:asciiTheme="majorBidi" w:hAnsiTheme="majorBidi" w:cstheme="majorBidi"/>
          <w:sz w:val="24"/>
          <w:szCs w:val="24"/>
        </w:rPr>
        <w:t xml:space="preserve">the </w:t>
      </w:r>
      <w:r w:rsidR="0004297B" w:rsidRPr="0046304A">
        <w:rPr>
          <w:rFonts w:asciiTheme="majorBidi" w:hAnsiTheme="majorBidi" w:cstheme="majorBidi"/>
          <w:sz w:val="24"/>
          <w:szCs w:val="24"/>
        </w:rPr>
        <w:t xml:space="preserve">likelihood </w:t>
      </w:r>
      <w:r w:rsidR="0004297B">
        <w:rPr>
          <w:rFonts w:asciiTheme="majorBidi" w:hAnsiTheme="majorBidi" w:cstheme="majorBidi"/>
          <w:sz w:val="24"/>
          <w:szCs w:val="24"/>
        </w:rPr>
        <w:t xml:space="preserve">of </w:t>
      </w:r>
      <w:r w:rsidRPr="0046304A">
        <w:rPr>
          <w:rFonts w:asciiTheme="majorBidi" w:hAnsiTheme="majorBidi" w:cstheme="majorBidi"/>
          <w:sz w:val="24"/>
          <w:szCs w:val="24"/>
        </w:rPr>
        <w:t>a startup</w:t>
      </w:r>
      <w:r w:rsidR="0004297B">
        <w:rPr>
          <w:rFonts w:asciiTheme="majorBidi" w:hAnsiTheme="majorBidi" w:cstheme="majorBidi"/>
          <w:sz w:val="24"/>
          <w:szCs w:val="24"/>
        </w:rPr>
        <w:t xml:space="preserve"> </w:t>
      </w:r>
      <w:r w:rsidRPr="0046304A">
        <w:rPr>
          <w:rFonts w:asciiTheme="majorBidi" w:hAnsiTheme="majorBidi" w:cstheme="majorBidi"/>
          <w:sz w:val="24"/>
          <w:szCs w:val="24"/>
        </w:rPr>
        <w:t xml:space="preserve">granting equity to its employees. A one-unit increase on Index Venture's scale, which denotes more favorable legal conditions, corresponded with a 5% higher probability of a startup </w:t>
      </w:r>
      <w:r w:rsidR="0004297B">
        <w:rPr>
          <w:rFonts w:asciiTheme="majorBidi" w:hAnsiTheme="majorBidi" w:cstheme="majorBidi"/>
          <w:sz w:val="24"/>
          <w:szCs w:val="24"/>
        </w:rPr>
        <w:t>grant</w:t>
      </w:r>
      <w:r w:rsidRPr="0046304A">
        <w:rPr>
          <w:rFonts w:asciiTheme="majorBidi" w:hAnsiTheme="majorBidi" w:cstheme="majorBidi"/>
          <w:sz w:val="24"/>
          <w:szCs w:val="24"/>
        </w:rPr>
        <w:t xml:space="preserve">ing equity compensation. Startups in the pre-revenue phase were more than twice as likely to </w:t>
      </w:r>
      <w:r>
        <w:rPr>
          <w:rFonts w:asciiTheme="majorBidi" w:hAnsiTheme="majorBidi" w:cstheme="majorBidi"/>
          <w:sz w:val="24"/>
          <w:szCs w:val="24"/>
        </w:rPr>
        <w:t>grant</w:t>
      </w:r>
      <w:r w:rsidRPr="0046304A">
        <w:rPr>
          <w:rFonts w:asciiTheme="majorBidi" w:hAnsiTheme="majorBidi" w:cstheme="majorBidi"/>
          <w:sz w:val="24"/>
          <w:szCs w:val="24"/>
        </w:rPr>
        <w:t xml:space="preserve"> equity compensation compared to those in the seed stage. Founders with a history of working at a startup also had a significant correlation, with the odds being roughly twice as high compared to those without such experience. </w:t>
      </w:r>
      <w:r w:rsidR="00A8583B">
        <w:rPr>
          <w:rFonts w:asciiTheme="majorBidi" w:hAnsiTheme="majorBidi" w:cstheme="majorBidi"/>
          <w:sz w:val="24"/>
          <w:szCs w:val="24"/>
        </w:rPr>
        <w:t>F</w:t>
      </w:r>
      <w:r w:rsidR="00A8583B" w:rsidRPr="00A8583B">
        <w:rPr>
          <w:rFonts w:asciiTheme="majorBidi" w:hAnsiTheme="majorBidi" w:cstheme="majorBidi"/>
          <w:sz w:val="24"/>
          <w:szCs w:val="24"/>
        </w:rPr>
        <w:t>or each additional employee, the odds of a startup granting equity compensation increase by approximately 0.5%</w:t>
      </w:r>
      <w:r w:rsidRPr="0046304A">
        <w:rPr>
          <w:rFonts w:asciiTheme="majorBidi" w:hAnsiTheme="majorBidi" w:cstheme="majorBidi"/>
          <w:sz w:val="24"/>
          <w:szCs w:val="24"/>
        </w:rPr>
        <w:t xml:space="preserve">. </w:t>
      </w:r>
      <w:r w:rsidR="0004297B">
        <w:rPr>
          <w:rFonts w:asciiTheme="majorBidi" w:hAnsiTheme="majorBidi" w:cstheme="majorBidi"/>
          <w:sz w:val="24"/>
          <w:szCs w:val="24"/>
        </w:rPr>
        <w:t>Furthermore, w</w:t>
      </w:r>
      <w:r w:rsidRPr="0046304A">
        <w:rPr>
          <w:rFonts w:asciiTheme="majorBidi" w:hAnsiTheme="majorBidi" w:cstheme="majorBidi"/>
          <w:sz w:val="24"/>
          <w:szCs w:val="24"/>
        </w:rPr>
        <w:t xml:space="preserve">hen startups </w:t>
      </w:r>
      <w:r w:rsidR="009E34C1" w:rsidRPr="0046304A">
        <w:rPr>
          <w:rFonts w:asciiTheme="majorBidi" w:hAnsiTheme="majorBidi" w:cstheme="majorBidi"/>
          <w:sz w:val="24"/>
          <w:szCs w:val="24"/>
        </w:rPr>
        <w:t>engage</w:t>
      </w:r>
      <w:r w:rsidR="001803F3">
        <w:rPr>
          <w:rFonts w:asciiTheme="majorBidi" w:hAnsiTheme="majorBidi" w:cstheme="majorBidi"/>
          <w:sz w:val="24"/>
          <w:szCs w:val="24"/>
        </w:rPr>
        <w:t xml:space="preserve"> external</w:t>
      </w:r>
      <w:r w:rsidRPr="0046304A">
        <w:rPr>
          <w:rFonts w:asciiTheme="majorBidi" w:hAnsiTheme="majorBidi" w:cstheme="majorBidi"/>
          <w:sz w:val="24"/>
          <w:szCs w:val="24"/>
        </w:rPr>
        <w:t xml:space="preserve"> legal consultants, </w:t>
      </w:r>
      <w:r w:rsidR="00EE3BFA">
        <w:rPr>
          <w:rFonts w:asciiTheme="majorBidi" w:hAnsiTheme="majorBidi" w:cstheme="majorBidi"/>
          <w:sz w:val="24"/>
          <w:szCs w:val="24"/>
        </w:rPr>
        <w:t>the tendency to grant equity compensation</w:t>
      </w:r>
      <w:r w:rsidRPr="0046304A">
        <w:rPr>
          <w:rFonts w:asciiTheme="majorBidi" w:hAnsiTheme="majorBidi" w:cstheme="majorBidi"/>
          <w:sz w:val="24"/>
          <w:szCs w:val="24"/>
        </w:rPr>
        <w:t xml:space="preserve"> increase</w:t>
      </w:r>
      <w:r w:rsidR="0004297B">
        <w:rPr>
          <w:rFonts w:asciiTheme="majorBidi" w:hAnsiTheme="majorBidi" w:cstheme="majorBidi"/>
          <w:sz w:val="24"/>
          <w:szCs w:val="24"/>
        </w:rPr>
        <w:t>s</w:t>
      </w:r>
      <w:r w:rsidRPr="0046304A">
        <w:rPr>
          <w:rFonts w:asciiTheme="majorBidi" w:hAnsiTheme="majorBidi" w:cstheme="majorBidi"/>
          <w:sz w:val="24"/>
          <w:szCs w:val="24"/>
        </w:rPr>
        <w:t xml:space="preserve"> nearly fivefold. Additionally, newer startups, as indicated by each subsequent year of incorporation, correlated with a 12% higher likelihood of offering equity to employees</w:t>
      </w:r>
      <w:r w:rsidR="00FA037D" w:rsidRPr="00FA037D">
        <w:rPr>
          <w:rFonts w:asciiTheme="majorBidi" w:hAnsiTheme="majorBidi" w:cstheme="majorBidi"/>
          <w:sz w:val="24"/>
          <w:szCs w:val="24"/>
        </w:rPr>
        <w:t>.</w:t>
      </w:r>
    </w:p>
    <w:p w14:paraId="3CBCAA88" w14:textId="5FE96F60" w:rsidR="00037B4A" w:rsidRDefault="00CC542F" w:rsidP="003C3A59">
      <w:pPr>
        <w:spacing w:line="360" w:lineRule="auto"/>
        <w:ind w:firstLine="720"/>
        <w:jc w:val="both"/>
        <w:rPr>
          <w:rFonts w:asciiTheme="majorBidi" w:hAnsiTheme="majorBidi" w:cstheme="majorBidi"/>
          <w:sz w:val="24"/>
          <w:szCs w:val="24"/>
        </w:rPr>
      </w:pPr>
      <w:r w:rsidRPr="00CC542F">
        <w:rPr>
          <w:rFonts w:asciiTheme="majorBidi" w:hAnsiTheme="majorBidi" w:cstheme="majorBidi"/>
          <w:sz w:val="24"/>
          <w:szCs w:val="24"/>
        </w:rPr>
        <w:t>Overall, these findings suggest that when shaping a startup</w:t>
      </w:r>
      <w:r w:rsidR="0025657C">
        <w:rPr>
          <w:rFonts w:asciiTheme="majorBidi" w:hAnsiTheme="majorBidi" w:cstheme="majorBidi"/>
          <w:sz w:val="24"/>
          <w:szCs w:val="24"/>
        </w:rPr>
        <w:t>’</w:t>
      </w:r>
      <w:r w:rsidRPr="00CC542F">
        <w:rPr>
          <w:rFonts w:asciiTheme="majorBidi" w:hAnsiTheme="majorBidi" w:cstheme="majorBidi"/>
          <w:sz w:val="24"/>
          <w:szCs w:val="24"/>
        </w:rPr>
        <w:t xml:space="preserve">s strategy regarding equity compensation, legal determinants, while significant, </w:t>
      </w:r>
      <w:r w:rsidR="00F6226D" w:rsidRPr="00F6226D">
        <w:rPr>
          <w:rFonts w:asciiTheme="majorBidi" w:hAnsiTheme="majorBidi" w:cstheme="majorBidi"/>
          <w:sz w:val="24"/>
          <w:szCs w:val="24"/>
        </w:rPr>
        <w:t>are of relatively marginal importance</w:t>
      </w:r>
      <w:r w:rsidR="00F6226D">
        <w:rPr>
          <w:rFonts w:asciiTheme="majorBidi" w:hAnsiTheme="majorBidi" w:cstheme="majorBidi"/>
          <w:sz w:val="24"/>
          <w:szCs w:val="24"/>
        </w:rPr>
        <w:t xml:space="preserve"> </w:t>
      </w:r>
      <w:r w:rsidR="00F6226D" w:rsidRPr="00F6226D">
        <w:rPr>
          <w:rFonts w:asciiTheme="majorBidi" w:hAnsiTheme="majorBidi" w:cstheme="majorBidi"/>
          <w:sz w:val="24"/>
          <w:szCs w:val="24"/>
        </w:rPr>
        <w:t>compared to</w:t>
      </w:r>
      <w:r w:rsidR="00F6226D">
        <w:rPr>
          <w:rFonts w:asciiTheme="majorBidi" w:hAnsiTheme="majorBidi" w:cstheme="majorBidi"/>
          <w:sz w:val="24"/>
          <w:szCs w:val="24"/>
        </w:rPr>
        <w:t xml:space="preserve"> other </w:t>
      </w:r>
      <w:r w:rsidR="00F6226D" w:rsidRPr="00F6226D">
        <w:rPr>
          <w:rFonts w:asciiTheme="majorBidi" w:hAnsiTheme="majorBidi" w:cstheme="majorBidi"/>
          <w:sz w:val="24"/>
          <w:szCs w:val="24"/>
        </w:rPr>
        <w:t>factors that align more closely with a learning curve</w:t>
      </w:r>
      <w:r w:rsidR="00F6226D">
        <w:rPr>
          <w:rFonts w:asciiTheme="majorBidi" w:hAnsiTheme="majorBidi" w:cstheme="majorBidi"/>
          <w:sz w:val="24"/>
          <w:szCs w:val="24"/>
        </w:rPr>
        <w:t xml:space="preserve"> explanation</w:t>
      </w:r>
      <w:r w:rsidR="00F6226D" w:rsidRPr="00F6226D">
        <w:rPr>
          <w:rFonts w:asciiTheme="majorBidi" w:hAnsiTheme="majorBidi" w:cstheme="majorBidi"/>
          <w:sz w:val="24"/>
          <w:szCs w:val="24"/>
        </w:rPr>
        <w:t xml:space="preserve">. These influential factors include the presence of expert counsel, </w:t>
      </w:r>
      <w:r w:rsidR="00EE22A5" w:rsidRPr="00EE22A5">
        <w:rPr>
          <w:rFonts w:asciiTheme="majorBidi" w:hAnsiTheme="majorBidi" w:cstheme="majorBidi"/>
          <w:sz w:val="24"/>
          <w:szCs w:val="24"/>
        </w:rPr>
        <w:t>business growth, and gaining more experience over time</w:t>
      </w:r>
      <w:r w:rsidR="0046304A">
        <w:rPr>
          <w:rFonts w:asciiTheme="majorBidi" w:hAnsiTheme="majorBidi" w:cstheme="majorBidi"/>
          <w:sz w:val="24"/>
          <w:szCs w:val="24"/>
        </w:rPr>
        <w:t xml:space="preserve"> and enterprises</w:t>
      </w:r>
      <w:r w:rsidR="00F6226D" w:rsidRPr="00F6226D">
        <w:rPr>
          <w:rFonts w:asciiTheme="majorBidi" w:hAnsiTheme="majorBidi" w:cstheme="majorBidi"/>
          <w:sz w:val="24"/>
          <w:szCs w:val="24"/>
        </w:rPr>
        <w:t xml:space="preserve">. </w:t>
      </w:r>
    </w:p>
    <w:p w14:paraId="40DCC150" w14:textId="316A1BAD" w:rsidR="003635FD" w:rsidRDefault="00672D6D" w:rsidP="00F6226D">
      <w:pPr>
        <w:spacing w:line="360" w:lineRule="auto"/>
        <w:ind w:firstLine="720"/>
        <w:jc w:val="both"/>
        <w:rPr>
          <w:rFonts w:asciiTheme="majorBidi" w:hAnsiTheme="majorBidi" w:cstheme="majorBidi"/>
          <w:sz w:val="24"/>
          <w:szCs w:val="24"/>
        </w:rPr>
      </w:pPr>
      <w:r w:rsidRPr="00672D6D">
        <w:rPr>
          <w:rFonts w:asciiTheme="majorBidi" w:hAnsiTheme="majorBidi" w:cstheme="majorBidi"/>
          <w:sz w:val="24"/>
          <w:szCs w:val="24"/>
        </w:rPr>
        <w:t>Nonetheless, specific legal aspects may still act as prerequisites for the implementation of equity compensation</w:t>
      </w:r>
      <w:r w:rsidR="0004297B">
        <w:rPr>
          <w:rFonts w:asciiTheme="majorBidi" w:hAnsiTheme="majorBidi" w:cstheme="majorBidi"/>
          <w:sz w:val="24"/>
          <w:szCs w:val="24"/>
        </w:rPr>
        <w:t xml:space="preserve"> programs</w:t>
      </w:r>
      <w:r w:rsidRPr="00672D6D">
        <w:rPr>
          <w:rFonts w:asciiTheme="majorBidi" w:hAnsiTheme="majorBidi" w:cstheme="majorBidi"/>
          <w:sz w:val="24"/>
          <w:szCs w:val="24"/>
        </w:rPr>
        <w:t xml:space="preserve">. Their absence could potentially hinder even sophisticated ecosystems from evolving in a manner conducive to widespread equity compensation adoption. </w:t>
      </w:r>
      <w:r>
        <w:rPr>
          <w:rFonts w:asciiTheme="majorBidi" w:hAnsiTheme="majorBidi" w:cstheme="majorBidi"/>
          <w:sz w:val="24"/>
          <w:szCs w:val="24"/>
        </w:rPr>
        <w:t>O</w:t>
      </w:r>
      <w:r w:rsidRPr="00672D6D">
        <w:rPr>
          <w:rFonts w:asciiTheme="majorBidi" w:hAnsiTheme="majorBidi" w:cstheme="majorBidi"/>
          <w:sz w:val="24"/>
          <w:szCs w:val="24"/>
        </w:rPr>
        <w:t xml:space="preserve">ur examination of the individual components of the Index Venture </w:t>
      </w:r>
      <w:r w:rsidR="00EE22A5">
        <w:rPr>
          <w:rFonts w:asciiTheme="majorBidi" w:hAnsiTheme="majorBidi" w:cstheme="majorBidi"/>
          <w:sz w:val="24"/>
          <w:szCs w:val="24"/>
        </w:rPr>
        <w:t>scale</w:t>
      </w:r>
      <w:r w:rsidRPr="00672D6D">
        <w:rPr>
          <w:rFonts w:asciiTheme="majorBidi" w:hAnsiTheme="majorBidi" w:cstheme="majorBidi"/>
          <w:sz w:val="24"/>
          <w:szCs w:val="24"/>
        </w:rPr>
        <w:t xml:space="preserve"> emphasizes the critical role of the strike price </w:t>
      </w:r>
      <w:r w:rsidR="00EE22A5">
        <w:rPr>
          <w:rFonts w:asciiTheme="majorBidi" w:hAnsiTheme="majorBidi" w:cstheme="majorBidi"/>
          <w:sz w:val="24"/>
          <w:szCs w:val="24"/>
        </w:rPr>
        <w:t>of</w:t>
      </w:r>
      <w:r w:rsidRPr="00672D6D">
        <w:rPr>
          <w:rFonts w:asciiTheme="majorBidi" w:hAnsiTheme="majorBidi" w:cstheme="majorBidi"/>
          <w:sz w:val="24"/>
          <w:szCs w:val="24"/>
        </w:rPr>
        <w:t xml:space="preserve"> stock options</w:t>
      </w:r>
      <w:r w:rsidR="00EE22A5">
        <w:rPr>
          <w:rFonts w:asciiTheme="majorBidi" w:hAnsiTheme="majorBidi" w:cstheme="majorBidi"/>
          <w:sz w:val="24"/>
          <w:szCs w:val="24"/>
        </w:rPr>
        <w:t xml:space="preserve"> (</w:t>
      </w:r>
      <w:r w:rsidR="00EE22A5" w:rsidRPr="00EE22A5">
        <w:rPr>
          <w:rFonts w:asciiTheme="majorBidi" w:hAnsiTheme="majorBidi" w:cstheme="majorBidi"/>
          <w:sz w:val="24"/>
          <w:szCs w:val="24"/>
        </w:rPr>
        <w:t>the fixed price at which an employee can purchase a company</w:t>
      </w:r>
      <w:r w:rsidR="00A8583B">
        <w:rPr>
          <w:rFonts w:asciiTheme="majorBidi" w:hAnsiTheme="majorBidi" w:cstheme="majorBidi"/>
          <w:sz w:val="24"/>
          <w:szCs w:val="24"/>
        </w:rPr>
        <w:t>’</w:t>
      </w:r>
      <w:r w:rsidR="00EE22A5" w:rsidRPr="00EE22A5">
        <w:rPr>
          <w:rFonts w:asciiTheme="majorBidi" w:hAnsiTheme="majorBidi" w:cstheme="majorBidi"/>
          <w:sz w:val="24"/>
          <w:szCs w:val="24"/>
        </w:rPr>
        <w:t>s stock, regardless of its actual market price</w:t>
      </w:r>
      <w:r w:rsidR="00EE22A5">
        <w:rPr>
          <w:rFonts w:asciiTheme="majorBidi" w:hAnsiTheme="majorBidi" w:cstheme="majorBidi"/>
          <w:sz w:val="24"/>
          <w:szCs w:val="24"/>
        </w:rPr>
        <w:t>)</w:t>
      </w:r>
      <w:r w:rsidRPr="00672D6D">
        <w:rPr>
          <w:rFonts w:asciiTheme="majorBidi" w:hAnsiTheme="majorBidi" w:cstheme="majorBidi"/>
          <w:sz w:val="24"/>
          <w:szCs w:val="24"/>
        </w:rPr>
        <w:t xml:space="preserve">. </w:t>
      </w:r>
      <w:r w:rsidR="0004297B">
        <w:rPr>
          <w:rFonts w:asciiTheme="majorBidi" w:hAnsiTheme="majorBidi" w:cstheme="majorBidi"/>
          <w:sz w:val="24"/>
          <w:szCs w:val="24"/>
        </w:rPr>
        <w:t xml:space="preserve">A </w:t>
      </w:r>
      <w:r w:rsidR="0025657C">
        <w:rPr>
          <w:rFonts w:asciiTheme="majorBidi" w:hAnsiTheme="majorBidi" w:cstheme="majorBidi"/>
          <w:sz w:val="24"/>
          <w:szCs w:val="24"/>
        </w:rPr>
        <w:t xml:space="preserve">one unit </w:t>
      </w:r>
      <w:r w:rsidR="0004297B" w:rsidRPr="00672D6D">
        <w:rPr>
          <w:rFonts w:asciiTheme="majorBidi" w:hAnsiTheme="majorBidi" w:cstheme="majorBidi"/>
          <w:sz w:val="24"/>
          <w:szCs w:val="24"/>
        </w:rPr>
        <w:t xml:space="preserve">increase </w:t>
      </w:r>
      <w:r w:rsidRPr="00672D6D">
        <w:rPr>
          <w:rFonts w:asciiTheme="majorBidi" w:hAnsiTheme="majorBidi" w:cstheme="majorBidi"/>
          <w:sz w:val="24"/>
          <w:szCs w:val="24"/>
        </w:rPr>
        <w:t>in the Strike Price score</w:t>
      </w:r>
      <w:r w:rsidR="0025657C">
        <w:rPr>
          <w:rFonts w:asciiTheme="majorBidi" w:hAnsiTheme="majorBidi" w:cstheme="majorBidi"/>
          <w:sz w:val="24"/>
          <w:szCs w:val="24"/>
        </w:rPr>
        <w:t xml:space="preserve"> (1-5 scale)</w:t>
      </w:r>
      <w:r w:rsidRPr="00672D6D">
        <w:rPr>
          <w:rFonts w:asciiTheme="majorBidi" w:hAnsiTheme="majorBidi" w:cstheme="majorBidi"/>
          <w:sz w:val="24"/>
          <w:szCs w:val="24"/>
        </w:rPr>
        <w:t xml:space="preserve"> significantly enhances the likelihood of a company offering employee equity compensation by approximately 61%, while keeping all other variables </w:t>
      </w:r>
      <w:r w:rsidRPr="00672D6D">
        <w:rPr>
          <w:rFonts w:asciiTheme="majorBidi" w:hAnsiTheme="majorBidi" w:cstheme="majorBidi"/>
          <w:sz w:val="24"/>
          <w:szCs w:val="24"/>
        </w:rPr>
        <w:lastRenderedPageBreak/>
        <w:t xml:space="preserve">constant. This </w:t>
      </w:r>
      <w:r>
        <w:rPr>
          <w:rFonts w:asciiTheme="majorBidi" w:hAnsiTheme="majorBidi" w:cstheme="majorBidi"/>
          <w:sz w:val="24"/>
          <w:szCs w:val="24"/>
        </w:rPr>
        <w:t>finding</w:t>
      </w:r>
      <w:r w:rsidRPr="00672D6D">
        <w:rPr>
          <w:rFonts w:asciiTheme="majorBidi" w:hAnsiTheme="majorBidi" w:cstheme="majorBidi"/>
          <w:sz w:val="24"/>
          <w:szCs w:val="24"/>
        </w:rPr>
        <w:t xml:space="preserve"> underscores the </w:t>
      </w:r>
      <w:r>
        <w:rPr>
          <w:rFonts w:asciiTheme="majorBidi" w:hAnsiTheme="majorBidi" w:cstheme="majorBidi"/>
          <w:sz w:val="24"/>
          <w:szCs w:val="24"/>
        </w:rPr>
        <w:t>role of</w:t>
      </w:r>
      <w:r w:rsidRPr="00672D6D">
        <w:rPr>
          <w:rFonts w:asciiTheme="majorBidi" w:hAnsiTheme="majorBidi" w:cstheme="majorBidi"/>
          <w:sz w:val="24"/>
          <w:szCs w:val="24"/>
        </w:rPr>
        <w:t xml:space="preserve"> flexible stock option pricing policies in fostering employee ownership within startup </w:t>
      </w:r>
      <w:r>
        <w:rPr>
          <w:rFonts w:asciiTheme="majorBidi" w:hAnsiTheme="majorBidi" w:cstheme="majorBidi"/>
          <w:sz w:val="24"/>
          <w:szCs w:val="24"/>
        </w:rPr>
        <w:t>ecosystems</w:t>
      </w:r>
      <w:r w:rsidR="004C2D5D" w:rsidRPr="00BF4413">
        <w:rPr>
          <w:rFonts w:asciiTheme="majorBidi" w:hAnsiTheme="majorBidi" w:cstheme="majorBidi"/>
          <w:sz w:val="24"/>
          <w:szCs w:val="24"/>
        </w:rPr>
        <w:t>.</w:t>
      </w:r>
    </w:p>
    <w:p w14:paraId="65EC830F" w14:textId="66F1B233" w:rsidR="00BA15E1" w:rsidRPr="00BF4413" w:rsidRDefault="00BA15E1" w:rsidP="007A7838">
      <w:pPr>
        <w:spacing w:line="360" w:lineRule="auto"/>
        <w:ind w:firstLine="720"/>
        <w:jc w:val="both"/>
        <w:rPr>
          <w:rFonts w:asciiTheme="majorBidi" w:hAnsiTheme="majorBidi" w:cstheme="majorBidi"/>
          <w:sz w:val="24"/>
          <w:szCs w:val="24"/>
        </w:rPr>
      </w:pPr>
      <w:r w:rsidRPr="00BA15E1">
        <w:rPr>
          <w:rFonts w:asciiTheme="majorBidi" w:hAnsiTheme="majorBidi" w:cstheme="majorBidi"/>
          <w:sz w:val="24"/>
          <w:szCs w:val="24"/>
        </w:rPr>
        <w:t>Our research findings hold relevance to the ongoing policy discourse within the EU</w:t>
      </w:r>
      <w:r>
        <w:rPr>
          <w:rFonts w:asciiTheme="majorBidi" w:hAnsiTheme="majorBidi" w:cstheme="majorBidi"/>
          <w:sz w:val="24"/>
          <w:szCs w:val="24"/>
        </w:rPr>
        <w:t>,</w:t>
      </w:r>
      <w:r w:rsidRPr="00BA15E1">
        <w:rPr>
          <w:rFonts w:asciiTheme="majorBidi" w:hAnsiTheme="majorBidi" w:cstheme="majorBidi"/>
          <w:sz w:val="24"/>
          <w:szCs w:val="24"/>
        </w:rPr>
        <w:t xml:space="preserve"> </w:t>
      </w:r>
      <w:r>
        <w:rPr>
          <w:rFonts w:asciiTheme="majorBidi" w:hAnsiTheme="majorBidi" w:cstheme="majorBidi"/>
          <w:sz w:val="24"/>
          <w:szCs w:val="24"/>
        </w:rPr>
        <w:t xml:space="preserve">where </w:t>
      </w:r>
      <w:r w:rsidR="009A7498">
        <w:rPr>
          <w:rFonts w:asciiTheme="majorBidi" w:hAnsiTheme="majorBidi" w:cstheme="majorBidi"/>
          <w:sz w:val="24"/>
          <w:szCs w:val="24"/>
        </w:rPr>
        <w:t xml:space="preserve">the </w:t>
      </w:r>
      <w:r>
        <w:rPr>
          <w:rFonts w:asciiTheme="majorBidi" w:hAnsiTheme="majorBidi" w:cstheme="majorBidi"/>
          <w:sz w:val="24"/>
          <w:szCs w:val="24"/>
        </w:rPr>
        <w:t>legal</w:t>
      </w:r>
      <w:r w:rsidRPr="00BA15E1">
        <w:rPr>
          <w:rFonts w:asciiTheme="majorBidi" w:hAnsiTheme="majorBidi" w:cstheme="majorBidi"/>
          <w:sz w:val="24"/>
          <w:szCs w:val="24"/>
        </w:rPr>
        <w:t xml:space="preserve"> landscape concerning </w:t>
      </w:r>
      <w:r>
        <w:rPr>
          <w:rFonts w:asciiTheme="majorBidi" w:hAnsiTheme="majorBidi" w:cstheme="majorBidi"/>
          <w:sz w:val="24"/>
          <w:szCs w:val="24"/>
        </w:rPr>
        <w:t xml:space="preserve">startup </w:t>
      </w:r>
      <w:r w:rsidRPr="00BA15E1">
        <w:rPr>
          <w:rFonts w:asciiTheme="majorBidi" w:hAnsiTheme="majorBidi" w:cstheme="majorBidi"/>
          <w:sz w:val="24"/>
          <w:szCs w:val="24"/>
        </w:rPr>
        <w:t>equity compensation is undergoing significant transformation</w:t>
      </w:r>
      <w:r w:rsidR="009A7498">
        <w:rPr>
          <w:rFonts w:asciiTheme="majorBidi" w:hAnsiTheme="majorBidi" w:cstheme="majorBidi"/>
          <w:sz w:val="24"/>
          <w:szCs w:val="24"/>
        </w:rPr>
        <w:t>. This shift is</w:t>
      </w:r>
      <w:r w:rsidRPr="00BA15E1">
        <w:rPr>
          <w:rFonts w:asciiTheme="majorBidi" w:hAnsiTheme="majorBidi" w:cstheme="majorBidi"/>
          <w:sz w:val="24"/>
          <w:szCs w:val="24"/>
        </w:rPr>
        <w:t xml:space="preserve"> </w:t>
      </w:r>
      <w:r w:rsidR="009A7498" w:rsidRPr="009A7498">
        <w:rPr>
          <w:rFonts w:asciiTheme="majorBidi" w:hAnsiTheme="majorBidi" w:cstheme="majorBidi"/>
          <w:sz w:val="24"/>
          <w:szCs w:val="24"/>
        </w:rPr>
        <w:t>fueled by a growing</w:t>
      </w:r>
      <w:r w:rsidRPr="00BA15E1">
        <w:rPr>
          <w:rFonts w:asciiTheme="majorBidi" w:hAnsiTheme="majorBidi" w:cstheme="majorBidi"/>
          <w:sz w:val="24"/>
          <w:szCs w:val="24"/>
        </w:rPr>
        <w:t xml:space="preserve"> </w:t>
      </w:r>
      <w:r w:rsidR="009A7498">
        <w:rPr>
          <w:rFonts w:asciiTheme="majorBidi" w:hAnsiTheme="majorBidi" w:cstheme="majorBidi"/>
          <w:sz w:val="24"/>
          <w:szCs w:val="24"/>
        </w:rPr>
        <w:t xml:space="preserve">recognition of equity compensations’ </w:t>
      </w:r>
      <w:r w:rsidRPr="00BA15E1">
        <w:rPr>
          <w:rFonts w:asciiTheme="majorBidi" w:hAnsiTheme="majorBidi" w:cstheme="majorBidi"/>
          <w:sz w:val="24"/>
          <w:szCs w:val="24"/>
        </w:rPr>
        <w:t xml:space="preserve">importance among investors and founders. </w:t>
      </w:r>
      <w:r w:rsidR="009A7498" w:rsidRPr="009A7498">
        <w:rPr>
          <w:rFonts w:asciiTheme="majorBidi" w:hAnsiTheme="majorBidi" w:cstheme="majorBidi"/>
          <w:sz w:val="24"/>
          <w:szCs w:val="24"/>
        </w:rPr>
        <w:t>This changing perspective is urging EU lawmakers to reevaluate and modify existing policies to encourage equity ownership for early-stage startup employees. Our study provides empirical insights that aid this debate, highlighting factors that influence startups</w:t>
      </w:r>
      <w:r w:rsidR="00A8583B">
        <w:rPr>
          <w:rFonts w:asciiTheme="majorBidi" w:hAnsiTheme="majorBidi" w:cstheme="majorBidi"/>
          <w:sz w:val="24"/>
          <w:szCs w:val="24"/>
        </w:rPr>
        <w:t>’</w:t>
      </w:r>
      <w:r w:rsidR="009A7498" w:rsidRPr="009A7498">
        <w:rPr>
          <w:rFonts w:asciiTheme="majorBidi" w:hAnsiTheme="majorBidi" w:cstheme="majorBidi"/>
          <w:sz w:val="24"/>
          <w:szCs w:val="24"/>
        </w:rPr>
        <w:t xml:space="preserve"> adoption of equity compensation schemes</w:t>
      </w:r>
      <w:r w:rsidRPr="00BA15E1">
        <w:rPr>
          <w:rFonts w:asciiTheme="majorBidi" w:hAnsiTheme="majorBidi" w:cstheme="majorBidi"/>
          <w:sz w:val="24"/>
          <w:szCs w:val="24"/>
        </w:rPr>
        <w:t>.</w:t>
      </w:r>
    </w:p>
    <w:p w14:paraId="5B78026E" w14:textId="57D9DEA3" w:rsidR="004B0342" w:rsidRPr="00BF4413" w:rsidRDefault="00B35D7B" w:rsidP="008E7F4A">
      <w:pPr>
        <w:pStyle w:val="Style1"/>
      </w:pPr>
      <w:r w:rsidRPr="00BF4413">
        <w:t xml:space="preserve">II. </w:t>
      </w:r>
      <w:r w:rsidR="00A52262" w:rsidRPr="00BF4413">
        <w:t>Contributions to the Literature</w:t>
      </w:r>
    </w:p>
    <w:p w14:paraId="6C65837F" w14:textId="0BE3988F" w:rsidR="00082BAE" w:rsidRDefault="001A4F7C" w:rsidP="005B5936">
      <w:pPr>
        <w:spacing w:line="360" w:lineRule="auto"/>
        <w:ind w:firstLine="720"/>
        <w:jc w:val="both"/>
        <w:rPr>
          <w:rFonts w:asciiTheme="majorBidi" w:hAnsiTheme="majorBidi" w:cstheme="majorBidi"/>
          <w:sz w:val="24"/>
          <w:szCs w:val="24"/>
        </w:rPr>
      </w:pPr>
      <w:r w:rsidRPr="001A4F7C">
        <w:rPr>
          <w:rFonts w:asciiTheme="majorBidi" w:hAnsiTheme="majorBidi" w:cstheme="majorBidi"/>
          <w:sz w:val="24"/>
          <w:szCs w:val="24"/>
        </w:rPr>
        <w:t xml:space="preserve">Our </w:t>
      </w:r>
      <w:r w:rsidR="00B170C2">
        <w:rPr>
          <w:rFonts w:asciiTheme="majorBidi" w:hAnsiTheme="majorBidi" w:cstheme="majorBidi"/>
          <w:sz w:val="24"/>
          <w:szCs w:val="24"/>
        </w:rPr>
        <w:t>research</w:t>
      </w:r>
      <w:r w:rsidRPr="001A4F7C">
        <w:rPr>
          <w:rFonts w:asciiTheme="majorBidi" w:hAnsiTheme="majorBidi" w:cstheme="majorBidi"/>
          <w:sz w:val="24"/>
          <w:szCs w:val="24"/>
        </w:rPr>
        <w:t xml:space="preserve"> contributes to the existing literature by providing a more comprehensive and nuanced understanding of the factors influencing the adoption of equity compensation </w:t>
      </w:r>
      <w:r w:rsidR="00B170C2">
        <w:rPr>
          <w:rFonts w:asciiTheme="majorBidi" w:hAnsiTheme="majorBidi" w:cstheme="majorBidi"/>
          <w:sz w:val="24"/>
          <w:szCs w:val="24"/>
        </w:rPr>
        <w:t>programs</w:t>
      </w:r>
      <w:r w:rsidRPr="001A4F7C">
        <w:rPr>
          <w:rFonts w:asciiTheme="majorBidi" w:hAnsiTheme="majorBidi" w:cstheme="majorBidi"/>
          <w:sz w:val="24"/>
          <w:szCs w:val="24"/>
        </w:rPr>
        <w:t xml:space="preserve"> in early-stage startups, particularly in the context of VC-backed companies. Building on the recognized disparities in stock option prevalence, especially between the US and </w:t>
      </w:r>
      <w:r w:rsidR="00B170C2">
        <w:rPr>
          <w:rFonts w:asciiTheme="majorBidi" w:hAnsiTheme="majorBidi" w:cstheme="majorBidi"/>
          <w:sz w:val="24"/>
          <w:szCs w:val="24"/>
        </w:rPr>
        <w:t>the EU</w:t>
      </w:r>
      <w:r w:rsidRPr="001A4F7C">
        <w:rPr>
          <w:rFonts w:asciiTheme="majorBidi" w:hAnsiTheme="majorBidi" w:cstheme="majorBidi"/>
          <w:sz w:val="24"/>
          <w:szCs w:val="24"/>
        </w:rPr>
        <w:t xml:space="preserve">, we extend this discussion by delving into the multifaceted mechanisms at play. </w:t>
      </w:r>
    </w:p>
    <w:p w14:paraId="4D41654E" w14:textId="7028615F" w:rsidR="001A4F7C" w:rsidRDefault="00082BAE" w:rsidP="00082B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First, w</w:t>
      </w:r>
      <w:r w:rsidR="001A4F7C" w:rsidRPr="001A4F7C">
        <w:rPr>
          <w:rFonts w:asciiTheme="majorBidi" w:hAnsiTheme="majorBidi" w:cstheme="majorBidi"/>
          <w:sz w:val="24"/>
          <w:szCs w:val="24"/>
        </w:rPr>
        <w:t>hile prior studies, such as Kaplan et al. (2007) and Henrekson and Sanandaji (2018 a, b), have pointed to limited VC sophistication and unfavorable tax treatment as potential explanations, our research offers a deeper exploration</w:t>
      </w:r>
      <w:r w:rsidR="009F1229">
        <w:rPr>
          <w:rFonts w:asciiTheme="majorBidi" w:hAnsiTheme="majorBidi" w:cstheme="majorBidi"/>
          <w:sz w:val="24"/>
          <w:szCs w:val="24"/>
        </w:rPr>
        <w:t xml:space="preserve">. </w:t>
      </w:r>
      <w:r w:rsidR="009F1229" w:rsidRPr="009F1229">
        <w:rPr>
          <w:rFonts w:asciiTheme="majorBidi" w:hAnsiTheme="majorBidi" w:cstheme="majorBidi"/>
          <w:sz w:val="24"/>
          <w:szCs w:val="24"/>
        </w:rPr>
        <w:t xml:space="preserve">We examine various aspects of the legal treatment of employee stock options to identify their relative significance in predicting equity compensation adoption. Our study suggests that factors such as the stage of startup development, engagement with </w:t>
      </w:r>
      <w:r w:rsidR="001803F3">
        <w:rPr>
          <w:rFonts w:asciiTheme="majorBidi" w:hAnsiTheme="majorBidi" w:cstheme="majorBidi"/>
          <w:sz w:val="24"/>
          <w:szCs w:val="24"/>
        </w:rPr>
        <w:t xml:space="preserve">external </w:t>
      </w:r>
      <w:r w:rsidR="009F1229" w:rsidRPr="009F1229">
        <w:rPr>
          <w:rFonts w:asciiTheme="majorBidi" w:hAnsiTheme="majorBidi" w:cstheme="majorBidi"/>
          <w:sz w:val="24"/>
          <w:szCs w:val="24"/>
        </w:rPr>
        <w:t>legal consultants, and the firm</w:t>
      </w:r>
      <w:r w:rsidR="00A8583B">
        <w:rPr>
          <w:rFonts w:asciiTheme="majorBidi" w:hAnsiTheme="majorBidi" w:cstheme="majorBidi"/>
          <w:sz w:val="24"/>
          <w:szCs w:val="24"/>
        </w:rPr>
        <w:t>’</w:t>
      </w:r>
      <w:r w:rsidR="009F1229" w:rsidRPr="009F1229">
        <w:rPr>
          <w:rFonts w:asciiTheme="majorBidi" w:hAnsiTheme="majorBidi" w:cstheme="majorBidi"/>
          <w:sz w:val="24"/>
          <w:szCs w:val="24"/>
        </w:rPr>
        <w:t xml:space="preserve">s age are pivotal. Thus, it implies that while legal determinants are </w:t>
      </w:r>
      <w:r w:rsidR="00B170C2" w:rsidRPr="009F1229">
        <w:rPr>
          <w:rFonts w:asciiTheme="majorBidi" w:hAnsiTheme="majorBidi" w:cstheme="majorBidi"/>
          <w:sz w:val="24"/>
          <w:szCs w:val="24"/>
        </w:rPr>
        <w:t>important</w:t>
      </w:r>
      <w:r w:rsidR="009F1229" w:rsidRPr="009F1229">
        <w:rPr>
          <w:rFonts w:asciiTheme="majorBidi" w:hAnsiTheme="majorBidi" w:cstheme="majorBidi"/>
          <w:sz w:val="24"/>
          <w:szCs w:val="24"/>
        </w:rPr>
        <w:t>, they have a lesser influence on a startup</w:t>
      </w:r>
      <w:r w:rsidR="00A8583B">
        <w:rPr>
          <w:rFonts w:asciiTheme="majorBidi" w:hAnsiTheme="majorBidi" w:cstheme="majorBidi"/>
          <w:sz w:val="24"/>
          <w:szCs w:val="24"/>
        </w:rPr>
        <w:t>’</w:t>
      </w:r>
      <w:r w:rsidR="009F1229" w:rsidRPr="009F1229">
        <w:rPr>
          <w:rFonts w:asciiTheme="majorBidi" w:hAnsiTheme="majorBidi" w:cstheme="majorBidi"/>
          <w:sz w:val="24"/>
          <w:szCs w:val="24"/>
        </w:rPr>
        <w:t xml:space="preserve">s equity compensation approach compared to other factors </w:t>
      </w:r>
      <w:r w:rsidR="00B170C2">
        <w:rPr>
          <w:rFonts w:asciiTheme="majorBidi" w:hAnsiTheme="majorBidi" w:cstheme="majorBidi"/>
          <w:sz w:val="24"/>
          <w:szCs w:val="24"/>
        </w:rPr>
        <w:t xml:space="preserve">that </w:t>
      </w:r>
      <w:r w:rsidR="00B170C2" w:rsidRPr="009F1229">
        <w:rPr>
          <w:rFonts w:asciiTheme="majorBidi" w:hAnsiTheme="majorBidi" w:cstheme="majorBidi"/>
          <w:sz w:val="24"/>
          <w:szCs w:val="24"/>
        </w:rPr>
        <w:t>support</w:t>
      </w:r>
      <w:r w:rsidR="009F1229" w:rsidRPr="009F1229">
        <w:rPr>
          <w:rFonts w:asciiTheme="majorBidi" w:hAnsiTheme="majorBidi" w:cstheme="majorBidi"/>
          <w:sz w:val="24"/>
          <w:szCs w:val="24"/>
        </w:rPr>
        <w:t xml:space="preserve"> with a learning curve framework</w:t>
      </w:r>
      <w:r w:rsidR="001A4F7C" w:rsidRPr="001A4F7C">
        <w:rPr>
          <w:rFonts w:asciiTheme="majorBidi" w:hAnsiTheme="majorBidi" w:cstheme="majorBidi"/>
          <w:sz w:val="24"/>
          <w:szCs w:val="24"/>
        </w:rPr>
        <w:t xml:space="preserve">. </w:t>
      </w:r>
    </w:p>
    <w:p w14:paraId="2F6AA27B" w14:textId="3FD9771F" w:rsidR="005610FF" w:rsidRPr="00BF4413" w:rsidRDefault="00EA67FB" w:rsidP="005B593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Second</w:t>
      </w:r>
      <w:r w:rsidR="001A4F7C">
        <w:rPr>
          <w:rFonts w:asciiTheme="majorBidi" w:hAnsiTheme="majorBidi" w:cstheme="majorBidi"/>
          <w:sz w:val="24"/>
          <w:szCs w:val="24"/>
        </w:rPr>
        <w:t>, t</w:t>
      </w:r>
      <w:r w:rsidR="006A6766" w:rsidRPr="00BF4413">
        <w:rPr>
          <w:rFonts w:asciiTheme="majorBidi" w:hAnsiTheme="majorBidi" w:cstheme="majorBidi"/>
          <w:sz w:val="24"/>
          <w:szCs w:val="24"/>
        </w:rPr>
        <w:t xml:space="preserve">he interaction between legal frameworks and venture capital activity has received considerable attention in </w:t>
      </w:r>
      <w:r w:rsidR="00E855F9" w:rsidRPr="00BF4413">
        <w:rPr>
          <w:rFonts w:asciiTheme="majorBidi" w:hAnsiTheme="majorBidi" w:cstheme="majorBidi"/>
          <w:sz w:val="24"/>
          <w:szCs w:val="24"/>
        </w:rPr>
        <w:t>academic</w:t>
      </w:r>
      <w:r w:rsidR="006A6766" w:rsidRPr="00BF4413">
        <w:rPr>
          <w:rFonts w:asciiTheme="majorBidi" w:hAnsiTheme="majorBidi" w:cstheme="majorBidi"/>
          <w:sz w:val="24"/>
          <w:szCs w:val="24"/>
        </w:rPr>
        <w:t xml:space="preserve"> literature on entrepreneurship</w:t>
      </w:r>
      <w:r w:rsidR="005610FF" w:rsidRPr="00BF4413">
        <w:rPr>
          <w:rFonts w:asciiTheme="majorBidi" w:hAnsiTheme="majorBidi" w:cstheme="majorBidi"/>
          <w:sz w:val="24"/>
          <w:szCs w:val="24"/>
        </w:rPr>
        <w:t xml:space="preserve">. Foundational insights by Gompers and Lerner in </w:t>
      </w:r>
      <w:r w:rsidR="00A8583B">
        <w:rPr>
          <w:rFonts w:asciiTheme="majorBidi" w:hAnsiTheme="majorBidi" w:cstheme="majorBidi"/>
          <w:sz w:val="24"/>
          <w:szCs w:val="24"/>
        </w:rPr>
        <w:t>“</w:t>
      </w:r>
      <w:r w:rsidR="005610FF" w:rsidRPr="00BF4413">
        <w:rPr>
          <w:rFonts w:asciiTheme="majorBidi" w:hAnsiTheme="majorBidi" w:cstheme="majorBidi"/>
          <w:sz w:val="24"/>
          <w:szCs w:val="24"/>
        </w:rPr>
        <w:t>The Venture Capital Cycle</w:t>
      </w:r>
      <w:r w:rsidR="00A8583B">
        <w:rPr>
          <w:rFonts w:asciiTheme="majorBidi" w:hAnsiTheme="majorBidi" w:cstheme="majorBidi"/>
          <w:sz w:val="24"/>
          <w:szCs w:val="24"/>
        </w:rPr>
        <w:t>”</w:t>
      </w:r>
      <w:r w:rsidR="005610FF" w:rsidRPr="00BF4413">
        <w:rPr>
          <w:rFonts w:asciiTheme="majorBidi" w:hAnsiTheme="majorBidi" w:cstheme="majorBidi"/>
          <w:sz w:val="24"/>
          <w:szCs w:val="24"/>
        </w:rPr>
        <w:t xml:space="preserve"> (Gompers &amp; Lerner 2006) underscore the influence of tax policy on VC demand, indirectly highlighting the impact of legal frameworks on VC activity. This relationship is further </w:t>
      </w:r>
      <w:r w:rsidR="00A22D9F">
        <w:rPr>
          <w:rFonts w:asciiTheme="majorBidi" w:hAnsiTheme="majorBidi" w:cstheme="majorBidi"/>
          <w:sz w:val="24"/>
          <w:szCs w:val="24"/>
        </w:rPr>
        <w:t>influenced</w:t>
      </w:r>
      <w:r w:rsidR="005610FF" w:rsidRPr="00BF4413">
        <w:rPr>
          <w:rFonts w:asciiTheme="majorBidi" w:hAnsiTheme="majorBidi" w:cstheme="majorBidi"/>
          <w:sz w:val="24"/>
          <w:szCs w:val="24"/>
        </w:rPr>
        <w:t xml:space="preserve"> by global differences in VC market size and success (Cumming 2010), attributable to factors such as government policies (Keuschnigg &amp; Nielsen 2001), taxes on investors and entrepreneurs (Keuschnigg &amp; </w:t>
      </w:r>
      <w:r w:rsidR="005610FF" w:rsidRPr="00BF4413">
        <w:rPr>
          <w:rFonts w:asciiTheme="majorBidi" w:hAnsiTheme="majorBidi" w:cstheme="majorBidi"/>
          <w:sz w:val="24"/>
          <w:szCs w:val="24"/>
        </w:rPr>
        <w:lastRenderedPageBreak/>
        <w:t>Nielsen 2003</w:t>
      </w:r>
      <w:r w:rsidR="00EE3BFA" w:rsidRPr="00BF4413">
        <w:rPr>
          <w:rFonts w:asciiTheme="majorBidi" w:hAnsiTheme="majorBidi" w:cstheme="majorBidi"/>
          <w:sz w:val="24"/>
          <w:szCs w:val="24"/>
        </w:rPr>
        <w:t>a, b</w:t>
      </w:r>
      <w:r w:rsidR="005610FF" w:rsidRPr="00BF4413">
        <w:rPr>
          <w:rFonts w:asciiTheme="majorBidi" w:hAnsiTheme="majorBidi" w:cstheme="majorBidi"/>
          <w:sz w:val="24"/>
          <w:szCs w:val="24"/>
        </w:rPr>
        <w:t>, 2004), bankruptcy laws (Armour and Cumming 2006), and the strength of a country’s stock market (Black and Gilson 1998</w:t>
      </w:r>
      <w:r w:rsidR="00BB3E7E" w:rsidRPr="00BF4413">
        <w:rPr>
          <w:rFonts w:asciiTheme="majorBidi" w:hAnsiTheme="majorBidi" w:cstheme="majorBidi"/>
          <w:sz w:val="24"/>
          <w:szCs w:val="24"/>
        </w:rPr>
        <w:t>; Jeng &amp; Wells 2000</w:t>
      </w:r>
      <w:r w:rsidR="005610FF" w:rsidRPr="00BF4413">
        <w:rPr>
          <w:rFonts w:asciiTheme="majorBidi" w:hAnsiTheme="majorBidi" w:cstheme="majorBidi"/>
          <w:sz w:val="24"/>
          <w:szCs w:val="24"/>
        </w:rPr>
        <w:t xml:space="preserve">). </w:t>
      </w:r>
    </w:p>
    <w:p w14:paraId="28E81184" w14:textId="60CD192D" w:rsidR="005610FF" w:rsidRPr="00BF4413" w:rsidRDefault="005610FF"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In the context of shareholder protection, previous works have presented no correlation between shareholder protection variables and VC investments (Jeng and Wells, 2000; Jeng &amp; Wells 2000), and </w:t>
      </w:r>
      <w:r w:rsidR="00EB0E1E" w:rsidRPr="00BF4413">
        <w:rPr>
          <w:rFonts w:asciiTheme="majorBidi" w:hAnsiTheme="majorBidi" w:cstheme="majorBidi"/>
          <w:sz w:val="24"/>
          <w:szCs w:val="24"/>
        </w:rPr>
        <w:t>some</w:t>
      </w:r>
      <w:r w:rsidRPr="00BF4413">
        <w:rPr>
          <w:rFonts w:asciiTheme="majorBidi" w:hAnsiTheme="majorBidi" w:cstheme="majorBidi"/>
          <w:sz w:val="24"/>
          <w:szCs w:val="24"/>
        </w:rPr>
        <w:t xml:space="preserve"> have even suggested a negative relationship (Allen and Song, 2003). However, recent approaches have shifted the focus from investor protection </w:t>
      </w:r>
      <w:r w:rsidR="00A22D9F" w:rsidRPr="00A22D9F">
        <w:rPr>
          <w:rFonts w:asciiTheme="majorBidi" w:hAnsiTheme="majorBidi" w:cstheme="majorBidi"/>
          <w:sz w:val="24"/>
          <w:szCs w:val="24"/>
        </w:rPr>
        <w:t>indices</w:t>
      </w:r>
      <w:r w:rsidR="00A22D9F">
        <w:rPr>
          <w:rFonts w:asciiTheme="majorBidi" w:hAnsiTheme="majorBidi" w:cstheme="majorBidi"/>
          <w:sz w:val="24"/>
          <w:szCs w:val="24"/>
        </w:rPr>
        <w:t xml:space="preserve"> </w:t>
      </w:r>
      <w:r w:rsidRPr="00BF4413">
        <w:rPr>
          <w:rFonts w:asciiTheme="majorBidi" w:hAnsiTheme="majorBidi" w:cstheme="majorBidi"/>
          <w:sz w:val="24"/>
          <w:szCs w:val="24"/>
        </w:rPr>
        <w:t xml:space="preserve">modeled after public companies (such as La Porta et al. 2001) to </w:t>
      </w:r>
      <w:r w:rsidR="00A22D9F">
        <w:rPr>
          <w:rFonts w:asciiTheme="majorBidi" w:hAnsiTheme="majorBidi" w:cstheme="majorBidi"/>
          <w:sz w:val="24"/>
          <w:szCs w:val="24"/>
        </w:rPr>
        <w:t>studying</w:t>
      </w:r>
      <w:r w:rsidRPr="00BF4413">
        <w:rPr>
          <w:rFonts w:asciiTheme="majorBidi" w:hAnsiTheme="majorBidi" w:cstheme="majorBidi"/>
          <w:sz w:val="24"/>
          <w:szCs w:val="24"/>
        </w:rPr>
        <w:t xml:space="preserve"> local corporate laws in terms of their impact on founders and VCs</w:t>
      </w:r>
      <w:r w:rsidR="00A8583B">
        <w:rPr>
          <w:rFonts w:asciiTheme="majorBidi" w:hAnsiTheme="majorBidi" w:cstheme="majorBidi"/>
          <w:sz w:val="24"/>
          <w:szCs w:val="24"/>
        </w:rPr>
        <w:t>’</w:t>
      </w:r>
      <w:r w:rsidRPr="00BF4413">
        <w:rPr>
          <w:rFonts w:asciiTheme="majorBidi" w:hAnsiTheme="majorBidi" w:cstheme="majorBidi"/>
          <w:sz w:val="24"/>
          <w:szCs w:val="24"/>
        </w:rPr>
        <w:t xml:space="preserve"> freedom to design shareholder agreements, financial instruments, and corporate governance structures that suit their needs (Pereira 202</w:t>
      </w:r>
      <w:r w:rsidR="00F149BC">
        <w:rPr>
          <w:rFonts w:asciiTheme="majorBidi" w:hAnsiTheme="majorBidi" w:cstheme="majorBidi"/>
          <w:sz w:val="24"/>
          <w:szCs w:val="24"/>
        </w:rPr>
        <w:t>3</w:t>
      </w:r>
      <w:r w:rsidRPr="00BF4413">
        <w:rPr>
          <w:rFonts w:asciiTheme="majorBidi" w:hAnsiTheme="majorBidi" w:cstheme="majorBidi"/>
          <w:sz w:val="24"/>
          <w:szCs w:val="24"/>
        </w:rPr>
        <w:t>; Pinter 2019; Giudici &amp; Agstner 2019</w:t>
      </w:r>
      <w:r w:rsidR="00A75D7B">
        <w:rPr>
          <w:rFonts w:asciiTheme="majorBidi" w:hAnsiTheme="majorBidi" w:cstheme="majorBidi"/>
          <w:sz w:val="24"/>
          <w:szCs w:val="24"/>
        </w:rPr>
        <w:t>;</w:t>
      </w:r>
      <w:r w:rsidR="00A75D7B" w:rsidRPr="00A75D7B">
        <w:rPr>
          <w:rFonts w:asciiTheme="majorBidi" w:hAnsiTheme="majorBidi" w:cstheme="majorBidi"/>
          <w:sz w:val="24"/>
          <w:szCs w:val="24"/>
        </w:rPr>
        <w:t xml:space="preserve"> </w:t>
      </w:r>
      <w:r w:rsidR="00A75D7B" w:rsidRPr="00BF4413">
        <w:rPr>
          <w:rFonts w:asciiTheme="majorBidi" w:hAnsiTheme="majorBidi" w:cstheme="majorBidi"/>
          <w:sz w:val="24"/>
          <w:szCs w:val="24"/>
        </w:rPr>
        <w:t>Toniolo</w:t>
      </w:r>
      <w:r w:rsidR="00A75D7B">
        <w:rPr>
          <w:rFonts w:asciiTheme="majorBidi" w:hAnsiTheme="majorBidi" w:cstheme="majorBidi"/>
          <w:sz w:val="24"/>
          <w:szCs w:val="24"/>
        </w:rPr>
        <w:t xml:space="preserve"> &amp;</w:t>
      </w:r>
      <w:r w:rsidRPr="00BF4413">
        <w:rPr>
          <w:rFonts w:asciiTheme="majorBidi" w:hAnsiTheme="majorBidi" w:cstheme="majorBidi"/>
          <w:sz w:val="24"/>
          <w:szCs w:val="24"/>
        </w:rPr>
        <w:t xml:space="preserve"> Pederzini 2020). </w:t>
      </w:r>
    </w:p>
    <w:p w14:paraId="6D1EB0E7" w14:textId="398F1E28" w:rsidR="005610FF" w:rsidRPr="00BF4413" w:rsidRDefault="005610FF" w:rsidP="005B5936">
      <w:pPr>
        <w:spacing w:line="360" w:lineRule="auto"/>
        <w:ind w:firstLine="720"/>
        <w:jc w:val="both"/>
        <w:rPr>
          <w:rFonts w:asciiTheme="majorBidi" w:hAnsiTheme="majorBidi" w:cstheme="majorBidi"/>
          <w:sz w:val="24"/>
          <w:szCs w:val="24"/>
          <w:rtl/>
        </w:rPr>
      </w:pPr>
      <w:r w:rsidRPr="00BF4413">
        <w:rPr>
          <w:rFonts w:asciiTheme="majorBidi" w:hAnsiTheme="majorBidi" w:cstheme="majorBidi"/>
          <w:sz w:val="24"/>
          <w:szCs w:val="24"/>
        </w:rPr>
        <w:t>Specifica</w:t>
      </w:r>
      <w:r w:rsidR="00A22521" w:rsidRPr="00BF4413">
        <w:rPr>
          <w:rFonts w:asciiTheme="majorBidi" w:hAnsiTheme="majorBidi" w:cstheme="majorBidi"/>
          <w:sz w:val="24"/>
          <w:szCs w:val="24"/>
        </w:rPr>
        <w:t>l</w:t>
      </w:r>
      <w:r w:rsidRPr="00BF4413">
        <w:rPr>
          <w:rFonts w:asciiTheme="majorBidi" w:hAnsiTheme="majorBidi" w:cstheme="majorBidi"/>
          <w:sz w:val="24"/>
          <w:szCs w:val="24"/>
        </w:rPr>
        <w:t xml:space="preserve">ly, </w:t>
      </w:r>
      <w:r w:rsidR="00A22D9F">
        <w:rPr>
          <w:rFonts w:asciiTheme="majorBidi" w:hAnsiTheme="majorBidi" w:cstheme="majorBidi"/>
          <w:sz w:val="24"/>
          <w:szCs w:val="24"/>
        </w:rPr>
        <w:t>regarding</w:t>
      </w:r>
      <w:r w:rsidRPr="00BF4413">
        <w:rPr>
          <w:rFonts w:asciiTheme="majorBidi" w:hAnsiTheme="majorBidi" w:cstheme="majorBidi"/>
          <w:sz w:val="24"/>
          <w:szCs w:val="24"/>
        </w:rPr>
        <w:t xml:space="preserve"> employee stock options, the literature focuse</w:t>
      </w:r>
      <w:r w:rsidR="00E855F9">
        <w:rPr>
          <w:rFonts w:asciiTheme="majorBidi" w:hAnsiTheme="majorBidi" w:cstheme="majorBidi"/>
          <w:sz w:val="24"/>
          <w:szCs w:val="24"/>
        </w:rPr>
        <w:t>s</w:t>
      </w:r>
      <w:r w:rsidRPr="00BF4413">
        <w:rPr>
          <w:rFonts w:asciiTheme="majorBidi" w:hAnsiTheme="majorBidi" w:cstheme="majorBidi"/>
          <w:sz w:val="24"/>
          <w:szCs w:val="24"/>
        </w:rPr>
        <w:t xml:space="preserve"> on taxation rates. </w:t>
      </w:r>
      <w:r w:rsidR="009520DA">
        <w:rPr>
          <w:rFonts w:asciiTheme="majorBidi" w:hAnsiTheme="majorBidi" w:cstheme="majorBidi"/>
          <w:sz w:val="24"/>
          <w:szCs w:val="24"/>
        </w:rPr>
        <w:t>I</w:t>
      </w:r>
      <w:r w:rsidR="00A22D9F">
        <w:rPr>
          <w:rFonts w:asciiTheme="majorBidi" w:hAnsiTheme="majorBidi" w:cstheme="majorBidi"/>
          <w:sz w:val="24"/>
          <w:szCs w:val="24"/>
        </w:rPr>
        <w:t xml:space="preserve">n a </w:t>
      </w:r>
      <w:r w:rsidR="00A22D9F" w:rsidRPr="00BF4413">
        <w:rPr>
          <w:rFonts w:asciiTheme="majorBidi" w:hAnsiTheme="majorBidi" w:cstheme="majorBidi"/>
          <w:sz w:val="24"/>
          <w:szCs w:val="24"/>
        </w:rPr>
        <w:t xml:space="preserve">cross-country study </w:t>
      </w:r>
      <w:r w:rsidRPr="00BF4413">
        <w:rPr>
          <w:rFonts w:asciiTheme="majorBidi" w:hAnsiTheme="majorBidi" w:cstheme="majorBidi"/>
          <w:sz w:val="24"/>
          <w:szCs w:val="24"/>
        </w:rPr>
        <w:t xml:space="preserve">Henrekson </w:t>
      </w:r>
      <w:r w:rsidR="00A22D9F">
        <w:rPr>
          <w:rFonts w:asciiTheme="majorBidi" w:hAnsiTheme="majorBidi" w:cstheme="majorBidi"/>
          <w:sz w:val="24"/>
          <w:szCs w:val="24"/>
        </w:rPr>
        <w:t>and</w:t>
      </w:r>
      <w:r w:rsidRPr="00BF4413">
        <w:rPr>
          <w:rFonts w:asciiTheme="majorBidi" w:hAnsiTheme="majorBidi" w:cstheme="majorBidi"/>
          <w:sz w:val="24"/>
          <w:szCs w:val="24"/>
        </w:rPr>
        <w:t xml:space="preserve"> Sanandaji </w:t>
      </w:r>
      <w:r w:rsidR="00A22D9F">
        <w:rPr>
          <w:rFonts w:asciiTheme="majorBidi" w:hAnsiTheme="majorBidi" w:cstheme="majorBidi"/>
          <w:sz w:val="24"/>
          <w:szCs w:val="24"/>
        </w:rPr>
        <w:t>(2018a) find that</w:t>
      </w:r>
      <w:r w:rsidRPr="00BF4413">
        <w:rPr>
          <w:rFonts w:asciiTheme="majorBidi" w:hAnsiTheme="majorBidi" w:cstheme="majorBidi"/>
          <w:sz w:val="24"/>
          <w:szCs w:val="24"/>
        </w:rPr>
        <w:t xml:space="preserve"> the tax treatment of </w:t>
      </w:r>
      <w:r w:rsidR="00A22D9F">
        <w:rPr>
          <w:rFonts w:asciiTheme="majorBidi" w:hAnsiTheme="majorBidi" w:cstheme="majorBidi"/>
          <w:sz w:val="24"/>
          <w:szCs w:val="24"/>
        </w:rPr>
        <w:t xml:space="preserve">employee </w:t>
      </w:r>
      <w:r w:rsidRPr="00BF4413">
        <w:rPr>
          <w:rFonts w:asciiTheme="majorBidi" w:hAnsiTheme="majorBidi" w:cstheme="majorBidi"/>
          <w:sz w:val="24"/>
          <w:szCs w:val="24"/>
        </w:rPr>
        <w:t xml:space="preserve">stock options </w:t>
      </w:r>
      <w:r w:rsidR="00A22D9F">
        <w:rPr>
          <w:rFonts w:asciiTheme="majorBidi" w:hAnsiTheme="majorBidi" w:cstheme="majorBidi"/>
          <w:sz w:val="24"/>
          <w:szCs w:val="24"/>
        </w:rPr>
        <w:t>i</w:t>
      </w:r>
      <w:r w:rsidRPr="00BF4413">
        <w:rPr>
          <w:rFonts w:asciiTheme="majorBidi" w:hAnsiTheme="majorBidi" w:cstheme="majorBidi"/>
          <w:sz w:val="24"/>
          <w:szCs w:val="24"/>
        </w:rPr>
        <w:t>s a significant factor contributing to VC activity variations. In subsequent work</w:t>
      </w:r>
      <w:r w:rsidR="00A22D9F">
        <w:rPr>
          <w:rFonts w:asciiTheme="majorBidi" w:hAnsiTheme="majorBidi" w:cstheme="majorBidi"/>
          <w:sz w:val="24"/>
          <w:szCs w:val="24"/>
        </w:rPr>
        <w:t xml:space="preserve"> </w:t>
      </w:r>
      <w:r w:rsidR="00A22D9F" w:rsidRPr="00BF4413">
        <w:rPr>
          <w:rFonts w:asciiTheme="majorBidi" w:hAnsiTheme="majorBidi" w:cstheme="majorBidi"/>
          <w:sz w:val="24"/>
          <w:szCs w:val="24"/>
        </w:rPr>
        <w:t>(Henrekson &amp; Sanandaji 2018b</w:t>
      </w:r>
      <w:r w:rsidR="00A22D9F">
        <w:rPr>
          <w:rFonts w:asciiTheme="majorBidi" w:hAnsiTheme="majorBidi" w:cstheme="majorBidi"/>
          <w:sz w:val="24"/>
          <w:szCs w:val="24"/>
        </w:rPr>
        <w:t>)</w:t>
      </w:r>
      <w:r w:rsidRPr="00BF4413">
        <w:rPr>
          <w:rFonts w:asciiTheme="majorBidi" w:hAnsiTheme="majorBidi" w:cstheme="majorBidi"/>
          <w:sz w:val="24"/>
          <w:szCs w:val="24"/>
        </w:rPr>
        <w:t>, they explore Europe</w:t>
      </w:r>
      <w:r w:rsidR="00A8583B">
        <w:rPr>
          <w:rFonts w:asciiTheme="majorBidi" w:hAnsiTheme="majorBidi" w:cstheme="majorBidi"/>
          <w:sz w:val="24"/>
          <w:szCs w:val="24"/>
        </w:rPr>
        <w:t>’</w:t>
      </w:r>
      <w:r w:rsidRPr="00BF4413">
        <w:rPr>
          <w:rFonts w:asciiTheme="majorBidi" w:hAnsiTheme="majorBidi" w:cstheme="majorBidi"/>
          <w:sz w:val="24"/>
          <w:szCs w:val="24"/>
        </w:rPr>
        <w:t>s lag in VC activity and startup success despite its robust financial and legal infrastructure. They identify the tax treatment of employee stock options as a potential explanation for the stronger growth of the VC sector</w:t>
      </w:r>
      <w:r w:rsidR="00101AA5">
        <w:rPr>
          <w:rFonts w:asciiTheme="majorBidi" w:hAnsiTheme="majorBidi" w:cstheme="majorBidi"/>
          <w:sz w:val="24"/>
          <w:szCs w:val="24"/>
        </w:rPr>
        <w:t xml:space="preserve"> in the US</w:t>
      </w:r>
      <w:r w:rsidRPr="00BF4413">
        <w:rPr>
          <w:rFonts w:asciiTheme="majorBidi" w:hAnsiTheme="majorBidi" w:cstheme="majorBidi"/>
          <w:sz w:val="24"/>
          <w:szCs w:val="24"/>
        </w:rPr>
        <w:t xml:space="preserve">, </w:t>
      </w:r>
      <w:r w:rsidR="00B4276F" w:rsidRPr="00BF4413">
        <w:rPr>
          <w:rFonts w:asciiTheme="majorBidi" w:hAnsiTheme="majorBidi" w:cstheme="majorBidi"/>
          <w:sz w:val="24"/>
          <w:szCs w:val="24"/>
        </w:rPr>
        <w:t>suggesting that Europe may enhance its entrepreneurial ecosystems by taxing employee stock options more leniently</w:t>
      </w:r>
      <w:r w:rsidRPr="00BF4413">
        <w:rPr>
          <w:rFonts w:asciiTheme="majorBidi" w:hAnsiTheme="majorBidi" w:cstheme="majorBidi"/>
          <w:sz w:val="24"/>
          <w:szCs w:val="24"/>
        </w:rPr>
        <w:t>.</w:t>
      </w:r>
      <w:r w:rsidR="001146E1" w:rsidRPr="00BF4413">
        <w:rPr>
          <w:rFonts w:asciiTheme="majorBidi" w:hAnsiTheme="majorBidi" w:cstheme="majorBidi"/>
          <w:sz w:val="24"/>
          <w:szCs w:val="24"/>
        </w:rPr>
        <w:t xml:space="preserve"> </w:t>
      </w:r>
      <w:r w:rsidR="00B4276F" w:rsidRPr="00BF4413">
        <w:rPr>
          <w:rFonts w:asciiTheme="majorBidi" w:hAnsiTheme="majorBidi" w:cstheme="majorBidi"/>
          <w:sz w:val="24"/>
          <w:szCs w:val="24"/>
        </w:rPr>
        <w:t>Jointly</w:t>
      </w:r>
      <w:r w:rsidRPr="00BF4413">
        <w:rPr>
          <w:rFonts w:asciiTheme="majorBidi" w:hAnsiTheme="majorBidi" w:cstheme="majorBidi"/>
          <w:sz w:val="24"/>
          <w:szCs w:val="24"/>
        </w:rPr>
        <w:t>, these studies underscore the</w:t>
      </w:r>
      <w:r w:rsidR="009520DA">
        <w:rPr>
          <w:rFonts w:asciiTheme="majorBidi" w:hAnsiTheme="majorBidi" w:cstheme="majorBidi"/>
          <w:sz w:val="24"/>
          <w:szCs w:val="24"/>
        </w:rPr>
        <w:t xml:space="preserve"> potential</w:t>
      </w:r>
      <w:r w:rsidRPr="00BF4413">
        <w:rPr>
          <w:rFonts w:asciiTheme="majorBidi" w:hAnsiTheme="majorBidi" w:cstheme="majorBidi"/>
          <w:sz w:val="24"/>
          <w:szCs w:val="24"/>
        </w:rPr>
        <w:t xml:space="preserve"> </w:t>
      </w:r>
      <w:r w:rsidR="009E58D3" w:rsidRPr="00BF4413">
        <w:rPr>
          <w:rFonts w:asciiTheme="majorBidi" w:hAnsiTheme="majorBidi" w:cstheme="majorBidi"/>
          <w:sz w:val="24"/>
          <w:szCs w:val="24"/>
        </w:rPr>
        <w:t>impact of tax policies regarding employee stock options on venture capital</w:t>
      </w:r>
      <w:r w:rsidRPr="00BF4413">
        <w:rPr>
          <w:rFonts w:asciiTheme="majorBidi" w:hAnsiTheme="majorBidi" w:cstheme="majorBidi"/>
          <w:sz w:val="24"/>
          <w:szCs w:val="24"/>
        </w:rPr>
        <w:t xml:space="preserve"> </w:t>
      </w:r>
      <w:r w:rsidR="009520DA">
        <w:rPr>
          <w:rFonts w:asciiTheme="majorBidi" w:hAnsiTheme="majorBidi" w:cstheme="majorBidi"/>
          <w:sz w:val="24"/>
          <w:szCs w:val="24"/>
        </w:rPr>
        <w:t xml:space="preserve">activity </w:t>
      </w:r>
      <w:r w:rsidRPr="00BF4413">
        <w:rPr>
          <w:rFonts w:asciiTheme="majorBidi" w:hAnsiTheme="majorBidi" w:cstheme="majorBidi"/>
          <w:sz w:val="24"/>
          <w:szCs w:val="24"/>
        </w:rPr>
        <w:t xml:space="preserve">across countries. </w:t>
      </w:r>
    </w:p>
    <w:p w14:paraId="24B6A166" w14:textId="265E9AB1" w:rsidR="00B5068D" w:rsidRPr="00101AA5" w:rsidRDefault="00101AA5" w:rsidP="00101AA5">
      <w:pPr>
        <w:spacing w:line="360" w:lineRule="auto"/>
        <w:ind w:firstLine="720"/>
        <w:jc w:val="both"/>
        <w:rPr>
          <w:rFonts w:asciiTheme="majorBidi" w:hAnsiTheme="majorBidi" w:cstheme="majorBidi"/>
          <w:sz w:val="24"/>
          <w:szCs w:val="24"/>
        </w:rPr>
      </w:pPr>
      <w:r w:rsidRPr="00101AA5">
        <w:rPr>
          <w:rFonts w:asciiTheme="majorBidi" w:hAnsiTheme="majorBidi" w:cstheme="majorBidi"/>
          <w:sz w:val="24"/>
          <w:szCs w:val="24"/>
        </w:rPr>
        <w:t xml:space="preserve">Our study draws parallels with the work of Henrekson and Sanandaji, delving deeper into the potential mechanisms that might underlie the relationship between VC activity and </w:t>
      </w:r>
      <w:r w:rsidR="00512E02">
        <w:rPr>
          <w:rFonts w:asciiTheme="majorBidi" w:hAnsiTheme="majorBidi" w:cstheme="majorBidi"/>
          <w:sz w:val="24"/>
          <w:szCs w:val="24"/>
        </w:rPr>
        <w:t xml:space="preserve">the legal treatment of </w:t>
      </w:r>
      <w:r w:rsidRPr="00101AA5">
        <w:rPr>
          <w:rFonts w:asciiTheme="majorBidi" w:hAnsiTheme="majorBidi" w:cstheme="majorBidi"/>
          <w:sz w:val="24"/>
          <w:szCs w:val="24"/>
        </w:rPr>
        <w:t>employee stock option</w:t>
      </w:r>
      <w:r w:rsidR="00512E02">
        <w:rPr>
          <w:rFonts w:asciiTheme="majorBidi" w:hAnsiTheme="majorBidi" w:cstheme="majorBidi"/>
          <w:sz w:val="24"/>
          <w:szCs w:val="24"/>
        </w:rPr>
        <w:t>s</w:t>
      </w:r>
      <w:r w:rsidRPr="00101AA5">
        <w:rPr>
          <w:rFonts w:asciiTheme="majorBidi" w:hAnsiTheme="majorBidi" w:cstheme="majorBidi"/>
          <w:sz w:val="24"/>
          <w:szCs w:val="24"/>
        </w:rPr>
        <w:t xml:space="preserve">. While we provide some evidence suggesting that the legal treatment of employee stock options can influence the propensity of early-stage startups to grant </w:t>
      </w:r>
      <w:r w:rsidR="009520DA">
        <w:rPr>
          <w:rFonts w:asciiTheme="majorBidi" w:hAnsiTheme="majorBidi" w:cstheme="majorBidi"/>
          <w:sz w:val="24"/>
          <w:szCs w:val="24"/>
        </w:rPr>
        <w:t>equity</w:t>
      </w:r>
      <w:r w:rsidRPr="00101AA5">
        <w:rPr>
          <w:rFonts w:asciiTheme="majorBidi" w:hAnsiTheme="majorBidi" w:cstheme="majorBidi"/>
          <w:sz w:val="24"/>
          <w:szCs w:val="24"/>
        </w:rPr>
        <w:t xml:space="preserve"> to their </w:t>
      </w:r>
      <w:r w:rsidR="009520DA">
        <w:rPr>
          <w:rFonts w:asciiTheme="majorBidi" w:hAnsiTheme="majorBidi" w:cstheme="majorBidi"/>
          <w:sz w:val="24"/>
          <w:szCs w:val="24"/>
        </w:rPr>
        <w:t>early</w:t>
      </w:r>
      <w:r w:rsidRPr="00101AA5">
        <w:rPr>
          <w:rFonts w:asciiTheme="majorBidi" w:hAnsiTheme="majorBidi" w:cstheme="majorBidi"/>
          <w:sz w:val="24"/>
          <w:szCs w:val="24"/>
        </w:rPr>
        <w:t xml:space="preserve"> employees, our findings also indicate that tax rates might not be the predominant factor</w:t>
      </w:r>
      <w:r w:rsidR="00F96D86" w:rsidRPr="00BF4413">
        <w:rPr>
          <w:rFonts w:asciiTheme="majorBidi" w:hAnsiTheme="majorBidi" w:cstheme="majorBidi"/>
          <w:sz w:val="24"/>
          <w:szCs w:val="24"/>
        </w:rPr>
        <w:t>.</w:t>
      </w:r>
      <w:r>
        <w:rPr>
          <w:rFonts w:asciiTheme="majorBidi" w:hAnsiTheme="majorBidi" w:cstheme="majorBidi" w:hint="cs"/>
          <w:sz w:val="24"/>
          <w:szCs w:val="24"/>
          <w:rtl/>
        </w:rPr>
        <w:t xml:space="preserve"> </w:t>
      </w:r>
      <w:r w:rsidR="00B35252" w:rsidRPr="00B35252">
        <w:rPr>
          <w:rFonts w:asciiTheme="majorBidi" w:hAnsiTheme="majorBidi" w:cstheme="majorBidi"/>
          <w:sz w:val="24"/>
          <w:szCs w:val="24"/>
        </w:rPr>
        <w:t>Our findings highlight the importance of other factors beyond legal policies, specifically the value of experience and the significance of seeking expert advice, in addition to the ease of setting stock options’ strike prices</w:t>
      </w:r>
      <w:r w:rsidR="007276AC" w:rsidRPr="00101AA5">
        <w:rPr>
          <w:rFonts w:asciiTheme="majorBidi" w:hAnsiTheme="majorBidi" w:cstheme="majorBidi"/>
          <w:sz w:val="24"/>
          <w:szCs w:val="24"/>
        </w:rPr>
        <w:t>.</w:t>
      </w:r>
    </w:p>
    <w:p w14:paraId="36C79FBE" w14:textId="0D5A9C9A" w:rsidR="00B35D7B" w:rsidRPr="00BF4413" w:rsidRDefault="009D065A" w:rsidP="00B5068D">
      <w:pPr>
        <w:pStyle w:val="Style1"/>
      </w:pPr>
      <w:r w:rsidRPr="00BF4413">
        <w:t xml:space="preserve">III. </w:t>
      </w:r>
      <w:r w:rsidR="00A2785A" w:rsidRPr="00BF4413">
        <w:t>Resea</w:t>
      </w:r>
      <w:r w:rsidR="006D1086" w:rsidRPr="00BF4413">
        <w:t>r</w:t>
      </w:r>
      <w:r w:rsidR="00A2785A" w:rsidRPr="00BF4413">
        <w:t>ch Design</w:t>
      </w:r>
    </w:p>
    <w:p w14:paraId="2347FBF0" w14:textId="2CCB6172" w:rsidR="00B35D7B" w:rsidRDefault="00C363FE"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We </w:t>
      </w:r>
      <w:r w:rsidR="0025657C">
        <w:rPr>
          <w:rFonts w:asciiTheme="majorBidi" w:hAnsiTheme="majorBidi" w:cstheme="majorBidi"/>
          <w:sz w:val="24"/>
          <w:szCs w:val="24"/>
        </w:rPr>
        <w:t xml:space="preserve">first </w:t>
      </w:r>
      <w:r w:rsidRPr="00BF4413">
        <w:rPr>
          <w:rFonts w:asciiTheme="majorBidi" w:hAnsiTheme="majorBidi" w:cstheme="majorBidi"/>
          <w:sz w:val="24"/>
          <w:szCs w:val="24"/>
        </w:rPr>
        <w:t xml:space="preserve">employ a correlational research </w:t>
      </w:r>
      <w:r w:rsidR="00101AA5" w:rsidRPr="00101AA5">
        <w:rPr>
          <w:rFonts w:asciiTheme="majorBidi" w:hAnsiTheme="majorBidi" w:cstheme="majorBidi"/>
          <w:sz w:val="24"/>
          <w:szCs w:val="24"/>
        </w:rPr>
        <w:t>design that draws from two primary data sources, aiming to discern the ties between startups</w:t>
      </w:r>
      <w:r w:rsidR="00A8583B">
        <w:rPr>
          <w:rFonts w:asciiTheme="majorBidi" w:hAnsiTheme="majorBidi" w:cstheme="majorBidi"/>
          <w:sz w:val="24"/>
          <w:szCs w:val="24"/>
        </w:rPr>
        <w:t>’</w:t>
      </w:r>
      <w:r w:rsidR="00101AA5" w:rsidRPr="00101AA5">
        <w:rPr>
          <w:rFonts w:asciiTheme="majorBidi" w:hAnsiTheme="majorBidi" w:cstheme="majorBidi"/>
          <w:sz w:val="24"/>
          <w:szCs w:val="24"/>
        </w:rPr>
        <w:t xml:space="preserve"> inclination to offer equity awards to employees and the prevailing legal landscapes of various countries</w:t>
      </w:r>
      <w:r w:rsidR="00B35D7B" w:rsidRPr="00BF4413">
        <w:rPr>
          <w:rFonts w:asciiTheme="majorBidi" w:hAnsiTheme="majorBidi" w:cstheme="majorBidi"/>
          <w:sz w:val="24"/>
          <w:szCs w:val="24"/>
        </w:rPr>
        <w:t xml:space="preserve">. </w:t>
      </w:r>
    </w:p>
    <w:p w14:paraId="05A813A8" w14:textId="77777777" w:rsidR="00701199" w:rsidRDefault="00701199" w:rsidP="005B5936">
      <w:pPr>
        <w:spacing w:line="360" w:lineRule="auto"/>
        <w:ind w:firstLine="720"/>
        <w:jc w:val="both"/>
        <w:rPr>
          <w:rFonts w:asciiTheme="majorBidi" w:hAnsiTheme="majorBidi" w:cstheme="majorBidi"/>
          <w:sz w:val="24"/>
          <w:szCs w:val="24"/>
        </w:rPr>
      </w:pPr>
    </w:p>
    <w:p w14:paraId="494C0172" w14:textId="68B7712D" w:rsidR="006F000B" w:rsidRPr="006F000B" w:rsidRDefault="006F000B" w:rsidP="006F000B">
      <w:pPr>
        <w:pStyle w:val="ListParagraph"/>
        <w:numPr>
          <w:ilvl w:val="0"/>
          <w:numId w:val="5"/>
        </w:numPr>
        <w:spacing w:line="360" w:lineRule="auto"/>
        <w:jc w:val="both"/>
        <w:rPr>
          <w:rFonts w:asciiTheme="majorBidi" w:hAnsiTheme="majorBidi" w:cstheme="majorBidi"/>
          <w:sz w:val="24"/>
          <w:szCs w:val="24"/>
          <w:u w:val="single"/>
        </w:rPr>
      </w:pPr>
      <w:r w:rsidRPr="006F000B">
        <w:rPr>
          <w:rFonts w:asciiTheme="majorBidi" w:hAnsiTheme="majorBidi" w:cstheme="majorBidi"/>
          <w:sz w:val="24"/>
          <w:szCs w:val="24"/>
          <w:u w:val="single"/>
        </w:rPr>
        <w:t xml:space="preserve">The Index Ventures </w:t>
      </w:r>
      <w:r w:rsidR="00512E02">
        <w:rPr>
          <w:rFonts w:asciiTheme="majorBidi" w:hAnsiTheme="majorBidi" w:cstheme="majorBidi"/>
          <w:sz w:val="24"/>
          <w:szCs w:val="24"/>
          <w:u w:val="single"/>
        </w:rPr>
        <w:t>S</w:t>
      </w:r>
      <w:r w:rsidRPr="006F000B">
        <w:rPr>
          <w:rFonts w:asciiTheme="majorBidi" w:hAnsiTheme="majorBidi" w:cstheme="majorBidi"/>
          <w:sz w:val="24"/>
          <w:szCs w:val="24"/>
          <w:u w:val="single"/>
        </w:rPr>
        <w:t>cale: Assessing Stock Option Friendliness</w:t>
      </w:r>
    </w:p>
    <w:p w14:paraId="6EEF744F" w14:textId="0AF426FD" w:rsidR="000A4D1D" w:rsidRPr="00BF4413" w:rsidRDefault="00315F59"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Our </w:t>
      </w:r>
      <w:r w:rsidR="00D97A9D" w:rsidRPr="00BF4413">
        <w:rPr>
          <w:rFonts w:asciiTheme="majorBidi" w:hAnsiTheme="majorBidi" w:cstheme="majorBidi"/>
          <w:sz w:val="24"/>
          <w:szCs w:val="24"/>
        </w:rPr>
        <w:t xml:space="preserve">first data source </w:t>
      </w:r>
      <w:r w:rsidR="00512E02">
        <w:rPr>
          <w:rFonts w:asciiTheme="majorBidi" w:hAnsiTheme="majorBidi" w:cstheme="majorBidi"/>
          <w:sz w:val="24"/>
          <w:szCs w:val="24"/>
        </w:rPr>
        <w:t>was created by</w:t>
      </w:r>
      <w:r w:rsidR="00D97A9D" w:rsidRPr="00BF4413">
        <w:rPr>
          <w:rFonts w:asciiTheme="majorBidi" w:hAnsiTheme="majorBidi" w:cstheme="majorBidi"/>
          <w:sz w:val="24"/>
          <w:szCs w:val="24"/>
        </w:rPr>
        <w:t xml:space="preserve"> Index Ventures, an EU-based venture capital firm. </w:t>
      </w:r>
      <w:r w:rsidR="00512E02" w:rsidRPr="00512E02">
        <w:rPr>
          <w:rFonts w:asciiTheme="majorBidi" w:hAnsiTheme="majorBidi" w:cstheme="majorBidi"/>
          <w:sz w:val="24"/>
          <w:szCs w:val="24"/>
        </w:rPr>
        <w:t xml:space="preserve">Index Ventures has created a </w:t>
      </w:r>
      <w:r w:rsidR="00A8583B">
        <w:rPr>
          <w:rFonts w:asciiTheme="majorBidi" w:hAnsiTheme="majorBidi" w:cstheme="majorBidi"/>
          <w:sz w:val="24"/>
          <w:szCs w:val="24"/>
        </w:rPr>
        <w:t>“</w:t>
      </w:r>
      <w:r w:rsidR="00512E02" w:rsidRPr="00512E02">
        <w:rPr>
          <w:rFonts w:asciiTheme="majorBidi" w:hAnsiTheme="majorBidi" w:cstheme="majorBidi"/>
          <w:sz w:val="24"/>
          <w:szCs w:val="24"/>
        </w:rPr>
        <w:t>scale of stock option friendliness</w:t>
      </w:r>
      <w:r w:rsidR="00A8583B">
        <w:rPr>
          <w:rFonts w:asciiTheme="majorBidi" w:hAnsiTheme="majorBidi" w:cstheme="majorBidi"/>
          <w:sz w:val="24"/>
          <w:szCs w:val="24"/>
        </w:rPr>
        <w:t>”</w:t>
      </w:r>
      <w:r w:rsidR="00512E02" w:rsidRPr="00512E02">
        <w:rPr>
          <w:rFonts w:asciiTheme="majorBidi" w:hAnsiTheme="majorBidi" w:cstheme="majorBidi"/>
          <w:sz w:val="24"/>
          <w:szCs w:val="24"/>
        </w:rPr>
        <w:t xml:space="preserve"> to assess how various legal systems support startups in providing equity-based compensation</w:t>
      </w:r>
      <w:r w:rsidR="00512E02">
        <w:rPr>
          <w:rFonts w:asciiTheme="majorBidi" w:hAnsiTheme="majorBidi" w:cstheme="majorBidi"/>
          <w:sz w:val="24"/>
          <w:szCs w:val="24"/>
        </w:rPr>
        <w:t xml:space="preserve"> to their employees</w:t>
      </w:r>
      <w:r w:rsidR="00B35D7B" w:rsidRPr="00BF4413">
        <w:rPr>
          <w:rFonts w:asciiTheme="majorBidi" w:hAnsiTheme="majorBidi" w:cstheme="majorBidi"/>
          <w:sz w:val="24"/>
          <w:szCs w:val="24"/>
        </w:rPr>
        <w:t xml:space="preserve">. </w:t>
      </w:r>
      <w:r w:rsidR="000A4D1D" w:rsidRPr="00BF4413">
        <w:rPr>
          <w:rFonts w:asciiTheme="majorBidi" w:hAnsiTheme="majorBidi" w:cstheme="majorBidi"/>
          <w:sz w:val="24"/>
          <w:szCs w:val="24"/>
        </w:rPr>
        <w:t xml:space="preserve">Six contributing factors </w:t>
      </w:r>
      <w:r w:rsidR="001B2CF4" w:rsidRPr="00BF4413">
        <w:rPr>
          <w:rFonts w:asciiTheme="majorBidi" w:hAnsiTheme="majorBidi" w:cstheme="majorBidi"/>
          <w:sz w:val="24"/>
          <w:szCs w:val="24"/>
        </w:rPr>
        <w:t>are included in the index</w:t>
      </w:r>
      <w:r w:rsidR="000A4D1D" w:rsidRPr="00BF4413">
        <w:rPr>
          <w:rFonts w:asciiTheme="majorBidi" w:hAnsiTheme="majorBidi" w:cstheme="majorBidi"/>
          <w:sz w:val="24"/>
          <w:szCs w:val="24"/>
        </w:rPr>
        <w:t xml:space="preserve">, with each scored on a </w:t>
      </w:r>
      <w:r w:rsidR="00233D82">
        <w:rPr>
          <w:rFonts w:asciiTheme="majorBidi" w:hAnsiTheme="majorBidi" w:cstheme="majorBidi"/>
          <w:sz w:val="24"/>
          <w:szCs w:val="24"/>
        </w:rPr>
        <w:t>5</w:t>
      </w:r>
      <w:r w:rsidR="000A4D1D" w:rsidRPr="00BF4413">
        <w:rPr>
          <w:rFonts w:asciiTheme="majorBidi" w:hAnsiTheme="majorBidi" w:cstheme="majorBidi"/>
          <w:sz w:val="24"/>
          <w:szCs w:val="24"/>
        </w:rPr>
        <w:t>-point scale where 5 signifies the most favorable conditions.</w:t>
      </w:r>
    </w:p>
    <w:p w14:paraId="734DFD12" w14:textId="77777777" w:rsidR="000A4D1D" w:rsidRPr="00BF4413" w:rsidRDefault="000A4D1D" w:rsidP="005B5936">
      <w:pPr>
        <w:pStyle w:val="ListParagraph"/>
        <w:numPr>
          <w:ilvl w:val="0"/>
          <w:numId w:val="3"/>
        </w:numPr>
        <w:spacing w:line="360" w:lineRule="auto"/>
        <w:jc w:val="both"/>
        <w:rPr>
          <w:rFonts w:asciiTheme="majorBidi" w:hAnsiTheme="majorBidi" w:cstheme="majorBidi"/>
          <w:sz w:val="24"/>
          <w:szCs w:val="24"/>
        </w:rPr>
      </w:pPr>
      <w:r w:rsidRPr="00BF4413">
        <w:rPr>
          <w:rFonts w:asciiTheme="majorBidi" w:hAnsiTheme="majorBidi" w:cstheme="majorBidi"/>
          <w:b/>
          <w:bCs/>
          <w:sz w:val="24"/>
          <w:szCs w:val="24"/>
        </w:rPr>
        <w:t>Plan Scope</w:t>
      </w:r>
      <w:r w:rsidRPr="00BF4413">
        <w:rPr>
          <w:rFonts w:asciiTheme="majorBidi" w:hAnsiTheme="majorBidi" w:cstheme="majorBidi"/>
          <w:sz w:val="24"/>
          <w:szCs w:val="24"/>
        </w:rPr>
        <w:t>: Do all employees and types of companies have access to favorable stock option treatments?</w:t>
      </w:r>
    </w:p>
    <w:p w14:paraId="11F29DD8" w14:textId="558B0AFE" w:rsidR="000A4D1D" w:rsidRPr="00BF4413" w:rsidRDefault="000A4D1D" w:rsidP="005B5936">
      <w:pPr>
        <w:pStyle w:val="ListParagraph"/>
        <w:numPr>
          <w:ilvl w:val="0"/>
          <w:numId w:val="3"/>
        </w:numPr>
        <w:spacing w:line="360" w:lineRule="auto"/>
        <w:jc w:val="both"/>
        <w:rPr>
          <w:rFonts w:asciiTheme="majorBidi" w:hAnsiTheme="majorBidi" w:cstheme="majorBidi"/>
          <w:sz w:val="24"/>
          <w:szCs w:val="24"/>
        </w:rPr>
      </w:pPr>
      <w:r w:rsidRPr="00BF4413">
        <w:rPr>
          <w:rFonts w:asciiTheme="majorBidi" w:hAnsiTheme="majorBidi" w:cstheme="majorBidi"/>
          <w:b/>
          <w:bCs/>
          <w:sz w:val="24"/>
          <w:szCs w:val="24"/>
        </w:rPr>
        <w:t>Strike Price</w:t>
      </w:r>
      <w:r w:rsidRPr="00BF4413">
        <w:rPr>
          <w:rFonts w:asciiTheme="majorBidi" w:hAnsiTheme="majorBidi" w:cstheme="majorBidi"/>
          <w:sz w:val="24"/>
          <w:szCs w:val="24"/>
        </w:rPr>
        <w:t xml:space="preserve">: </w:t>
      </w:r>
      <w:r w:rsidR="00A2084C" w:rsidRPr="00BF4413">
        <w:rPr>
          <w:rFonts w:asciiTheme="majorBidi" w:hAnsiTheme="majorBidi" w:cstheme="majorBidi"/>
          <w:sz w:val="24"/>
          <w:szCs w:val="24"/>
        </w:rPr>
        <w:t xml:space="preserve">Is it possible to grant options at an exercise price lower than the most recent </w:t>
      </w:r>
      <w:r w:rsidR="00512E02">
        <w:rPr>
          <w:rFonts w:asciiTheme="majorBidi" w:hAnsiTheme="majorBidi" w:cstheme="majorBidi"/>
          <w:sz w:val="24"/>
          <w:szCs w:val="24"/>
        </w:rPr>
        <w:t>price per share</w:t>
      </w:r>
      <w:r w:rsidR="00A2084C" w:rsidRPr="00BF4413">
        <w:rPr>
          <w:rFonts w:asciiTheme="majorBidi" w:hAnsiTheme="majorBidi" w:cstheme="majorBidi"/>
          <w:sz w:val="24"/>
          <w:szCs w:val="24"/>
        </w:rPr>
        <w:t xml:space="preserve"> </w:t>
      </w:r>
      <w:r w:rsidR="00512E02">
        <w:rPr>
          <w:rFonts w:asciiTheme="majorBidi" w:hAnsiTheme="majorBidi" w:cstheme="majorBidi"/>
          <w:sz w:val="24"/>
          <w:szCs w:val="24"/>
        </w:rPr>
        <w:t xml:space="preserve">(paid by investors) </w:t>
      </w:r>
      <w:r w:rsidR="00A2084C" w:rsidRPr="00BF4413">
        <w:rPr>
          <w:rFonts w:asciiTheme="majorBidi" w:hAnsiTheme="majorBidi" w:cstheme="majorBidi"/>
          <w:sz w:val="24"/>
          <w:szCs w:val="24"/>
        </w:rPr>
        <w:t xml:space="preserve">without negative tax implications? </w:t>
      </w:r>
      <w:r w:rsidR="00233D82">
        <w:rPr>
          <w:rFonts w:asciiTheme="majorBidi" w:hAnsiTheme="majorBidi" w:cstheme="majorBidi"/>
          <w:sz w:val="24"/>
          <w:szCs w:val="24"/>
        </w:rPr>
        <w:t xml:space="preserve">Favorable policies </w:t>
      </w:r>
      <w:r w:rsidR="003A754F" w:rsidRPr="00BF4413">
        <w:rPr>
          <w:rFonts w:asciiTheme="majorBidi" w:hAnsiTheme="majorBidi" w:cstheme="majorBidi"/>
          <w:sz w:val="24"/>
          <w:szCs w:val="24"/>
        </w:rPr>
        <w:t xml:space="preserve">take into account the illiquidity, high risk, and lack of preferential rights of </w:t>
      </w:r>
      <w:r w:rsidR="00512E02" w:rsidRPr="00BF4413">
        <w:rPr>
          <w:rFonts w:asciiTheme="majorBidi" w:hAnsiTheme="majorBidi" w:cstheme="majorBidi"/>
          <w:sz w:val="24"/>
          <w:szCs w:val="24"/>
        </w:rPr>
        <w:t>employees</w:t>
      </w:r>
      <w:r w:rsidR="00512E02">
        <w:rPr>
          <w:rFonts w:asciiTheme="majorBidi" w:hAnsiTheme="majorBidi" w:cstheme="majorBidi"/>
          <w:sz w:val="24"/>
          <w:szCs w:val="24"/>
        </w:rPr>
        <w:t xml:space="preserve">’ </w:t>
      </w:r>
      <w:r w:rsidR="00512E02" w:rsidRPr="00BF4413">
        <w:rPr>
          <w:rFonts w:asciiTheme="majorBidi" w:hAnsiTheme="majorBidi" w:cstheme="majorBidi"/>
          <w:sz w:val="24"/>
          <w:szCs w:val="24"/>
        </w:rPr>
        <w:t>common</w:t>
      </w:r>
      <w:r w:rsidR="00C9392F" w:rsidRPr="00BF4413">
        <w:rPr>
          <w:rFonts w:asciiTheme="majorBidi" w:hAnsiTheme="majorBidi" w:cstheme="majorBidi"/>
          <w:sz w:val="24"/>
          <w:szCs w:val="24"/>
        </w:rPr>
        <w:t xml:space="preserve"> stock</w:t>
      </w:r>
      <w:r w:rsidR="003A754F" w:rsidRPr="00BF4413">
        <w:rPr>
          <w:rFonts w:asciiTheme="majorBidi" w:hAnsiTheme="majorBidi" w:cstheme="majorBidi"/>
          <w:sz w:val="24"/>
          <w:szCs w:val="24"/>
        </w:rPr>
        <w:t xml:space="preserve">, </w:t>
      </w:r>
      <w:r w:rsidR="00233D82">
        <w:rPr>
          <w:rFonts w:asciiTheme="majorBidi" w:hAnsiTheme="majorBidi" w:cstheme="majorBidi"/>
          <w:sz w:val="24"/>
          <w:szCs w:val="24"/>
        </w:rPr>
        <w:t>thus</w:t>
      </w:r>
      <w:r w:rsidR="003A754F" w:rsidRPr="00BF4413">
        <w:rPr>
          <w:rFonts w:asciiTheme="majorBidi" w:hAnsiTheme="majorBidi" w:cstheme="majorBidi"/>
          <w:sz w:val="24"/>
          <w:szCs w:val="24"/>
        </w:rPr>
        <w:t xml:space="preserve"> </w:t>
      </w:r>
      <w:r w:rsidR="00233D82" w:rsidRPr="00BF4413">
        <w:rPr>
          <w:rFonts w:asciiTheme="majorBidi" w:hAnsiTheme="majorBidi" w:cstheme="majorBidi"/>
          <w:sz w:val="24"/>
          <w:szCs w:val="24"/>
        </w:rPr>
        <w:t>allowing</w:t>
      </w:r>
      <w:r w:rsidR="00233D82">
        <w:rPr>
          <w:rFonts w:asciiTheme="majorBidi" w:hAnsiTheme="majorBidi" w:cstheme="majorBidi"/>
          <w:sz w:val="24"/>
          <w:szCs w:val="24"/>
        </w:rPr>
        <w:t xml:space="preserve"> employee</w:t>
      </w:r>
      <w:r w:rsidR="00C9392F" w:rsidRPr="00BF4413">
        <w:rPr>
          <w:rFonts w:asciiTheme="majorBidi" w:hAnsiTheme="majorBidi" w:cstheme="majorBidi"/>
          <w:sz w:val="24"/>
          <w:szCs w:val="24"/>
        </w:rPr>
        <w:t xml:space="preserve"> </w:t>
      </w:r>
      <w:r w:rsidR="00512E02">
        <w:rPr>
          <w:rFonts w:asciiTheme="majorBidi" w:hAnsiTheme="majorBidi" w:cstheme="majorBidi"/>
          <w:sz w:val="24"/>
          <w:szCs w:val="24"/>
        </w:rPr>
        <w:t>options</w:t>
      </w:r>
      <w:r w:rsidR="00C9392F" w:rsidRPr="00BF4413">
        <w:rPr>
          <w:rFonts w:asciiTheme="majorBidi" w:hAnsiTheme="majorBidi" w:cstheme="majorBidi"/>
          <w:sz w:val="24"/>
          <w:szCs w:val="24"/>
        </w:rPr>
        <w:t xml:space="preserve"> to be valued differently from investors</w:t>
      </w:r>
      <w:r w:rsidR="00A8583B">
        <w:rPr>
          <w:rFonts w:asciiTheme="majorBidi" w:hAnsiTheme="majorBidi" w:cstheme="majorBidi"/>
          <w:sz w:val="24"/>
          <w:szCs w:val="24"/>
        </w:rPr>
        <w:t>’</w:t>
      </w:r>
      <w:r w:rsidR="002900C8" w:rsidRPr="00BF4413">
        <w:rPr>
          <w:rFonts w:asciiTheme="majorBidi" w:hAnsiTheme="majorBidi" w:cstheme="majorBidi"/>
          <w:sz w:val="24"/>
          <w:szCs w:val="24"/>
        </w:rPr>
        <w:t xml:space="preserve"> stock</w:t>
      </w:r>
      <w:r w:rsidR="00C9392F" w:rsidRPr="00BF4413">
        <w:rPr>
          <w:rFonts w:asciiTheme="majorBidi" w:hAnsiTheme="majorBidi" w:cstheme="majorBidi"/>
          <w:sz w:val="24"/>
          <w:szCs w:val="24"/>
        </w:rPr>
        <w:t>.</w:t>
      </w:r>
    </w:p>
    <w:p w14:paraId="239E1627" w14:textId="7D78190A" w:rsidR="000A4D1D" w:rsidRPr="00BF4413" w:rsidRDefault="000A4D1D" w:rsidP="005B5936">
      <w:pPr>
        <w:pStyle w:val="ListParagraph"/>
        <w:numPr>
          <w:ilvl w:val="0"/>
          <w:numId w:val="3"/>
        </w:numPr>
        <w:spacing w:line="360" w:lineRule="auto"/>
        <w:jc w:val="both"/>
        <w:rPr>
          <w:rFonts w:asciiTheme="majorBidi" w:hAnsiTheme="majorBidi" w:cstheme="majorBidi"/>
          <w:sz w:val="24"/>
          <w:szCs w:val="24"/>
        </w:rPr>
      </w:pPr>
      <w:r w:rsidRPr="00BF4413">
        <w:rPr>
          <w:rFonts w:asciiTheme="majorBidi" w:hAnsiTheme="majorBidi" w:cstheme="majorBidi"/>
          <w:b/>
          <w:bCs/>
          <w:sz w:val="24"/>
          <w:szCs w:val="24"/>
        </w:rPr>
        <w:t xml:space="preserve">Minority Shareholders </w:t>
      </w:r>
      <w:r w:rsidR="005D6944" w:rsidRPr="00BF4413">
        <w:rPr>
          <w:rFonts w:asciiTheme="majorBidi" w:hAnsiTheme="majorBidi" w:cstheme="majorBidi"/>
          <w:b/>
          <w:bCs/>
          <w:sz w:val="24"/>
          <w:szCs w:val="24"/>
        </w:rPr>
        <w:t>Protections and</w:t>
      </w:r>
      <w:r w:rsidRPr="00BF4413">
        <w:rPr>
          <w:rFonts w:asciiTheme="majorBidi" w:hAnsiTheme="majorBidi" w:cstheme="majorBidi"/>
          <w:b/>
          <w:bCs/>
          <w:sz w:val="24"/>
          <w:szCs w:val="24"/>
        </w:rPr>
        <w:t xml:space="preserve"> Bureaucracy</w:t>
      </w:r>
      <w:r w:rsidRPr="00BF4413">
        <w:rPr>
          <w:rFonts w:asciiTheme="majorBidi" w:hAnsiTheme="majorBidi" w:cstheme="majorBidi"/>
          <w:sz w:val="24"/>
          <w:szCs w:val="24"/>
        </w:rPr>
        <w:t xml:space="preserve">: </w:t>
      </w:r>
      <w:r w:rsidR="00E9243E" w:rsidRPr="00BF4413">
        <w:rPr>
          <w:rFonts w:asciiTheme="majorBidi" w:hAnsiTheme="majorBidi" w:cstheme="majorBidi"/>
          <w:sz w:val="24"/>
          <w:szCs w:val="24"/>
        </w:rPr>
        <w:t>T</w:t>
      </w:r>
      <w:r w:rsidRPr="00BF4413">
        <w:rPr>
          <w:rFonts w:asciiTheme="majorBidi" w:hAnsiTheme="majorBidi" w:cstheme="majorBidi"/>
          <w:sz w:val="24"/>
          <w:szCs w:val="24"/>
        </w:rPr>
        <w:t xml:space="preserve">he </w:t>
      </w:r>
      <w:r w:rsidR="00512E02">
        <w:rPr>
          <w:rFonts w:asciiTheme="majorBidi" w:hAnsiTheme="majorBidi" w:cstheme="majorBidi"/>
          <w:sz w:val="24"/>
          <w:szCs w:val="24"/>
        </w:rPr>
        <w:t>rights</w:t>
      </w:r>
      <w:r w:rsidRPr="00BF4413">
        <w:rPr>
          <w:rFonts w:asciiTheme="majorBidi" w:hAnsiTheme="majorBidi" w:cstheme="majorBidi"/>
          <w:sz w:val="24"/>
          <w:szCs w:val="24"/>
        </w:rPr>
        <w:t xml:space="preserve"> of minority shareholders </w:t>
      </w:r>
      <w:r w:rsidR="00E9243E" w:rsidRPr="00BF4413">
        <w:rPr>
          <w:rFonts w:asciiTheme="majorBidi" w:hAnsiTheme="majorBidi" w:cstheme="majorBidi"/>
          <w:sz w:val="24"/>
          <w:szCs w:val="24"/>
        </w:rPr>
        <w:t>–</w:t>
      </w:r>
      <w:r w:rsidRPr="00BF4413">
        <w:rPr>
          <w:rFonts w:asciiTheme="majorBidi" w:hAnsiTheme="majorBidi" w:cstheme="majorBidi"/>
          <w:sz w:val="24"/>
          <w:szCs w:val="24"/>
        </w:rPr>
        <w:t xml:space="preserve"> </w:t>
      </w:r>
      <w:r w:rsidR="00E9243E" w:rsidRPr="00BF4413">
        <w:rPr>
          <w:rFonts w:asciiTheme="majorBidi" w:hAnsiTheme="majorBidi" w:cstheme="majorBidi"/>
          <w:sz w:val="24"/>
          <w:szCs w:val="24"/>
        </w:rPr>
        <w:t xml:space="preserve">including employees </w:t>
      </w:r>
      <w:r w:rsidRPr="00BF4413">
        <w:rPr>
          <w:rFonts w:asciiTheme="majorBidi" w:hAnsiTheme="majorBidi" w:cstheme="majorBidi"/>
          <w:sz w:val="24"/>
          <w:szCs w:val="24"/>
        </w:rPr>
        <w:t xml:space="preserve">who become such when exercising options </w:t>
      </w:r>
      <w:r w:rsidR="00101AA5">
        <w:rPr>
          <w:rFonts w:asciiTheme="majorBidi" w:hAnsiTheme="majorBidi" w:cstheme="majorBidi"/>
          <w:sz w:val="24"/>
          <w:szCs w:val="24"/>
        </w:rPr>
        <w:t>–</w:t>
      </w:r>
      <w:r w:rsidRPr="00BF4413">
        <w:rPr>
          <w:rFonts w:asciiTheme="majorBidi" w:hAnsiTheme="majorBidi" w:cstheme="majorBidi"/>
          <w:sz w:val="24"/>
          <w:szCs w:val="24"/>
        </w:rPr>
        <w:t xml:space="preserve"> </w:t>
      </w:r>
      <w:r w:rsidR="00512E02">
        <w:rPr>
          <w:rFonts w:asciiTheme="majorBidi" w:hAnsiTheme="majorBidi" w:cstheme="majorBidi"/>
          <w:sz w:val="24"/>
          <w:szCs w:val="24"/>
        </w:rPr>
        <w:t>in relation to</w:t>
      </w:r>
      <w:r w:rsidRPr="00BF4413">
        <w:rPr>
          <w:rFonts w:asciiTheme="majorBidi" w:hAnsiTheme="majorBidi" w:cstheme="majorBidi"/>
          <w:sz w:val="24"/>
          <w:szCs w:val="24"/>
        </w:rPr>
        <w:t xml:space="preserve"> various company decisions </w:t>
      </w:r>
      <w:r w:rsidR="00E9243E" w:rsidRPr="00BF4413">
        <w:rPr>
          <w:rFonts w:asciiTheme="majorBidi" w:hAnsiTheme="majorBidi" w:cstheme="majorBidi"/>
          <w:sz w:val="24"/>
          <w:szCs w:val="24"/>
        </w:rPr>
        <w:t xml:space="preserve">may </w:t>
      </w:r>
      <w:r w:rsidRPr="00BF4413">
        <w:rPr>
          <w:rFonts w:asciiTheme="majorBidi" w:hAnsiTheme="majorBidi" w:cstheme="majorBidi"/>
          <w:sz w:val="24"/>
          <w:szCs w:val="24"/>
        </w:rPr>
        <w:t xml:space="preserve">deter companies from offering </w:t>
      </w:r>
      <w:r w:rsidR="00512E02">
        <w:rPr>
          <w:rFonts w:asciiTheme="majorBidi" w:hAnsiTheme="majorBidi" w:cstheme="majorBidi"/>
          <w:sz w:val="24"/>
          <w:szCs w:val="24"/>
        </w:rPr>
        <w:t xml:space="preserve">employee </w:t>
      </w:r>
      <w:r w:rsidRPr="00BF4413">
        <w:rPr>
          <w:rFonts w:asciiTheme="majorBidi" w:hAnsiTheme="majorBidi" w:cstheme="majorBidi"/>
          <w:sz w:val="24"/>
          <w:szCs w:val="24"/>
        </w:rPr>
        <w:t>stock options</w:t>
      </w:r>
      <w:r w:rsidR="00E9243E" w:rsidRPr="00BF4413">
        <w:rPr>
          <w:rFonts w:asciiTheme="majorBidi" w:hAnsiTheme="majorBidi" w:cstheme="majorBidi"/>
          <w:sz w:val="24"/>
          <w:szCs w:val="24"/>
        </w:rPr>
        <w:t>.</w:t>
      </w:r>
      <w:r w:rsidRPr="00BF4413">
        <w:rPr>
          <w:rFonts w:asciiTheme="majorBidi" w:hAnsiTheme="majorBidi" w:cstheme="majorBidi"/>
          <w:sz w:val="24"/>
          <w:szCs w:val="24"/>
        </w:rPr>
        <w:t xml:space="preserve"> </w:t>
      </w:r>
      <w:r w:rsidR="00512E02">
        <w:rPr>
          <w:rFonts w:asciiTheme="majorBidi" w:hAnsiTheme="majorBidi" w:cstheme="majorBidi"/>
          <w:sz w:val="24"/>
          <w:szCs w:val="24"/>
        </w:rPr>
        <w:t>This factor considers such rights</w:t>
      </w:r>
      <w:r w:rsidR="00F6300B">
        <w:rPr>
          <w:rFonts w:asciiTheme="majorBidi" w:hAnsiTheme="majorBidi" w:cstheme="majorBidi"/>
          <w:sz w:val="24"/>
          <w:szCs w:val="24"/>
        </w:rPr>
        <w:t xml:space="preserve"> and</w:t>
      </w:r>
      <w:r w:rsidR="00512E02">
        <w:rPr>
          <w:rFonts w:asciiTheme="majorBidi" w:hAnsiTheme="majorBidi" w:cstheme="majorBidi"/>
          <w:sz w:val="24"/>
          <w:szCs w:val="24"/>
        </w:rPr>
        <w:t xml:space="preserve"> their applicability to</w:t>
      </w:r>
      <w:r w:rsidRPr="00BF4413">
        <w:rPr>
          <w:rFonts w:asciiTheme="majorBidi" w:hAnsiTheme="majorBidi" w:cstheme="majorBidi"/>
          <w:sz w:val="24"/>
          <w:szCs w:val="24"/>
        </w:rPr>
        <w:t xml:space="preserve"> departing employees, </w:t>
      </w:r>
      <w:r w:rsidR="00F6300B">
        <w:rPr>
          <w:rFonts w:asciiTheme="majorBidi" w:hAnsiTheme="majorBidi" w:cstheme="majorBidi"/>
          <w:sz w:val="24"/>
          <w:szCs w:val="24"/>
        </w:rPr>
        <w:t>as well as</w:t>
      </w:r>
      <w:r w:rsidRPr="00BF4413">
        <w:rPr>
          <w:rFonts w:asciiTheme="majorBidi" w:hAnsiTheme="majorBidi" w:cstheme="majorBidi"/>
          <w:sz w:val="24"/>
          <w:szCs w:val="24"/>
        </w:rPr>
        <w:t xml:space="preserve"> administrative cost</w:t>
      </w:r>
      <w:r w:rsidR="00512E02">
        <w:rPr>
          <w:rFonts w:asciiTheme="majorBidi" w:hAnsiTheme="majorBidi" w:cstheme="majorBidi"/>
          <w:sz w:val="24"/>
          <w:szCs w:val="24"/>
        </w:rPr>
        <w:t>s</w:t>
      </w:r>
      <w:r w:rsidRPr="00BF4413">
        <w:rPr>
          <w:rFonts w:asciiTheme="majorBidi" w:hAnsiTheme="majorBidi" w:cstheme="majorBidi"/>
          <w:sz w:val="24"/>
          <w:szCs w:val="24"/>
        </w:rPr>
        <w:t xml:space="preserve"> and burden</w:t>
      </w:r>
      <w:r w:rsidR="00512E02">
        <w:rPr>
          <w:rFonts w:asciiTheme="majorBidi" w:hAnsiTheme="majorBidi" w:cstheme="majorBidi"/>
          <w:sz w:val="24"/>
          <w:szCs w:val="24"/>
        </w:rPr>
        <w:t>s</w:t>
      </w:r>
      <w:r w:rsidRPr="00BF4413">
        <w:rPr>
          <w:rFonts w:asciiTheme="majorBidi" w:hAnsiTheme="majorBidi" w:cstheme="majorBidi"/>
          <w:sz w:val="24"/>
          <w:szCs w:val="24"/>
        </w:rPr>
        <w:t xml:space="preserve"> associated with establishing and maintaining the </w:t>
      </w:r>
      <w:r w:rsidR="00512E02">
        <w:rPr>
          <w:rFonts w:asciiTheme="majorBidi" w:hAnsiTheme="majorBidi" w:cstheme="majorBidi"/>
          <w:sz w:val="24"/>
          <w:szCs w:val="24"/>
        </w:rPr>
        <w:t xml:space="preserve">employee ownership </w:t>
      </w:r>
      <w:r w:rsidRPr="00BF4413">
        <w:rPr>
          <w:rFonts w:asciiTheme="majorBidi" w:hAnsiTheme="majorBidi" w:cstheme="majorBidi"/>
          <w:sz w:val="24"/>
          <w:szCs w:val="24"/>
        </w:rPr>
        <w:t>plan</w:t>
      </w:r>
      <w:r w:rsidR="00512E02">
        <w:rPr>
          <w:rFonts w:asciiTheme="majorBidi" w:hAnsiTheme="majorBidi" w:cstheme="majorBidi"/>
          <w:sz w:val="24"/>
          <w:szCs w:val="24"/>
        </w:rPr>
        <w:t>.</w:t>
      </w:r>
    </w:p>
    <w:p w14:paraId="02C48FDE" w14:textId="0373C93B" w:rsidR="000A4D1D" w:rsidRPr="00BF4413" w:rsidRDefault="000A4D1D" w:rsidP="005B5936">
      <w:pPr>
        <w:pStyle w:val="ListParagraph"/>
        <w:numPr>
          <w:ilvl w:val="0"/>
          <w:numId w:val="3"/>
        </w:numPr>
        <w:spacing w:line="360" w:lineRule="auto"/>
        <w:jc w:val="both"/>
        <w:rPr>
          <w:rFonts w:asciiTheme="majorBidi" w:hAnsiTheme="majorBidi" w:cstheme="majorBidi"/>
          <w:sz w:val="24"/>
          <w:szCs w:val="24"/>
        </w:rPr>
      </w:pPr>
      <w:r w:rsidRPr="00BF4413">
        <w:rPr>
          <w:rFonts w:asciiTheme="majorBidi" w:hAnsiTheme="majorBidi" w:cstheme="majorBidi"/>
          <w:b/>
          <w:bCs/>
          <w:sz w:val="24"/>
          <w:szCs w:val="24"/>
        </w:rPr>
        <w:t>Employee Tax (Timing)</w:t>
      </w:r>
      <w:r w:rsidRPr="00BF4413">
        <w:rPr>
          <w:rFonts w:asciiTheme="majorBidi" w:hAnsiTheme="majorBidi" w:cstheme="majorBidi"/>
          <w:sz w:val="24"/>
          <w:szCs w:val="24"/>
        </w:rPr>
        <w:t xml:space="preserve">: At what point are employees taxed </w:t>
      </w:r>
      <w:r w:rsidR="00101AA5">
        <w:rPr>
          <w:rFonts w:asciiTheme="majorBidi" w:hAnsiTheme="majorBidi" w:cstheme="majorBidi"/>
          <w:sz w:val="24"/>
          <w:szCs w:val="24"/>
        </w:rPr>
        <w:t>–</w:t>
      </w:r>
      <w:r w:rsidRPr="00BF4413">
        <w:rPr>
          <w:rFonts w:asciiTheme="majorBidi" w:hAnsiTheme="majorBidi" w:cstheme="majorBidi"/>
          <w:sz w:val="24"/>
          <w:szCs w:val="24"/>
        </w:rPr>
        <w:t xml:space="preserve"> upon share sale, exercise, or grant?</w:t>
      </w:r>
    </w:p>
    <w:p w14:paraId="49CFE5E1" w14:textId="368E896E" w:rsidR="000A4D1D" w:rsidRPr="00BF4413" w:rsidRDefault="000A4D1D" w:rsidP="005B5936">
      <w:pPr>
        <w:pStyle w:val="ListParagraph"/>
        <w:numPr>
          <w:ilvl w:val="0"/>
          <w:numId w:val="3"/>
        </w:numPr>
        <w:spacing w:line="360" w:lineRule="auto"/>
        <w:jc w:val="both"/>
        <w:rPr>
          <w:rFonts w:asciiTheme="majorBidi" w:hAnsiTheme="majorBidi" w:cstheme="majorBidi"/>
          <w:sz w:val="24"/>
          <w:szCs w:val="24"/>
        </w:rPr>
      </w:pPr>
      <w:r w:rsidRPr="00BF4413">
        <w:rPr>
          <w:rFonts w:asciiTheme="majorBidi" w:hAnsiTheme="majorBidi" w:cstheme="majorBidi"/>
          <w:b/>
          <w:bCs/>
          <w:sz w:val="24"/>
          <w:szCs w:val="24"/>
        </w:rPr>
        <w:t>Employee Tax (Rate)</w:t>
      </w:r>
      <w:r w:rsidRPr="00BF4413">
        <w:rPr>
          <w:rFonts w:asciiTheme="majorBidi" w:hAnsiTheme="majorBidi" w:cstheme="majorBidi"/>
          <w:sz w:val="24"/>
          <w:szCs w:val="24"/>
        </w:rPr>
        <w:t xml:space="preserve">: Which tax rate is applied </w:t>
      </w:r>
      <w:r w:rsidR="00A8583B">
        <w:rPr>
          <w:rFonts w:asciiTheme="majorBidi" w:hAnsiTheme="majorBidi" w:cstheme="majorBidi"/>
          <w:sz w:val="24"/>
          <w:szCs w:val="24"/>
        </w:rPr>
        <w:t>–</w:t>
      </w:r>
      <w:r w:rsidRPr="00BF4413">
        <w:rPr>
          <w:rFonts w:asciiTheme="majorBidi" w:hAnsiTheme="majorBidi" w:cstheme="majorBidi"/>
          <w:sz w:val="24"/>
          <w:szCs w:val="24"/>
        </w:rPr>
        <w:t xml:space="preserve"> income, capital gains, </w:t>
      </w:r>
      <w:r w:rsidR="00905DAD">
        <w:rPr>
          <w:rFonts w:asciiTheme="majorBidi" w:hAnsiTheme="majorBidi" w:cstheme="majorBidi"/>
          <w:sz w:val="24"/>
          <w:szCs w:val="24"/>
        </w:rPr>
        <w:t xml:space="preserve">or </w:t>
      </w:r>
      <w:r w:rsidRPr="00BF4413">
        <w:rPr>
          <w:rFonts w:asciiTheme="majorBidi" w:hAnsiTheme="majorBidi" w:cstheme="majorBidi"/>
          <w:sz w:val="24"/>
          <w:szCs w:val="24"/>
        </w:rPr>
        <w:t>other? Are employee social contributions required, and if so, how much do they amount to?</w:t>
      </w:r>
    </w:p>
    <w:p w14:paraId="47B2C55A" w14:textId="01782B93" w:rsidR="000A4D1D" w:rsidRPr="00BF4413" w:rsidRDefault="000A4D1D" w:rsidP="005B5936">
      <w:pPr>
        <w:pStyle w:val="ListParagraph"/>
        <w:numPr>
          <w:ilvl w:val="0"/>
          <w:numId w:val="3"/>
        </w:numPr>
        <w:spacing w:line="360" w:lineRule="auto"/>
        <w:jc w:val="both"/>
        <w:rPr>
          <w:rFonts w:asciiTheme="majorBidi" w:hAnsiTheme="majorBidi" w:cstheme="majorBidi"/>
          <w:sz w:val="24"/>
          <w:szCs w:val="24"/>
        </w:rPr>
      </w:pPr>
      <w:r w:rsidRPr="00BF4413">
        <w:rPr>
          <w:rFonts w:asciiTheme="majorBidi" w:hAnsiTheme="majorBidi" w:cstheme="majorBidi"/>
          <w:b/>
          <w:bCs/>
          <w:sz w:val="24"/>
          <w:szCs w:val="24"/>
        </w:rPr>
        <w:t>Employer Taxation</w:t>
      </w:r>
      <w:r w:rsidRPr="00BF4413">
        <w:rPr>
          <w:rFonts w:asciiTheme="majorBidi" w:hAnsiTheme="majorBidi" w:cstheme="majorBidi"/>
          <w:sz w:val="24"/>
          <w:szCs w:val="24"/>
        </w:rPr>
        <w:t xml:space="preserve">: Does the use of </w:t>
      </w:r>
      <w:r w:rsidR="00905DAD">
        <w:rPr>
          <w:rFonts w:asciiTheme="majorBidi" w:hAnsiTheme="majorBidi" w:cstheme="majorBidi"/>
          <w:sz w:val="24"/>
          <w:szCs w:val="24"/>
        </w:rPr>
        <w:t xml:space="preserve">employee </w:t>
      </w:r>
      <w:r w:rsidRPr="00BF4413">
        <w:rPr>
          <w:rFonts w:asciiTheme="majorBidi" w:hAnsiTheme="majorBidi" w:cstheme="majorBidi"/>
          <w:sz w:val="24"/>
          <w:szCs w:val="24"/>
        </w:rPr>
        <w:t>stock options have financial repercussions for companies? If so, when do these occur and at what rate? Are employer social contributions required, and if so, how much are they?</w:t>
      </w:r>
    </w:p>
    <w:p w14:paraId="1B98FDB5" w14:textId="2F1A42D5" w:rsidR="00B35D7B" w:rsidRPr="00BF4413" w:rsidRDefault="0090521D" w:rsidP="006E04B0">
      <w:pPr>
        <w:spacing w:line="360" w:lineRule="auto"/>
        <w:jc w:val="both"/>
        <w:rPr>
          <w:rFonts w:asciiTheme="majorBidi" w:hAnsiTheme="majorBidi" w:cstheme="majorBidi"/>
          <w:sz w:val="24"/>
          <w:szCs w:val="24"/>
          <w:rtl/>
        </w:rPr>
      </w:pPr>
      <w:r w:rsidRPr="00BF4413">
        <w:rPr>
          <w:rFonts w:asciiTheme="majorBidi" w:hAnsiTheme="majorBidi" w:cstheme="majorBidi"/>
          <w:sz w:val="24"/>
          <w:szCs w:val="24"/>
        </w:rPr>
        <w:t>As a result, t</w:t>
      </w:r>
      <w:r w:rsidR="00B35D7B" w:rsidRPr="00BF4413">
        <w:rPr>
          <w:rFonts w:asciiTheme="majorBidi" w:hAnsiTheme="majorBidi" w:cstheme="majorBidi"/>
          <w:sz w:val="24"/>
          <w:szCs w:val="24"/>
        </w:rPr>
        <w:t xml:space="preserve">he scale ranks countries on a scale of </w:t>
      </w:r>
      <w:r w:rsidR="003A33AE" w:rsidRPr="00BF4413">
        <w:rPr>
          <w:rFonts w:asciiTheme="majorBidi" w:hAnsiTheme="majorBidi" w:cstheme="majorBidi"/>
          <w:sz w:val="24"/>
          <w:szCs w:val="24"/>
        </w:rPr>
        <w:t>6</w:t>
      </w:r>
      <w:r w:rsidR="00B35D7B" w:rsidRPr="00BF4413">
        <w:rPr>
          <w:rFonts w:asciiTheme="majorBidi" w:hAnsiTheme="majorBidi" w:cstheme="majorBidi"/>
          <w:sz w:val="24"/>
          <w:szCs w:val="24"/>
        </w:rPr>
        <w:t xml:space="preserve"> to 30, with higher scores indicating more favorable legal environments for equity-based compensation schemes. </w:t>
      </w:r>
      <w:r w:rsidR="00101AA5" w:rsidRPr="00BF4413">
        <w:rPr>
          <w:rFonts w:asciiTheme="majorBidi" w:hAnsiTheme="majorBidi" w:cstheme="majorBidi"/>
          <w:sz w:val="24"/>
          <w:szCs w:val="24"/>
        </w:rPr>
        <w:t>Cronbach’s</w:t>
      </w:r>
      <w:r w:rsidR="00193B84" w:rsidRPr="00BF4413">
        <w:rPr>
          <w:rFonts w:asciiTheme="majorBidi" w:hAnsiTheme="majorBidi" w:cstheme="majorBidi"/>
          <w:sz w:val="24"/>
          <w:szCs w:val="24"/>
        </w:rPr>
        <w:t xml:space="preserve"> alpha for th</w:t>
      </w:r>
      <w:r w:rsidR="00905DAD">
        <w:rPr>
          <w:rFonts w:asciiTheme="majorBidi" w:hAnsiTheme="majorBidi" w:cstheme="majorBidi"/>
          <w:sz w:val="24"/>
          <w:szCs w:val="24"/>
        </w:rPr>
        <w:t>is</w:t>
      </w:r>
      <w:r w:rsidR="00193B84" w:rsidRPr="00BF4413">
        <w:rPr>
          <w:rFonts w:asciiTheme="majorBidi" w:hAnsiTheme="majorBidi" w:cstheme="majorBidi"/>
          <w:sz w:val="24"/>
          <w:szCs w:val="24"/>
        </w:rPr>
        <w:t xml:space="preserve"> scale of stock option friendliness is 0.917, suggesting a strong internal consistency among its six items. The associated bootstrap 95% confidence interval (0.871 to 0.948) further corroborates this reliability.</w:t>
      </w:r>
    </w:p>
    <w:p w14:paraId="18200C8F" w14:textId="46CCDC04" w:rsidR="008C12AB" w:rsidRPr="00BF4413" w:rsidRDefault="008C12AB" w:rsidP="00ED179F">
      <w:pPr>
        <w:spacing w:line="360" w:lineRule="auto"/>
        <w:ind w:firstLine="720"/>
        <w:jc w:val="both"/>
        <w:rPr>
          <w:rFonts w:asciiTheme="majorBidi" w:hAnsiTheme="majorBidi" w:cstheme="majorBidi"/>
          <w:sz w:val="24"/>
          <w:szCs w:val="24"/>
        </w:rPr>
      </w:pPr>
      <w:r w:rsidRPr="00BF4413">
        <w:rPr>
          <w:rFonts w:asciiTheme="majorBidi" w:hAnsiTheme="majorBidi" w:cstheme="majorBidi"/>
          <w:b/>
          <w:bCs/>
          <w:sz w:val="24"/>
          <w:szCs w:val="24"/>
        </w:rPr>
        <w:lastRenderedPageBreak/>
        <w:t>Figure 1</w:t>
      </w:r>
      <w:r w:rsidRPr="00BF4413">
        <w:rPr>
          <w:rFonts w:asciiTheme="majorBidi" w:hAnsiTheme="majorBidi" w:cstheme="majorBidi"/>
          <w:sz w:val="24"/>
          <w:szCs w:val="24"/>
        </w:rPr>
        <w:t xml:space="preserve"> </w:t>
      </w:r>
      <w:r w:rsidR="00190335" w:rsidRPr="00BF4413">
        <w:rPr>
          <w:rFonts w:asciiTheme="majorBidi" w:hAnsiTheme="majorBidi" w:cstheme="majorBidi"/>
          <w:sz w:val="24"/>
          <w:szCs w:val="24"/>
        </w:rPr>
        <w:t>provides a comprehensive overview of Index Venture</w:t>
      </w:r>
      <w:r w:rsidR="002A49D0">
        <w:rPr>
          <w:rFonts w:asciiTheme="majorBidi" w:hAnsiTheme="majorBidi" w:cstheme="majorBidi"/>
          <w:sz w:val="24"/>
          <w:szCs w:val="24"/>
        </w:rPr>
        <w:t>s</w:t>
      </w:r>
      <w:r w:rsidR="00190335" w:rsidRPr="00BF4413">
        <w:rPr>
          <w:rFonts w:asciiTheme="majorBidi" w:hAnsiTheme="majorBidi" w:cstheme="majorBidi"/>
          <w:sz w:val="24"/>
          <w:szCs w:val="24"/>
        </w:rPr>
        <w:t xml:space="preserve"> aggregate score</w:t>
      </w:r>
      <w:r w:rsidR="002A49D0">
        <w:rPr>
          <w:rFonts w:asciiTheme="majorBidi" w:hAnsiTheme="majorBidi" w:cstheme="majorBidi"/>
          <w:sz w:val="24"/>
          <w:szCs w:val="24"/>
        </w:rPr>
        <w:t>s</w:t>
      </w:r>
      <w:r w:rsidR="00190335" w:rsidRPr="00BF4413">
        <w:rPr>
          <w:rFonts w:asciiTheme="majorBidi" w:hAnsiTheme="majorBidi" w:cstheme="majorBidi"/>
          <w:sz w:val="24"/>
          <w:szCs w:val="24"/>
        </w:rPr>
        <w:t xml:space="preserve"> along with a breakdown of scores pertinent to each individual factor across different </w:t>
      </w:r>
      <w:r w:rsidR="00D62AB4" w:rsidRPr="00BF4413">
        <w:rPr>
          <w:rFonts w:asciiTheme="majorBidi" w:hAnsiTheme="majorBidi" w:cstheme="majorBidi"/>
          <w:sz w:val="24"/>
          <w:szCs w:val="24"/>
        </w:rPr>
        <w:t>countries</w:t>
      </w:r>
      <w:r w:rsidR="00F07253" w:rsidRPr="00BF4413">
        <w:rPr>
          <w:rFonts w:asciiTheme="majorBidi" w:hAnsiTheme="majorBidi" w:cstheme="majorBidi"/>
          <w:sz w:val="24"/>
          <w:szCs w:val="24"/>
        </w:rPr>
        <w:t>.</w:t>
      </w:r>
    </w:p>
    <w:p w14:paraId="44872536" w14:textId="6AF0BBBF" w:rsidR="00D62AB4" w:rsidRPr="00BF4413" w:rsidRDefault="00D62AB4" w:rsidP="00D62AB4">
      <w:pPr>
        <w:pStyle w:val="Caption"/>
        <w:keepNext/>
        <w:jc w:val="both"/>
        <w:rPr>
          <w:color w:val="auto"/>
          <w:sz w:val="24"/>
          <w:szCs w:val="24"/>
        </w:rPr>
      </w:pPr>
      <w:r w:rsidRPr="00BF4413">
        <w:rPr>
          <w:b/>
          <w:bCs/>
          <w:color w:val="auto"/>
          <w:sz w:val="24"/>
          <w:szCs w:val="24"/>
        </w:rPr>
        <w:t xml:space="preserve">Figure </w:t>
      </w:r>
      <w:r w:rsidRPr="00BF4413">
        <w:rPr>
          <w:b/>
          <w:bCs/>
          <w:color w:val="auto"/>
          <w:sz w:val="24"/>
          <w:szCs w:val="24"/>
        </w:rPr>
        <w:fldChar w:fldCharType="begin"/>
      </w:r>
      <w:r w:rsidRPr="00BF4413">
        <w:rPr>
          <w:b/>
          <w:bCs/>
          <w:color w:val="auto"/>
          <w:sz w:val="24"/>
          <w:szCs w:val="24"/>
        </w:rPr>
        <w:instrText xml:space="preserve"> SEQ Figure \* ARABIC </w:instrText>
      </w:r>
      <w:r w:rsidRPr="00BF4413">
        <w:rPr>
          <w:b/>
          <w:bCs/>
          <w:color w:val="auto"/>
          <w:sz w:val="24"/>
          <w:szCs w:val="24"/>
        </w:rPr>
        <w:fldChar w:fldCharType="separate"/>
      </w:r>
      <w:r w:rsidR="008E4676">
        <w:rPr>
          <w:b/>
          <w:bCs/>
          <w:noProof/>
          <w:color w:val="auto"/>
          <w:sz w:val="24"/>
          <w:szCs w:val="24"/>
        </w:rPr>
        <w:t>1</w:t>
      </w:r>
      <w:r w:rsidRPr="00BF4413">
        <w:rPr>
          <w:b/>
          <w:bCs/>
          <w:color w:val="auto"/>
          <w:sz w:val="24"/>
          <w:szCs w:val="24"/>
        </w:rPr>
        <w:fldChar w:fldCharType="end"/>
      </w:r>
      <w:r w:rsidRPr="00BF4413">
        <w:rPr>
          <w:color w:val="auto"/>
          <w:sz w:val="24"/>
          <w:szCs w:val="24"/>
        </w:rPr>
        <w:t>.</w:t>
      </w:r>
      <w:r w:rsidR="002B242C" w:rsidRPr="00BF4413">
        <w:rPr>
          <w:color w:val="auto"/>
          <w:sz w:val="24"/>
          <w:szCs w:val="24"/>
        </w:rPr>
        <w:t xml:space="preserve"> Index Venture </w:t>
      </w:r>
      <w:r w:rsidR="00960D98" w:rsidRPr="00BF4413">
        <w:rPr>
          <w:color w:val="auto"/>
          <w:sz w:val="24"/>
          <w:szCs w:val="24"/>
        </w:rPr>
        <w:t>scores by country.</w:t>
      </w:r>
    </w:p>
    <w:p w14:paraId="3AA674BC" w14:textId="0F954C99" w:rsidR="00717BAE" w:rsidRPr="00BF4413" w:rsidRDefault="00D81122" w:rsidP="00D0151F">
      <w:pPr>
        <w:spacing w:line="360" w:lineRule="auto"/>
        <w:jc w:val="center"/>
        <w:rPr>
          <w:rFonts w:asciiTheme="majorBidi" w:hAnsiTheme="majorBidi" w:cstheme="majorBidi"/>
          <w:sz w:val="24"/>
          <w:szCs w:val="24"/>
        </w:rPr>
      </w:pPr>
      <w:r w:rsidRPr="00BF4413">
        <w:rPr>
          <w:rFonts w:asciiTheme="majorBidi" w:hAnsiTheme="majorBidi" w:cstheme="majorBidi"/>
          <w:noProof/>
          <w:sz w:val="24"/>
          <w:szCs w:val="24"/>
          <w14:ligatures w14:val="standardContextual"/>
        </w:rPr>
        <w:drawing>
          <wp:inline distT="0" distB="0" distL="0" distR="0" wp14:anchorId="5FB3AA21" wp14:editId="07C79B16">
            <wp:extent cx="5731510" cy="1777365"/>
            <wp:effectExtent l="0" t="0" r="2540" b="0"/>
            <wp:docPr id="102762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28071" name=""/>
                    <pic:cNvPicPr/>
                  </pic:nvPicPr>
                  <pic:blipFill>
                    <a:blip r:embed="rId10"/>
                    <a:stretch>
                      <a:fillRect/>
                    </a:stretch>
                  </pic:blipFill>
                  <pic:spPr>
                    <a:xfrm>
                      <a:off x="0" y="0"/>
                      <a:ext cx="5731510" cy="1777365"/>
                    </a:xfrm>
                    <a:prstGeom prst="rect">
                      <a:avLst/>
                    </a:prstGeom>
                  </pic:spPr>
                </pic:pic>
              </a:graphicData>
            </a:graphic>
          </wp:inline>
        </w:drawing>
      </w:r>
    </w:p>
    <w:p w14:paraId="1D632C89" w14:textId="3155E77C" w:rsidR="00485CB9" w:rsidRPr="00BF4413" w:rsidRDefault="00E412BC" w:rsidP="001723AE">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According to Index Ventures, c</w:t>
      </w:r>
      <w:r w:rsidR="00485CB9" w:rsidRPr="00BF4413">
        <w:rPr>
          <w:rFonts w:asciiTheme="majorBidi" w:hAnsiTheme="majorBidi" w:cstheme="majorBidi"/>
          <w:sz w:val="24"/>
          <w:szCs w:val="24"/>
        </w:rPr>
        <w:t xml:space="preserve">ountries with high </w:t>
      </w:r>
      <w:r w:rsidR="00905DAD" w:rsidRPr="00BF4413">
        <w:rPr>
          <w:rFonts w:asciiTheme="majorBidi" w:hAnsiTheme="majorBidi" w:cstheme="majorBidi"/>
          <w:sz w:val="24"/>
          <w:szCs w:val="24"/>
        </w:rPr>
        <w:t>Index Venture</w:t>
      </w:r>
      <w:r w:rsidR="00905DAD">
        <w:rPr>
          <w:rFonts w:asciiTheme="majorBidi" w:hAnsiTheme="majorBidi" w:cstheme="majorBidi"/>
          <w:sz w:val="24"/>
          <w:szCs w:val="24"/>
        </w:rPr>
        <w:t>s’ S</w:t>
      </w:r>
      <w:r w:rsidR="00485CB9" w:rsidRPr="00BF4413">
        <w:rPr>
          <w:rFonts w:asciiTheme="majorBidi" w:hAnsiTheme="majorBidi" w:cstheme="majorBidi"/>
          <w:sz w:val="24"/>
          <w:szCs w:val="24"/>
        </w:rPr>
        <w:t xml:space="preserve">cores </w:t>
      </w:r>
      <w:r w:rsidR="00905DAD">
        <w:rPr>
          <w:rFonts w:asciiTheme="majorBidi" w:hAnsiTheme="majorBidi" w:cstheme="majorBidi"/>
          <w:sz w:val="24"/>
          <w:szCs w:val="24"/>
        </w:rPr>
        <w:t xml:space="preserve">(IVS) </w:t>
      </w:r>
      <w:r w:rsidR="00485CB9" w:rsidRPr="00BF4413">
        <w:rPr>
          <w:rFonts w:asciiTheme="majorBidi" w:hAnsiTheme="majorBidi" w:cstheme="majorBidi"/>
          <w:sz w:val="24"/>
          <w:szCs w:val="24"/>
        </w:rPr>
        <w:t xml:space="preserve">have policies that strongly support the use of stock options by startups at all stages of growth and for all levels of employees. These countries have programs that are simple to implement with minimal cost to companies. </w:t>
      </w:r>
      <w:r w:rsidRPr="00BF4413">
        <w:rPr>
          <w:rFonts w:asciiTheme="majorBidi" w:hAnsiTheme="majorBidi" w:cstheme="majorBidi"/>
          <w:sz w:val="24"/>
          <w:szCs w:val="24"/>
        </w:rPr>
        <w:t xml:space="preserve">Stock options can be heavily discounted from previous-round valuations by applying </w:t>
      </w:r>
      <w:r w:rsidR="006F000B">
        <w:rPr>
          <w:rFonts w:asciiTheme="majorBidi" w:hAnsiTheme="majorBidi" w:cstheme="majorBidi"/>
          <w:sz w:val="24"/>
          <w:szCs w:val="24"/>
        </w:rPr>
        <w:t xml:space="preserve">common stock </w:t>
      </w:r>
      <w:r w:rsidRPr="00BF4413">
        <w:rPr>
          <w:rFonts w:asciiTheme="majorBidi" w:hAnsiTheme="majorBidi" w:cstheme="majorBidi"/>
          <w:sz w:val="24"/>
          <w:szCs w:val="24"/>
        </w:rPr>
        <w:t xml:space="preserve">valuations </w:t>
      </w:r>
      <w:r w:rsidR="006F000B">
        <w:rPr>
          <w:rFonts w:asciiTheme="majorBidi" w:hAnsiTheme="majorBidi" w:cstheme="majorBidi"/>
          <w:sz w:val="24"/>
          <w:szCs w:val="24"/>
        </w:rPr>
        <w:t xml:space="preserve">(known as </w:t>
      </w:r>
      <w:r w:rsidR="006F000B" w:rsidRPr="00BF4413">
        <w:rPr>
          <w:rFonts w:asciiTheme="majorBidi" w:hAnsiTheme="majorBidi" w:cstheme="majorBidi"/>
          <w:sz w:val="24"/>
          <w:szCs w:val="24"/>
        </w:rPr>
        <w:t xml:space="preserve">409A </w:t>
      </w:r>
      <w:r w:rsidR="006F000B">
        <w:rPr>
          <w:rFonts w:asciiTheme="majorBidi" w:hAnsiTheme="majorBidi" w:cstheme="majorBidi"/>
          <w:sz w:val="24"/>
          <w:szCs w:val="24"/>
        </w:rPr>
        <w:t xml:space="preserve">valuations in the US) </w:t>
      </w:r>
      <w:r w:rsidRPr="00BF4413">
        <w:rPr>
          <w:rFonts w:asciiTheme="majorBidi" w:hAnsiTheme="majorBidi" w:cstheme="majorBidi"/>
          <w:sz w:val="24"/>
          <w:szCs w:val="24"/>
        </w:rPr>
        <w:t>or without the</w:t>
      </w:r>
      <w:r w:rsidR="0008559B" w:rsidRPr="00BF4413">
        <w:rPr>
          <w:rFonts w:asciiTheme="majorBidi" w:hAnsiTheme="majorBidi" w:cstheme="majorBidi"/>
          <w:sz w:val="24"/>
          <w:szCs w:val="24"/>
        </w:rPr>
        <w:t xml:space="preserve"> need for a valuation</w:t>
      </w:r>
      <w:r w:rsidR="00485CB9" w:rsidRPr="00BF4413">
        <w:rPr>
          <w:rFonts w:asciiTheme="majorBidi" w:hAnsiTheme="majorBidi" w:cstheme="majorBidi"/>
          <w:sz w:val="24"/>
          <w:szCs w:val="24"/>
        </w:rPr>
        <w:t xml:space="preserve">. Employee taxation is deferred to the point of sale, and taxation on </w:t>
      </w:r>
      <w:r w:rsidR="006F000B" w:rsidRPr="00BF4413">
        <w:rPr>
          <w:rFonts w:asciiTheme="majorBidi" w:hAnsiTheme="majorBidi" w:cstheme="majorBidi"/>
          <w:sz w:val="24"/>
          <w:szCs w:val="24"/>
        </w:rPr>
        <w:t>the upside</w:t>
      </w:r>
      <w:r w:rsidR="00485CB9" w:rsidRPr="00BF4413">
        <w:rPr>
          <w:rFonts w:asciiTheme="majorBidi" w:hAnsiTheme="majorBidi" w:cstheme="majorBidi"/>
          <w:sz w:val="24"/>
          <w:szCs w:val="24"/>
        </w:rPr>
        <w:t xml:space="preserve"> is 25% at most.</w:t>
      </w:r>
      <w:r w:rsidRPr="00BF4413">
        <w:rPr>
          <w:rFonts w:asciiTheme="majorBidi" w:hAnsiTheme="majorBidi" w:cstheme="majorBidi"/>
          <w:sz w:val="24"/>
          <w:szCs w:val="24"/>
        </w:rPr>
        <w:t xml:space="preserve"> </w:t>
      </w:r>
    </w:p>
    <w:p w14:paraId="7DA37803" w14:textId="776D5A00" w:rsidR="006F000B" w:rsidRDefault="00485CB9" w:rsidP="006979D0">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For instance, </w:t>
      </w:r>
      <w:r w:rsidR="001D3ED0" w:rsidRPr="00BF4413">
        <w:rPr>
          <w:rFonts w:asciiTheme="majorBidi" w:hAnsiTheme="majorBidi" w:cstheme="majorBidi"/>
          <w:sz w:val="24"/>
          <w:szCs w:val="24"/>
        </w:rPr>
        <w:t>countries such as</w:t>
      </w:r>
      <w:r w:rsidRPr="00BF4413">
        <w:rPr>
          <w:rFonts w:asciiTheme="majorBidi" w:hAnsiTheme="majorBidi" w:cstheme="majorBidi"/>
          <w:sz w:val="24"/>
          <w:szCs w:val="24"/>
        </w:rPr>
        <w:t xml:space="preserve"> Lithuania </w:t>
      </w:r>
      <w:r w:rsidR="001D3ED0" w:rsidRPr="00BF4413">
        <w:rPr>
          <w:rFonts w:asciiTheme="majorBidi" w:hAnsiTheme="majorBidi" w:cstheme="majorBidi"/>
          <w:sz w:val="24"/>
          <w:szCs w:val="24"/>
        </w:rPr>
        <w:t>(</w:t>
      </w:r>
      <w:r w:rsidR="0025657C">
        <w:rPr>
          <w:rFonts w:asciiTheme="majorBidi" w:hAnsiTheme="majorBidi" w:cstheme="majorBidi"/>
          <w:sz w:val="24"/>
          <w:szCs w:val="24"/>
        </w:rPr>
        <w:t>IVS=</w:t>
      </w:r>
      <w:r w:rsidR="001D3ED0" w:rsidRPr="00BF4413">
        <w:rPr>
          <w:rFonts w:asciiTheme="majorBidi" w:hAnsiTheme="majorBidi" w:cstheme="majorBidi"/>
          <w:sz w:val="24"/>
          <w:szCs w:val="24"/>
        </w:rPr>
        <w:t xml:space="preserve">30) </w:t>
      </w:r>
      <w:r w:rsidRPr="00BF4413">
        <w:rPr>
          <w:rFonts w:asciiTheme="majorBidi" w:hAnsiTheme="majorBidi" w:cstheme="majorBidi"/>
          <w:sz w:val="24"/>
          <w:szCs w:val="24"/>
        </w:rPr>
        <w:t>and Israel</w:t>
      </w:r>
      <w:r w:rsidR="001D3ED0" w:rsidRPr="00BF4413">
        <w:rPr>
          <w:rFonts w:asciiTheme="majorBidi" w:hAnsiTheme="majorBidi" w:cstheme="majorBidi"/>
          <w:sz w:val="24"/>
          <w:szCs w:val="24"/>
        </w:rPr>
        <w:t xml:space="preserve"> (</w:t>
      </w:r>
      <w:r w:rsidR="0025657C">
        <w:rPr>
          <w:rFonts w:asciiTheme="majorBidi" w:hAnsiTheme="majorBidi" w:cstheme="majorBidi"/>
          <w:sz w:val="24"/>
          <w:szCs w:val="24"/>
        </w:rPr>
        <w:t>IVS=</w:t>
      </w:r>
      <w:r w:rsidR="001D3ED0" w:rsidRPr="00BF4413">
        <w:rPr>
          <w:rFonts w:asciiTheme="majorBidi" w:hAnsiTheme="majorBidi" w:cstheme="majorBidi"/>
          <w:sz w:val="24"/>
          <w:szCs w:val="24"/>
        </w:rPr>
        <w:t>27)</w:t>
      </w:r>
      <w:r w:rsidRPr="00BF4413">
        <w:rPr>
          <w:rFonts w:asciiTheme="majorBidi" w:hAnsiTheme="majorBidi" w:cstheme="majorBidi"/>
          <w:sz w:val="24"/>
          <w:szCs w:val="24"/>
        </w:rPr>
        <w:t xml:space="preserve">, have favorable policies. In Lithuania, the company can choose a strike price, even heavily discounted, without creating any tax liability upon grant. The employee tax is at the point of sale, and income tax is a flat-rate 20% on the spread between strike price and sale price. </w:t>
      </w:r>
    </w:p>
    <w:p w14:paraId="630F1845" w14:textId="385DB2DC" w:rsidR="00485CB9" w:rsidRPr="00BF4413" w:rsidRDefault="00485CB9" w:rsidP="006979D0">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In Israel, the policies apply to all limited liability companies, for all employees and board members employed by the company</w:t>
      </w:r>
      <w:r w:rsidR="008C15DB" w:rsidRPr="00BF4413">
        <w:rPr>
          <w:rFonts w:asciiTheme="majorBidi" w:hAnsiTheme="majorBidi" w:cstheme="majorBidi"/>
          <w:sz w:val="24"/>
          <w:szCs w:val="24"/>
        </w:rPr>
        <w:t xml:space="preserve">, </w:t>
      </w:r>
      <w:r w:rsidR="00F56AB1" w:rsidRPr="00BF4413">
        <w:rPr>
          <w:rFonts w:asciiTheme="majorBidi" w:hAnsiTheme="majorBidi" w:cstheme="majorBidi"/>
          <w:sz w:val="24"/>
          <w:szCs w:val="24"/>
        </w:rPr>
        <w:t>with the exception of controlling</w:t>
      </w:r>
      <w:r w:rsidR="008C15DB" w:rsidRPr="00BF4413">
        <w:rPr>
          <w:rFonts w:asciiTheme="majorBidi" w:hAnsiTheme="majorBidi" w:cstheme="majorBidi"/>
          <w:sz w:val="24"/>
          <w:szCs w:val="24"/>
        </w:rPr>
        <w:t xml:space="preserve"> shareholders</w:t>
      </w:r>
      <w:r w:rsidRPr="00BF4413">
        <w:rPr>
          <w:rFonts w:asciiTheme="majorBidi" w:hAnsiTheme="majorBidi" w:cstheme="majorBidi"/>
          <w:sz w:val="24"/>
          <w:szCs w:val="24"/>
        </w:rPr>
        <w:t>. The company can choose a strike price, even at a nominal value, without creating any tax liability upon grant</w:t>
      </w:r>
      <w:r w:rsidR="008051E8" w:rsidRPr="00BF4413">
        <w:rPr>
          <w:rFonts w:asciiTheme="majorBidi" w:hAnsiTheme="majorBidi" w:cstheme="majorBidi"/>
          <w:sz w:val="24"/>
          <w:szCs w:val="24"/>
        </w:rPr>
        <w:t xml:space="preserve"> (</w:t>
      </w:r>
      <w:r w:rsidR="007216C5" w:rsidRPr="00BF4413">
        <w:rPr>
          <w:rFonts w:asciiTheme="majorBidi" w:hAnsiTheme="majorBidi" w:cstheme="majorBidi"/>
          <w:sz w:val="24"/>
          <w:szCs w:val="24"/>
        </w:rPr>
        <w:t xml:space="preserve">however, US-style 409A valuations are most </w:t>
      </w:r>
      <w:r w:rsidR="008051E8" w:rsidRPr="00BF4413">
        <w:rPr>
          <w:rFonts w:asciiTheme="majorBidi" w:hAnsiTheme="majorBidi" w:cstheme="majorBidi"/>
          <w:sz w:val="24"/>
          <w:szCs w:val="24"/>
        </w:rPr>
        <w:t>commonly used)</w:t>
      </w:r>
      <w:r w:rsidRPr="00BF4413">
        <w:rPr>
          <w:rFonts w:asciiTheme="majorBidi" w:hAnsiTheme="majorBidi" w:cstheme="majorBidi"/>
          <w:sz w:val="24"/>
          <w:szCs w:val="24"/>
        </w:rPr>
        <w:t xml:space="preserve">. </w:t>
      </w:r>
      <w:r w:rsidR="00E35C39" w:rsidRPr="00BF4413">
        <w:rPr>
          <w:rFonts w:asciiTheme="majorBidi" w:hAnsiTheme="majorBidi" w:cstheme="majorBidi"/>
          <w:sz w:val="24"/>
          <w:szCs w:val="24"/>
        </w:rPr>
        <w:t>The employee tax is imposed at the time of sale, provided that the options have been held by a trustee for at least two years prior to</w:t>
      </w:r>
      <w:r w:rsidRPr="00BF4413">
        <w:rPr>
          <w:rFonts w:asciiTheme="majorBidi" w:hAnsiTheme="majorBidi" w:cstheme="majorBidi"/>
          <w:sz w:val="24"/>
          <w:szCs w:val="24"/>
        </w:rPr>
        <w:t xml:space="preserve"> </w:t>
      </w:r>
      <w:r w:rsidR="00360026" w:rsidRPr="00BF4413">
        <w:rPr>
          <w:rFonts w:asciiTheme="majorBidi" w:hAnsiTheme="majorBidi" w:cstheme="majorBidi"/>
          <w:sz w:val="24"/>
          <w:szCs w:val="24"/>
        </w:rPr>
        <w:t>th</w:t>
      </w:r>
      <w:r w:rsidR="00E35C39" w:rsidRPr="00BF4413">
        <w:rPr>
          <w:rFonts w:asciiTheme="majorBidi" w:hAnsiTheme="majorBidi" w:cstheme="majorBidi"/>
          <w:sz w:val="24"/>
          <w:szCs w:val="24"/>
        </w:rPr>
        <w:t>e sale</w:t>
      </w:r>
      <w:r w:rsidRPr="00BF4413">
        <w:rPr>
          <w:rFonts w:asciiTheme="majorBidi" w:hAnsiTheme="majorBidi" w:cstheme="majorBidi"/>
          <w:sz w:val="24"/>
          <w:szCs w:val="24"/>
        </w:rPr>
        <w:t>.</w:t>
      </w:r>
    </w:p>
    <w:p w14:paraId="3BEB48CD" w14:textId="148FA100" w:rsidR="00485CB9" w:rsidRPr="00BF4413" w:rsidRDefault="00485CB9" w:rsidP="00485CB9">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On the other hand, countries with low scores such as Germany</w:t>
      </w:r>
      <w:r w:rsidR="007D4D2E" w:rsidRPr="00BF4413">
        <w:rPr>
          <w:rFonts w:asciiTheme="majorBidi" w:hAnsiTheme="majorBidi" w:cstheme="majorBidi"/>
          <w:sz w:val="24"/>
          <w:szCs w:val="24"/>
        </w:rPr>
        <w:t xml:space="preserve"> (</w:t>
      </w:r>
      <w:r w:rsidR="0025657C">
        <w:rPr>
          <w:rFonts w:asciiTheme="majorBidi" w:hAnsiTheme="majorBidi" w:cstheme="majorBidi"/>
          <w:sz w:val="24"/>
          <w:szCs w:val="24"/>
        </w:rPr>
        <w:t>IVS=</w:t>
      </w:r>
      <w:r w:rsidR="007D4D2E" w:rsidRPr="00BF4413">
        <w:rPr>
          <w:rFonts w:asciiTheme="majorBidi" w:hAnsiTheme="majorBidi" w:cstheme="majorBidi"/>
          <w:sz w:val="24"/>
          <w:szCs w:val="24"/>
        </w:rPr>
        <w:t>10)</w:t>
      </w:r>
      <w:r w:rsidRPr="00BF4413">
        <w:rPr>
          <w:rFonts w:asciiTheme="majorBidi" w:hAnsiTheme="majorBidi" w:cstheme="majorBidi"/>
          <w:sz w:val="24"/>
          <w:szCs w:val="24"/>
        </w:rPr>
        <w:t>, Belgium</w:t>
      </w:r>
      <w:r w:rsidR="007D4D2E" w:rsidRPr="00BF4413">
        <w:rPr>
          <w:rFonts w:asciiTheme="majorBidi" w:hAnsiTheme="majorBidi" w:cstheme="majorBidi"/>
          <w:sz w:val="24"/>
          <w:szCs w:val="24"/>
        </w:rPr>
        <w:t xml:space="preserve"> (</w:t>
      </w:r>
      <w:r w:rsidR="0025657C">
        <w:rPr>
          <w:rFonts w:asciiTheme="majorBidi" w:hAnsiTheme="majorBidi" w:cstheme="majorBidi"/>
          <w:sz w:val="24"/>
          <w:szCs w:val="24"/>
        </w:rPr>
        <w:t>IVS=</w:t>
      </w:r>
      <w:r w:rsidR="007D4D2E" w:rsidRPr="00BF4413">
        <w:rPr>
          <w:rFonts w:asciiTheme="majorBidi" w:hAnsiTheme="majorBidi" w:cstheme="majorBidi"/>
          <w:sz w:val="24"/>
          <w:szCs w:val="24"/>
        </w:rPr>
        <w:t>10)</w:t>
      </w:r>
      <w:r w:rsidRPr="00BF4413">
        <w:rPr>
          <w:rFonts w:asciiTheme="majorBidi" w:hAnsiTheme="majorBidi" w:cstheme="majorBidi"/>
          <w:sz w:val="24"/>
          <w:szCs w:val="24"/>
        </w:rPr>
        <w:t>, and Spain</w:t>
      </w:r>
      <w:r w:rsidR="007D4D2E" w:rsidRPr="00BF4413">
        <w:rPr>
          <w:rFonts w:asciiTheme="majorBidi" w:hAnsiTheme="majorBidi" w:cstheme="majorBidi"/>
          <w:sz w:val="24"/>
          <w:szCs w:val="24"/>
        </w:rPr>
        <w:t xml:space="preserve"> (</w:t>
      </w:r>
      <w:r w:rsidR="0025657C">
        <w:rPr>
          <w:rFonts w:asciiTheme="majorBidi" w:hAnsiTheme="majorBidi" w:cstheme="majorBidi"/>
          <w:sz w:val="24"/>
          <w:szCs w:val="24"/>
        </w:rPr>
        <w:t>IVS=</w:t>
      </w:r>
      <w:r w:rsidR="007D4D2E" w:rsidRPr="00BF4413">
        <w:rPr>
          <w:rFonts w:asciiTheme="majorBidi" w:hAnsiTheme="majorBidi" w:cstheme="majorBidi"/>
          <w:sz w:val="24"/>
          <w:szCs w:val="24"/>
        </w:rPr>
        <w:t>11)</w:t>
      </w:r>
      <w:r w:rsidRPr="00BF4413">
        <w:rPr>
          <w:rFonts w:asciiTheme="majorBidi" w:hAnsiTheme="majorBidi" w:cstheme="majorBidi"/>
          <w:sz w:val="24"/>
          <w:szCs w:val="24"/>
        </w:rPr>
        <w:t xml:space="preserve">, have policies that are less supportive of </w:t>
      </w:r>
      <w:r w:rsidR="002A49D0">
        <w:rPr>
          <w:rFonts w:asciiTheme="majorBidi" w:hAnsiTheme="majorBidi" w:cstheme="majorBidi"/>
          <w:sz w:val="24"/>
          <w:szCs w:val="24"/>
        </w:rPr>
        <w:t xml:space="preserve">employee </w:t>
      </w:r>
      <w:r w:rsidRPr="00BF4413">
        <w:rPr>
          <w:rFonts w:asciiTheme="majorBidi" w:hAnsiTheme="majorBidi" w:cstheme="majorBidi"/>
          <w:sz w:val="24"/>
          <w:szCs w:val="24"/>
        </w:rPr>
        <w:t>stock options.</w:t>
      </w:r>
      <w:r w:rsidR="00905DAD" w:rsidRPr="00905DAD">
        <w:t xml:space="preserve"> </w:t>
      </w:r>
      <w:r w:rsidR="00905DAD" w:rsidRPr="00905DAD">
        <w:rPr>
          <w:rFonts w:asciiTheme="majorBidi" w:hAnsiTheme="majorBidi" w:cstheme="majorBidi"/>
          <w:sz w:val="24"/>
          <w:szCs w:val="24"/>
        </w:rPr>
        <w:t xml:space="preserve">This suggests that these countries might have more intricate frameworks, leading to higher costs for companies and less favorable terms, like </w:t>
      </w:r>
      <w:r w:rsidR="00905DAD">
        <w:rPr>
          <w:rFonts w:asciiTheme="majorBidi" w:hAnsiTheme="majorBidi" w:cstheme="majorBidi"/>
          <w:sz w:val="24"/>
          <w:szCs w:val="24"/>
        </w:rPr>
        <w:t xml:space="preserve">higher </w:t>
      </w:r>
      <w:r w:rsidR="00905DAD" w:rsidRPr="00905DAD">
        <w:rPr>
          <w:rFonts w:asciiTheme="majorBidi" w:hAnsiTheme="majorBidi" w:cstheme="majorBidi"/>
          <w:sz w:val="24"/>
          <w:szCs w:val="24"/>
        </w:rPr>
        <w:t xml:space="preserve">exercise prices or immediate </w:t>
      </w:r>
      <w:r w:rsidR="00905DAD" w:rsidRPr="00905DAD">
        <w:rPr>
          <w:rFonts w:asciiTheme="majorBidi" w:hAnsiTheme="majorBidi" w:cstheme="majorBidi"/>
          <w:sz w:val="24"/>
          <w:szCs w:val="24"/>
        </w:rPr>
        <w:lastRenderedPageBreak/>
        <w:t>taxation, for employees</w:t>
      </w:r>
      <w:r w:rsidRPr="00BF4413">
        <w:rPr>
          <w:rFonts w:asciiTheme="majorBidi" w:hAnsiTheme="majorBidi" w:cstheme="majorBidi"/>
          <w:sz w:val="24"/>
          <w:szCs w:val="24"/>
        </w:rPr>
        <w:t>.</w:t>
      </w:r>
      <w:r w:rsidR="00BF26EC" w:rsidRPr="00BF4413">
        <w:rPr>
          <w:rFonts w:asciiTheme="majorBidi" w:hAnsiTheme="majorBidi" w:cstheme="majorBidi"/>
          <w:sz w:val="24"/>
          <w:szCs w:val="24"/>
        </w:rPr>
        <w:t xml:space="preserve"> </w:t>
      </w:r>
      <w:r w:rsidR="005D3602" w:rsidRPr="00BF4413">
        <w:rPr>
          <w:rFonts w:asciiTheme="majorBidi" w:hAnsiTheme="majorBidi" w:cstheme="majorBidi"/>
          <w:sz w:val="24"/>
          <w:szCs w:val="24"/>
        </w:rPr>
        <w:t>In some countries, it is not possible to set a strike price that is lower than the price per share paid in the most recent</w:t>
      </w:r>
      <w:r w:rsidR="00026F58" w:rsidRPr="00BF4413">
        <w:rPr>
          <w:rFonts w:asciiTheme="majorBidi" w:hAnsiTheme="majorBidi" w:cstheme="majorBidi"/>
          <w:sz w:val="24"/>
          <w:szCs w:val="24"/>
        </w:rPr>
        <w:t xml:space="preserve"> financing round.</w:t>
      </w:r>
    </w:p>
    <w:p w14:paraId="48F33A7B" w14:textId="6328D6E4" w:rsidR="00485CB9" w:rsidRDefault="002414E0" w:rsidP="00485CB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Thus</w:t>
      </w:r>
      <w:r w:rsidR="00485CB9" w:rsidRPr="00BF4413">
        <w:rPr>
          <w:rFonts w:asciiTheme="majorBidi" w:hAnsiTheme="majorBidi" w:cstheme="majorBidi"/>
          <w:sz w:val="24"/>
          <w:szCs w:val="24"/>
        </w:rPr>
        <w:t xml:space="preserve">, the Index Venture </w:t>
      </w:r>
      <w:r>
        <w:rPr>
          <w:rFonts w:asciiTheme="majorBidi" w:hAnsiTheme="majorBidi" w:cstheme="majorBidi"/>
          <w:sz w:val="24"/>
          <w:szCs w:val="24"/>
        </w:rPr>
        <w:t>scale</w:t>
      </w:r>
      <w:r w:rsidR="00485CB9" w:rsidRPr="00BF4413">
        <w:rPr>
          <w:rFonts w:asciiTheme="majorBidi" w:hAnsiTheme="majorBidi" w:cstheme="majorBidi"/>
          <w:sz w:val="24"/>
          <w:szCs w:val="24"/>
        </w:rPr>
        <w:t xml:space="preserve"> provides a useful tool for comparing the favorability of different countries</w:t>
      </w:r>
      <w:r w:rsidR="00A8583B">
        <w:rPr>
          <w:rFonts w:asciiTheme="majorBidi" w:hAnsiTheme="majorBidi" w:cstheme="majorBidi"/>
          <w:sz w:val="24"/>
          <w:szCs w:val="24"/>
        </w:rPr>
        <w:t>’</w:t>
      </w:r>
      <w:r w:rsidR="00485CB9" w:rsidRPr="00BF4413">
        <w:rPr>
          <w:rFonts w:asciiTheme="majorBidi" w:hAnsiTheme="majorBidi" w:cstheme="majorBidi"/>
          <w:sz w:val="24"/>
          <w:szCs w:val="24"/>
        </w:rPr>
        <w:t xml:space="preserve"> policies to </w:t>
      </w:r>
      <w:r w:rsidRPr="00BF4413">
        <w:rPr>
          <w:rFonts w:asciiTheme="majorBidi" w:hAnsiTheme="majorBidi" w:cstheme="majorBidi"/>
          <w:sz w:val="24"/>
          <w:szCs w:val="24"/>
        </w:rPr>
        <w:t>startup</w:t>
      </w:r>
      <w:r>
        <w:rPr>
          <w:rFonts w:asciiTheme="majorBidi" w:hAnsiTheme="majorBidi" w:cstheme="majorBidi"/>
          <w:sz w:val="24"/>
          <w:szCs w:val="24"/>
        </w:rPr>
        <w:t xml:space="preserve"> employee </w:t>
      </w:r>
      <w:r w:rsidR="00485CB9" w:rsidRPr="00BF4413">
        <w:rPr>
          <w:rFonts w:asciiTheme="majorBidi" w:hAnsiTheme="majorBidi" w:cstheme="majorBidi"/>
          <w:sz w:val="24"/>
          <w:szCs w:val="24"/>
        </w:rPr>
        <w:t>stock options.</w:t>
      </w:r>
    </w:p>
    <w:p w14:paraId="541A3292" w14:textId="09BB04AE" w:rsidR="006F000B" w:rsidRPr="00D82B08" w:rsidRDefault="00D82B08" w:rsidP="006F000B">
      <w:pPr>
        <w:pStyle w:val="ListParagraph"/>
        <w:numPr>
          <w:ilvl w:val="0"/>
          <w:numId w:val="5"/>
        </w:numPr>
        <w:spacing w:line="360" w:lineRule="auto"/>
        <w:jc w:val="both"/>
        <w:rPr>
          <w:rFonts w:asciiTheme="majorBidi" w:hAnsiTheme="majorBidi" w:cstheme="majorBidi"/>
          <w:sz w:val="24"/>
          <w:szCs w:val="24"/>
          <w:u w:val="single"/>
        </w:rPr>
      </w:pPr>
      <w:r w:rsidRPr="00D82B08">
        <w:rPr>
          <w:rFonts w:asciiTheme="majorBidi" w:hAnsiTheme="majorBidi" w:cstheme="majorBidi"/>
          <w:sz w:val="24"/>
          <w:szCs w:val="24"/>
          <w:u w:val="single"/>
        </w:rPr>
        <w:t>Equidam Data: Analyzing Startup E</w:t>
      </w:r>
      <w:r>
        <w:rPr>
          <w:rFonts w:asciiTheme="majorBidi" w:hAnsiTheme="majorBidi" w:cstheme="majorBidi"/>
          <w:sz w:val="24"/>
          <w:szCs w:val="24"/>
          <w:u w:val="single"/>
        </w:rPr>
        <w:t>mployee E</w:t>
      </w:r>
      <w:r w:rsidRPr="00D82B08">
        <w:rPr>
          <w:rFonts w:asciiTheme="majorBidi" w:hAnsiTheme="majorBidi" w:cstheme="majorBidi"/>
          <w:sz w:val="24"/>
          <w:szCs w:val="24"/>
          <w:u w:val="single"/>
        </w:rPr>
        <w:t>quity Ownership</w:t>
      </w:r>
    </w:p>
    <w:p w14:paraId="5749C239" w14:textId="5ACD7835" w:rsidR="00B35D7B" w:rsidRPr="00BF4413" w:rsidRDefault="002414E0" w:rsidP="00FD2D2A">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To</w:t>
      </w:r>
      <w:r w:rsidR="00B35D7B" w:rsidRPr="00BF4413">
        <w:rPr>
          <w:rFonts w:asciiTheme="majorBidi" w:hAnsiTheme="majorBidi" w:cstheme="majorBidi"/>
          <w:sz w:val="24"/>
          <w:szCs w:val="24"/>
        </w:rPr>
        <w:t xml:space="preserve"> </w:t>
      </w:r>
      <w:r w:rsidR="0024133E" w:rsidRPr="00BF4413">
        <w:rPr>
          <w:rFonts w:asciiTheme="majorBidi" w:hAnsiTheme="majorBidi" w:cstheme="majorBidi"/>
          <w:sz w:val="24"/>
          <w:szCs w:val="24"/>
        </w:rPr>
        <w:t>examine</w:t>
      </w:r>
      <w:r w:rsidR="00B35D7B" w:rsidRPr="00BF4413">
        <w:rPr>
          <w:rFonts w:asciiTheme="majorBidi" w:hAnsiTheme="majorBidi" w:cstheme="majorBidi"/>
          <w:sz w:val="24"/>
          <w:szCs w:val="24"/>
        </w:rPr>
        <w:t xml:space="preserve"> the association between startup </w:t>
      </w:r>
      <w:r>
        <w:rPr>
          <w:rFonts w:asciiTheme="majorBidi" w:hAnsiTheme="majorBidi" w:cstheme="majorBidi"/>
          <w:sz w:val="24"/>
          <w:szCs w:val="24"/>
        </w:rPr>
        <w:t xml:space="preserve">employee </w:t>
      </w:r>
      <w:r w:rsidR="00B35D7B" w:rsidRPr="00BF4413">
        <w:rPr>
          <w:rFonts w:asciiTheme="majorBidi" w:hAnsiTheme="majorBidi" w:cstheme="majorBidi"/>
          <w:sz w:val="24"/>
          <w:szCs w:val="24"/>
        </w:rPr>
        <w:t>equity ownership and Index Ventures</w:t>
      </w:r>
      <w:r w:rsidR="00A8583B">
        <w:rPr>
          <w:rFonts w:asciiTheme="majorBidi" w:hAnsiTheme="majorBidi" w:cstheme="majorBidi"/>
          <w:sz w:val="24"/>
          <w:szCs w:val="24"/>
        </w:rPr>
        <w:t>’</w:t>
      </w:r>
      <w:r w:rsidR="00B35D7B" w:rsidRPr="00BF4413">
        <w:rPr>
          <w:rFonts w:asciiTheme="majorBidi" w:hAnsiTheme="majorBidi" w:cstheme="majorBidi"/>
          <w:sz w:val="24"/>
          <w:szCs w:val="24"/>
        </w:rPr>
        <w:t xml:space="preserve"> scale of stock option friendliness, we utilize startup equity ownership data obtained from Equidam. Equidam is a</w:t>
      </w:r>
      <w:r>
        <w:rPr>
          <w:rFonts w:asciiTheme="majorBidi" w:hAnsiTheme="majorBidi" w:cstheme="majorBidi"/>
          <w:sz w:val="24"/>
          <w:szCs w:val="24"/>
        </w:rPr>
        <w:t>n</w:t>
      </w:r>
      <w:r w:rsidR="00B35D7B" w:rsidRPr="00BF4413">
        <w:rPr>
          <w:rFonts w:asciiTheme="majorBidi" w:hAnsiTheme="majorBidi" w:cstheme="majorBidi"/>
          <w:sz w:val="24"/>
          <w:szCs w:val="24"/>
        </w:rPr>
        <w:t xml:space="preserve"> EU-based online platform that provides early-stage startups with valuation estimates. </w:t>
      </w:r>
      <w:bookmarkStart w:id="1" w:name="_Hlk128515221"/>
      <w:r w:rsidR="009A3016">
        <w:rPr>
          <w:rFonts w:asciiTheme="majorBidi" w:hAnsiTheme="majorBidi" w:cstheme="majorBidi"/>
          <w:sz w:val="24"/>
          <w:szCs w:val="24"/>
        </w:rPr>
        <w:t>The full data</w:t>
      </w:r>
      <w:r w:rsidR="00632185">
        <w:rPr>
          <w:rFonts w:asciiTheme="majorBidi" w:hAnsiTheme="majorBidi" w:cstheme="majorBidi"/>
          <w:sz w:val="24"/>
          <w:szCs w:val="24"/>
        </w:rPr>
        <w:t>set</w:t>
      </w:r>
      <w:r w:rsidR="009A3016">
        <w:rPr>
          <w:rFonts w:asciiTheme="majorBidi" w:hAnsiTheme="majorBidi" w:cstheme="majorBidi"/>
          <w:sz w:val="24"/>
          <w:szCs w:val="24"/>
        </w:rPr>
        <w:t xml:space="preserve"> include</w:t>
      </w:r>
      <w:r w:rsidR="00B549F8">
        <w:rPr>
          <w:rFonts w:asciiTheme="majorBidi" w:hAnsiTheme="majorBidi" w:cstheme="majorBidi"/>
          <w:sz w:val="24"/>
          <w:szCs w:val="24"/>
        </w:rPr>
        <w:t>d</w:t>
      </w:r>
      <w:r w:rsidR="009A3016">
        <w:rPr>
          <w:rFonts w:asciiTheme="majorBidi" w:hAnsiTheme="majorBidi" w:cstheme="majorBidi"/>
          <w:sz w:val="24"/>
          <w:szCs w:val="24"/>
        </w:rPr>
        <w:t xml:space="preserve"> </w:t>
      </w:r>
      <w:r w:rsidR="00632185">
        <w:rPr>
          <w:rFonts w:asciiTheme="majorBidi" w:hAnsiTheme="majorBidi" w:cstheme="majorBidi"/>
          <w:sz w:val="24"/>
          <w:szCs w:val="24"/>
        </w:rPr>
        <w:t>20,973</w:t>
      </w:r>
      <w:r w:rsidR="009A3016">
        <w:rPr>
          <w:rFonts w:asciiTheme="majorBidi" w:hAnsiTheme="majorBidi" w:cstheme="majorBidi"/>
          <w:sz w:val="24"/>
          <w:szCs w:val="24"/>
        </w:rPr>
        <w:t xml:space="preserve"> </w:t>
      </w:r>
      <w:r w:rsidR="00632185">
        <w:rPr>
          <w:rFonts w:asciiTheme="majorBidi" w:hAnsiTheme="majorBidi" w:cstheme="majorBidi"/>
          <w:sz w:val="24"/>
          <w:szCs w:val="24"/>
        </w:rPr>
        <w:t>companies</w:t>
      </w:r>
      <w:r w:rsidR="00B549F8">
        <w:rPr>
          <w:rFonts w:asciiTheme="majorBidi" w:hAnsiTheme="majorBidi" w:cstheme="majorBidi"/>
          <w:sz w:val="24"/>
          <w:szCs w:val="24"/>
        </w:rPr>
        <w:t>, and we performed the following exclusion criteria to create a cohort of early-stage VC backed dataset</w:t>
      </w:r>
      <w:r w:rsidR="00C355FB">
        <w:rPr>
          <w:rFonts w:asciiTheme="majorBidi" w:hAnsiTheme="majorBidi" w:cstheme="majorBidi"/>
          <w:sz w:val="24"/>
          <w:szCs w:val="24"/>
        </w:rPr>
        <w:t xml:space="preserve"> (</w:t>
      </w:r>
      <w:r w:rsidR="00C355FB" w:rsidRPr="00C355FB">
        <w:rPr>
          <w:rFonts w:asciiTheme="majorBidi" w:hAnsiTheme="majorBidi" w:cstheme="majorBidi"/>
          <w:sz w:val="24"/>
          <w:szCs w:val="24"/>
        </w:rPr>
        <w:t>the same company could be excluded for multiple reasons</w:t>
      </w:r>
      <w:r w:rsidR="00C355FB">
        <w:rPr>
          <w:rFonts w:asciiTheme="majorBidi" w:hAnsiTheme="majorBidi" w:cstheme="majorBidi"/>
          <w:sz w:val="24"/>
          <w:szCs w:val="24"/>
        </w:rPr>
        <w:t>)</w:t>
      </w:r>
      <w:r w:rsidR="00B549F8">
        <w:rPr>
          <w:rFonts w:asciiTheme="majorBidi" w:hAnsiTheme="majorBidi" w:cstheme="majorBidi"/>
          <w:sz w:val="24"/>
          <w:szCs w:val="24"/>
        </w:rPr>
        <w:t>:</w:t>
      </w:r>
      <w:r w:rsidR="00632185">
        <w:rPr>
          <w:rFonts w:asciiTheme="majorBidi" w:hAnsiTheme="majorBidi" w:cstheme="majorBidi"/>
          <w:sz w:val="24"/>
          <w:szCs w:val="24"/>
        </w:rPr>
        <w:t xml:space="preserve"> companies founded before the year 200</w:t>
      </w:r>
      <w:r w:rsidR="00B549F8">
        <w:rPr>
          <w:rFonts w:asciiTheme="majorBidi" w:hAnsiTheme="majorBidi" w:cstheme="majorBidi"/>
          <w:sz w:val="24"/>
          <w:szCs w:val="24"/>
        </w:rPr>
        <w:t xml:space="preserve">7 </w:t>
      </w:r>
      <w:r w:rsidR="00632185">
        <w:rPr>
          <w:rFonts w:asciiTheme="majorBidi" w:hAnsiTheme="majorBidi" w:cstheme="majorBidi"/>
          <w:sz w:val="24"/>
          <w:szCs w:val="24"/>
        </w:rPr>
        <w:t>(</w:t>
      </w:r>
      <w:r w:rsidR="00B549F8">
        <w:rPr>
          <w:rFonts w:asciiTheme="majorBidi" w:hAnsiTheme="majorBidi" w:cstheme="majorBidi"/>
          <w:sz w:val="24"/>
          <w:szCs w:val="24"/>
        </w:rPr>
        <w:t xml:space="preserve">no </w:t>
      </w:r>
      <w:r w:rsidR="005549B8">
        <w:rPr>
          <w:rFonts w:asciiTheme="majorBidi" w:hAnsiTheme="majorBidi" w:cstheme="majorBidi"/>
          <w:sz w:val="24"/>
          <w:szCs w:val="24"/>
        </w:rPr>
        <w:t>employee stock options or other equity incentives</w:t>
      </w:r>
      <w:r w:rsidR="00B549F8">
        <w:rPr>
          <w:rFonts w:asciiTheme="majorBidi" w:hAnsiTheme="majorBidi" w:cstheme="majorBidi"/>
          <w:sz w:val="24"/>
          <w:szCs w:val="24"/>
        </w:rPr>
        <w:t xml:space="preserve"> were allocated in those companies; </w:t>
      </w:r>
      <w:r w:rsidR="00632185">
        <w:rPr>
          <w:rFonts w:asciiTheme="majorBidi" w:hAnsiTheme="majorBidi" w:cstheme="majorBidi"/>
          <w:sz w:val="24"/>
          <w:szCs w:val="24"/>
        </w:rPr>
        <w:t xml:space="preserve">excluded </w:t>
      </w:r>
      <w:r w:rsidR="00B549F8">
        <w:rPr>
          <w:rFonts w:asciiTheme="majorBidi" w:hAnsiTheme="majorBidi" w:cstheme="majorBidi"/>
          <w:sz w:val="24"/>
          <w:szCs w:val="24"/>
        </w:rPr>
        <w:t>4,429</w:t>
      </w:r>
      <w:r w:rsidR="00632185">
        <w:rPr>
          <w:rFonts w:asciiTheme="majorBidi" w:hAnsiTheme="majorBidi" w:cstheme="majorBidi"/>
          <w:sz w:val="24"/>
          <w:szCs w:val="24"/>
        </w:rPr>
        <w:t>), without VC funding or VC-like funding such as incubator, angel and crowdfunding (excluded</w:t>
      </w:r>
      <w:r w:rsidR="00632185" w:rsidRPr="00632185">
        <w:t xml:space="preserve"> </w:t>
      </w:r>
      <w:r w:rsidR="00632185" w:rsidRPr="00632185">
        <w:rPr>
          <w:rFonts w:asciiTheme="majorBidi" w:hAnsiTheme="majorBidi" w:cstheme="majorBidi"/>
          <w:sz w:val="24"/>
          <w:szCs w:val="24"/>
        </w:rPr>
        <w:t>11</w:t>
      </w:r>
      <w:r w:rsidR="00632185">
        <w:rPr>
          <w:rFonts w:asciiTheme="majorBidi" w:hAnsiTheme="majorBidi" w:cstheme="majorBidi"/>
          <w:sz w:val="24"/>
          <w:szCs w:val="24"/>
        </w:rPr>
        <w:t>,</w:t>
      </w:r>
      <w:r w:rsidR="00632185" w:rsidRPr="00632185">
        <w:rPr>
          <w:rFonts w:asciiTheme="majorBidi" w:hAnsiTheme="majorBidi" w:cstheme="majorBidi"/>
          <w:sz w:val="24"/>
          <w:szCs w:val="24"/>
        </w:rPr>
        <w:t>384</w:t>
      </w:r>
      <w:r w:rsidR="00632185">
        <w:rPr>
          <w:rFonts w:asciiTheme="majorBidi" w:hAnsiTheme="majorBidi" w:cstheme="majorBidi"/>
          <w:sz w:val="24"/>
          <w:szCs w:val="24"/>
        </w:rPr>
        <w:t xml:space="preserve">), companies without full commitment of the founders (excluded </w:t>
      </w:r>
      <w:r w:rsidR="00632185" w:rsidRPr="00632185">
        <w:rPr>
          <w:rFonts w:asciiTheme="majorBidi" w:hAnsiTheme="majorBidi" w:cstheme="majorBidi"/>
          <w:sz w:val="24"/>
          <w:szCs w:val="24"/>
        </w:rPr>
        <w:t>3</w:t>
      </w:r>
      <w:r w:rsidR="00632185">
        <w:rPr>
          <w:rFonts w:asciiTheme="majorBidi" w:hAnsiTheme="majorBidi" w:cstheme="majorBidi"/>
          <w:sz w:val="24"/>
          <w:szCs w:val="24"/>
        </w:rPr>
        <w:t>,</w:t>
      </w:r>
      <w:r w:rsidR="00632185" w:rsidRPr="00632185">
        <w:rPr>
          <w:rFonts w:asciiTheme="majorBidi" w:hAnsiTheme="majorBidi" w:cstheme="majorBidi"/>
          <w:sz w:val="24"/>
          <w:szCs w:val="24"/>
        </w:rPr>
        <w:t>241</w:t>
      </w:r>
      <w:r w:rsidR="00632185">
        <w:rPr>
          <w:rFonts w:asciiTheme="majorBidi" w:hAnsiTheme="majorBidi" w:cstheme="majorBidi"/>
          <w:sz w:val="24"/>
          <w:szCs w:val="24"/>
        </w:rPr>
        <w:t>)</w:t>
      </w:r>
      <w:r w:rsidR="00B549F8">
        <w:rPr>
          <w:rFonts w:asciiTheme="majorBidi" w:hAnsiTheme="majorBidi" w:cstheme="majorBidi"/>
          <w:sz w:val="24"/>
          <w:szCs w:val="24"/>
        </w:rPr>
        <w:t>, companies in the idea stage (excluded 1,019)</w:t>
      </w:r>
      <w:r w:rsidR="005549B8">
        <w:rPr>
          <w:rFonts w:asciiTheme="majorBidi" w:hAnsiTheme="majorBidi" w:cstheme="majorBidi"/>
          <w:sz w:val="24"/>
          <w:szCs w:val="24"/>
        </w:rPr>
        <w:t xml:space="preserve">, </w:t>
      </w:r>
      <w:r w:rsidR="00632185">
        <w:rPr>
          <w:rFonts w:asciiTheme="majorBidi" w:hAnsiTheme="majorBidi" w:cstheme="majorBidi"/>
          <w:sz w:val="24"/>
          <w:szCs w:val="24"/>
        </w:rPr>
        <w:t xml:space="preserve">with valuation of less than </w:t>
      </w:r>
      <w:r w:rsidR="00B549F8">
        <w:rPr>
          <w:rFonts w:asciiTheme="majorBidi" w:hAnsiTheme="majorBidi" w:cstheme="majorBidi"/>
          <w:sz w:val="24"/>
          <w:szCs w:val="24"/>
        </w:rPr>
        <w:t>half a</w:t>
      </w:r>
      <w:r w:rsidR="00632185">
        <w:rPr>
          <w:rFonts w:asciiTheme="majorBidi" w:hAnsiTheme="majorBidi" w:cstheme="majorBidi"/>
          <w:sz w:val="24"/>
          <w:szCs w:val="24"/>
        </w:rPr>
        <w:t xml:space="preserve"> million dollars (excluded </w:t>
      </w:r>
      <w:r w:rsidR="00352B22">
        <w:rPr>
          <w:rFonts w:asciiTheme="majorBidi" w:hAnsiTheme="majorBidi" w:cstheme="majorBidi"/>
          <w:sz w:val="24"/>
          <w:szCs w:val="24"/>
        </w:rPr>
        <w:t>1,344</w:t>
      </w:r>
      <w:r w:rsidR="00632185">
        <w:rPr>
          <w:rFonts w:asciiTheme="majorBidi" w:hAnsiTheme="majorBidi" w:cstheme="majorBidi"/>
          <w:sz w:val="24"/>
          <w:szCs w:val="24"/>
        </w:rPr>
        <w:t>)</w:t>
      </w:r>
      <w:r w:rsidR="005549B8">
        <w:rPr>
          <w:rFonts w:asciiTheme="majorBidi" w:hAnsiTheme="majorBidi" w:cstheme="majorBidi"/>
          <w:sz w:val="24"/>
          <w:szCs w:val="24"/>
        </w:rPr>
        <w:t>,</w:t>
      </w:r>
      <w:r w:rsidR="00B549F8">
        <w:rPr>
          <w:rFonts w:asciiTheme="majorBidi" w:hAnsiTheme="majorBidi" w:cstheme="majorBidi"/>
          <w:sz w:val="24"/>
          <w:szCs w:val="24"/>
        </w:rPr>
        <w:t xml:space="preserve"> and from countries </w:t>
      </w:r>
      <w:r w:rsidR="002A49D0">
        <w:rPr>
          <w:rFonts w:asciiTheme="majorBidi" w:hAnsiTheme="majorBidi" w:cstheme="majorBidi"/>
          <w:sz w:val="24"/>
          <w:szCs w:val="24"/>
        </w:rPr>
        <w:t>that are not</w:t>
      </w:r>
      <w:r w:rsidR="00B549F8">
        <w:rPr>
          <w:rFonts w:asciiTheme="majorBidi" w:hAnsiTheme="majorBidi" w:cstheme="majorBidi"/>
          <w:sz w:val="24"/>
          <w:szCs w:val="24"/>
        </w:rPr>
        <w:t xml:space="preserve"> included in Index Ventures</w:t>
      </w:r>
      <w:r w:rsidR="002A49D0">
        <w:rPr>
          <w:rFonts w:asciiTheme="majorBidi" w:hAnsiTheme="majorBidi" w:cstheme="majorBidi"/>
          <w:sz w:val="24"/>
          <w:szCs w:val="24"/>
        </w:rPr>
        <w:t>’</w:t>
      </w:r>
      <w:r w:rsidR="00B549F8">
        <w:rPr>
          <w:rFonts w:asciiTheme="majorBidi" w:hAnsiTheme="majorBidi" w:cstheme="majorBidi"/>
          <w:sz w:val="24"/>
          <w:szCs w:val="24"/>
        </w:rPr>
        <w:t xml:space="preserve"> </w:t>
      </w:r>
      <w:r w:rsidR="005549B8">
        <w:rPr>
          <w:rFonts w:asciiTheme="majorBidi" w:hAnsiTheme="majorBidi" w:cstheme="majorBidi"/>
          <w:sz w:val="24"/>
          <w:szCs w:val="24"/>
        </w:rPr>
        <w:t>scale</w:t>
      </w:r>
      <w:r w:rsidR="00B549F8">
        <w:rPr>
          <w:rFonts w:asciiTheme="majorBidi" w:hAnsiTheme="majorBidi" w:cstheme="majorBidi"/>
          <w:sz w:val="24"/>
          <w:szCs w:val="24"/>
        </w:rPr>
        <w:t xml:space="preserve"> (excluded </w:t>
      </w:r>
      <w:r w:rsidR="00B549F8" w:rsidRPr="00B549F8">
        <w:rPr>
          <w:rFonts w:asciiTheme="majorBidi" w:hAnsiTheme="majorBidi" w:cstheme="majorBidi"/>
          <w:sz w:val="24"/>
          <w:szCs w:val="24"/>
        </w:rPr>
        <w:t>8</w:t>
      </w:r>
      <w:r w:rsidR="00B549F8">
        <w:rPr>
          <w:rFonts w:asciiTheme="majorBidi" w:hAnsiTheme="majorBidi" w:cstheme="majorBidi"/>
          <w:sz w:val="24"/>
          <w:szCs w:val="24"/>
        </w:rPr>
        <w:t>,</w:t>
      </w:r>
      <w:r w:rsidR="00B549F8" w:rsidRPr="00B549F8">
        <w:rPr>
          <w:rFonts w:asciiTheme="majorBidi" w:hAnsiTheme="majorBidi" w:cstheme="majorBidi"/>
          <w:sz w:val="24"/>
          <w:szCs w:val="24"/>
        </w:rPr>
        <w:t>512</w:t>
      </w:r>
      <w:r w:rsidR="00B549F8">
        <w:rPr>
          <w:rFonts w:asciiTheme="majorBidi" w:hAnsiTheme="majorBidi" w:cstheme="majorBidi"/>
          <w:sz w:val="24"/>
          <w:szCs w:val="24"/>
        </w:rPr>
        <w:t>)</w:t>
      </w:r>
      <w:r w:rsidR="00632185">
        <w:rPr>
          <w:rFonts w:asciiTheme="majorBidi" w:hAnsiTheme="majorBidi" w:cstheme="majorBidi"/>
          <w:sz w:val="24"/>
          <w:szCs w:val="24"/>
        </w:rPr>
        <w:t>.</w:t>
      </w:r>
      <w:r w:rsidR="009A3016">
        <w:rPr>
          <w:rFonts w:asciiTheme="majorBidi" w:hAnsiTheme="majorBidi" w:cstheme="majorBidi"/>
          <w:sz w:val="24"/>
          <w:szCs w:val="24"/>
        </w:rPr>
        <w:t xml:space="preserve"> </w:t>
      </w:r>
      <w:r w:rsidR="00632185">
        <w:rPr>
          <w:rFonts w:asciiTheme="majorBidi" w:hAnsiTheme="majorBidi" w:cstheme="majorBidi"/>
          <w:sz w:val="24"/>
          <w:szCs w:val="24"/>
        </w:rPr>
        <w:t>Following th</w:t>
      </w:r>
      <w:r w:rsidR="00B549F8">
        <w:rPr>
          <w:rFonts w:asciiTheme="majorBidi" w:hAnsiTheme="majorBidi" w:cstheme="majorBidi"/>
          <w:sz w:val="24"/>
          <w:szCs w:val="24"/>
        </w:rPr>
        <w:t>e</w:t>
      </w:r>
      <w:r w:rsidR="00632185">
        <w:rPr>
          <w:rFonts w:asciiTheme="majorBidi" w:hAnsiTheme="majorBidi" w:cstheme="majorBidi"/>
          <w:sz w:val="24"/>
          <w:szCs w:val="24"/>
        </w:rPr>
        <w:t>s</w:t>
      </w:r>
      <w:r w:rsidR="00B549F8">
        <w:rPr>
          <w:rFonts w:asciiTheme="majorBidi" w:hAnsiTheme="majorBidi" w:cstheme="majorBidi"/>
          <w:sz w:val="24"/>
          <w:szCs w:val="24"/>
        </w:rPr>
        <w:t>e</w:t>
      </w:r>
      <w:r w:rsidR="00632185">
        <w:rPr>
          <w:rFonts w:asciiTheme="majorBidi" w:hAnsiTheme="majorBidi" w:cstheme="majorBidi"/>
          <w:sz w:val="24"/>
          <w:szCs w:val="24"/>
        </w:rPr>
        <w:t xml:space="preserve"> </w:t>
      </w:r>
      <w:r w:rsidR="00352B22">
        <w:rPr>
          <w:rFonts w:asciiTheme="majorBidi" w:hAnsiTheme="majorBidi" w:cstheme="majorBidi"/>
          <w:sz w:val="24"/>
          <w:szCs w:val="24"/>
        </w:rPr>
        <w:t>exclusions,</w:t>
      </w:r>
      <w:r w:rsidR="00632185">
        <w:rPr>
          <w:rFonts w:asciiTheme="majorBidi" w:hAnsiTheme="majorBidi" w:cstheme="majorBidi"/>
          <w:sz w:val="24"/>
          <w:szCs w:val="24"/>
        </w:rPr>
        <w:t xml:space="preserve"> we were left with </w:t>
      </w:r>
      <w:r w:rsidR="00B549F8">
        <w:rPr>
          <w:rFonts w:asciiTheme="majorBidi" w:hAnsiTheme="majorBidi" w:cstheme="majorBidi"/>
          <w:sz w:val="24"/>
          <w:szCs w:val="24"/>
        </w:rPr>
        <w:t xml:space="preserve">a dataset </w:t>
      </w:r>
      <w:r w:rsidR="00352B22">
        <w:rPr>
          <w:rFonts w:asciiTheme="majorBidi" w:hAnsiTheme="majorBidi" w:cstheme="majorBidi"/>
          <w:sz w:val="24"/>
          <w:szCs w:val="24"/>
        </w:rPr>
        <w:t xml:space="preserve">consisting </w:t>
      </w:r>
      <w:r w:rsidR="00B549F8">
        <w:rPr>
          <w:rFonts w:asciiTheme="majorBidi" w:hAnsiTheme="majorBidi" w:cstheme="majorBidi"/>
          <w:sz w:val="24"/>
          <w:szCs w:val="24"/>
        </w:rPr>
        <w:t>of</w:t>
      </w:r>
      <w:r w:rsidR="00B35D7B" w:rsidRPr="00BF4413">
        <w:rPr>
          <w:rFonts w:asciiTheme="majorBidi" w:hAnsiTheme="majorBidi" w:cstheme="majorBidi"/>
          <w:sz w:val="24"/>
          <w:szCs w:val="24"/>
        </w:rPr>
        <w:t xml:space="preserve"> </w:t>
      </w:r>
      <w:r w:rsidR="00352B22">
        <w:rPr>
          <w:rFonts w:asciiTheme="majorBidi" w:hAnsiTheme="majorBidi" w:cstheme="majorBidi"/>
          <w:sz w:val="24"/>
          <w:szCs w:val="24"/>
        </w:rPr>
        <w:t>4,</w:t>
      </w:r>
      <w:r w:rsidR="00B67F0A">
        <w:rPr>
          <w:rFonts w:asciiTheme="majorBidi" w:hAnsiTheme="majorBidi" w:cstheme="majorBidi"/>
          <w:sz w:val="24"/>
          <w:szCs w:val="24"/>
        </w:rPr>
        <w:t>2</w:t>
      </w:r>
      <w:r w:rsidR="00352B22">
        <w:rPr>
          <w:rFonts w:asciiTheme="majorBidi" w:hAnsiTheme="majorBidi" w:cstheme="majorBidi"/>
          <w:sz w:val="24"/>
          <w:szCs w:val="24"/>
        </w:rPr>
        <w:t>3</w:t>
      </w:r>
      <w:r w:rsidR="00B67F0A">
        <w:rPr>
          <w:rFonts w:asciiTheme="majorBidi" w:hAnsiTheme="majorBidi" w:cstheme="majorBidi"/>
          <w:sz w:val="24"/>
          <w:szCs w:val="24"/>
        </w:rPr>
        <w:t>5</w:t>
      </w:r>
      <w:r w:rsidR="00352B22" w:rsidRPr="00BF4413">
        <w:rPr>
          <w:rFonts w:asciiTheme="majorBidi" w:hAnsiTheme="majorBidi" w:cstheme="majorBidi"/>
          <w:sz w:val="24"/>
          <w:szCs w:val="24"/>
        </w:rPr>
        <w:t xml:space="preserve"> </w:t>
      </w:r>
      <w:r w:rsidR="00B35D7B" w:rsidRPr="00BF4413">
        <w:rPr>
          <w:rFonts w:asciiTheme="majorBidi" w:hAnsiTheme="majorBidi" w:cstheme="majorBidi"/>
          <w:sz w:val="24"/>
          <w:szCs w:val="24"/>
        </w:rPr>
        <w:t>early-stage startups incorporated in the 24 countries</w:t>
      </w:r>
      <w:r w:rsidR="00C355FB">
        <w:rPr>
          <w:rFonts w:asciiTheme="majorBidi" w:hAnsiTheme="majorBidi" w:cstheme="majorBidi"/>
          <w:sz w:val="24"/>
          <w:szCs w:val="24"/>
        </w:rPr>
        <w:t xml:space="preserve"> that are</w:t>
      </w:r>
      <w:r w:rsidR="00B35D7B" w:rsidRPr="00BF4413">
        <w:rPr>
          <w:rFonts w:asciiTheme="majorBidi" w:hAnsiTheme="majorBidi" w:cstheme="majorBidi"/>
          <w:sz w:val="24"/>
          <w:szCs w:val="24"/>
        </w:rPr>
        <w:t xml:space="preserve"> included in Index Ventures’ scale. </w:t>
      </w:r>
    </w:p>
    <w:p w14:paraId="0A59D233" w14:textId="4FDBAD0A" w:rsidR="00B07322" w:rsidRDefault="00AD2ACD" w:rsidP="00AD2ACD">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Furthermore, </w:t>
      </w:r>
      <w:r w:rsidR="0085418D" w:rsidRPr="00BF4413">
        <w:rPr>
          <w:rFonts w:asciiTheme="majorBidi" w:hAnsiTheme="majorBidi" w:cstheme="majorBidi"/>
          <w:sz w:val="24"/>
          <w:szCs w:val="24"/>
        </w:rPr>
        <w:t>Equidam</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s dataset incorporates several control variables to aid in comprehensive analysis. These include the </w:t>
      </w:r>
      <w:r w:rsidR="00A8583B">
        <w:rPr>
          <w:rFonts w:asciiTheme="majorBidi" w:hAnsiTheme="majorBidi" w:cstheme="majorBidi"/>
          <w:sz w:val="24"/>
          <w:szCs w:val="24"/>
        </w:rPr>
        <w:t>‘</w:t>
      </w:r>
      <w:r w:rsidR="0085418D" w:rsidRPr="00BF4413">
        <w:rPr>
          <w:rFonts w:asciiTheme="majorBidi" w:hAnsiTheme="majorBidi" w:cstheme="majorBidi"/>
          <w:sz w:val="24"/>
          <w:szCs w:val="24"/>
        </w:rPr>
        <w:t>Development Stage</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 of the enterprise, which is categorized into pre-seed, seed, or pre-revenue stages. The variable </w:t>
      </w:r>
      <w:r w:rsidR="00A8583B">
        <w:rPr>
          <w:rFonts w:asciiTheme="majorBidi" w:hAnsiTheme="majorBidi" w:cstheme="majorBidi"/>
          <w:sz w:val="24"/>
          <w:szCs w:val="24"/>
        </w:rPr>
        <w:t>‘</w:t>
      </w:r>
      <w:r w:rsidR="0085418D" w:rsidRPr="00BF4413">
        <w:rPr>
          <w:rFonts w:asciiTheme="majorBidi" w:hAnsiTheme="majorBidi" w:cstheme="majorBidi"/>
          <w:sz w:val="24"/>
          <w:szCs w:val="24"/>
        </w:rPr>
        <w:t>Previous Startup Experience</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 </w:t>
      </w:r>
      <w:r w:rsidR="00C355FB" w:rsidRPr="00BF4413">
        <w:rPr>
          <w:rFonts w:asciiTheme="majorBidi" w:hAnsiTheme="majorBidi" w:cstheme="majorBidi"/>
          <w:sz w:val="24"/>
          <w:szCs w:val="24"/>
        </w:rPr>
        <w:t>separates</w:t>
      </w:r>
      <w:r w:rsidR="0085418D" w:rsidRPr="00BF4413">
        <w:rPr>
          <w:rFonts w:asciiTheme="majorBidi" w:hAnsiTheme="majorBidi" w:cstheme="majorBidi"/>
          <w:sz w:val="24"/>
          <w:szCs w:val="24"/>
        </w:rPr>
        <w:t xml:space="preserve"> founders into three groups: those without previous startup involvement, those with prior experience working in a startup, and repeat founders who have launched </w:t>
      </w:r>
      <w:r w:rsidR="009028F8">
        <w:rPr>
          <w:rFonts w:asciiTheme="majorBidi" w:hAnsiTheme="majorBidi" w:cstheme="majorBidi"/>
          <w:sz w:val="24"/>
          <w:szCs w:val="24"/>
        </w:rPr>
        <w:t>more than one compan</w:t>
      </w:r>
      <w:r w:rsidR="0085418D" w:rsidRPr="00BF4413">
        <w:rPr>
          <w:rFonts w:asciiTheme="majorBidi" w:hAnsiTheme="majorBidi" w:cstheme="majorBidi"/>
          <w:sz w:val="24"/>
          <w:szCs w:val="24"/>
        </w:rPr>
        <w:t xml:space="preserve">y. Another important variable is the </w:t>
      </w:r>
      <w:r w:rsidR="00A8583B">
        <w:rPr>
          <w:rFonts w:asciiTheme="majorBidi" w:hAnsiTheme="majorBidi" w:cstheme="majorBidi"/>
          <w:sz w:val="24"/>
          <w:szCs w:val="24"/>
        </w:rPr>
        <w:t>‘</w:t>
      </w:r>
      <w:r w:rsidR="0085418D" w:rsidRPr="00BF4413">
        <w:rPr>
          <w:rFonts w:asciiTheme="majorBidi" w:hAnsiTheme="majorBidi" w:cstheme="majorBidi"/>
          <w:sz w:val="24"/>
          <w:szCs w:val="24"/>
        </w:rPr>
        <w:t>Number of Employees</w:t>
      </w:r>
      <w:r w:rsidR="00A8583B">
        <w:rPr>
          <w:rFonts w:asciiTheme="majorBidi" w:hAnsiTheme="majorBidi" w:cstheme="majorBidi"/>
          <w:sz w:val="24"/>
          <w:szCs w:val="24"/>
        </w:rPr>
        <w:t>’</w:t>
      </w:r>
      <w:r w:rsidR="0085418D" w:rsidRPr="00BF4413">
        <w:rPr>
          <w:rFonts w:asciiTheme="majorBidi" w:hAnsiTheme="majorBidi" w:cstheme="majorBidi"/>
          <w:sz w:val="24"/>
          <w:szCs w:val="24"/>
        </w:rPr>
        <w:t>, which acts as an indicator of the startup</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s size. </w:t>
      </w:r>
      <w:r w:rsidR="00A8583B">
        <w:rPr>
          <w:rFonts w:asciiTheme="majorBidi" w:hAnsiTheme="majorBidi" w:cstheme="majorBidi"/>
          <w:sz w:val="24"/>
          <w:szCs w:val="24"/>
        </w:rPr>
        <w:t>‘</w:t>
      </w:r>
      <w:r w:rsidR="0085418D" w:rsidRPr="00BF4413">
        <w:rPr>
          <w:rFonts w:asciiTheme="majorBidi" w:hAnsiTheme="majorBidi" w:cstheme="majorBidi"/>
          <w:sz w:val="24"/>
          <w:szCs w:val="24"/>
        </w:rPr>
        <w:t>Entrepreneur Age</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 is also factored in, distinguishing among startups whose founders are older than 45, between 35 and 45, and younger than 35. </w:t>
      </w:r>
      <w:r w:rsidR="00A8583B">
        <w:rPr>
          <w:rFonts w:asciiTheme="majorBidi" w:hAnsiTheme="majorBidi" w:cstheme="majorBidi"/>
          <w:sz w:val="24"/>
          <w:szCs w:val="24"/>
        </w:rPr>
        <w:t>‘</w:t>
      </w:r>
      <w:r w:rsidR="0085418D" w:rsidRPr="00BF4413">
        <w:rPr>
          <w:rFonts w:asciiTheme="majorBidi" w:hAnsiTheme="majorBidi" w:cstheme="majorBidi"/>
          <w:sz w:val="24"/>
          <w:szCs w:val="24"/>
        </w:rPr>
        <w:t>Board Presence</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 discerns the inclusion of board members </w:t>
      </w:r>
      <w:r w:rsidR="00AD41EA">
        <w:rPr>
          <w:rFonts w:asciiTheme="majorBidi" w:hAnsiTheme="majorBidi" w:cstheme="majorBidi"/>
          <w:sz w:val="24"/>
          <w:szCs w:val="24"/>
        </w:rPr>
        <w:t>who are not</w:t>
      </w:r>
      <w:r w:rsidR="0085418D" w:rsidRPr="00BF4413">
        <w:rPr>
          <w:rFonts w:asciiTheme="majorBidi" w:hAnsiTheme="majorBidi" w:cstheme="majorBidi"/>
          <w:sz w:val="24"/>
          <w:szCs w:val="24"/>
        </w:rPr>
        <w:t xml:space="preserve"> the founders. </w:t>
      </w:r>
      <w:r w:rsidR="00A8583B">
        <w:rPr>
          <w:rFonts w:asciiTheme="majorBidi" w:hAnsiTheme="majorBidi" w:cstheme="majorBidi"/>
          <w:sz w:val="24"/>
          <w:szCs w:val="24"/>
        </w:rPr>
        <w:t>‘</w:t>
      </w:r>
      <w:r w:rsidR="0085418D" w:rsidRPr="00BF4413">
        <w:rPr>
          <w:rFonts w:asciiTheme="majorBidi" w:hAnsiTheme="majorBidi" w:cstheme="majorBidi"/>
          <w:sz w:val="24"/>
          <w:szCs w:val="24"/>
        </w:rPr>
        <w:t>Valuation</w:t>
      </w:r>
      <w:r w:rsidR="00A8583B">
        <w:rPr>
          <w:rFonts w:asciiTheme="majorBidi" w:hAnsiTheme="majorBidi" w:cstheme="majorBidi"/>
          <w:sz w:val="24"/>
          <w:szCs w:val="24"/>
        </w:rPr>
        <w:t>’</w:t>
      </w:r>
      <w:r w:rsidR="0085418D" w:rsidRPr="00BF4413">
        <w:rPr>
          <w:rFonts w:asciiTheme="majorBidi" w:hAnsiTheme="majorBidi" w:cstheme="majorBidi"/>
          <w:sz w:val="24"/>
          <w:szCs w:val="24"/>
        </w:rPr>
        <w:t xml:space="preserve"> provides the </w:t>
      </w:r>
      <w:r w:rsidR="00D30C51" w:rsidRPr="00BF4413">
        <w:rPr>
          <w:rFonts w:asciiTheme="majorBidi" w:hAnsiTheme="majorBidi" w:cstheme="majorBidi"/>
          <w:sz w:val="24"/>
          <w:szCs w:val="24"/>
        </w:rPr>
        <w:t xml:space="preserve">latest </w:t>
      </w:r>
      <w:r w:rsidR="0085418D" w:rsidRPr="00BF4413">
        <w:rPr>
          <w:rFonts w:asciiTheme="majorBidi" w:hAnsiTheme="majorBidi" w:cstheme="majorBidi"/>
          <w:sz w:val="24"/>
          <w:szCs w:val="24"/>
        </w:rPr>
        <w:t xml:space="preserve">valuation of the startup, </w:t>
      </w:r>
      <w:r w:rsidR="00AD41EA">
        <w:rPr>
          <w:rFonts w:asciiTheme="majorBidi" w:hAnsiTheme="majorBidi" w:cstheme="majorBidi"/>
          <w:sz w:val="24"/>
          <w:szCs w:val="24"/>
        </w:rPr>
        <w:t>and</w:t>
      </w:r>
      <w:r w:rsidR="00AD41EA" w:rsidRPr="00AD41EA">
        <w:rPr>
          <w:rFonts w:asciiTheme="majorBidi" w:hAnsiTheme="majorBidi" w:cstheme="majorBidi"/>
          <w:sz w:val="24"/>
          <w:szCs w:val="24"/>
        </w:rPr>
        <w:t xml:space="preserve"> </w:t>
      </w:r>
      <w:r w:rsidR="00AD41EA">
        <w:rPr>
          <w:rFonts w:asciiTheme="majorBidi" w:hAnsiTheme="majorBidi" w:cstheme="majorBidi"/>
          <w:sz w:val="24"/>
          <w:szCs w:val="24"/>
        </w:rPr>
        <w:t xml:space="preserve">a </w:t>
      </w:r>
      <w:r w:rsidR="00AD41EA" w:rsidRPr="00AD41EA">
        <w:rPr>
          <w:rFonts w:asciiTheme="majorBidi" w:hAnsiTheme="majorBidi" w:cstheme="majorBidi"/>
          <w:sz w:val="24"/>
          <w:szCs w:val="24"/>
        </w:rPr>
        <w:t xml:space="preserve">'Legal Consultants' variable </w:t>
      </w:r>
      <w:r w:rsidR="00AD41EA">
        <w:rPr>
          <w:rFonts w:asciiTheme="majorBidi" w:hAnsiTheme="majorBidi" w:cstheme="majorBidi"/>
          <w:sz w:val="24"/>
          <w:szCs w:val="24"/>
        </w:rPr>
        <w:t xml:space="preserve">which </w:t>
      </w:r>
      <w:r w:rsidR="00AD41EA" w:rsidRPr="00AD41EA">
        <w:rPr>
          <w:rFonts w:asciiTheme="majorBidi" w:hAnsiTheme="majorBidi" w:cstheme="majorBidi"/>
          <w:sz w:val="24"/>
          <w:szCs w:val="24"/>
        </w:rPr>
        <w:t xml:space="preserve">represents the company's reliance on </w:t>
      </w:r>
      <w:r w:rsidR="001803F3">
        <w:rPr>
          <w:rFonts w:asciiTheme="majorBidi" w:hAnsiTheme="majorBidi" w:cstheme="majorBidi"/>
          <w:sz w:val="24"/>
          <w:szCs w:val="24"/>
        </w:rPr>
        <w:t>external</w:t>
      </w:r>
      <w:r w:rsidR="00AD41EA" w:rsidRPr="00AD41EA">
        <w:rPr>
          <w:rFonts w:asciiTheme="majorBidi" w:hAnsiTheme="majorBidi" w:cstheme="majorBidi"/>
          <w:sz w:val="24"/>
          <w:szCs w:val="24"/>
        </w:rPr>
        <w:t xml:space="preserve"> legal advice</w:t>
      </w:r>
      <w:r w:rsidR="0085418D" w:rsidRPr="00BF4413">
        <w:rPr>
          <w:rFonts w:asciiTheme="majorBidi" w:hAnsiTheme="majorBidi" w:cstheme="majorBidi"/>
          <w:sz w:val="24"/>
          <w:szCs w:val="24"/>
        </w:rPr>
        <w:t xml:space="preserve">. Lastly, </w:t>
      </w:r>
      <w:r w:rsidR="00CD4604" w:rsidRPr="00BF4413">
        <w:rPr>
          <w:rFonts w:asciiTheme="majorBidi" w:hAnsiTheme="majorBidi" w:cstheme="majorBidi"/>
          <w:sz w:val="24"/>
          <w:szCs w:val="24"/>
        </w:rPr>
        <w:t>‘</w:t>
      </w:r>
      <w:r w:rsidR="008C4316" w:rsidRPr="00BF4413">
        <w:rPr>
          <w:rFonts w:asciiTheme="majorBidi" w:hAnsiTheme="majorBidi" w:cstheme="majorBidi"/>
          <w:sz w:val="24"/>
          <w:szCs w:val="24"/>
        </w:rPr>
        <w:t>Year of Incorporation</w:t>
      </w:r>
      <w:r w:rsidR="00CD4604" w:rsidRPr="00BF4413">
        <w:rPr>
          <w:rFonts w:asciiTheme="majorBidi" w:hAnsiTheme="majorBidi" w:cstheme="majorBidi"/>
          <w:sz w:val="24"/>
          <w:szCs w:val="24"/>
        </w:rPr>
        <w:t>’</w:t>
      </w:r>
      <w:r w:rsidR="0085418D" w:rsidRPr="00BF4413">
        <w:rPr>
          <w:rFonts w:asciiTheme="majorBidi" w:hAnsiTheme="majorBidi" w:cstheme="majorBidi"/>
          <w:sz w:val="24"/>
          <w:szCs w:val="24"/>
        </w:rPr>
        <w:t xml:space="preserve"> </w:t>
      </w:r>
      <w:r w:rsidR="00CD4604" w:rsidRPr="00BF4413">
        <w:rPr>
          <w:rFonts w:asciiTheme="majorBidi" w:hAnsiTheme="majorBidi" w:cstheme="majorBidi"/>
          <w:sz w:val="24"/>
          <w:szCs w:val="24"/>
        </w:rPr>
        <w:t>takes into account the establishment year of the company</w:t>
      </w:r>
      <w:r w:rsidR="0085418D" w:rsidRPr="00BF4413">
        <w:rPr>
          <w:rFonts w:asciiTheme="majorBidi" w:hAnsiTheme="majorBidi" w:cstheme="majorBidi"/>
          <w:sz w:val="24"/>
          <w:szCs w:val="24"/>
        </w:rPr>
        <w:t>.</w:t>
      </w:r>
    </w:p>
    <w:p w14:paraId="4D767D00" w14:textId="77777777" w:rsidR="00701199" w:rsidRPr="00BF4413" w:rsidRDefault="00701199" w:rsidP="00AD2ACD">
      <w:pPr>
        <w:spacing w:line="360" w:lineRule="auto"/>
        <w:ind w:firstLine="720"/>
        <w:jc w:val="both"/>
        <w:rPr>
          <w:rFonts w:asciiTheme="majorBidi" w:hAnsiTheme="majorBidi" w:cstheme="majorBidi"/>
          <w:sz w:val="24"/>
          <w:szCs w:val="24"/>
        </w:rPr>
      </w:pPr>
    </w:p>
    <w:p w14:paraId="11E8317E" w14:textId="7464E804" w:rsidR="006419C2" w:rsidRPr="00BF4413" w:rsidRDefault="006419C2" w:rsidP="005B5936">
      <w:pPr>
        <w:pStyle w:val="Style1"/>
      </w:pPr>
      <w:r w:rsidRPr="00BF4413">
        <w:lastRenderedPageBreak/>
        <w:t xml:space="preserve">IV. Findings </w:t>
      </w:r>
    </w:p>
    <w:bookmarkEnd w:id="1"/>
    <w:p w14:paraId="140F39B6" w14:textId="297C8BB1" w:rsidR="00FB1894" w:rsidRPr="00BF4413" w:rsidRDefault="00C01EA6" w:rsidP="005B5936">
      <w:pPr>
        <w:spacing w:line="360" w:lineRule="auto"/>
        <w:ind w:firstLine="720"/>
        <w:jc w:val="both"/>
        <w:rPr>
          <w:rFonts w:asciiTheme="majorBidi" w:hAnsiTheme="majorBidi" w:cstheme="majorBidi"/>
          <w:sz w:val="24"/>
          <w:szCs w:val="24"/>
        </w:rPr>
      </w:pPr>
      <w:r w:rsidRPr="00C01EA6">
        <w:rPr>
          <w:rFonts w:asciiTheme="majorBidi" w:hAnsiTheme="majorBidi" w:cstheme="majorBidi"/>
          <w:sz w:val="24"/>
          <w:szCs w:val="24"/>
        </w:rPr>
        <w:t>We used a logistic regression model with various predictive factors to assess the likelihood of employee</w:t>
      </w:r>
      <w:r>
        <w:rPr>
          <w:rFonts w:asciiTheme="majorBidi" w:hAnsiTheme="majorBidi" w:cstheme="majorBidi"/>
          <w:sz w:val="24"/>
          <w:szCs w:val="24"/>
        </w:rPr>
        <w:t>s being included in a</w:t>
      </w:r>
      <w:r w:rsidRPr="00C01EA6">
        <w:rPr>
          <w:rFonts w:asciiTheme="majorBidi" w:hAnsiTheme="majorBidi" w:cstheme="majorBidi"/>
          <w:sz w:val="24"/>
          <w:szCs w:val="24"/>
        </w:rPr>
        <w:t xml:space="preserve"> startup</w:t>
      </w:r>
      <w:r>
        <w:rPr>
          <w:rFonts w:asciiTheme="majorBidi" w:hAnsiTheme="majorBidi" w:cstheme="majorBidi"/>
          <w:sz w:val="24"/>
          <w:szCs w:val="24"/>
        </w:rPr>
        <w:t>’</w:t>
      </w:r>
      <w:r w:rsidRPr="00C01EA6">
        <w:rPr>
          <w:rFonts w:asciiTheme="majorBidi" w:hAnsiTheme="majorBidi" w:cstheme="majorBidi"/>
          <w:sz w:val="24"/>
          <w:szCs w:val="24"/>
        </w:rPr>
        <w:t>s capitalization table</w:t>
      </w:r>
      <w:r w:rsidR="00966DF5" w:rsidRPr="00BF4413">
        <w:rPr>
          <w:rFonts w:asciiTheme="majorBidi" w:hAnsiTheme="majorBidi" w:cstheme="majorBidi"/>
          <w:sz w:val="24"/>
          <w:szCs w:val="24"/>
        </w:rPr>
        <w:t xml:space="preserve">. </w:t>
      </w:r>
    </w:p>
    <w:p w14:paraId="1CAFBAC1" w14:textId="0ACF0461" w:rsidR="00FB1894" w:rsidRPr="00BF4413" w:rsidRDefault="00FB1894"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As </w:t>
      </w:r>
      <w:r w:rsidR="008838B8" w:rsidRPr="00BF4413">
        <w:rPr>
          <w:rFonts w:asciiTheme="majorBidi" w:hAnsiTheme="majorBidi" w:cstheme="majorBidi"/>
          <w:sz w:val="24"/>
          <w:szCs w:val="24"/>
        </w:rPr>
        <w:t>seen</w:t>
      </w:r>
      <w:r w:rsidRPr="00BF4413">
        <w:rPr>
          <w:rFonts w:asciiTheme="majorBidi" w:hAnsiTheme="majorBidi" w:cstheme="majorBidi"/>
          <w:sz w:val="24"/>
          <w:szCs w:val="24"/>
        </w:rPr>
        <w:t xml:space="preserve"> in </w:t>
      </w:r>
      <w:r w:rsidRPr="00BF4413">
        <w:rPr>
          <w:rFonts w:asciiTheme="majorBidi" w:hAnsiTheme="majorBidi" w:cstheme="majorBidi"/>
          <w:b/>
          <w:bCs/>
          <w:sz w:val="24"/>
          <w:szCs w:val="24"/>
        </w:rPr>
        <w:t>Table 1</w:t>
      </w:r>
      <w:r w:rsidRPr="00BF4413">
        <w:rPr>
          <w:rFonts w:asciiTheme="majorBidi" w:hAnsiTheme="majorBidi" w:cstheme="majorBidi"/>
          <w:sz w:val="24"/>
          <w:szCs w:val="24"/>
        </w:rPr>
        <w:t xml:space="preserve">, </w:t>
      </w:r>
      <w:r w:rsidR="008838B8" w:rsidRPr="00BF4413">
        <w:rPr>
          <w:rFonts w:asciiTheme="majorBidi" w:hAnsiTheme="majorBidi" w:cstheme="majorBidi"/>
          <w:sz w:val="24"/>
          <w:szCs w:val="24"/>
        </w:rPr>
        <w:t>o</w:t>
      </w:r>
      <w:r w:rsidR="00966DF5" w:rsidRPr="00BF4413">
        <w:rPr>
          <w:rFonts w:asciiTheme="majorBidi" w:hAnsiTheme="majorBidi" w:cstheme="majorBidi"/>
          <w:sz w:val="24"/>
          <w:szCs w:val="24"/>
        </w:rPr>
        <w:t xml:space="preserve">ur </w:t>
      </w:r>
      <w:r w:rsidR="00352B22">
        <w:rPr>
          <w:rFonts w:asciiTheme="majorBidi" w:hAnsiTheme="majorBidi" w:cstheme="majorBidi"/>
          <w:sz w:val="24"/>
          <w:szCs w:val="24"/>
        </w:rPr>
        <w:t>analysis was performed on</w:t>
      </w:r>
      <w:r w:rsidR="00966DF5" w:rsidRPr="00BF4413">
        <w:rPr>
          <w:rFonts w:asciiTheme="majorBidi" w:hAnsiTheme="majorBidi" w:cstheme="majorBidi"/>
          <w:sz w:val="24"/>
          <w:szCs w:val="24"/>
        </w:rPr>
        <w:t xml:space="preserve"> </w:t>
      </w:r>
      <w:r w:rsidR="00352B22">
        <w:rPr>
          <w:rFonts w:asciiTheme="majorBidi" w:hAnsiTheme="majorBidi" w:cstheme="majorBidi"/>
          <w:sz w:val="24"/>
          <w:szCs w:val="24"/>
        </w:rPr>
        <w:t>4</w:t>
      </w:r>
      <w:r w:rsidR="00966DF5" w:rsidRPr="00BF4413">
        <w:rPr>
          <w:rFonts w:asciiTheme="majorBidi" w:hAnsiTheme="majorBidi" w:cstheme="majorBidi"/>
          <w:sz w:val="24"/>
          <w:szCs w:val="24"/>
        </w:rPr>
        <w:t>,</w:t>
      </w:r>
      <w:r w:rsidR="00352B22">
        <w:rPr>
          <w:rFonts w:asciiTheme="majorBidi" w:hAnsiTheme="majorBidi" w:cstheme="majorBidi"/>
          <w:sz w:val="24"/>
          <w:szCs w:val="24"/>
        </w:rPr>
        <w:t>2</w:t>
      </w:r>
      <w:r w:rsidR="00B67F0A">
        <w:rPr>
          <w:rFonts w:asciiTheme="majorBidi" w:hAnsiTheme="majorBidi" w:cstheme="majorBidi"/>
          <w:sz w:val="24"/>
          <w:szCs w:val="24"/>
        </w:rPr>
        <w:t>35</w:t>
      </w:r>
      <w:r w:rsidR="00352B22" w:rsidRPr="00BF4413">
        <w:rPr>
          <w:rFonts w:asciiTheme="majorBidi" w:hAnsiTheme="majorBidi" w:cstheme="majorBidi"/>
          <w:sz w:val="24"/>
          <w:szCs w:val="24"/>
        </w:rPr>
        <w:t xml:space="preserve"> </w:t>
      </w:r>
      <w:r w:rsidR="006E17A3">
        <w:rPr>
          <w:rFonts w:asciiTheme="majorBidi" w:hAnsiTheme="majorBidi" w:cstheme="majorBidi"/>
          <w:sz w:val="24"/>
          <w:szCs w:val="24"/>
        </w:rPr>
        <w:t>companies</w:t>
      </w:r>
      <w:r w:rsidR="00966DF5" w:rsidRPr="00BF4413">
        <w:rPr>
          <w:rFonts w:asciiTheme="majorBidi" w:hAnsiTheme="majorBidi" w:cstheme="majorBidi"/>
          <w:sz w:val="24"/>
          <w:szCs w:val="24"/>
        </w:rPr>
        <w:t xml:space="preserve">, and </w:t>
      </w:r>
      <w:r w:rsidRPr="00BF4413">
        <w:rPr>
          <w:rFonts w:asciiTheme="majorBidi" w:hAnsiTheme="majorBidi" w:cstheme="majorBidi"/>
          <w:sz w:val="24"/>
          <w:szCs w:val="24"/>
        </w:rPr>
        <w:t>t</w:t>
      </w:r>
      <w:r w:rsidR="00966DF5" w:rsidRPr="00BF4413">
        <w:rPr>
          <w:rFonts w:asciiTheme="majorBidi" w:hAnsiTheme="majorBidi" w:cstheme="majorBidi"/>
          <w:sz w:val="24"/>
          <w:szCs w:val="24"/>
        </w:rPr>
        <w:t>he intercept of the model was statistically significant (p = 0.00</w:t>
      </w:r>
      <w:r w:rsidR="00B67F0A">
        <w:rPr>
          <w:rFonts w:asciiTheme="majorBidi" w:hAnsiTheme="majorBidi" w:cstheme="majorBidi"/>
          <w:sz w:val="24"/>
          <w:szCs w:val="24"/>
        </w:rPr>
        <w:t>1</w:t>
      </w:r>
      <w:r w:rsidR="00966DF5" w:rsidRPr="00BF4413">
        <w:rPr>
          <w:rFonts w:asciiTheme="majorBidi" w:hAnsiTheme="majorBidi" w:cstheme="majorBidi"/>
          <w:sz w:val="24"/>
          <w:szCs w:val="24"/>
        </w:rPr>
        <w:t xml:space="preserve">), with an odds ratio of 0.00, suggesting that in </w:t>
      </w:r>
      <w:r w:rsidRPr="00BF4413">
        <w:rPr>
          <w:rFonts w:asciiTheme="majorBidi" w:hAnsiTheme="majorBidi" w:cstheme="majorBidi"/>
          <w:sz w:val="24"/>
          <w:szCs w:val="24"/>
        </w:rPr>
        <w:t xml:space="preserve">this sample, </w:t>
      </w:r>
      <w:r w:rsidR="00E10C41" w:rsidRPr="00BF4413">
        <w:rPr>
          <w:rFonts w:asciiTheme="majorBidi" w:hAnsiTheme="majorBidi" w:cstheme="majorBidi"/>
          <w:sz w:val="24"/>
          <w:szCs w:val="24"/>
        </w:rPr>
        <w:t xml:space="preserve">in </w:t>
      </w:r>
      <w:r w:rsidR="00966DF5" w:rsidRPr="00BF4413">
        <w:rPr>
          <w:rFonts w:asciiTheme="majorBidi" w:hAnsiTheme="majorBidi" w:cstheme="majorBidi"/>
          <w:sz w:val="24"/>
          <w:szCs w:val="24"/>
        </w:rPr>
        <w:t xml:space="preserve">the absence of all predictors, the odds of </w:t>
      </w:r>
      <w:r w:rsidR="00D43658" w:rsidRPr="00BF4413">
        <w:rPr>
          <w:rFonts w:asciiTheme="majorBidi" w:hAnsiTheme="majorBidi" w:cstheme="majorBidi"/>
          <w:sz w:val="24"/>
          <w:szCs w:val="24"/>
        </w:rPr>
        <w:t xml:space="preserve">employee participation </w:t>
      </w:r>
      <w:r w:rsidR="00966DF5" w:rsidRPr="00BF4413">
        <w:rPr>
          <w:rFonts w:asciiTheme="majorBidi" w:hAnsiTheme="majorBidi" w:cstheme="majorBidi"/>
          <w:sz w:val="24"/>
          <w:szCs w:val="24"/>
        </w:rPr>
        <w:t xml:space="preserve">in </w:t>
      </w:r>
      <w:r w:rsidR="000E6AE5" w:rsidRPr="00BF4413">
        <w:rPr>
          <w:rFonts w:asciiTheme="majorBidi" w:hAnsiTheme="majorBidi" w:cstheme="majorBidi"/>
          <w:sz w:val="24"/>
          <w:szCs w:val="24"/>
        </w:rPr>
        <w:t>a</w:t>
      </w:r>
      <w:r w:rsidR="00966DF5" w:rsidRPr="00BF4413">
        <w:rPr>
          <w:rFonts w:asciiTheme="majorBidi" w:hAnsiTheme="majorBidi" w:cstheme="majorBidi"/>
          <w:sz w:val="24"/>
          <w:szCs w:val="24"/>
        </w:rPr>
        <w:t xml:space="preserve"> startup</w:t>
      </w:r>
      <w:r w:rsidR="00A8583B">
        <w:rPr>
          <w:rFonts w:asciiTheme="majorBidi" w:hAnsiTheme="majorBidi" w:cstheme="majorBidi"/>
          <w:sz w:val="24"/>
          <w:szCs w:val="24"/>
        </w:rPr>
        <w:t>’</w:t>
      </w:r>
      <w:r w:rsidR="00966DF5" w:rsidRPr="00BF4413">
        <w:rPr>
          <w:rFonts w:asciiTheme="majorBidi" w:hAnsiTheme="majorBidi" w:cstheme="majorBidi"/>
          <w:sz w:val="24"/>
          <w:szCs w:val="24"/>
        </w:rPr>
        <w:t>s cap</w:t>
      </w:r>
      <w:r w:rsidR="00E10C41" w:rsidRPr="00BF4413">
        <w:rPr>
          <w:rFonts w:asciiTheme="majorBidi" w:hAnsiTheme="majorBidi" w:cstheme="majorBidi"/>
          <w:sz w:val="24"/>
          <w:szCs w:val="24"/>
        </w:rPr>
        <w:t>italization</w:t>
      </w:r>
      <w:r w:rsidR="00966DF5" w:rsidRPr="00BF4413">
        <w:rPr>
          <w:rFonts w:asciiTheme="majorBidi" w:hAnsiTheme="majorBidi" w:cstheme="majorBidi"/>
          <w:sz w:val="24"/>
          <w:szCs w:val="24"/>
        </w:rPr>
        <w:t xml:space="preserve"> table is virtually zero. </w:t>
      </w:r>
    </w:p>
    <w:p w14:paraId="68A23094" w14:textId="4AF874C0" w:rsidR="0045091C" w:rsidRPr="00BF4413" w:rsidRDefault="0045091C" w:rsidP="00F04452">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Among the predictors, </w:t>
      </w:r>
      <w:r w:rsidR="00AC1A0E" w:rsidRPr="00AC1A0E">
        <w:rPr>
          <w:rFonts w:asciiTheme="majorBidi" w:hAnsiTheme="majorBidi" w:cstheme="majorBidi"/>
          <w:sz w:val="24"/>
          <w:szCs w:val="24"/>
        </w:rPr>
        <w:t>the score from Index Ventures</w:t>
      </w:r>
      <w:r w:rsidR="00AC1A0E">
        <w:rPr>
          <w:rFonts w:asciiTheme="majorBidi" w:hAnsiTheme="majorBidi" w:cstheme="majorBidi"/>
          <w:sz w:val="24"/>
          <w:szCs w:val="24"/>
        </w:rPr>
        <w:t>’</w:t>
      </w:r>
      <w:r w:rsidR="00AC1A0E" w:rsidRPr="00AC1A0E">
        <w:rPr>
          <w:rFonts w:asciiTheme="majorBidi" w:hAnsiTheme="majorBidi" w:cstheme="majorBidi"/>
          <w:sz w:val="24"/>
          <w:szCs w:val="24"/>
        </w:rPr>
        <w:t xml:space="preserve"> scale for the country where the startup's headquarters is located</w:t>
      </w:r>
      <w:r w:rsidRPr="00BF4413">
        <w:rPr>
          <w:rFonts w:asciiTheme="majorBidi" w:hAnsiTheme="majorBidi" w:cstheme="majorBidi"/>
          <w:sz w:val="24"/>
          <w:szCs w:val="24"/>
        </w:rPr>
        <w:t xml:space="preserve">, </w:t>
      </w:r>
      <w:r w:rsidR="00AC1A0E">
        <w:rPr>
          <w:rFonts w:asciiTheme="majorBidi" w:hAnsiTheme="majorBidi" w:cstheme="majorBidi"/>
          <w:sz w:val="24"/>
          <w:szCs w:val="24"/>
        </w:rPr>
        <w:t xml:space="preserve">the </w:t>
      </w:r>
      <w:r w:rsidRPr="00BF4413">
        <w:rPr>
          <w:rFonts w:asciiTheme="majorBidi" w:hAnsiTheme="majorBidi" w:cstheme="majorBidi"/>
          <w:sz w:val="24"/>
          <w:szCs w:val="24"/>
        </w:rPr>
        <w:t xml:space="preserve">Development Stage (pre-revenue), the number of employees, the presence of </w:t>
      </w:r>
      <w:r w:rsidR="002658AD">
        <w:rPr>
          <w:rFonts w:asciiTheme="majorBidi" w:hAnsiTheme="majorBidi" w:cstheme="majorBidi"/>
          <w:sz w:val="24"/>
          <w:szCs w:val="24"/>
        </w:rPr>
        <w:t xml:space="preserve">external </w:t>
      </w:r>
      <w:r w:rsidRPr="00BF4413">
        <w:rPr>
          <w:rFonts w:asciiTheme="majorBidi" w:hAnsiTheme="majorBidi" w:cstheme="majorBidi"/>
          <w:sz w:val="24"/>
          <w:szCs w:val="24"/>
        </w:rPr>
        <w:t xml:space="preserve">legal consultants, and the Year of Incorporation were statistically significant at the 5% level. </w:t>
      </w:r>
    </w:p>
    <w:p w14:paraId="7AF3EB4A" w14:textId="086030E0" w:rsidR="008B4BBC" w:rsidRPr="00BF4413" w:rsidRDefault="008B4BBC" w:rsidP="008B4BBC">
      <w:pPr>
        <w:pStyle w:val="Caption"/>
        <w:keepNext/>
        <w:jc w:val="both"/>
        <w:rPr>
          <w:sz w:val="24"/>
          <w:szCs w:val="24"/>
        </w:rPr>
      </w:pPr>
      <w:r w:rsidRPr="00BF4413">
        <w:rPr>
          <w:b/>
          <w:bCs/>
          <w:color w:val="auto"/>
          <w:sz w:val="24"/>
          <w:szCs w:val="24"/>
        </w:rPr>
        <w:t xml:space="preserve">Table </w:t>
      </w:r>
      <w:r w:rsidRPr="00BF4413">
        <w:rPr>
          <w:b/>
          <w:bCs/>
          <w:color w:val="auto"/>
          <w:sz w:val="24"/>
          <w:szCs w:val="24"/>
        </w:rPr>
        <w:fldChar w:fldCharType="begin"/>
      </w:r>
      <w:r w:rsidRPr="00BF4413">
        <w:rPr>
          <w:b/>
          <w:bCs/>
          <w:color w:val="auto"/>
          <w:sz w:val="24"/>
          <w:szCs w:val="24"/>
        </w:rPr>
        <w:instrText xml:space="preserve"> SEQ Table \* ARABIC </w:instrText>
      </w:r>
      <w:r w:rsidRPr="00BF4413">
        <w:rPr>
          <w:b/>
          <w:bCs/>
          <w:color w:val="auto"/>
          <w:sz w:val="24"/>
          <w:szCs w:val="24"/>
        </w:rPr>
        <w:fldChar w:fldCharType="separate"/>
      </w:r>
      <w:r w:rsidR="008E4676">
        <w:rPr>
          <w:b/>
          <w:bCs/>
          <w:noProof/>
          <w:color w:val="auto"/>
          <w:sz w:val="24"/>
          <w:szCs w:val="24"/>
        </w:rPr>
        <w:t>1</w:t>
      </w:r>
      <w:r w:rsidRPr="00BF4413">
        <w:rPr>
          <w:b/>
          <w:bCs/>
          <w:color w:val="auto"/>
          <w:sz w:val="24"/>
          <w:szCs w:val="24"/>
        </w:rPr>
        <w:fldChar w:fldCharType="end"/>
      </w:r>
      <w:r w:rsidRPr="00BF4413">
        <w:rPr>
          <w:color w:val="auto"/>
          <w:sz w:val="24"/>
          <w:szCs w:val="24"/>
        </w:rPr>
        <w:t xml:space="preserve">: The reference point for the model encompasses the following conditions: the Development Stage is categorized as </w:t>
      </w:r>
      <w:r w:rsidR="00A8583B">
        <w:rPr>
          <w:color w:val="auto"/>
          <w:sz w:val="24"/>
          <w:szCs w:val="24"/>
        </w:rPr>
        <w:t>‘</w:t>
      </w:r>
      <w:r w:rsidRPr="00BF4413">
        <w:rPr>
          <w:color w:val="auto"/>
          <w:sz w:val="24"/>
          <w:szCs w:val="24"/>
        </w:rPr>
        <w:t>pre-seed</w:t>
      </w:r>
      <w:r w:rsidR="00A8583B">
        <w:rPr>
          <w:color w:val="auto"/>
          <w:sz w:val="24"/>
          <w:szCs w:val="24"/>
        </w:rPr>
        <w:t>’</w:t>
      </w:r>
      <w:r w:rsidRPr="00BF4413">
        <w:rPr>
          <w:color w:val="auto"/>
          <w:sz w:val="24"/>
          <w:szCs w:val="24"/>
        </w:rPr>
        <w:t>, the founders do not have Previous Startup experience, the Entrepreneurs’ Age falls within the 35-45 bracket, the board composition</w:t>
      </w:r>
      <w:r w:rsidRPr="00BF4413">
        <w:rPr>
          <w:color w:val="auto"/>
        </w:rPr>
        <w:t xml:space="preserve"> </w:t>
      </w:r>
      <w:r w:rsidRPr="00BF4413">
        <w:rPr>
          <w:color w:val="auto"/>
          <w:sz w:val="24"/>
          <w:szCs w:val="24"/>
        </w:rPr>
        <w:t xml:space="preserve">is exclusively limited to the founders, and there is an absence of </w:t>
      </w:r>
      <w:r w:rsidR="002658AD">
        <w:rPr>
          <w:color w:val="auto"/>
          <w:sz w:val="24"/>
          <w:szCs w:val="24"/>
        </w:rPr>
        <w:t>external</w:t>
      </w:r>
      <w:r w:rsidR="00D43E18">
        <w:rPr>
          <w:color w:val="auto"/>
          <w:sz w:val="24"/>
          <w:szCs w:val="24"/>
        </w:rPr>
        <w:t xml:space="preserve"> </w:t>
      </w:r>
      <w:r w:rsidRPr="00BF4413">
        <w:rPr>
          <w:color w:val="auto"/>
          <w:sz w:val="24"/>
          <w:szCs w:val="24"/>
        </w:rPr>
        <w:t>legal consultants</w:t>
      </w:r>
      <w:r w:rsidRPr="00BF4413">
        <w:rPr>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678"/>
        <w:gridCol w:w="1560"/>
        <w:gridCol w:w="1417"/>
        <w:gridCol w:w="1330"/>
      </w:tblGrid>
      <w:tr w:rsidR="00F46DCE" w:rsidRPr="00BF4413" w14:paraId="48DE8C62" w14:textId="77777777" w:rsidTr="00756744">
        <w:tc>
          <w:tcPr>
            <w:tcW w:w="8985" w:type="dxa"/>
            <w:gridSpan w:val="4"/>
            <w:tcBorders>
              <w:top w:val="double" w:sz="6" w:space="0" w:color="auto"/>
            </w:tcBorders>
            <w:tcMar>
              <w:top w:w="113" w:type="dxa"/>
              <w:left w:w="113" w:type="dxa"/>
              <w:bottom w:w="113" w:type="dxa"/>
              <w:right w:w="113" w:type="dxa"/>
            </w:tcMar>
            <w:vAlign w:val="center"/>
            <w:hideMark/>
          </w:tcPr>
          <w:p w14:paraId="029929A0" w14:textId="24B318CE" w:rsidR="00F46DCE" w:rsidRPr="00BF4413" w:rsidRDefault="00F46DCE" w:rsidP="000A4760">
            <w:pPr>
              <w:jc w:val="center"/>
              <w:rPr>
                <w:rFonts w:ascii="Times" w:eastAsia="Times New Roman" w:hAnsi="Times" w:cs="Times New Roman"/>
                <w:b/>
                <w:bCs/>
              </w:rPr>
            </w:pPr>
            <w:r w:rsidRPr="00BF4413">
              <w:rPr>
                <w:rFonts w:asciiTheme="majorBidi" w:hAnsiTheme="majorBidi" w:cstheme="majorBidi"/>
                <w:b/>
                <w:bCs/>
                <w:sz w:val="24"/>
                <w:szCs w:val="24"/>
              </w:rPr>
              <w:t xml:space="preserve">IV: </w:t>
            </w:r>
            <w:r w:rsidR="00F51743" w:rsidRPr="00BF4413">
              <w:rPr>
                <w:rFonts w:asciiTheme="majorBidi" w:hAnsiTheme="majorBidi" w:cstheme="majorBidi"/>
                <w:b/>
                <w:bCs/>
                <w:sz w:val="24"/>
                <w:szCs w:val="24"/>
              </w:rPr>
              <w:t xml:space="preserve">Employee Equity Participation </w:t>
            </w:r>
          </w:p>
        </w:tc>
      </w:tr>
      <w:tr w:rsidR="00EA2DA3" w:rsidRPr="00BF4413" w14:paraId="011B4E18" w14:textId="77777777" w:rsidTr="00EA2DA3">
        <w:tc>
          <w:tcPr>
            <w:tcW w:w="4678" w:type="dxa"/>
            <w:tcBorders>
              <w:bottom w:val="single" w:sz="6" w:space="0" w:color="auto"/>
            </w:tcBorders>
            <w:vAlign w:val="center"/>
            <w:hideMark/>
          </w:tcPr>
          <w:p w14:paraId="1CBC5A5B" w14:textId="77777777" w:rsidR="00EA2DA3" w:rsidRPr="00BF4413" w:rsidRDefault="00EA2DA3" w:rsidP="000A4760">
            <w:pPr>
              <w:rPr>
                <w:rFonts w:ascii="Times" w:eastAsia="Times New Roman" w:hAnsi="Times" w:cs="Times New Roman"/>
                <w:i/>
                <w:iCs/>
              </w:rPr>
            </w:pPr>
            <w:r w:rsidRPr="00BF4413">
              <w:rPr>
                <w:rFonts w:ascii="Times" w:eastAsia="Times New Roman" w:hAnsi="Times" w:cs="Times New Roman"/>
                <w:i/>
                <w:iCs/>
              </w:rPr>
              <w:t>Predictors</w:t>
            </w:r>
          </w:p>
        </w:tc>
        <w:tc>
          <w:tcPr>
            <w:tcW w:w="1560" w:type="dxa"/>
            <w:tcBorders>
              <w:bottom w:val="single" w:sz="6" w:space="0" w:color="auto"/>
            </w:tcBorders>
            <w:vAlign w:val="center"/>
            <w:hideMark/>
          </w:tcPr>
          <w:p w14:paraId="00E31BDF" w14:textId="77777777" w:rsidR="00EA2DA3" w:rsidRPr="00BF4413" w:rsidRDefault="00EA2DA3" w:rsidP="000A4760">
            <w:pPr>
              <w:jc w:val="center"/>
              <w:rPr>
                <w:rFonts w:ascii="Times" w:eastAsia="Times New Roman" w:hAnsi="Times" w:cs="Times New Roman"/>
                <w:i/>
                <w:iCs/>
              </w:rPr>
            </w:pPr>
            <w:r w:rsidRPr="00BF4413">
              <w:rPr>
                <w:rFonts w:ascii="Times" w:eastAsia="Times New Roman" w:hAnsi="Times" w:cs="Times New Roman"/>
                <w:i/>
                <w:iCs/>
              </w:rPr>
              <w:t>Odds Ratios</w:t>
            </w:r>
          </w:p>
        </w:tc>
        <w:tc>
          <w:tcPr>
            <w:tcW w:w="1417" w:type="dxa"/>
            <w:tcBorders>
              <w:bottom w:val="single" w:sz="6" w:space="0" w:color="auto"/>
            </w:tcBorders>
            <w:vAlign w:val="center"/>
            <w:hideMark/>
          </w:tcPr>
          <w:p w14:paraId="23B0E014" w14:textId="684F06E1" w:rsidR="00EA2DA3" w:rsidRPr="00BF4413" w:rsidRDefault="008B4BBC" w:rsidP="000A4760">
            <w:pPr>
              <w:jc w:val="center"/>
              <w:rPr>
                <w:rFonts w:ascii="Times" w:eastAsia="Times New Roman" w:hAnsi="Times" w:cs="Times New Roman"/>
                <w:i/>
                <w:iCs/>
              </w:rPr>
            </w:pPr>
            <w:r w:rsidRPr="00BF4413">
              <w:rPr>
                <w:rFonts w:ascii="Times" w:eastAsia="Times New Roman" w:hAnsi="Times" w:cs="Times New Roman"/>
                <w:i/>
                <w:iCs/>
              </w:rPr>
              <w:t>S</w:t>
            </w:r>
            <w:r w:rsidR="00EA2DA3" w:rsidRPr="00BF4413">
              <w:rPr>
                <w:rFonts w:ascii="Times" w:eastAsia="Times New Roman" w:hAnsi="Times" w:cs="Times New Roman"/>
                <w:i/>
                <w:iCs/>
              </w:rPr>
              <w:t>td. Error</w:t>
            </w:r>
          </w:p>
        </w:tc>
        <w:tc>
          <w:tcPr>
            <w:tcW w:w="0" w:type="auto"/>
            <w:tcBorders>
              <w:bottom w:val="single" w:sz="6" w:space="0" w:color="auto"/>
            </w:tcBorders>
            <w:vAlign w:val="center"/>
            <w:hideMark/>
          </w:tcPr>
          <w:p w14:paraId="53911D3B" w14:textId="77777777" w:rsidR="00EA2DA3" w:rsidRPr="00BF4413" w:rsidRDefault="00EA2DA3" w:rsidP="000A4760">
            <w:pPr>
              <w:jc w:val="center"/>
              <w:rPr>
                <w:rFonts w:ascii="Times" w:eastAsia="Times New Roman" w:hAnsi="Times" w:cs="Times New Roman"/>
                <w:i/>
                <w:iCs/>
              </w:rPr>
            </w:pPr>
            <w:r w:rsidRPr="00BF4413">
              <w:rPr>
                <w:rFonts w:ascii="Times" w:eastAsia="Times New Roman" w:hAnsi="Times" w:cs="Times New Roman"/>
                <w:i/>
                <w:iCs/>
              </w:rPr>
              <w:t>CI</w:t>
            </w:r>
          </w:p>
        </w:tc>
      </w:tr>
      <w:tr w:rsidR="00B67F0A" w:rsidRPr="00BF4413" w14:paraId="2D808322" w14:textId="77777777" w:rsidTr="00EA2DA3">
        <w:tc>
          <w:tcPr>
            <w:tcW w:w="4678" w:type="dxa"/>
            <w:tcMar>
              <w:top w:w="113" w:type="dxa"/>
              <w:left w:w="113" w:type="dxa"/>
              <w:bottom w:w="113" w:type="dxa"/>
              <w:right w:w="113" w:type="dxa"/>
            </w:tcMar>
            <w:hideMark/>
          </w:tcPr>
          <w:p w14:paraId="0F8FAEDC" w14:textId="1AA97003"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(Intercept)</w:t>
            </w:r>
          </w:p>
        </w:tc>
        <w:tc>
          <w:tcPr>
            <w:tcW w:w="1560" w:type="dxa"/>
            <w:tcMar>
              <w:top w:w="113" w:type="dxa"/>
              <w:left w:w="113" w:type="dxa"/>
              <w:bottom w:w="113" w:type="dxa"/>
              <w:right w:w="113" w:type="dxa"/>
            </w:tcMar>
            <w:hideMark/>
          </w:tcPr>
          <w:p w14:paraId="1633F3FC" w14:textId="0AB87BD1"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0.00 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6223C327" w14:textId="3FFE4A94"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0.00</w:t>
            </w:r>
          </w:p>
        </w:tc>
        <w:tc>
          <w:tcPr>
            <w:tcW w:w="0" w:type="auto"/>
            <w:tcMar>
              <w:top w:w="113" w:type="dxa"/>
              <w:left w:w="113" w:type="dxa"/>
              <w:bottom w:w="113" w:type="dxa"/>
              <w:right w:w="113" w:type="dxa"/>
            </w:tcMar>
            <w:hideMark/>
          </w:tcPr>
          <w:p w14:paraId="1102A4FF" w14:textId="794A8AD8"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0.00 – 0.00</w:t>
            </w:r>
          </w:p>
        </w:tc>
      </w:tr>
      <w:tr w:rsidR="00B67F0A" w:rsidRPr="00BF4413" w14:paraId="616A6474" w14:textId="77777777" w:rsidTr="00EA2DA3">
        <w:tc>
          <w:tcPr>
            <w:tcW w:w="4678" w:type="dxa"/>
            <w:tcMar>
              <w:top w:w="113" w:type="dxa"/>
              <w:left w:w="113" w:type="dxa"/>
              <w:bottom w:w="113" w:type="dxa"/>
              <w:right w:w="113" w:type="dxa"/>
            </w:tcMar>
            <w:hideMark/>
          </w:tcPr>
          <w:p w14:paraId="3633878B" w14:textId="17FAB879"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Index Venture’s Score</w:t>
            </w:r>
          </w:p>
        </w:tc>
        <w:tc>
          <w:tcPr>
            <w:tcW w:w="1560" w:type="dxa"/>
            <w:tcMar>
              <w:top w:w="113" w:type="dxa"/>
              <w:left w:w="113" w:type="dxa"/>
              <w:bottom w:w="113" w:type="dxa"/>
              <w:right w:w="113" w:type="dxa"/>
            </w:tcMar>
            <w:hideMark/>
          </w:tcPr>
          <w:p w14:paraId="71E3B151" w14:textId="15E975D2"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1.05 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471657C0" w14:textId="040ED36A"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0.02</w:t>
            </w:r>
          </w:p>
        </w:tc>
        <w:tc>
          <w:tcPr>
            <w:tcW w:w="0" w:type="auto"/>
            <w:tcMar>
              <w:top w:w="113" w:type="dxa"/>
              <w:left w:w="113" w:type="dxa"/>
              <w:bottom w:w="113" w:type="dxa"/>
              <w:right w:w="113" w:type="dxa"/>
            </w:tcMar>
            <w:hideMark/>
          </w:tcPr>
          <w:p w14:paraId="3F314D2C" w14:textId="2F36F3C0"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1.01 – 1.08</w:t>
            </w:r>
          </w:p>
        </w:tc>
      </w:tr>
      <w:tr w:rsidR="00B67F0A" w:rsidRPr="00BF4413" w14:paraId="57C9974C" w14:textId="77777777" w:rsidTr="00EA2DA3">
        <w:tc>
          <w:tcPr>
            <w:tcW w:w="4678" w:type="dxa"/>
            <w:tcMar>
              <w:top w:w="113" w:type="dxa"/>
              <w:left w:w="113" w:type="dxa"/>
              <w:bottom w:w="113" w:type="dxa"/>
              <w:right w:w="113" w:type="dxa"/>
            </w:tcMar>
            <w:hideMark/>
          </w:tcPr>
          <w:p w14:paraId="499C9D51" w14:textId="3D6DBAD6"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Development Stage: Seed</w:t>
            </w:r>
          </w:p>
        </w:tc>
        <w:tc>
          <w:tcPr>
            <w:tcW w:w="1560" w:type="dxa"/>
            <w:tcMar>
              <w:top w:w="113" w:type="dxa"/>
              <w:left w:w="113" w:type="dxa"/>
              <w:bottom w:w="113" w:type="dxa"/>
              <w:right w:w="113" w:type="dxa"/>
            </w:tcMar>
            <w:hideMark/>
          </w:tcPr>
          <w:p w14:paraId="184C0AD7" w14:textId="35951CDE"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1.24</w:t>
            </w:r>
          </w:p>
        </w:tc>
        <w:tc>
          <w:tcPr>
            <w:tcW w:w="1417" w:type="dxa"/>
            <w:tcMar>
              <w:top w:w="113" w:type="dxa"/>
              <w:left w:w="113" w:type="dxa"/>
              <w:bottom w:w="113" w:type="dxa"/>
              <w:right w:w="113" w:type="dxa"/>
            </w:tcMar>
            <w:hideMark/>
          </w:tcPr>
          <w:p w14:paraId="3848887D" w14:textId="6AF6BF9D"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0.31</w:t>
            </w:r>
          </w:p>
        </w:tc>
        <w:tc>
          <w:tcPr>
            <w:tcW w:w="0" w:type="auto"/>
            <w:tcMar>
              <w:top w:w="113" w:type="dxa"/>
              <w:left w:w="113" w:type="dxa"/>
              <w:bottom w:w="113" w:type="dxa"/>
              <w:right w:w="113" w:type="dxa"/>
            </w:tcMar>
            <w:hideMark/>
          </w:tcPr>
          <w:p w14:paraId="51A8E798" w14:textId="114A0B16"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0.77 – 2.03</w:t>
            </w:r>
          </w:p>
        </w:tc>
      </w:tr>
      <w:tr w:rsidR="00B67F0A" w:rsidRPr="00BF4413" w14:paraId="0134209F" w14:textId="77777777" w:rsidTr="00EA2DA3">
        <w:tc>
          <w:tcPr>
            <w:tcW w:w="4678" w:type="dxa"/>
            <w:tcMar>
              <w:top w:w="113" w:type="dxa"/>
              <w:left w:w="113" w:type="dxa"/>
              <w:bottom w:w="113" w:type="dxa"/>
              <w:right w:w="113" w:type="dxa"/>
            </w:tcMar>
            <w:hideMark/>
          </w:tcPr>
          <w:p w14:paraId="6BBE19B8" w14:textId="25D5D113"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Development Stage: Pre-revenue</w:t>
            </w:r>
          </w:p>
        </w:tc>
        <w:tc>
          <w:tcPr>
            <w:tcW w:w="1560" w:type="dxa"/>
            <w:tcMar>
              <w:top w:w="113" w:type="dxa"/>
              <w:left w:w="113" w:type="dxa"/>
              <w:bottom w:w="113" w:type="dxa"/>
              <w:right w:w="113" w:type="dxa"/>
            </w:tcMar>
            <w:hideMark/>
          </w:tcPr>
          <w:p w14:paraId="76EDA33F" w14:textId="2AE47886" w:rsidR="00B67F0A" w:rsidRPr="00BF4413" w:rsidRDefault="00B67F0A" w:rsidP="00B67F0A">
            <w:pPr>
              <w:jc w:val="center"/>
              <w:rPr>
                <w:rFonts w:ascii="Times" w:eastAsia="Times New Roman" w:hAnsi="Times" w:cs="Times New Roman"/>
              </w:rPr>
            </w:pPr>
            <w:r w:rsidRPr="000C5E3B">
              <w:rPr>
                <w:rFonts w:ascii="Times" w:eastAsia="Times New Roman" w:hAnsi="Times" w:cs="Times"/>
              </w:rPr>
              <w:t>2.15 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159CAE63" w14:textId="7EF4AED4"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0.52</w:t>
            </w:r>
          </w:p>
        </w:tc>
        <w:tc>
          <w:tcPr>
            <w:tcW w:w="0" w:type="auto"/>
            <w:tcMar>
              <w:top w:w="113" w:type="dxa"/>
              <w:left w:w="113" w:type="dxa"/>
              <w:bottom w:w="113" w:type="dxa"/>
              <w:right w:w="113" w:type="dxa"/>
            </w:tcMar>
            <w:hideMark/>
          </w:tcPr>
          <w:p w14:paraId="36DAC13D" w14:textId="68F730FA"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1.36 – 3.49</w:t>
            </w:r>
          </w:p>
        </w:tc>
      </w:tr>
      <w:tr w:rsidR="00B67F0A" w:rsidRPr="00BF4413" w14:paraId="3677D743" w14:textId="77777777" w:rsidTr="00EA2DA3">
        <w:tc>
          <w:tcPr>
            <w:tcW w:w="4678" w:type="dxa"/>
            <w:tcMar>
              <w:top w:w="113" w:type="dxa"/>
              <w:left w:w="113" w:type="dxa"/>
              <w:bottom w:w="113" w:type="dxa"/>
              <w:right w:w="113" w:type="dxa"/>
            </w:tcMar>
            <w:hideMark/>
          </w:tcPr>
          <w:p w14:paraId="47D436F9" w14:textId="405511C7"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Previous Startup: Founders worked at a startup</w:t>
            </w:r>
          </w:p>
        </w:tc>
        <w:tc>
          <w:tcPr>
            <w:tcW w:w="1560" w:type="dxa"/>
            <w:tcMar>
              <w:top w:w="113" w:type="dxa"/>
              <w:left w:w="113" w:type="dxa"/>
              <w:bottom w:w="113" w:type="dxa"/>
              <w:right w:w="113" w:type="dxa"/>
            </w:tcMar>
            <w:hideMark/>
          </w:tcPr>
          <w:p w14:paraId="334DC5AD" w14:textId="1B58B8A8" w:rsidR="00B67F0A" w:rsidRPr="00BF4413" w:rsidRDefault="00B67F0A" w:rsidP="00B67F0A">
            <w:pPr>
              <w:jc w:val="center"/>
              <w:rPr>
                <w:rFonts w:ascii="Times" w:eastAsia="Times New Roman" w:hAnsi="Times" w:cs="Times New Roman"/>
              </w:rPr>
            </w:pPr>
            <w:r w:rsidRPr="000C5E3B">
              <w:rPr>
                <w:rFonts w:ascii="Times" w:eastAsia="Times New Roman" w:hAnsi="Times" w:cs="Times"/>
              </w:rPr>
              <w:t>2.02 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49A54D45" w14:textId="2EE11199"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0.59</w:t>
            </w:r>
          </w:p>
        </w:tc>
        <w:tc>
          <w:tcPr>
            <w:tcW w:w="0" w:type="auto"/>
            <w:tcMar>
              <w:top w:w="113" w:type="dxa"/>
              <w:left w:w="113" w:type="dxa"/>
              <w:bottom w:w="113" w:type="dxa"/>
              <w:right w:w="113" w:type="dxa"/>
            </w:tcMar>
            <w:hideMark/>
          </w:tcPr>
          <w:p w14:paraId="65923E95" w14:textId="7F23EAA8"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1.17 – 3.72</w:t>
            </w:r>
          </w:p>
        </w:tc>
      </w:tr>
      <w:tr w:rsidR="00B67F0A" w:rsidRPr="00BF4413" w14:paraId="310FAA7B" w14:textId="77777777" w:rsidTr="00EA2DA3">
        <w:tc>
          <w:tcPr>
            <w:tcW w:w="4678" w:type="dxa"/>
            <w:tcMar>
              <w:top w:w="113" w:type="dxa"/>
              <w:left w:w="113" w:type="dxa"/>
              <w:bottom w:w="113" w:type="dxa"/>
              <w:right w:w="113" w:type="dxa"/>
            </w:tcMar>
            <w:hideMark/>
          </w:tcPr>
          <w:p w14:paraId="2E89E5DB" w14:textId="4E3561BD"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Previous Startup:   Founders founded a startup</w:t>
            </w:r>
          </w:p>
        </w:tc>
        <w:tc>
          <w:tcPr>
            <w:tcW w:w="1560" w:type="dxa"/>
            <w:tcMar>
              <w:top w:w="113" w:type="dxa"/>
              <w:left w:w="113" w:type="dxa"/>
              <w:bottom w:w="113" w:type="dxa"/>
              <w:right w:w="113" w:type="dxa"/>
            </w:tcMar>
            <w:hideMark/>
          </w:tcPr>
          <w:p w14:paraId="7B43C517" w14:textId="53E99AAD"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1.58</w:t>
            </w:r>
          </w:p>
        </w:tc>
        <w:tc>
          <w:tcPr>
            <w:tcW w:w="1417" w:type="dxa"/>
            <w:tcMar>
              <w:top w:w="113" w:type="dxa"/>
              <w:left w:w="113" w:type="dxa"/>
              <w:bottom w:w="113" w:type="dxa"/>
              <w:right w:w="113" w:type="dxa"/>
            </w:tcMar>
            <w:hideMark/>
          </w:tcPr>
          <w:p w14:paraId="71ED0EF2" w14:textId="46998348"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0.48</w:t>
            </w:r>
          </w:p>
        </w:tc>
        <w:tc>
          <w:tcPr>
            <w:tcW w:w="0" w:type="auto"/>
            <w:tcMar>
              <w:top w:w="113" w:type="dxa"/>
              <w:left w:w="113" w:type="dxa"/>
              <w:bottom w:w="113" w:type="dxa"/>
              <w:right w:w="113" w:type="dxa"/>
            </w:tcMar>
            <w:hideMark/>
          </w:tcPr>
          <w:p w14:paraId="2E63430A" w14:textId="1594D6AA"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0.89 – 2.97</w:t>
            </w:r>
          </w:p>
        </w:tc>
      </w:tr>
      <w:tr w:rsidR="00B67F0A" w:rsidRPr="00BF4413" w14:paraId="59C45F83" w14:textId="77777777" w:rsidTr="00EA2DA3">
        <w:tc>
          <w:tcPr>
            <w:tcW w:w="4678" w:type="dxa"/>
            <w:tcMar>
              <w:top w:w="113" w:type="dxa"/>
              <w:left w:w="113" w:type="dxa"/>
              <w:bottom w:w="113" w:type="dxa"/>
              <w:right w:w="113" w:type="dxa"/>
            </w:tcMar>
            <w:hideMark/>
          </w:tcPr>
          <w:p w14:paraId="410BEDFA" w14:textId="468A7502"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 xml:space="preserve">Number of Employees </w:t>
            </w:r>
          </w:p>
        </w:tc>
        <w:tc>
          <w:tcPr>
            <w:tcW w:w="1560" w:type="dxa"/>
            <w:tcMar>
              <w:top w:w="113" w:type="dxa"/>
              <w:left w:w="113" w:type="dxa"/>
              <w:bottom w:w="113" w:type="dxa"/>
              <w:right w:w="113" w:type="dxa"/>
            </w:tcMar>
            <w:hideMark/>
          </w:tcPr>
          <w:p w14:paraId="01B559A1" w14:textId="41A2B157"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1.00 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253C25BE" w14:textId="0F1F8438"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0.00</w:t>
            </w:r>
          </w:p>
        </w:tc>
        <w:tc>
          <w:tcPr>
            <w:tcW w:w="0" w:type="auto"/>
            <w:tcMar>
              <w:top w:w="113" w:type="dxa"/>
              <w:left w:w="113" w:type="dxa"/>
              <w:bottom w:w="113" w:type="dxa"/>
              <w:right w:w="113" w:type="dxa"/>
            </w:tcMar>
            <w:hideMark/>
          </w:tcPr>
          <w:p w14:paraId="0F80C2F8" w14:textId="2CB4F7CD"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1.00 – 1.01</w:t>
            </w:r>
          </w:p>
        </w:tc>
      </w:tr>
      <w:tr w:rsidR="00B67F0A" w:rsidRPr="00BF4413" w14:paraId="3A03F341" w14:textId="77777777" w:rsidTr="00EA2DA3">
        <w:tc>
          <w:tcPr>
            <w:tcW w:w="4678" w:type="dxa"/>
            <w:tcMar>
              <w:top w:w="113" w:type="dxa"/>
              <w:left w:w="113" w:type="dxa"/>
              <w:bottom w:w="113" w:type="dxa"/>
              <w:right w:w="113" w:type="dxa"/>
            </w:tcMar>
            <w:hideMark/>
          </w:tcPr>
          <w:p w14:paraId="5D910000" w14:textId="46205451"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Entrepreneurs’ Age: Over 45</w:t>
            </w:r>
          </w:p>
        </w:tc>
        <w:tc>
          <w:tcPr>
            <w:tcW w:w="1560" w:type="dxa"/>
            <w:tcMar>
              <w:top w:w="113" w:type="dxa"/>
              <w:left w:w="113" w:type="dxa"/>
              <w:bottom w:w="113" w:type="dxa"/>
              <w:right w:w="113" w:type="dxa"/>
            </w:tcMar>
            <w:hideMark/>
          </w:tcPr>
          <w:p w14:paraId="1EB9F0EB" w14:textId="6D85ADF4"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1.39</w:t>
            </w:r>
          </w:p>
        </w:tc>
        <w:tc>
          <w:tcPr>
            <w:tcW w:w="1417" w:type="dxa"/>
            <w:tcMar>
              <w:top w:w="113" w:type="dxa"/>
              <w:left w:w="113" w:type="dxa"/>
              <w:bottom w:w="113" w:type="dxa"/>
              <w:right w:w="113" w:type="dxa"/>
            </w:tcMar>
            <w:hideMark/>
          </w:tcPr>
          <w:p w14:paraId="5E5C36F2" w14:textId="31474BD3"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0.33</w:t>
            </w:r>
          </w:p>
        </w:tc>
        <w:tc>
          <w:tcPr>
            <w:tcW w:w="0" w:type="auto"/>
            <w:tcMar>
              <w:top w:w="113" w:type="dxa"/>
              <w:left w:w="113" w:type="dxa"/>
              <w:bottom w:w="113" w:type="dxa"/>
              <w:right w:w="113" w:type="dxa"/>
            </w:tcMar>
            <w:hideMark/>
          </w:tcPr>
          <w:p w14:paraId="12B4B802" w14:textId="71D95D1C"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0.88 – 2.26</w:t>
            </w:r>
          </w:p>
        </w:tc>
      </w:tr>
      <w:tr w:rsidR="00B67F0A" w:rsidRPr="00BF4413" w14:paraId="253DA65F" w14:textId="77777777" w:rsidTr="00EA2DA3">
        <w:tc>
          <w:tcPr>
            <w:tcW w:w="4678" w:type="dxa"/>
            <w:tcMar>
              <w:top w:w="113" w:type="dxa"/>
              <w:left w:w="113" w:type="dxa"/>
              <w:bottom w:w="113" w:type="dxa"/>
              <w:right w:w="113" w:type="dxa"/>
            </w:tcMar>
            <w:hideMark/>
          </w:tcPr>
          <w:p w14:paraId="4497C5E0" w14:textId="42699C03"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lastRenderedPageBreak/>
              <w:t>Entrepreneurs’ Age: Under 35</w:t>
            </w:r>
          </w:p>
        </w:tc>
        <w:tc>
          <w:tcPr>
            <w:tcW w:w="1560" w:type="dxa"/>
            <w:tcMar>
              <w:top w:w="113" w:type="dxa"/>
              <w:left w:w="113" w:type="dxa"/>
              <w:bottom w:w="113" w:type="dxa"/>
              <w:right w:w="113" w:type="dxa"/>
            </w:tcMar>
            <w:hideMark/>
          </w:tcPr>
          <w:p w14:paraId="0D8F043C" w14:textId="19A2D0CE"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0.98</w:t>
            </w:r>
          </w:p>
        </w:tc>
        <w:tc>
          <w:tcPr>
            <w:tcW w:w="1417" w:type="dxa"/>
            <w:tcMar>
              <w:top w:w="113" w:type="dxa"/>
              <w:left w:w="113" w:type="dxa"/>
              <w:bottom w:w="113" w:type="dxa"/>
              <w:right w:w="113" w:type="dxa"/>
            </w:tcMar>
            <w:hideMark/>
          </w:tcPr>
          <w:p w14:paraId="42A22DD1" w14:textId="1808C2FC"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0.28</w:t>
            </w:r>
          </w:p>
        </w:tc>
        <w:tc>
          <w:tcPr>
            <w:tcW w:w="0" w:type="auto"/>
            <w:tcMar>
              <w:top w:w="113" w:type="dxa"/>
              <w:left w:w="113" w:type="dxa"/>
              <w:bottom w:w="113" w:type="dxa"/>
              <w:right w:w="113" w:type="dxa"/>
            </w:tcMar>
            <w:hideMark/>
          </w:tcPr>
          <w:p w14:paraId="62C4715B" w14:textId="157A10E8"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0.57 – 1.71</w:t>
            </w:r>
          </w:p>
        </w:tc>
      </w:tr>
      <w:tr w:rsidR="00B67F0A" w:rsidRPr="00BF4413" w14:paraId="20B8D775" w14:textId="77777777" w:rsidTr="00EA2DA3">
        <w:tc>
          <w:tcPr>
            <w:tcW w:w="4678" w:type="dxa"/>
            <w:tcMar>
              <w:top w:w="113" w:type="dxa"/>
              <w:left w:w="113" w:type="dxa"/>
              <w:bottom w:w="113" w:type="dxa"/>
              <w:right w:w="113" w:type="dxa"/>
            </w:tcMar>
            <w:hideMark/>
          </w:tcPr>
          <w:p w14:paraId="49245D15" w14:textId="6A840733"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Board Presence: Non-founder members</w:t>
            </w:r>
          </w:p>
        </w:tc>
        <w:tc>
          <w:tcPr>
            <w:tcW w:w="1560" w:type="dxa"/>
            <w:tcMar>
              <w:top w:w="113" w:type="dxa"/>
              <w:left w:w="113" w:type="dxa"/>
              <w:bottom w:w="113" w:type="dxa"/>
              <w:right w:w="113" w:type="dxa"/>
            </w:tcMar>
            <w:hideMark/>
          </w:tcPr>
          <w:p w14:paraId="1313CEEA" w14:textId="54A8B90E"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0.71</w:t>
            </w:r>
          </w:p>
        </w:tc>
        <w:tc>
          <w:tcPr>
            <w:tcW w:w="1417" w:type="dxa"/>
            <w:tcMar>
              <w:top w:w="113" w:type="dxa"/>
              <w:left w:w="113" w:type="dxa"/>
              <w:bottom w:w="113" w:type="dxa"/>
              <w:right w:w="113" w:type="dxa"/>
            </w:tcMar>
            <w:hideMark/>
          </w:tcPr>
          <w:p w14:paraId="79F5AA24" w14:textId="1CF1B556"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0.13</w:t>
            </w:r>
          </w:p>
        </w:tc>
        <w:tc>
          <w:tcPr>
            <w:tcW w:w="0" w:type="auto"/>
            <w:tcMar>
              <w:top w:w="113" w:type="dxa"/>
              <w:left w:w="113" w:type="dxa"/>
              <w:bottom w:w="113" w:type="dxa"/>
              <w:right w:w="113" w:type="dxa"/>
            </w:tcMar>
            <w:hideMark/>
          </w:tcPr>
          <w:p w14:paraId="608D1DB0" w14:textId="46040B7B"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0.49 – 1.01</w:t>
            </w:r>
          </w:p>
        </w:tc>
      </w:tr>
      <w:tr w:rsidR="00B67F0A" w:rsidRPr="00BF4413" w14:paraId="3E3AF74E" w14:textId="77777777" w:rsidTr="00EA2DA3">
        <w:tc>
          <w:tcPr>
            <w:tcW w:w="4678" w:type="dxa"/>
            <w:tcMar>
              <w:top w:w="113" w:type="dxa"/>
              <w:left w:w="113" w:type="dxa"/>
              <w:bottom w:w="113" w:type="dxa"/>
              <w:right w:w="113" w:type="dxa"/>
            </w:tcMar>
            <w:hideMark/>
          </w:tcPr>
          <w:p w14:paraId="6E2E7A45" w14:textId="657D11A8"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Valuation</w:t>
            </w:r>
          </w:p>
        </w:tc>
        <w:tc>
          <w:tcPr>
            <w:tcW w:w="1560" w:type="dxa"/>
            <w:tcMar>
              <w:top w:w="113" w:type="dxa"/>
              <w:left w:w="113" w:type="dxa"/>
              <w:bottom w:w="113" w:type="dxa"/>
              <w:right w:w="113" w:type="dxa"/>
            </w:tcMar>
            <w:hideMark/>
          </w:tcPr>
          <w:p w14:paraId="08158FF2" w14:textId="55B06FFF"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1.00</w:t>
            </w:r>
          </w:p>
        </w:tc>
        <w:tc>
          <w:tcPr>
            <w:tcW w:w="1417" w:type="dxa"/>
            <w:tcMar>
              <w:top w:w="113" w:type="dxa"/>
              <w:left w:w="113" w:type="dxa"/>
              <w:bottom w:w="113" w:type="dxa"/>
              <w:right w:w="113" w:type="dxa"/>
            </w:tcMar>
            <w:hideMark/>
          </w:tcPr>
          <w:p w14:paraId="3E3FF987" w14:textId="457AC7DA"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0.00</w:t>
            </w:r>
          </w:p>
        </w:tc>
        <w:tc>
          <w:tcPr>
            <w:tcW w:w="0" w:type="auto"/>
            <w:tcMar>
              <w:top w:w="113" w:type="dxa"/>
              <w:left w:w="113" w:type="dxa"/>
              <w:bottom w:w="113" w:type="dxa"/>
              <w:right w:w="113" w:type="dxa"/>
            </w:tcMar>
            <w:hideMark/>
          </w:tcPr>
          <w:p w14:paraId="375475E1" w14:textId="4EE3EC24" w:rsidR="00B67F0A" w:rsidRPr="00BF4413" w:rsidRDefault="00B67F0A" w:rsidP="00B67F0A">
            <w:pPr>
              <w:jc w:val="center"/>
              <w:rPr>
                <w:rFonts w:ascii="Times" w:eastAsia="Times New Roman" w:hAnsi="Times" w:cs="Times New Roman"/>
              </w:rPr>
            </w:pPr>
            <w:r w:rsidRPr="000C5E3B">
              <w:rPr>
                <w:rFonts w:ascii="Times" w:eastAsia="Times New Roman" w:hAnsi="Times" w:cs="Times"/>
              </w:rPr>
              <w:t>NA – 1.00</w:t>
            </w:r>
          </w:p>
        </w:tc>
      </w:tr>
      <w:tr w:rsidR="00B67F0A" w:rsidRPr="00BF4413" w14:paraId="0D281FF8" w14:textId="77777777" w:rsidTr="00EA2DA3">
        <w:tc>
          <w:tcPr>
            <w:tcW w:w="4678" w:type="dxa"/>
            <w:tcMar>
              <w:top w:w="113" w:type="dxa"/>
              <w:left w:w="113" w:type="dxa"/>
              <w:bottom w:w="113" w:type="dxa"/>
              <w:right w:w="113" w:type="dxa"/>
            </w:tcMar>
            <w:hideMark/>
          </w:tcPr>
          <w:p w14:paraId="772E3882" w14:textId="261946E2" w:rsidR="00B67F0A" w:rsidRPr="00BF4413" w:rsidRDefault="00B67F0A" w:rsidP="00B67F0A">
            <w:pPr>
              <w:rPr>
                <w:rFonts w:ascii="Times" w:eastAsia="Times New Roman" w:hAnsi="Times" w:cs="Times New Roman"/>
                <w:rtl/>
              </w:rPr>
            </w:pPr>
            <w:r w:rsidRPr="00BF4413">
              <w:rPr>
                <w:rFonts w:asciiTheme="majorBidi" w:hAnsiTheme="majorBidi" w:cstheme="majorBidi"/>
                <w:sz w:val="24"/>
                <w:szCs w:val="24"/>
              </w:rPr>
              <w:t>Legal Consultants</w:t>
            </w:r>
            <w:r w:rsidRPr="00BF4413">
              <w:rPr>
                <w:rFonts w:asciiTheme="majorBidi" w:hAnsiTheme="majorBidi" w:cstheme="majorBidi"/>
                <w:sz w:val="24"/>
                <w:szCs w:val="24"/>
                <w:rtl/>
              </w:rPr>
              <w:softHyphen/>
            </w:r>
            <w:r w:rsidRPr="00BF4413">
              <w:rPr>
                <w:rFonts w:asciiTheme="majorBidi" w:hAnsiTheme="majorBidi" w:cstheme="majorBidi"/>
                <w:sz w:val="24"/>
                <w:szCs w:val="24"/>
                <w:rtl/>
              </w:rPr>
              <w:softHyphen/>
            </w:r>
            <w:r w:rsidRPr="00BF4413">
              <w:rPr>
                <w:rFonts w:asciiTheme="majorBidi" w:hAnsiTheme="majorBidi" w:cstheme="majorBidi"/>
                <w:sz w:val="24"/>
                <w:szCs w:val="24"/>
                <w:rtl/>
              </w:rPr>
              <w:softHyphen/>
            </w:r>
            <w:r w:rsidRPr="00BF4413">
              <w:rPr>
                <w:rFonts w:asciiTheme="majorBidi" w:hAnsiTheme="majorBidi" w:cstheme="majorBidi"/>
                <w:sz w:val="24"/>
                <w:szCs w:val="24"/>
                <w:rtl/>
              </w:rPr>
              <w:softHyphen/>
            </w:r>
            <w:r w:rsidRPr="00BF4413">
              <w:rPr>
                <w:rFonts w:asciiTheme="majorBidi" w:hAnsiTheme="majorBidi" w:cstheme="majorBidi"/>
                <w:sz w:val="24"/>
                <w:szCs w:val="24"/>
                <w:rtl/>
              </w:rPr>
              <w:softHyphen/>
            </w:r>
            <w:r w:rsidRPr="00BF4413">
              <w:rPr>
                <w:rFonts w:asciiTheme="majorBidi" w:hAnsiTheme="majorBidi" w:cstheme="majorBidi"/>
                <w:sz w:val="24"/>
                <w:szCs w:val="24"/>
                <w:rtl/>
              </w:rPr>
              <w:softHyphen/>
            </w:r>
          </w:p>
        </w:tc>
        <w:tc>
          <w:tcPr>
            <w:tcW w:w="1560" w:type="dxa"/>
            <w:tcMar>
              <w:top w:w="113" w:type="dxa"/>
              <w:left w:w="113" w:type="dxa"/>
              <w:bottom w:w="113" w:type="dxa"/>
              <w:right w:w="113" w:type="dxa"/>
            </w:tcMar>
            <w:hideMark/>
          </w:tcPr>
          <w:p w14:paraId="433AD6E0" w14:textId="6987B72B" w:rsidR="00B67F0A" w:rsidRPr="00BF4413" w:rsidRDefault="00B67F0A" w:rsidP="00B67F0A">
            <w:pPr>
              <w:jc w:val="center"/>
              <w:rPr>
                <w:rFonts w:ascii="Times" w:eastAsia="Times New Roman" w:hAnsi="Times" w:cs="Times New Roman"/>
              </w:rPr>
            </w:pPr>
            <w:r w:rsidRPr="000C5E3B">
              <w:rPr>
                <w:rFonts w:ascii="Times" w:eastAsia="Times New Roman" w:hAnsi="Times" w:cs="Times"/>
              </w:rPr>
              <w:t>4.76 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43522EC2" w14:textId="1577FD0D" w:rsidR="00B67F0A" w:rsidRPr="00BF4413" w:rsidRDefault="00B67F0A" w:rsidP="00B67F0A">
            <w:pPr>
              <w:jc w:val="center"/>
              <w:rPr>
                <w:rFonts w:ascii="Times" w:eastAsia="Times New Roman" w:hAnsi="Times" w:cs="Times New Roman"/>
              </w:rPr>
            </w:pPr>
            <w:r w:rsidRPr="000C5E3B">
              <w:rPr>
                <w:rFonts w:ascii="Times" w:eastAsia="Times New Roman" w:hAnsi="Times" w:cs="Times"/>
              </w:rPr>
              <w:t>2.80</w:t>
            </w:r>
          </w:p>
        </w:tc>
        <w:tc>
          <w:tcPr>
            <w:tcW w:w="0" w:type="auto"/>
            <w:tcMar>
              <w:top w:w="113" w:type="dxa"/>
              <w:left w:w="113" w:type="dxa"/>
              <w:bottom w:w="113" w:type="dxa"/>
              <w:right w:w="113" w:type="dxa"/>
            </w:tcMar>
            <w:hideMark/>
          </w:tcPr>
          <w:p w14:paraId="42D8AB15" w14:textId="43611DA7"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1.78 – 19.41</w:t>
            </w:r>
          </w:p>
        </w:tc>
      </w:tr>
      <w:tr w:rsidR="00B67F0A" w:rsidRPr="00BF4413" w14:paraId="576D844D" w14:textId="77777777" w:rsidTr="00EA2DA3">
        <w:tc>
          <w:tcPr>
            <w:tcW w:w="4678" w:type="dxa"/>
            <w:tcMar>
              <w:top w:w="113" w:type="dxa"/>
              <w:left w:w="113" w:type="dxa"/>
              <w:bottom w:w="113" w:type="dxa"/>
              <w:right w:w="113" w:type="dxa"/>
            </w:tcMar>
            <w:hideMark/>
          </w:tcPr>
          <w:p w14:paraId="575F30AE" w14:textId="6B28943A" w:rsidR="00B67F0A" w:rsidRPr="00BF4413" w:rsidRDefault="00B67F0A" w:rsidP="00B67F0A">
            <w:pPr>
              <w:rPr>
                <w:rFonts w:ascii="Times" w:eastAsia="Times New Roman" w:hAnsi="Times" w:cs="Times New Roman"/>
              </w:rPr>
            </w:pPr>
            <w:r w:rsidRPr="00BF4413">
              <w:rPr>
                <w:rFonts w:asciiTheme="majorBidi" w:hAnsiTheme="majorBidi" w:cstheme="majorBidi"/>
                <w:sz w:val="24"/>
                <w:szCs w:val="24"/>
              </w:rPr>
              <w:t xml:space="preserve">Year of Incorporation </w:t>
            </w:r>
          </w:p>
        </w:tc>
        <w:tc>
          <w:tcPr>
            <w:tcW w:w="1560" w:type="dxa"/>
            <w:tcMar>
              <w:top w:w="113" w:type="dxa"/>
              <w:left w:w="113" w:type="dxa"/>
              <w:bottom w:w="113" w:type="dxa"/>
              <w:right w:w="113" w:type="dxa"/>
            </w:tcMar>
            <w:hideMark/>
          </w:tcPr>
          <w:p w14:paraId="79DB56E7" w14:textId="063AE29E"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1.12 </w:t>
            </w:r>
            <w:r w:rsidRPr="000C5E3B">
              <w:rPr>
                <w:rFonts w:ascii="Times" w:eastAsia="Times New Roman" w:hAnsi="Times" w:cs="Times"/>
                <w:vertAlign w:val="superscript"/>
              </w:rPr>
              <w:t>**</w:t>
            </w:r>
          </w:p>
        </w:tc>
        <w:tc>
          <w:tcPr>
            <w:tcW w:w="1417" w:type="dxa"/>
            <w:tcMar>
              <w:top w:w="113" w:type="dxa"/>
              <w:left w:w="113" w:type="dxa"/>
              <w:bottom w:w="113" w:type="dxa"/>
              <w:right w:w="113" w:type="dxa"/>
            </w:tcMar>
            <w:hideMark/>
          </w:tcPr>
          <w:p w14:paraId="6EA1D7FF" w14:textId="45E642B9" w:rsidR="00B67F0A" w:rsidRPr="00BF4413" w:rsidRDefault="00B67F0A" w:rsidP="00B67F0A">
            <w:pPr>
              <w:jc w:val="center"/>
              <w:rPr>
                <w:rFonts w:ascii="Times" w:eastAsia="Times New Roman" w:hAnsi="Times" w:cs="Times New Roman"/>
              </w:rPr>
            </w:pPr>
            <w:r w:rsidRPr="000C5E3B">
              <w:rPr>
                <w:rFonts w:ascii="Times" w:eastAsia="Times New Roman" w:hAnsi="Times" w:cs="Times"/>
              </w:rPr>
              <w:t>0.04</w:t>
            </w:r>
          </w:p>
        </w:tc>
        <w:tc>
          <w:tcPr>
            <w:tcW w:w="0" w:type="auto"/>
            <w:tcMar>
              <w:top w:w="113" w:type="dxa"/>
              <w:left w:w="113" w:type="dxa"/>
              <w:bottom w:w="113" w:type="dxa"/>
              <w:right w:w="113" w:type="dxa"/>
            </w:tcMar>
            <w:hideMark/>
          </w:tcPr>
          <w:p w14:paraId="51E84A0C" w14:textId="66E8BED1" w:rsidR="00B67F0A" w:rsidRPr="00BF4413" w:rsidRDefault="00B67F0A" w:rsidP="00B67F0A">
            <w:pPr>
              <w:jc w:val="center"/>
              <w:rPr>
                <w:rFonts w:ascii="Times" w:eastAsia="Times New Roman" w:hAnsi="Times" w:cs="Times New Roman"/>
              </w:rPr>
            </w:pPr>
            <w:r w:rsidRPr="000C5E3B">
              <w:rPr>
                <w:rFonts w:ascii="Times" w:eastAsia="Times New Roman" w:hAnsi="Times" w:cs="Times"/>
              </w:rPr>
              <w:t>1.04 – 1.20</w:t>
            </w:r>
          </w:p>
        </w:tc>
      </w:tr>
      <w:tr w:rsidR="00EA2DA3" w:rsidRPr="00BF4413" w14:paraId="1841720E" w14:textId="77777777" w:rsidTr="00EA2DA3">
        <w:tc>
          <w:tcPr>
            <w:tcW w:w="4678" w:type="dxa"/>
            <w:tcBorders>
              <w:top w:val="single" w:sz="6" w:space="0" w:color="auto"/>
            </w:tcBorders>
            <w:tcMar>
              <w:top w:w="57" w:type="dxa"/>
              <w:left w:w="113" w:type="dxa"/>
              <w:bottom w:w="57" w:type="dxa"/>
              <w:right w:w="113" w:type="dxa"/>
            </w:tcMar>
            <w:hideMark/>
          </w:tcPr>
          <w:p w14:paraId="1F7964ED" w14:textId="6A047AA6" w:rsidR="00EA2DA3" w:rsidRPr="00BF4413" w:rsidRDefault="00EA2DA3" w:rsidP="000A4760">
            <w:pPr>
              <w:rPr>
                <w:rFonts w:ascii="Times" w:eastAsia="Times New Roman" w:hAnsi="Times" w:cs="Times New Roman"/>
                <w:i/>
                <w:iCs/>
              </w:rPr>
            </w:pPr>
            <w:r w:rsidRPr="00BF4413">
              <w:rPr>
                <w:rFonts w:ascii="Times" w:eastAsia="Times New Roman" w:hAnsi="Times" w:cs="Times New Roman"/>
                <w:i/>
                <w:iCs/>
              </w:rPr>
              <w:t>N</w:t>
            </w:r>
          </w:p>
        </w:tc>
        <w:tc>
          <w:tcPr>
            <w:tcW w:w="4307" w:type="dxa"/>
            <w:gridSpan w:val="3"/>
            <w:tcBorders>
              <w:top w:val="single" w:sz="6" w:space="0" w:color="auto"/>
            </w:tcBorders>
            <w:tcMar>
              <w:top w:w="57" w:type="dxa"/>
              <w:left w:w="113" w:type="dxa"/>
              <w:bottom w:w="57" w:type="dxa"/>
              <w:right w:w="113" w:type="dxa"/>
            </w:tcMar>
            <w:hideMark/>
          </w:tcPr>
          <w:p w14:paraId="0F21A19B" w14:textId="1F4A977C" w:rsidR="00EA2DA3" w:rsidRPr="00BF4413" w:rsidRDefault="00B67F0A" w:rsidP="000A4760">
            <w:pPr>
              <w:rPr>
                <w:rFonts w:ascii="Times" w:eastAsia="Times New Roman" w:hAnsi="Times" w:cs="Times New Roman"/>
              </w:rPr>
            </w:pPr>
            <w:r>
              <w:rPr>
                <w:rFonts w:ascii="Times" w:eastAsia="Times New Roman" w:hAnsi="Times" w:cs="Times New Roman"/>
              </w:rPr>
              <w:t>4</w:t>
            </w:r>
            <w:r w:rsidR="00EA2DA3" w:rsidRPr="00BF4413">
              <w:rPr>
                <w:rFonts w:ascii="Times" w:eastAsia="Times New Roman" w:hAnsi="Times" w:cs="Times New Roman"/>
              </w:rPr>
              <w:t>,</w:t>
            </w:r>
            <w:r>
              <w:rPr>
                <w:rFonts w:ascii="Times" w:eastAsia="Times New Roman" w:hAnsi="Times" w:cs="Times New Roman"/>
              </w:rPr>
              <w:t>235</w:t>
            </w:r>
          </w:p>
        </w:tc>
      </w:tr>
      <w:tr w:rsidR="00EA2DA3" w:rsidRPr="00BF4413" w14:paraId="1A76BD32" w14:textId="77777777" w:rsidTr="00EA2DA3">
        <w:tc>
          <w:tcPr>
            <w:tcW w:w="4678" w:type="dxa"/>
            <w:tcMar>
              <w:top w:w="57" w:type="dxa"/>
              <w:left w:w="113" w:type="dxa"/>
              <w:bottom w:w="57" w:type="dxa"/>
              <w:right w:w="113" w:type="dxa"/>
            </w:tcMar>
            <w:hideMark/>
          </w:tcPr>
          <w:p w14:paraId="21C14626" w14:textId="77777777" w:rsidR="00EA2DA3" w:rsidRPr="00BF4413" w:rsidRDefault="00EA2DA3" w:rsidP="000A4760">
            <w:pPr>
              <w:rPr>
                <w:rFonts w:ascii="Times" w:eastAsia="Times New Roman" w:hAnsi="Times" w:cs="Times New Roman"/>
              </w:rPr>
            </w:pPr>
            <w:r w:rsidRPr="00BF4413">
              <w:rPr>
                <w:rFonts w:ascii="Times" w:eastAsia="Times New Roman" w:hAnsi="Times" w:cs="Times New Roman"/>
              </w:rPr>
              <w:t>R</w:t>
            </w:r>
            <w:r w:rsidRPr="00BF4413">
              <w:rPr>
                <w:rFonts w:ascii="Times" w:eastAsia="Times New Roman" w:hAnsi="Times" w:cs="Times New Roman"/>
                <w:vertAlign w:val="superscript"/>
              </w:rPr>
              <w:t>2</w:t>
            </w:r>
            <w:r w:rsidRPr="00BF4413">
              <w:rPr>
                <w:rFonts w:ascii="Times" w:eastAsia="Times New Roman" w:hAnsi="Times" w:cs="Times New Roman"/>
              </w:rPr>
              <w:t> Tjur</w:t>
            </w:r>
          </w:p>
        </w:tc>
        <w:tc>
          <w:tcPr>
            <w:tcW w:w="4307" w:type="dxa"/>
            <w:gridSpan w:val="3"/>
            <w:tcMar>
              <w:top w:w="57" w:type="dxa"/>
              <w:left w:w="113" w:type="dxa"/>
              <w:bottom w:w="57" w:type="dxa"/>
              <w:right w:w="113" w:type="dxa"/>
            </w:tcMar>
            <w:hideMark/>
          </w:tcPr>
          <w:p w14:paraId="0EACE917" w14:textId="77777777" w:rsidR="00EA2DA3" w:rsidRPr="00BF4413" w:rsidRDefault="00EA2DA3" w:rsidP="000A4760">
            <w:pPr>
              <w:rPr>
                <w:rFonts w:ascii="Times" w:eastAsia="Times New Roman" w:hAnsi="Times" w:cs="Times New Roman"/>
              </w:rPr>
            </w:pPr>
            <w:r w:rsidRPr="00BF4413">
              <w:rPr>
                <w:rFonts w:ascii="Times" w:eastAsia="Times New Roman" w:hAnsi="Times" w:cs="Times New Roman"/>
              </w:rPr>
              <w:t>0.018</w:t>
            </w:r>
          </w:p>
        </w:tc>
      </w:tr>
      <w:tr w:rsidR="00EA2DA3" w:rsidRPr="00BF4413" w14:paraId="68B4C702" w14:textId="77777777" w:rsidTr="00B67F0A">
        <w:tc>
          <w:tcPr>
            <w:tcW w:w="8985" w:type="dxa"/>
            <w:gridSpan w:val="4"/>
            <w:tcBorders>
              <w:top w:val="double" w:sz="6" w:space="0" w:color="000000"/>
            </w:tcBorders>
            <w:vAlign w:val="center"/>
            <w:hideMark/>
          </w:tcPr>
          <w:p w14:paraId="5844F696" w14:textId="77777777" w:rsidR="00EA2DA3" w:rsidRPr="00BF4413" w:rsidRDefault="00EA2DA3" w:rsidP="000A4760">
            <w:pPr>
              <w:jc w:val="right"/>
              <w:rPr>
                <w:rFonts w:ascii="Times" w:eastAsia="Times New Roman" w:hAnsi="Times" w:cs="Times New Roman"/>
                <w:i/>
                <w:iCs/>
              </w:rPr>
            </w:pPr>
            <w:r w:rsidRPr="00BF4413">
              <w:rPr>
                <w:rFonts w:ascii="Times" w:eastAsia="Times New Roman" w:hAnsi="Times" w:cs="Times New Roman"/>
                <w:i/>
                <w:iCs/>
              </w:rPr>
              <w:t>* p&lt;0.05   ** p&lt;0.01   *** p&lt;0.001</w:t>
            </w:r>
          </w:p>
        </w:tc>
      </w:tr>
    </w:tbl>
    <w:p w14:paraId="77B14ED9" w14:textId="17462112" w:rsidR="00346429" w:rsidRPr="00BF4413" w:rsidRDefault="00966DF5" w:rsidP="00844EF2">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The Index Venture</w:t>
      </w:r>
      <w:r w:rsidR="00AC1A0E">
        <w:rPr>
          <w:rFonts w:asciiTheme="majorBidi" w:hAnsiTheme="majorBidi" w:cstheme="majorBidi"/>
          <w:sz w:val="24"/>
          <w:szCs w:val="24"/>
        </w:rPr>
        <w:t>s</w:t>
      </w:r>
      <w:r w:rsidRPr="00BF4413">
        <w:rPr>
          <w:rFonts w:asciiTheme="majorBidi" w:hAnsiTheme="majorBidi" w:cstheme="majorBidi"/>
          <w:sz w:val="24"/>
          <w:szCs w:val="24"/>
        </w:rPr>
        <w:t xml:space="preserve"> </w:t>
      </w:r>
      <w:r w:rsidR="00AC1A0E">
        <w:rPr>
          <w:rFonts w:asciiTheme="majorBidi" w:hAnsiTheme="majorBidi" w:cstheme="majorBidi"/>
          <w:sz w:val="24"/>
          <w:szCs w:val="24"/>
        </w:rPr>
        <w:t>Score</w:t>
      </w:r>
      <w:r w:rsidRPr="00BF4413">
        <w:rPr>
          <w:rFonts w:asciiTheme="majorBidi" w:hAnsiTheme="majorBidi" w:cstheme="majorBidi"/>
          <w:sz w:val="24"/>
          <w:szCs w:val="24"/>
        </w:rPr>
        <w:t xml:space="preserve"> had an odds ratio of 1.</w:t>
      </w:r>
      <w:r w:rsidR="00B67F0A" w:rsidRPr="00BF4413">
        <w:rPr>
          <w:rFonts w:asciiTheme="majorBidi" w:hAnsiTheme="majorBidi" w:cstheme="majorBidi"/>
          <w:sz w:val="24"/>
          <w:szCs w:val="24"/>
        </w:rPr>
        <w:t>0</w:t>
      </w:r>
      <w:r w:rsidR="00B67F0A">
        <w:rPr>
          <w:rFonts w:asciiTheme="majorBidi" w:hAnsiTheme="majorBidi" w:cstheme="majorBidi"/>
          <w:sz w:val="24"/>
          <w:szCs w:val="24"/>
        </w:rPr>
        <w:t>5</w:t>
      </w:r>
      <w:r w:rsidR="00B67F0A" w:rsidRPr="00BF4413">
        <w:rPr>
          <w:rFonts w:asciiTheme="majorBidi" w:hAnsiTheme="majorBidi" w:cstheme="majorBidi"/>
          <w:sz w:val="24"/>
          <w:szCs w:val="24"/>
        </w:rPr>
        <w:t xml:space="preserve"> </w:t>
      </w:r>
      <w:r w:rsidRPr="00BF4413">
        <w:rPr>
          <w:rFonts w:asciiTheme="majorBidi" w:hAnsiTheme="majorBidi" w:cstheme="majorBidi"/>
          <w:sz w:val="24"/>
          <w:szCs w:val="24"/>
        </w:rPr>
        <w:t>(p</w:t>
      </w:r>
      <w:r w:rsidR="00977199">
        <w:rPr>
          <w:rFonts w:asciiTheme="majorBidi" w:hAnsiTheme="majorBidi" w:cstheme="majorBidi"/>
          <w:sz w:val="24"/>
          <w:szCs w:val="24"/>
        </w:rPr>
        <w:t>-value</w:t>
      </w:r>
      <w:r w:rsidRPr="00BF4413">
        <w:rPr>
          <w:rFonts w:asciiTheme="majorBidi" w:hAnsiTheme="majorBidi" w:cstheme="majorBidi"/>
          <w:sz w:val="24"/>
          <w:szCs w:val="24"/>
        </w:rPr>
        <w:t xml:space="preserve"> = 0.0</w:t>
      </w:r>
      <w:r w:rsidR="00B67F0A">
        <w:rPr>
          <w:rFonts w:asciiTheme="majorBidi" w:hAnsiTheme="majorBidi" w:cstheme="majorBidi"/>
          <w:sz w:val="24"/>
          <w:szCs w:val="24"/>
        </w:rPr>
        <w:t>0</w:t>
      </w:r>
      <w:r w:rsidRPr="00BF4413">
        <w:rPr>
          <w:rFonts w:asciiTheme="majorBidi" w:hAnsiTheme="majorBidi" w:cstheme="majorBidi"/>
          <w:sz w:val="24"/>
          <w:szCs w:val="24"/>
        </w:rPr>
        <w:t xml:space="preserve">8), indicating that for each unit increase in the </w:t>
      </w:r>
      <w:r w:rsidR="00CC53FA">
        <w:rPr>
          <w:rFonts w:asciiTheme="majorBidi" w:hAnsiTheme="majorBidi" w:cstheme="majorBidi"/>
          <w:sz w:val="24"/>
          <w:szCs w:val="24"/>
        </w:rPr>
        <w:t>I</w:t>
      </w:r>
      <w:r w:rsidR="00AC1A0E">
        <w:rPr>
          <w:rFonts w:asciiTheme="majorBidi" w:hAnsiTheme="majorBidi" w:cstheme="majorBidi"/>
          <w:sz w:val="24"/>
          <w:szCs w:val="24"/>
        </w:rPr>
        <w:t xml:space="preserve">ndex </w:t>
      </w:r>
      <w:r w:rsidR="00CC53FA">
        <w:rPr>
          <w:rFonts w:asciiTheme="majorBidi" w:hAnsiTheme="majorBidi" w:cstheme="majorBidi"/>
          <w:sz w:val="24"/>
          <w:szCs w:val="24"/>
        </w:rPr>
        <w:t>V</w:t>
      </w:r>
      <w:r w:rsidR="00AC1A0E">
        <w:rPr>
          <w:rFonts w:asciiTheme="majorBidi" w:hAnsiTheme="majorBidi" w:cstheme="majorBidi"/>
          <w:sz w:val="24"/>
          <w:szCs w:val="24"/>
        </w:rPr>
        <w:t xml:space="preserve">entures </w:t>
      </w:r>
      <w:r w:rsidR="00CC53FA">
        <w:rPr>
          <w:rFonts w:asciiTheme="majorBidi" w:hAnsiTheme="majorBidi" w:cstheme="majorBidi"/>
          <w:sz w:val="24"/>
          <w:szCs w:val="24"/>
        </w:rPr>
        <w:t>S</w:t>
      </w:r>
      <w:r w:rsidR="00AC1A0E">
        <w:rPr>
          <w:rFonts w:asciiTheme="majorBidi" w:hAnsiTheme="majorBidi" w:cstheme="majorBidi"/>
          <w:sz w:val="24"/>
          <w:szCs w:val="24"/>
        </w:rPr>
        <w:t>core</w:t>
      </w:r>
      <w:r w:rsidRPr="00BF4413">
        <w:rPr>
          <w:rFonts w:asciiTheme="majorBidi" w:hAnsiTheme="majorBidi" w:cstheme="majorBidi"/>
          <w:sz w:val="24"/>
          <w:szCs w:val="24"/>
        </w:rPr>
        <w:t xml:space="preserve">, the odds of having an </w:t>
      </w:r>
      <w:r w:rsidR="00D82B08" w:rsidRPr="00BF4413">
        <w:rPr>
          <w:rFonts w:asciiTheme="majorBidi" w:hAnsiTheme="majorBidi" w:cstheme="majorBidi"/>
          <w:sz w:val="24"/>
          <w:szCs w:val="24"/>
        </w:rPr>
        <w:t>employee</w:t>
      </w:r>
      <w:r w:rsidRPr="00BF4413">
        <w:rPr>
          <w:rFonts w:asciiTheme="majorBidi" w:hAnsiTheme="majorBidi" w:cstheme="majorBidi"/>
          <w:sz w:val="24"/>
          <w:szCs w:val="24"/>
        </w:rPr>
        <w:t xml:space="preserve"> in a startup</w:t>
      </w:r>
      <w:r w:rsidR="00A8583B">
        <w:rPr>
          <w:rFonts w:asciiTheme="majorBidi" w:hAnsiTheme="majorBidi" w:cstheme="majorBidi"/>
          <w:sz w:val="24"/>
          <w:szCs w:val="24"/>
        </w:rPr>
        <w:t>’</w:t>
      </w:r>
      <w:r w:rsidRPr="00BF4413">
        <w:rPr>
          <w:rFonts w:asciiTheme="majorBidi" w:hAnsiTheme="majorBidi" w:cstheme="majorBidi"/>
          <w:sz w:val="24"/>
          <w:szCs w:val="24"/>
        </w:rPr>
        <w:t xml:space="preserve">s cap table increase by </w:t>
      </w:r>
      <w:r w:rsidR="00B67F0A">
        <w:rPr>
          <w:rFonts w:asciiTheme="majorBidi" w:hAnsiTheme="majorBidi" w:cstheme="majorBidi"/>
          <w:sz w:val="24"/>
          <w:szCs w:val="24"/>
        </w:rPr>
        <w:t>5</w:t>
      </w:r>
      <w:r w:rsidRPr="00BF4413">
        <w:rPr>
          <w:rFonts w:asciiTheme="majorBidi" w:hAnsiTheme="majorBidi" w:cstheme="majorBidi"/>
          <w:sz w:val="24"/>
          <w:szCs w:val="24"/>
        </w:rPr>
        <w:t xml:space="preserve">%. </w:t>
      </w:r>
    </w:p>
    <w:p w14:paraId="01EB221F" w14:textId="3B450453" w:rsidR="00860A9B" w:rsidRDefault="00C9014E"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Compared to companies in the pre-seed stage, pre-revenue startups more frequently compensated employees with equity, as evidenced by an odds ratio of 2.</w:t>
      </w:r>
      <w:r w:rsidR="00B67F0A">
        <w:rPr>
          <w:rFonts w:asciiTheme="majorBidi" w:hAnsiTheme="majorBidi" w:cstheme="majorBidi"/>
          <w:sz w:val="24"/>
          <w:szCs w:val="24"/>
        </w:rPr>
        <w:t>15</w:t>
      </w:r>
      <w:r w:rsidR="00B67F0A" w:rsidRPr="00BF4413">
        <w:rPr>
          <w:rFonts w:asciiTheme="majorBidi" w:hAnsiTheme="majorBidi" w:cstheme="majorBidi"/>
          <w:sz w:val="24"/>
          <w:szCs w:val="24"/>
        </w:rPr>
        <w:t xml:space="preserve"> </w:t>
      </w:r>
      <w:r w:rsidRPr="00BF4413">
        <w:rPr>
          <w:rFonts w:asciiTheme="majorBidi" w:hAnsiTheme="majorBidi" w:cstheme="majorBidi"/>
          <w:sz w:val="24"/>
          <w:szCs w:val="24"/>
        </w:rPr>
        <w:t>(p</w:t>
      </w:r>
      <w:r w:rsidR="00977199">
        <w:rPr>
          <w:rFonts w:asciiTheme="majorBidi" w:hAnsiTheme="majorBidi" w:cstheme="majorBidi"/>
          <w:sz w:val="24"/>
          <w:szCs w:val="24"/>
        </w:rPr>
        <w:t>-value</w:t>
      </w:r>
      <w:r w:rsidRPr="00BF4413">
        <w:rPr>
          <w:rFonts w:asciiTheme="majorBidi" w:hAnsiTheme="majorBidi" w:cstheme="majorBidi"/>
          <w:sz w:val="24"/>
          <w:szCs w:val="24"/>
        </w:rPr>
        <w:t xml:space="preserve"> = 0.00</w:t>
      </w:r>
      <w:r w:rsidR="00B67F0A">
        <w:rPr>
          <w:rFonts w:asciiTheme="majorBidi" w:hAnsiTheme="majorBidi" w:cstheme="majorBidi"/>
          <w:sz w:val="24"/>
          <w:szCs w:val="24"/>
        </w:rPr>
        <w:t>1</w:t>
      </w:r>
      <w:r w:rsidRPr="00BF4413">
        <w:rPr>
          <w:rFonts w:asciiTheme="majorBidi" w:hAnsiTheme="majorBidi" w:cstheme="majorBidi"/>
          <w:sz w:val="24"/>
          <w:szCs w:val="24"/>
        </w:rPr>
        <w:t>). This suggests that pre-revenue startups are over twice as likely to have employees on their capitalization table compared to those in the seed stage</w:t>
      </w:r>
      <w:r w:rsidR="00966DF5" w:rsidRPr="00BF4413">
        <w:rPr>
          <w:rFonts w:asciiTheme="majorBidi" w:hAnsiTheme="majorBidi" w:cstheme="majorBidi"/>
          <w:sz w:val="24"/>
          <w:szCs w:val="24"/>
        </w:rPr>
        <w:t xml:space="preserve">. </w:t>
      </w:r>
    </w:p>
    <w:p w14:paraId="62826D98" w14:textId="68EE2CD9" w:rsidR="0092768C" w:rsidRPr="00BF4413" w:rsidRDefault="0092768C" w:rsidP="005B593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Previous start</w:t>
      </w:r>
      <w:r w:rsidR="00CC53FA">
        <w:rPr>
          <w:rFonts w:asciiTheme="majorBidi" w:hAnsiTheme="majorBidi" w:cstheme="majorBidi"/>
          <w:sz w:val="24"/>
          <w:szCs w:val="24"/>
        </w:rPr>
        <w:t>up</w:t>
      </w:r>
      <w:r>
        <w:rPr>
          <w:rFonts w:asciiTheme="majorBidi" w:hAnsiTheme="majorBidi" w:cstheme="majorBidi"/>
          <w:sz w:val="24"/>
          <w:szCs w:val="24"/>
        </w:rPr>
        <w:t xml:space="preserve"> experience of the founders as employees </w:t>
      </w:r>
      <w:r w:rsidR="00CC53FA">
        <w:rPr>
          <w:rFonts w:asciiTheme="majorBidi" w:hAnsiTheme="majorBidi" w:cstheme="majorBidi"/>
          <w:sz w:val="24"/>
          <w:szCs w:val="24"/>
        </w:rPr>
        <w:t>(</w:t>
      </w:r>
      <w:r>
        <w:rPr>
          <w:rFonts w:asciiTheme="majorBidi" w:hAnsiTheme="majorBidi" w:cstheme="majorBidi"/>
          <w:sz w:val="24"/>
          <w:szCs w:val="24"/>
        </w:rPr>
        <w:t xml:space="preserve">and probably also as founders though samples size was too </w:t>
      </w:r>
      <w:r w:rsidR="00CC53FA">
        <w:rPr>
          <w:rFonts w:asciiTheme="majorBidi" w:hAnsiTheme="majorBidi" w:cstheme="majorBidi"/>
          <w:sz w:val="24"/>
          <w:szCs w:val="24"/>
        </w:rPr>
        <w:t>small</w:t>
      </w:r>
      <w:r>
        <w:rPr>
          <w:rFonts w:asciiTheme="majorBidi" w:hAnsiTheme="majorBidi" w:cstheme="majorBidi"/>
          <w:sz w:val="24"/>
          <w:szCs w:val="24"/>
        </w:rPr>
        <w:t xml:space="preserve"> for statistical significance</w:t>
      </w:r>
      <w:r w:rsidR="00CC53FA">
        <w:rPr>
          <w:rFonts w:asciiTheme="majorBidi" w:hAnsiTheme="majorBidi" w:cstheme="majorBidi"/>
          <w:sz w:val="24"/>
          <w:szCs w:val="24"/>
        </w:rPr>
        <w:t>)</w:t>
      </w:r>
      <w:r>
        <w:rPr>
          <w:rFonts w:asciiTheme="majorBidi" w:hAnsiTheme="majorBidi" w:cstheme="majorBidi"/>
          <w:sz w:val="24"/>
          <w:szCs w:val="24"/>
        </w:rPr>
        <w:t xml:space="preserve">, was also associated with </w:t>
      </w:r>
      <w:r w:rsidRPr="00BF4413">
        <w:rPr>
          <w:rFonts w:asciiTheme="majorBidi" w:hAnsiTheme="majorBidi" w:cstheme="majorBidi"/>
          <w:sz w:val="24"/>
          <w:szCs w:val="24"/>
        </w:rPr>
        <w:t xml:space="preserve">granting startup equity compensation, with an odds ratio of </w:t>
      </w:r>
      <w:r>
        <w:rPr>
          <w:rFonts w:asciiTheme="majorBidi" w:hAnsiTheme="majorBidi" w:cstheme="majorBidi"/>
          <w:sz w:val="24"/>
          <w:szCs w:val="24"/>
        </w:rPr>
        <w:t>2</w:t>
      </w:r>
      <w:r w:rsidRPr="00BF4413">
        <w:rPr>
          <w:rFonts w:asciiTheme="majorBidi" w:hAnsiTheme="majorBidi" w:cstheme="majorBidi"/>
          <w:sz w:val="24"/>
          <w:szCs w:val="24"/>
        </w:rPr>
        <w:t>.</w:t>
      </w:r>
      <w:r>
        <w:rPr>
          <w:rFonts w:asciiTheme="majorBidi" w:hAnsiTheme="majorBidi" w:cstheme="majorBidi"/>
          <w:sz w:val="24"/>
          <w:szCs w:val="24"/>
        </w:rPr>
        <w:t>02</w:t>
      </w:r>
      <w:r w:rsidRPr="00BF4413">
        <w:rPr>
          <w:rFonts w:asciiTheme="majorBidi" w:hAnsiTheme="majorBidi" w:cstheme="majorBidi"/>
          <w:sz w:val="24"/>
          <w:szCs w:val="24"/>
        </w:rPr>
        <w:t xml:space="preserve"> (</w:t>
      </w:r>
      <w:r w:rsidR="00CC53FA" w:rsidRPr="00BF4413">
        <w:rPr>
          <w:rFonts w:asciiTheme="majorBidi" w:hAnsiTheme="majorBidi" w:cstheme="majorBidi"/>
          <w:sz w:val="24"/>
          <w:szCs w:val="24"/>
        </w:rPr>
        <w:t>p</w:t>
      </w:r>
      <w:r w:rsidR="00CC53FA">
        <w:rPr>
          <w:rFonts w:asciiTheme="majorBidi" w:hAnsiTheme="majorBidi" w:cstheme="majorBidi"/>
          <w:sz w:val="24"/>
          <w:szCs w:val="24"/>
        </w:rPr>
        <w:t>-value</w:t>
      </w:r>
      <w:r w:rsidRPr="00BF4413">
        <w:rPr>
          <w:rFonts w:asciiTheme="majorBidi" w:hAnsiTheme="majorBidi" w:cstheme="majorBidi"/>
          <w:sz w:val="24"/>
          <w:szCs w:val="24"/>
        </w:rPr>
        <w:t xml:space="preserve"> = 0.0</w:t>
      </w:r>
      <w:r>
        <w:rPr>
          <w:rFonts w:asciiTheme="majorBidi" w:hAnsiTheme="majorBidi" w:cstheme="majorBidi"/>
          <w:sz w:val="24"/>
          <w:szCs w:val="24"/>
        </w:rPr>
        <w:t>1</w:t>
      </w:r>
      <w:r w:rsidRPr="00BF4413">
        <w:rPr>
          <w:rFonts w:asciiTheme="majorBidi" w:hAnsiTheme="majorBidi" w:cstheme="majorBidi"/>
          <w:sz w:val="24"/>
          <w:szCs w:val="24"/>
        </w:rPr>
        <w:t>).</w:t>
      </w:r>
    </w:p>
    <w:p w14:paraId="18329B19" w14:textId="143B7B58" w:rsidR="006D6639" w:rsidRPr="00BF4413" w:rsidRDefault="006D6639"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As expected, the number of employees was also a significant predictor, with an odds ratio of 1.0</w:t>
      </w:r>
      <w:r w:rsidR="006207C6">
        <w:rPr>
          <w:rFonts w:asciiTheme="majorBidi" w:hAnsiTheme="majorBidi" w:cstheme="majorBidi"/>
          <w:sz w:val="24"/>
          <w:szCs w:val="24"/>
        </w:rPr>
        <w:t>05</w:t>
      </w:r>
      <w:r w:rsidRPr="00BF4413">
        <w:rPr>
          <w:rFonts w:asciiTheme="majorBidi" w:hAnsiTheme="majorBidi" w:cstheme="majorBidi"/>
          <w:sz w:val="24"/>
          <w:szCs w:val="24"/>
        </w:rPr>
        <w:t xml:space="preserve"> (p</w:t>
      </w:r>
      <w:r w:rsidR="00977199">
        <w:rPr>
          <w:rFonts w:asciiTheme="majorBidi" w:hAnsiTheme="majorBidi" w:cstheme="majorBidi"/>
          <w:sz w:val="24"/>
          <w:szCs w:val="24"/>
        </w:rPr>
        <w:t>-value</w:t>
      </w:r>
      <w:r w:rsidR="00977199" w:rsidRPr="00BF4413">
        <w:rPr>
          <w:rFonts w:asciiTheme="majorBidi" w:hAnsiTheme="majorBidi" w:cstheme="majorBidi"/>
          <w:sz w:val="24"/>
          <w:szCs w:val="24"/>
        </w:rPr>
        <w:t xml:space="preserve"> </w:t>
      </w:r>
      <w:r w:rsidRPr="00BF4413">
        <w:rPr>
          <w:rFonts w:asciiTheme="majorBidi" w:hAnsiTheme="majorBidi" w:cstheme="majorBidi"/>
          <w:sz w:val="24"/>
          <w:szCs w:val="24"/>
        </w:rPr>
        <w:t xml:space="preserve">= 0.001). This indicates that for each additional employee, the odds of a startup granting equity compensation increase by approximately </w:t>
      </w:r>
      <w:r w:rsidR="006207C6">
        <w:rPr>
          <w:rFonts w:asciiTheme="majorBidi" w:hAnsiTheme="majorBidi" w:cstheme="majorBidi"/>
          <w:sz w:val="24"/>
          <w:szCs w:val="24"/>
        </w:rPr>
        <w:t>0.5</w:t>
      </w:r>
      <w:r w:rsidRPr="00BF4413">
        <w:rPr>
          <w:rFonts w:asciiTheme="majorBidi" w:hAnsiTheme="majorBidi" w:cstheme="majorBidi"/>
          <w:sz w:val="24"/>
          <w:szCs w:val="24"/>
        </w:rPr>
        <w:t xml:space="preserve">%. </w:t>
      </w:r>
    </w:p>
    <w:p w14:paraId="7557E998" w14:textId="352A0DD8" w:rsidR="00A8583B" w:rsidRDefault="00966DF5"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The presence of </w:t>
      </w:r>
      <w:r w:rsidR="000D6D3A">
        <w:rPr>
          <w:rFonts w:asciiTheme="majorBidi" w:hAnsiTheme="majorBidi" w:cstheme="majorBidi"/>
          <w:sz w:val="24"/>
          <w:szCs w:val="24"/>
        </w:rPr>
        <w:t xml:space="preserve">external </w:t>
      </w:r>
      <w:r w:rsidRPr="00BF4413">
        <w:rPr>
          <w:rFonts w:asciiTheme="majorBidi" w:hAnsiTheme="majorBidi" w:cstheme="majorBidi"/>
          <w:sz w:val="24"/>
          <w:szCs w:val="24"/>
        </w:rPr>
        <w:t xml:space="preserve">legal consultants was associated with a higher likelihood of </w:t>
      </w:r>
      <w:r w:rsidR="00CF4963" w:rsidRPr="00BF4413">
        <w:rPr>
          <w:rFonts w:asciiTheme="majorBidi" w:hAnsiTheme="majorBidi" w:cstheme="majorBidi"/>
          <w:sz w:val="24"/>
          <w:szCs w:val="24"/>
        </w:rPr>
        <w:t>granting startup equity compensation</w:t>
      </w:r>
      <w:r w:rsidRPr="00BF4413">
        <w:rPr>
          <w:rFonts w:asciiTheme="majorBidi" w:hAnsiTheme="majorBidi" w:cstheme="majorBidi"/>
          <w:sz w:val="24"/>
          <w:szCs w:val="24"/>
        </w:rPr>
        <w:t>, with an odds ratio of 4.</w:t>
      </w:r>
      <w:r w:rsidR="0092768C" w:rsidRPr="00BF4413">
        <w:rPr>
          <w:rFonts w:asciiTheme="majorBidi" w:hAnsiTheme="majorBidi" w:cstheme="majorBidi"/>
          <w:sz w:val="24"/>
          <w:szCs w:val="24"/>
        </w:rPr>
        <w:t>7</w:t>
      </w:r>
      <w:r w:rsidR="0092768C">
        <w:rPr>
          <w:rFonts w:asciiTheme="majorBidi" w:hAnsiTheme="majorBidi" w:cstheme="majorBidi"/>
          <w:sz w:val="24"/>
          <w:szCs w:val="24"/>
        </w:rPr>
        <w:t>6</w:t>
      </w:r>
      <w:r w:rsidR="0092768C" w:rsidRPr="00BF4413">
        <w:rPr>
          <w:rFonts w:asciiTheme="majorBidi" w:hAnsiTheme="majorBidi" w:cstheme="majorBidi"/>
          <w:sz w:val="24"/>
          <w:szCs w:val="24"/>
        </w:rPr>
        <w:t xml:space="preserve"> </w:t>
      </w:r>
      <w:r w:rsidRPr="00BF4413">
        <w:rPr>
          <w:rFonts w:asciiTheme="majorBidi" w:hAnsiTheme="majorBidi" w:cstheme="majorBidi"/>
          <w:sz w:val="24"/>
          <w:szCs w:val="24"/>
        </w:rPr>
        <w:t>(p</w:t>
      </w:r>
      <w:r w:rsidR="00977199">
        <w:rPr>
          <w:rFonts w:asciiTheme="majorBidi" w:hAnsiTheme="majorBidi" w:cstheme="majorBidi"/>
          <w:sz w:val="24"/>
          <w:szCs w:val="24"/>
        </w:rPr>
        <w:t>-value</w:t>
      </w:r>
      <w:r w:rsidRPr="00BF4413">
        <w:rPr>
          <w:rFonts w:asciiTheme="majorBidi" w:hAnsiTheme="majorBidi" w:cstheme="majorBidi"/>
          <w:sz w:val="24"/>
          <w:szCs w:val="24"/>
        </w:rPr>
        <w:t xml:space="preserve"> = 0.</w:t>
      </w:r>
      <w:r w:rsidR="0092768C" w:rsidRPr="00BF4413">
        <w:rPr>
          <w:rFonts w:asciiTheme="majorBidi" w:hAnsiTheme="majorBidi" w:cstheme="majorBidi"/>
          <w:sz w:val="24"/>
          <w:szCs w:val="24"/>
        </w:rPr>
        <w:t>0</w:t>
      </w:r>
      <w:r w:rsidR="0092768C">
        <w:rPr>
          <w:rFonts w:asciiTheme="majorBidi" w:hAnsiTheme="majorBidi" w:cstheme="majorBidi"/>
          <w:sz w:val="24"/>
          <w:szCs w:val="24"/>
        </w:rPr>
        <w:t>08</w:t>
      </w:r>
      <w:r w:rsidRPr="00BF4413">
        <w:rPr>
          <w:rFonts w:asciiTheme="majorBidi" w:hAnsiTheme="majorBidi" w:cstheme="majorBidi"/>
          <w:sz w:val="24"/>
          <w:szCs w:val="24"/>
        </w:rPr>
        <w:t xml:space="preserve">). This suggests that startups with </w:t>
      </w:r>
      <w:r w:rsidR="000D6D3A">
        <w:rPr>
          <w:rFonts w:asciiTheme="majorBidi" w:hAnsiTheme="majorBidi" w:cstheme="majorBidi"/>
          <w:sz w:val="24"/>
          <w:szCs w:val="24"/>
        </w:rPr>
        <w:t xml:space="preserve">external </w:t>
      </w:r>
      <w:r w:rsidRPr="00BF4413">
        <w:rPr>
          <w:rFonts w:asciiTheme="majorBidi" w:hAnsiTheme="majorBidi" w:cstheme="majorBidi"/>
          <w:sz w:val="24"/>
          <w:szCs w:val="24"/>
        </w:rPr>
        <w:t xml:space="preserve">legal consultants are nearly five times more likely to </w:t>
      </w:r>
      <w:r w:rsidR="00BC4810" w:rsidRPr="00BF4413">
        <w:rPr>
          <w:rFonts w:asciiTheme="majorBidi" w:hAnsiTheme="majorBidi" w:cstheme="majorBidi"/>
          <w:sz w:val="24"/>
          <w:szCs w:val="24"/>
        </w:rPr>
        <w:t>grant equity compensation to their employees</w:t>
      </w:r>
      <w:r w:rsidRPr="00BF4413">
        <w:rPr>
          <w:rFonts w:asciiTheme="majorBidi" w:hAnsiTheme="majorBidi" w:cstheme="majorBidi"/>
          <w:sz w:val="24"/>
          <w:szCs w:val="24"/>
        </w:rPr>
        <w:t xml:space="preserve">. </w:t>
      </w:r>
    </w:p>
    <w:p w14:paraId="51E7139A" w14:textId="13E8D191" w:rsidR="008057EF" w:rsidRPr="00BF4413" w:rsidRDefault="00966DF5"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lastRenderedPageBreak/>
        <w:t xml:space="preserve">Lastly, the </w:t>
      </w:r>
      <w:r w:rsidR="00116923" w:rsidRPr="00BF4413">
        <w:rPr>
          <w:rFonts w:asciiTheme="majorBidi" w:hAnsiTheme="majorBidi" w:cstheme="majorBidi"/>
          <w:sz w:val="24"/>
          <w:szCs w:val="24"/>
        </w:rPr>
        <w:t>Y</w:t>
      </w:r>
      <w:r w:rsidR="00CB2DB6" w:rsidRPr="00BF4413">
        <w:rPr>
          <w:rFonts w:asciiTheme="majorBidi" w:hAnsiTheme="majorBidi" w:cstheme="majorBidi"/>
          <w:sz w:val="24"/>
          <w:szCs w:val="24"/>
        </w:rPr>
        <w:t xml:space="preserve">ear of </w:t>
      </w:r>
      <w:r w:rsidR="00116923" w:rsidRPr="00BF4413">
        <w:rPr>
          <w:rFonts w:asciiTheme="majorBidi" w:hAnsiTheme="majorBidi" w:cstheme="majorBidi"/>
          <w:sz w:val="24"/>
          <w:szCs w:val="24"/>
        </w:rPr>
        <w:t>I</w:t>
      </w:r>
      <w:r w:rsidR="00CB2DB6" w:rsidRPr="00BF4413">
        <w:rPr>
          <w:rFonts w:asciiTheme="majorBidi" w:hAnsiTheme="majorBidi" w:cstheme="majorBidi"/>
          <w:sz w:val="24"/>
          <w:szCs w:val="24"/>
        </w:rPr>
        <w:t xml:space="preserve">ncorporation </w:t>
      </w:r>
      <w:r w:rsidRPr="00BF4413">
        <w:rPr>
          <w:rFonts w:asciiTheme="majorBidi" w:hAnsiTheme="majorBidi" w:cstheme="majorBidi"/>
          <w:sz w:val="24"/>
          <w:szCs w:val="24"/>
        </w:rPr>
        <w:t xml:space="preserve">was significant, with an odds ratio of </w:t>
      </w:r>
      <w:r w:rsidR="00A8583B" w:rsidRPr="000C5E3B">
        <w:rPr>
          <w:rFonts w:ascii="Times" w:eastAsia="Times New Roman" w:hAnsi="Times" w:cs="Times"/>
        </w:rPr>
        <w:t>1.12</w:t>
      </w:r>
      <w:r w:rsidRPr="00BF4413">
        <w:rPr>
          <w:rFonts w:asciiTheme="majorBidi" w:hAnsiTheme="majorBidi" w:cstheme="majorBidi"/>
          <w:sz w:val="24"/>
          <w:szCs w:val="24"/>
        </w:rPr>
        <w:t xml:space="preserve"> (p</w:t>
      </w:r>
      <w:r w:rsidR="00977199">
        <w:rPr>
          <w:rFonts w:asciiTheme="majorBidi" w:hAnsiTheme="majorBidi" w:cstheme="majorBidi"/>
          <w:sz w:val="24"/>
          <w:szCs w:val="24"/>
        </w:rPr>
        <w:t>-value</w:t>
      </w:r>
      <w:r w:rsidRPr="00BF4413">
        <w:rPr>
          <w:rFonts w:asciiTheme="majorBidi" w:hAnsiTheme="majorBidi" w:cstheme="majorBidi"/>
          <w:sz w:val="24"/>
          <w:szCs w:val="24"/>
        </w:rPr>
        <w:t xml:space="preserve"> = 0.0</w:t>
      </w:r>
      <w:r w:rsidR="0092768C">
        <w:rPr>
          <w:rFonts w:asciiTheme="majorBidi" w:hAnsiTheme="majorBidi" w:cstheme="majorBidi"/>
          <w:sz w:val="24"/>
          <w:szCs w:val="24"/>
        </w:rPr>
        <w:t>02</w:t>
      </w:r>
      <w:r w:rsidRPr="00BF4413">
        <w:rPr>
          <w:rFonts w:asciiTheme="majorBidi" w:hAnsiTheme="majorBidi" w:cstheme="majorBidi"/>
          <w:sz w:val="24"/>
          <w:szCs w:val="24"/>
        </w:rPr>
        <w:t xml:space="preserve">), indicating that for each additional year, the odds of </w:t>
      </w:r>
      <w:r w:rsidR="00116923" w:rsidRPr="00BF4413">
        <w:rPr>
          <w:rFonts w:asciiTheme="majorBidi" w:hAnsiTheme="majorBidi" w:cstheme="majorBidi"/>
          <w:sz w:val="24"/>
          <w:szCs w:val="24"/>
        </w:rPr>
        <w:t xml:space="preserve">granting employee equity compensation </w:t>
      </w:r>
      <w:r w:rsidRPr="00BF4413">
        <w:rPr>
          <w:rFonts w:asciiTheme="majorBidi" w:hAnsiTheme="majorBidi" w:cstheme="majorBidi"/>
          <w:sz w:val="24"/>
          <w:szCs w:val="24"/>
        </w:rPr>
        <w:t xml:space="preserve">increase by </w:t>
      </w:r>
      <w:r w:rsidR="00A8583B">
        <w:rPr>
          <w:rFonts w:asciiTheme="majorBidi" w:hAnsiTheme="majorBidi" w:cstheme="majorBidi"/>
          <w:sz w:val="24"/>
          <w:szCs w:val="24"/>
        </w:rPr>
        <w:t>12</w:t>
      </w:r>
      <w:r w:rsidRPr="00BF4413">
        <w:rPr>
          <w:rFonts w:asciiTheme="majorBidi" w:hAnsiTheme="majorBidi" w:cstheme="majorBidi"/>
          <w:sz w:val="24"/>
          <w:szCs w:val="24"/>
        </w:rPr>
        <w:t xml:space="preserve">%. </w:t>
      </w:r>
    </w:p>
    <w:p w14:paraId="645DF168" w14:textId="189F39CC" w:rsidR="00966DF5" w:rsidRDefault="00966DF5" w:rsidP="005B5936">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Other predictors, the age of the entrepreneurs, the presence of board members other than the founders, and the </w:t>
      </w:r>
      <w:r w:rsidR="00A8583B">
        <w:rPr>
          <w:rFonts w:asciiTheme="majorBidi" w:hAnsiTheme="majorBidi" w:cstheme="majorBidi"/>
          <w:sz w:val="24"/>
          <w:szCs w:val="24"/>
        </w:rPr>
        <w:t xml:space="preserve">firm’s </w:t>
      </w:r>
      <w:r w:rsidRPr="00BF4413">
        <w:rPr>
          <w:rFonts w:asciiTheme="majorBidi" w:hAnsiTheme="majorBidi" w:cstheme="majorBidi"/>
          <w:sz w:val="24"/>
          <w:szCs w:val="24"/>
        </w:rPr>
        <w:t>valuation, were not statistically significant at the 5% level</w:t>
      </w:r>
      <w:r w:rsidR="00D82B08">
        <w:rPr>
          <w:rFonts w:asciiTheme="majorBidi" w:hAnsiTheme="majorBidi" w:cstheme="majorBidi"/>
          <w:sz w:val="24"/>
          <w:szCs w:val="24"/>
        </w:rPr>
        <w:t xml:space="preserve">, </w:t>
      </w:r>
      <w:r w:rsidR="00AE5333" w:rsidRPr="00BF4413">
        <w:rPr>
          <w:rFonts w:asciiTheme="majorBidi" w:hAnsiTheme="majorBidi" w:cstheme="majorBidi"/>
          <w:sz w:val="24"/>
          <w:szCs w:val="24"/>
        </w:rPr>
        <w:t>suggest</w:t>
      </w:r>
      <w:r w:rsidR="00D82B08">
        <w:rPr>
          <w:rFonts w:asciiTheme="majorBidi" w:hAnsiTheme="majorBidi" w:cstheme="majorBidi"/>
          <w:sz w:val="24"/>
          <w:szCs w:val="24"/>
        </w:rPr>
        <w:t>ing</w:t>
      </w:r>
      <w:r w:rsidR="00AE5333" w:rsidRPr="00BF4413">
        <w:rPr>
          <w:rFonts w:asciiTheme="majorBidi" w:hAnsiTheme="majorBidi" w:cstheme="majorBidi"/>
          <w:sz w:val="24"/>
          <w:szCs w:val="24"/>
        </w:rPr>
        <w:t xml:space="preserve"> that these factors do not significantly affect the likelihood of employees receiving equity compensation</w:t>
      </w:r>
      <w:r w:rsidRPr="00BF4413">
        <w:rPr>
          <w:rFonts w:asciiTheme="majorBidi" w:hAnsiTheme="majorBidi" w:cstheme="majorBidi"/>
          <w:sz w:val="24"/>
          <w:szCs w:val="24"/>
        </w:rPr>
        <w:t>.</w:t>
      </w:r>
    </w:p>
    <w:p w14:paraId="3CEBC9D9" w14:textId="6DE8347B" w:rsidR="007C17C2" w:rsidRPr="00BF4413" w:rsidRDefault="002F1643" w:rsidP="005B5936">
      <w:pPr>
        <w:spacing w:line="360" w:lineRule="auto"/>
        <w:ind w:firstLine="720"/>
        <w:jc w:val="both"/>
        <w:rPr>
          <w:rFonts w:asciiTheme="majorBidi" w:hAnsiTheme="majorBidi" w:cstheme="majorBidi"/>
          <w:sz w:val="24"/>
          <w:szCs w:val="24"/>
        </w:rPr>
      </w:pPr>
      <w:r w:rsidRPr="002F1643">
        <w:rPr>
          <w:rFonts w:asciiTheme="majorBidi" w:hAnsiTheme="majorBidi" w:cstheme="majorBidi"/>
          <w:sz w:val="24"/>
          <w:szCs w:val="24"/>
        </w:rPr>
        <w:t xml:space="preserve">In summary, our logistic regression model indicates that while legal factors are significant in shaping a startup's approach to equity compensation, they play a comparatively minor role next to determinants more closely aligned with a learning curve </w:t>
      </w:r>
      <w:r w:rsidR="00D43E18">
        <w:rPr>
          <w:rFonts w:asciiTheme="majorBidi" w:hAnsiTheme="majorBidi" w:cstheme="majorBidi"/>
          <w:sz w:val="24"/>
          <w:szCs w:val="24"/>
        </w:rPr>
        <w:t>explanation</w:t>
      </w:r>
      <w:r w:rsidRPr="002F1643">
        <w:rPr>
          <w:rFonts w:asciiTheme="majorBidi" w:hAnsiTheme="majorBidi" w:cstheme="majorBidi"/>
          <w:sz w:val="24"/>
          <w:szCs w:val="24"/>
        </w:rPr>
        <w:t xml:space="preserve">. These determinants include the engagement of </w:t>
      </w:r>
      <w:r w:rsidR="000D6D3A">
        <w:rPr>
          <w:rFonts w:asciiTheme="majorBidi" w:hAnsiTheme="majorBidi" w:cstheme="majorBidi"/>
          <w:sz w:val="24"/>
          <w:szCs w:val="24"/>
        </w:rPr>
        <w:t xml:space="preserve">external </w:t>
      </w:r>
      <w:r w:rsidRPr="002F1643">
        <w:rPr>
          <w:rFonts w:asciiTheme="majorBidi" w:hAnsiTheme="majorBidi" w:cstheme="majorBidi"/>
          <w:sz w:val="24"/>
          <w:szCs w:val="24"/>
        </w:rPr>
        <w:t xml:space="preserve">legal experts, founders' prior experience </w:t>
      </w:r>
      <w:r>
        <w:rPr>
          <w:rFonts w:asciiTheme="majorBidi" w:hAnsiTheme="majorBidi" w:cstheme="majorBidi"/>
          <w:sz w:val="24"/>
          <w:szCs w:val="24"/>
        </w:rPr>
        <w:t xml:space="preserve">as employees </w:t>
      </w:r>
      <w:r w:rsidRPr="002F1643">
        <w:rPr>
          <w:rFonts w:asciiTheme="majorBidi" w:hAnsiTheme="majorBidi" w:cstheme="majorBidi"/>
          <w:sz w:val="24"/>
          <w:szCs w:val="24"/>
        </w:rPr>
        <w:t>in startups, and aspects of growth and time</w:t>
      </w:r>
      <w:r w:rsidR="007C17C2" w:rsidRPr="007C17C2">
        <w:rPr>
          <w:rFonts w:asciiTheme="majorBidi" w:hAnsiTheme="majorBidi" w:cstheme="majorBidi"/>
          <w:sz w:val="24"/>
          <w:szCs w:val="24"/>
        </w:rPr>
        <w:t>.</w:t>
      </w:r>
    </w:p>
    <w:p w14:paraId="1C093DFB" w14:textId="4D36849E" w:rsidR="00DE38C7" w:rsidRPr="00BF4413" w:rsidRDefault="00311014" w:rsidP="003E7E8A">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Further, </w:t>
      </w:r>
      <w:r w:rsidR="00771D67" w:rsidRPr="00BF4413">
        <w:rPr>
          <w:rFonts w:asciiTheme="majorBidi" w:hAnsiTheme="majorBidi" w:cstheme="majorBidi"/>
          <w:sz w:val="24"/>
          <w:szCs w:val="24"/>
        </w:rPr>
        <w:t xml:space="preserve">we explore the relationship between Index Venture’s </w:t>
      </w:r>
      <w:r w:rsidR="009A5259">
        <w:rPr>
          <w:rFonts w:asciiTheme="majorBidi" w:hAnsiTheme="majorBidi" w:cstheme="majorBidi"/>
          <w:sz w:val="24"/>
          <w:szCs w:val="24"/>
        </w:rPr>
        <w:t>scale</w:t>
      </w:r>
      <w:r w:rsidR="00941260" w:rsidRPr="00BF4413">
        <w:rPr>
          <w:rFonts w:asciiTheme="majorBidi" w:hAnsiTheme="majorBidi" w:cstheme="majorBidi"/>
          <w:sz w:val="24"/>
          <w:szCs w:val="24"/>
        </w:rPr>
        <w:t xml:space="preserve"> and startups</w:t>
      </w:r>
      <w:r w:rsidR="006F10D2" w:rsidRPr="00BF4413">
        <w:rPr>
          <w:rFonts w:asciiTheme="majorBidi" w:hAnsiTheme="majorBidi" w:cstheme="majorBidi"/>
          <w:sz w:val="24"/>
          <w:szCs w:val="24"/>
        </w:rPr>
        <w:t>’</w:t>
      </w:r>
      <w:r w:rsidR="00941260" w:rsidRPr="00BF4413">
        <w:rPr>
          <w:rFonts w:asciiTheme="majorBidi" w:hAnsiTheme="majorBidi" w:cstheme="majorBidi"/>
          <w:sz w:val="24"/>
          <w:szCs w:val="24"/>
        </w:rPr>
        <w:t xml:space="preserve"> use of </w:t>
      </w:r>
      <w:r w:rsidR="00DE38C7" w:rsidRPr="00BF4413">
        <w:rPr>
          <w:rFonts w:asciiTheme="majorBidi" w:hAnsiTheme="majorBidi" w:cstheme="majorBidi"/>
          <w:sz w:val="24"/>
          <w:szCs w:val="24"/>
        </w:rPr>
        <w:t>equity compensation</w:t>
      </w:r>
      <w:r w:rsidR="00941260" w:rsidRPr="00BF4413">
        <w:rPr>
          <w:rFonts w:asciiTheme="majorBidi" w:hAnsiTheme="majorBidi" w:cstheme="majorBidi"/>
          <w:sz w:val="24"/>
          <w:szCs w:val="24"/>
        </w:rPr>
        <w:t xml:space="preserve"> in our sample in more detail. </w:t>
      </w:r>
      <w:r w:rsidR="007F7745" w:rsidRPr="00BF4413">
        <w:rPr>
          <w:rFonts w:asciiTheme="majorBidi" w:hAnsiTheme="majorBidi" w:cstheme="majorBidi"/>
          <w:sz w:val="24"/>
          <w:szCs w:val="24"/>
        </w:rPr>
        <w:t xml:space="preserve">For this analysis we excluded five countries for which we lack sufficient data (fewer than </w:t>
      </w:r>
      <w:r w:rsidR="000C1EC3">
        <w:rPr>
          <w:rFonts w:asciiTheme="majorBidi" w:hAnsiTheme="majorBidi" w:cstheme="majorBidi"/>
          <w:sz w:val="24"/>
          <w:szCs w:val="24"/>
        </w:rPr>
        <w:t>2</w:t>
      </w:r>
      <w:r w:rsidR="007F7745" w:rsidRPr="00BF4413">
        <w:rPr>
          <w:rFonts w:asciiTheme="majorBidi" w:hAnsiTheme="majorBidi" w:cstheme="majorBidi"/>
          <w:sz w:val="24"/>
          <w:szCs w:val="24"/>
        </w:rPr>
        <w:t xml:space="preserve">0 </w:t>
      </w:r>
      <w:r w:rsidR="0092768C">
        <w:rPr>
          <w:rFonts w:asciiTheme="majorBidi" w:hAnsiTheme="majorBidi" w:cstheme="majorBidi"/>
          <w:sz w:val="24"/>
          <w:szCs w:val="24"/>
        </w:rPr>
        <w:t>companies</w:t>
      </w:r>
      <w:r w:rsidR="0092768C" w:rsidRPr="00BF4413">
        <w:rPr>
          <w:rFonts w:asciiTheme="majorBidi" w:hAnsiTheme="majorBidi" w:cstheme="majorBidi"/>
          <w:sz w:val="24"/>
          <w:szCs w:val="24"/>
        </w:rPr>
        <w:t xml:space="preserve"> </w:t>
      </w:r>
      <w:r w:rsidR="007F7745" w:rsidRPr="00BF4413">
        <w:rPr>
          <w:rFonts w:asciiTheme="majorBidi" w:hAnsiTheme="majorBidi" w:cstheme="majorBidi"/>
          <w:sz w:val="24"/>
          <w:szCs w:val="24"/>
        </w:rPr>
        <w:t xml:space="preserve">are included in the dataset for Latvia, Lithuania, Czech Republic, and Estonia) and countries that amended their employee stock option policies during the study period (Italy in 2012, Australia in 2015, Denmark in 2016, Ireland in 2018, Sweden in 2018, and France in 2020).  </w:t>
      </w:r>
    </w:p>
    <w:p w14:paraId="43ACEAC2" w14:textId="0C56243D" w:rsidR="00B35D7B" w:rsidRPr="00BF4413" w:rsidRDefault="00B35D7B" w:rsidP="003E7E8A">
      <w:pPr>
        <w:spacing w:line="360" w:lineRule="auto"/>
        <w:ind w:firstLine="720"/>
        <w:jc w:val="both"/>
        <w:rPr>
          <w:rFonts w:asciiTheme="majorBidi" w:hAnsiTheme="majorBidi" w:cstheme="majorBidi"/>
          <w:sz w:val="24"/>
          <w:szCs w:val="24"/>
        </w:rPr>
      </w:pPr>
      <w:r w:rsidRPr="00BF4413">
        <w:rPr>
          <w:rFonts w:asciiTheme="majorBidi" w:hAnsiTheme="majorBidi" w:cstheme="majorBidi"/>
          <w:b/>
          <w:bCs/>
          <w:sz w:val="24"/>
          <w:szCs w:val="24"/>
        </w:rPr>
        <w:t>Figure</w:t>
      </w:r>
      <w:r w:rsidR="003E7E8A" w:rsidRPr="00BF4413">
        <w:rPr>
          <w:rFonts w:asciiTheme="majorBidi" w:hAnsiTheme="majorBidi" w:cstheme="majorBidi"/>
          <w:b/>
          <w:bCs/>
          <w:sz w:val="24"/>
          <w:szCs w:val="24"/>
        </w:rPr>
        <w:t xml:space="preserve"> 2</w:t>
      </w:r>
      <w:r w:rsidRPr="00BF4413">
        <w:rPr>
          <w:rFonts w:asciiTheme="majorBidi" w:hAnsiTheme="majorBidi" w:cstheme="majorBidi"/>
          <w:sz w:val="24"/>
          <w:szCs w:val="24"/>
        </w:rPr>
        <w:t xml:space="preserve"> shows a </w:t>
      </w:r>
      <w:r w:rsidR="00236FA9" w:rsidRPr="00BF4413">
        <w:rPr>
          <w:rFonts w:asciiTheme="majorBidi" w:hAnsiTheme="majorBidi" w:cstheme="majorBidi"/>
          <w:sz w:val="24"/>
          <w:szCs w:val="24"/>
        </w:rPr>
        <w:t>significant positive correlation between employee stock option policies and early-stage start-up employee equity participation</w:t>
      </w:r>
      <w:r w:rsidR="0092768C">
        <w:rPr>
          <w:rFonts w:asciiTheme="majorBidi" w:hAnsiTheme="majorBidi" w:cstheme="majorBidi"/>
          <w:sz w:val="24"/>
          <w:szCs w:val="24"/>
        </w:rPr>
        <w:t xml:space="preserve"> (Pearson R = 0.7</w:t>
      </w:r>
      <w:r w:rsidR="000C1EC3">
        <w:rPr>
          <w:rFonts w:asciiTheme="majorBidi" w:hAnsiTheme="majorBidi" w:cstheme="majorBidi"/>
          <w:sz w:val="24"/>
          <w:szCs w:val="24"/>
        </w:rPr>
        <w:t>1; p-value = 0.005</w:t>
      </w:r>
      <w:r w:rsidR="0092768C">
        <w:rPr>
          <w:rFonts w:asciiTheme="majorBidi" w:hAnsiTheme="majorBidi" w:cstheme="majorBidi"/>
          <w:sz w:val="24"/>
          <w:szCs w:val="24"/>
        </w:rPr>
        <w:t>)</w:t>
      </w:r>
      <w:r w:rsidR="00236FA9" w:rsidRPr="00BF4413">
        <w:rPr>
          <w:rFonts w:asciiTheme="majorBidi" w:hAnsiTheme="majorBidi" w:cstheme="majorBidi"/>
          <w:sz w:val="24"/>
          <w:szCs w:val="24"/>
        </w:rPr>
        <w:t>, with significant variation a</w:t>
      </w:r>
      <w:r w:rsidR="000C1EC3">
        <w:rPr>
          <w:rFonts w:asciiTheme="majorBidi" w:hAnsiTheme="majorBidi" w:cstheme="majorBidi"/>
          <w:sz w:val="24"/>
          <w:szCs w:val="24"/>
        </w:rPr>
        <w:t>c</w:t>
      </w:r>
      <w:r w:rsidR="00236FA9" w:rsidRPr="00BF4413">
        <w:rPr>
          <w:rFonts w:asciiTheme="majorBidi" w:hAnsiTheme="majorBidi" w:cstheme="majorBidi"/>
          <w:sz w:val="24"/>
          <w:szCs w:val="24"/>
        </w:rPr>
        <w:t>ross European countries</w:t>
      </w:r>
      <w:r w:rsidRPr="00BF4413">
        <w:rPr>
          <w:rFonts w:asciiTheme="majorBidi" w:hAnsiTheme="majorBidi" w:cstheme="majorBidi"/>
          <w:sz w:val="24"/>
          <w:szCs w:val="24"/>
        </w:rPr>
        <w:t xml:space="preserve">. The friendliness of legal systems to employee ownership appears to be a relatively robust predictor of the percentage of early-stage startups that grant equity to their </w:t>
      </w:r>
      <w:r w:rsidR="00D82B08" w:rsidRPr="00BF4413">
        <w:rPr>
          <w:rFonts w:asciiTheme="majorBidi" w:hAnsiTheme="majorBidi" w:cstheme="majorBidi"/>
          <w:sz w:val="24"/>
          <w:szCs w:val="24"/>
        </w:rPr>
        <w:t>employees.</w:t>
      </w:r>
    </w:p>
    <w:p w14:paraId="09E226FA" w14:textId="477C2491" w:rsidR="00382FB6" w:rsidRPr="00BF4413" w:rsidRDefault="00382FB6" w:rsidP="00BC722E">
      <w:pPr>
        <w:pStyle w:val="Caption"/>
        <w:keepNext/>
        <w:jc w:val="both"/>
        <w:rPr>
          <w:color w:val="auto"/>
          <w:sz w:val="24"/>
          <w:szCs w:val="24"/>
        </w:rPr>
      </w:pPr>
      <w:r w:rsidRPr="00BF4413">
        <w:rPr>
          <w:b/>
          <w:bCs/>
          <w:color w:val="auto"/>
          <w:sz w:val="24"/>
          <w:szCs w:val="24"/>
        </w:rPr>
        <w:lastRenderedPageBreak/>
        <w:t xml:space="preserve">Figure </w:t>
      </w:r>
      <w:r w:rsidR="00236FA9" w:rsidRPr="00BF4413">
        <w:rPr>
          <w:b/>
          <w:bCs/>
          <w:color w:val="auto"/>
          <w:sz w:val="24"/>
          <w:szCs w:val="24"/>
        </w:rPr>
        <w:t>2</w:t>
      </w:r>
      <w:r w:rsidRPr="00BF4413">
        <w:rPr>
          <w:color w:val="auto"/>
          <w:sz w:val="24"/>
          <w:szCs w:val="24"/>
        </w:rPr>
        <w:t>.</w:t>
      </w:r>
      <w:r w:rsidR="00FC1420" w:rsidRPr="00BF4413">
        <w:rPr>
          <w:color w:val="auto"/>
          <w:sz w:val="24"/>
          <w:szCs w:val="24"/>
        </w:rPr>
        <w:t xml:space="preserve"> </w:t>
      </w:r>
      <w:r w:rsidR="009A5259" w:rsidRPr="009A5259">
        <w:rPr>
          <w:color w:val="auto"/>
          <w:sz w:val="24"/>
          <w:szCs w:val="24"/>
        </w:rPr>
        <w:t xml:space="preserve">Correlation between a country's score on the Index Ventures </w:t>
      </w:r>
      <w:r w:rsidR="009A5259">
        <w:rPr>
          <w:color w:val="auto"/>
          <w:sz w:val="24"/>
          <w:szCs w:val="24"/>
        </w:rPr>
        <w:t>s</w:t>
      </w:r>
      <w:r w:rsidR="009A5259" w:rsidRPr="009A5259">
        <w:rPr>
          <w:color w:val="auto"/>
          <w:sz w:val="24"/>
          <w:szCs w:val="24"/>
        </w:rPr>
        <w:t>cale (which represents the legal system's favorability towards employee stock options) and the tendency of early-stage startups in the Equidam dataset to include employees in their capitalization tables.</w:t>
      </w:r>
    </w:p>
    <w:p w14:paraId="162610FA" w14:textId="524D9C23" w:rsidR="00B35D7B" w:rsidRPr="00BF4413" w:rsidRDefault="000C1EC3" w:rsidP="007C7D8C">
      <w:pPr>
        <w:spacing w:line="360" w:lineRule="auto"/>
        <w:jc w:val="center"/>
        <w:rPr>
          <w:rFonts w:asciiTheme="majorBidi" w:hAnsiTheme="majorBidi" w:cstheme="majorBidi"/>
          <w:sz w:val="24"/>
          <w:szCs w:val="24"/>
        </w:rPr>
      </w:pPr>
      <w:r>
        <w:rPr>
          <w:rFonts w:asciiTheme="majorBidi" w:hAnsiTheme="majorBidi" w:cstheme="majorBidi"/>
          <w:noProof/>
          <w:sz w:val="24"/>
          <w:szCs w:val="24"/>
          <w14:ligatures w14:val="standardContextual"/>
        </w:rPr>
        <w:drawing>
          <wp:inline distT="0" distB="0" distL="0" distR="0" wp14:anchorId="0226FAAC" wp14:editId="724FB671">
            <wp:extent cx="3939540" cy="3939540"/>
            <wp:effectExtent l="0" t="0" r="3810" b="3810"/>
            <wp:docPr id="689053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3219" name="Picture 6890532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9540" cy="3939540"/>
                    </a:xfrm>
                    <a:prstGeom prst="rect">
                      <a:avLst/>
                    </a:prstGeom>
                  </pic:spPr>
                </pic:pic>
              </a:graphicData>
            </a:graphic>
          </wp:inline>
        </w:drawing>
      </w:r>
    </w:p>
    <w:p w14:paraId="7A869582" w14:textId="1EBFFA25" w:rsidR="004431AA" w:rsidRPr="00BF4413" w:rsidRDefault="00B35D7B" w:rsidP="00185DEB">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Countries form roughly </w:t>
      </w:r>
      <w:r w:rsidR="00E024B7" w:rsidRPr="00BF4413">
        <w:rPr>
          <w:rFonts w:asciiTheme="majorBidi" w:hAnsiTheme="majorBidi" w:cstheme="majorBidi"/>
          <w:sz w:val="24"/>
          <w:szCs w:val="24"/>
        </w:rPr>
        <w:t>three</w:t>
      </w:r>
      <w:r w:rsidRPr="00BF4413">
        <w:rPr>
          <w:rFonts w:asciiTheme="majorBidi" w:hAnsiTheme="majorBidi" w:cstheme="majorBidi"/>
          <w:sz w:val="24"/>
          <w:szCs w:val="24"/>
        </w:rPr>
        <w:t xml:space="preserve"> clusters based on the correlation between policies related to employee stock options and the rate of early-stage employee participation in start-up ownership. The top-performing group includes the United States, the United Kingdom, Israel, and Canada, which all have relatively favorable policies toward employee stock options and correspondingly high rates of employee ownership in start-ups.</w:t>
      </w:r>
      <w:r w:rsidR="00DD6BCC" w:rsidRPr="00BF4413">
        <w:rPr>
          <w:rFonts w:asciiTheme="majorBidi" w:hAnsiTheme="majorBidi" w:cstheme="majorBidi"/>
          <w:sz w:val="24"/>
          <w:szCs w:val="24"/>
        </w:rPr>
        <w:t xml:space="preserve"> Among these states</w:t>
      </w:r>
      <w:r w:rsidR="006066C1" w:rsidRPr="00BF4413">
        <w:rPr>
          <w:rFonts w:asciiTheme="majorBidi" w:hAnsiTheme="majorBidi" w:cstheme="majorBidi"/>
          <w:sz w:val="24"/>
          <w:szCs w:val="24"/>
        </w:rPr>
        <w:t>,</w:t>
      </w:r>
      <w:r w:rsidR="00DD6BCC" w:rsidRPr="00BF4413">
        <w:rPr>
          <w:rFonts w:asciiTheme="majorBidi" w:hAnsiTheme="majorBidi" w:cstheme="majorBidi"/>
          <w:sz w:val="24"/>
          <w:szCs w:val="24"/>
        </w:rPr>
        <w:t xml:space="preserve"> Israel appears as a</w:t>
      </w:r>
      <w:r w:rsidR="006066C1" w:rsidRPr="00BF4413">
        <w:rPr>
          <w:rFonts w:asciiTheme="majorBidi" w:hAnsiTheme="majorBidi" w:cstheme="majorBidi"/>
          <w:sz w:val="24"/>
          <w:szCs w:val="24"/>
        </w:rPr>
        <w:t xml:space="preserve">n </w:t>
      </w:r>
      <w:r w:rsidR="00DD6BCC" w:rsidRPr="00BF4413">
        <w:rPr>
          <w:rFonts w:asciiTheme="majorBidi" w:hAnsiTheme="majorBidi" w:cstheme="majorBidi"/>
          <w:sz w:val="24"/>
          <w:szCs w:val="24"/>
        </w:rPr>
        <w:t>outlier with higher r</w:t>
      </w:r>
      <w:r w:rsidR="006066C1" w:rsidRPr="00BF4413">
        <w:rPr>
          <w:rFonts w:asciiTheme="majorBidi" w:hAnsiTheme="majorBidi" w:cstheme="majorBidi"/>
          <w:sz w:val="24"/>
          <w:szCs w:val="24"/>
        </w:rPr>
        <w:t>a</w:t>
      </w:r>
      <w:r w:rsidR="00DD6BCC" w:rsidRPr="00BF4413">
        <w:rPr>
          <w:rFonts w:asciiTheme="majorBidi" w:hAnsiTheme="majorBidi" w:cstheme="majorBidi"/>
          <w:sz w:val="24"/>
          <w:szCs w:val="24"/>
        </w:rPr>
        <w:t xml:space="preserve">tes of </w:t>
      </w:r>
      <w:r w:rsidR="00D82B08" w:rsidRPr="00BF4413">
        <w:rPr>
          <w:rFonts w:asciiTheme="majorBidi" w:hAnsiTheme="majorBidi" w:cstheme="majorBidi"/>
          <w:sz w:val="24"/>
          <w:szCs w:val="24"/>
        </w:rPr>
        <w:t>employee</w:t>
      </w:r>
      <w:r w:rsidR="00CA700D" w:rsidRPr="00BF4413">
        <w:rPr>
          <w:rFonts w:asciiTheme="majorBidi" w:hAnsiTheme="majorBidi" w:cstheme="majorBidi"/>
          <w:sz w:val="24"/>
          <w:szCs w:val="24"/>
        </w:rPr>
        <w:t xml:space="preserve"> participation in startup equity</w:t>
      </w:r>
      <w:r w:rsidR="00DD6BCC" w:rsidRPr="00BF4413">
        <w:rPr>
          <w:rFonts w:asciiTheme="majorBidi" w:hAnsiTheme="majorBidi" w:cstheme="majorBidi"/>
          <w:sz w:val="24"/>
          <w:szCs w:val="24"/>
        </w:rPr>
        <w:t xml:space="preserve">. </w:t>
      </w:r>
      <w:r w:rsidRPr="00BF4413">
        <w:rPr>
          <w:rFonts w:asciiTheme="majorBidi" w:hAnsiTheme="majorBidi" w:cstheme="majorBidi"/>
          <w:sz w:val="24"/>
          <w:szCs w:val="24"/>
        </w:rPr>
        <w:t xml:space="preserve"> </w:t>
      </w:r>
    </w:p>
    <w:p w14:paraId="132D419C" w14:textId="604CCE21" w:rsidR="00D261D4" w:rsidRPr="00BF4413" w:rsidRDefault="009A5259" w:rsidP="00185DEB">
      <w:pPr>
        <w:spacing w:line="360" w:lineRule="auto"/>
        <w:ind w:firstLine="720"/>
        <w:jc w:val="both"/>
        <w:rPr>
          <w:rFonts w:asciiTheme="majorBidi" w:hAnsiTheme="majorBidi" w:cstheme="majorBidi"/>
          <w:sz w:val="24"/>
          <w:szCs w:val="24"/>
        </w:rPr>
      </w:pPr>
      <w:r w:rsidRPr="009A5259">
        <w:rPr>
          <w:rFonts w:asciiTheme="majorBidi" w:hAnsiTheme="majorBidi" w:cstheme="majorBidi"/>
          <w:sz w:val="24"/>
          <w:szCs w:val="24"/>
        </w:rPr>
        <w:t>Meanwhile, Switzerland, the Netherlands, and Austria, despite having only moderate scores on the Index Venture scale, show early-stage startup employee ownership rates that are reasonably high — nearly on par with those of the UK and the US. This emphasizes the importance of a deeper examination of non-legal factors influencing the adoption of equity compensation plans, especially in the context of challenging legal frameworks</w:t>
      </w:r>
      <w:r w:rsidR="00C649EB" w:rsidRPr="00C649EB">
        <w:rPr>
          <w:rFonts w:asciiTheme="majorBidi" w:hAnsiTheme="majorBidi" w:cstheme="majorBidi"/>
          <w:sz w:val="24"/>
          <w:szCs w:val="24"/>
        </w:rPr>
        <w:t>.</w:t>
      </w:r>
    </w:p>
    <w:p w14:paraId="5DE97424" w14:textId="7D8CB1DC" w:rsidR="00B35D7B" w:rsidRDefault="00B35D7B" w:rsidP="00185DEB">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The group of poor performers consists of countries that have relatively unfriendly policies towards stock options and correspondingly lower rates of employee ownership of local </w:t>
      </w:r>
      <w:r w:rsidRPr="00BF4413">
        <w:rPr>
          <w:rFonts w:asciiTheme="majorBidi" w:hAnsiTheme="majorBidi" w:cstheme="majorBidi"/>
          <w:sz w:val="24"/>
          <w:szCs w:val="24"/>
        </w:rPr>
        <w:lastRenderedPageBreak/>
        <w:t xml:space="preserve">startups. This group includes advanced European economies such as Germany, Belgium, </w:t>
      </w:r>
      <w:r w:rsidR="00DC6630" w:rsidRPr="00BF4413">
        <w:rPr>
          <w:rFonts w:asciiTheme="majorBidi" w:hAnsiTheme="majorBidi" w:cstheme="majorBidi"/>
          <w:sz w:val="24"/>
          <w:szCs w:val="24"/>
        </w:rPr>
        <w:t xml:space="preserve">Finland, Belgium, </w:t>
      </w:r>
      <w:r w:rsidRPr="00BF4413">
        <w:rPr>
          <w:rFonts w:asciiTheme="majorBidi" w:hAnsiTheme="majorBidi" w:cstheme="majorBidi"/>
          <w:sz w:val="24"/>
          <w:szCs w:val="24"/>
        </w:rPr>
        <w:t xml:space="preserve">and Spain. </w:t>
      </w:r>
    </w:p>
    <w:p w14:paraId="0525283D" w14:textId="36F0BA53" w:rsidR="000C1EC3" w:rsidRPr="00BF4413" w:rsidRDefault="009A5259" w:rsidP="00185DE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Notably</w:t>
      </w:r>
      <w:r w:rsidR="000C1EC3" w:rsidRPr="000C1EC3">
        <w:rPr>
          <w:rFonts w:asciiTheme="majorBidi" w:hAnsiTheme="majorBidi" w:cstheme="majorBidi"/>
          <w:sz w:val="24"/>
          <w:szCs w:val="24"/>
        </w:rPr>
        <w:t>, countries such as France and Sweden, which recently underwent significant regulatory reforms, had no companies offering equity compensation</w:t>
      </w:r>
      <w:r w:rsidR="002F1643">
        <w:rPr>
          <w:rFonts w:asciiTheme="majorBidi" w:hAnsiTheme="majorBidi" w:cstheme="majorBidi"/>
          <w:sz w:val="24"/>
          <w:szCs w:val="24"/>
        </w:rPr>
        <w:t xml:space="preserve"> in our sample</w:t>
      </w:r>
      <w:r w:rsidR="000C1EC3" w:rsidRPr="000C1EC3">
        <w:rPr>
          <w:rFonts w:asciiTheme="majorBidi" w:hAnsiTheme="majorBidi" w:cstheme="majorBidi"/>
          <w:sz w:val="24"/>
          <w:szCs w:val="24"/>
        </w:rPr>
        <w:t>. It remains to be seen whether these changes will influence the startup culture, leading startups to grant equity to their employees</w:t>
      </w:r>
      <w:r w:rsidR="002F1643">
        <w:rPr>
          <w:rFonts w:asciiTheme="majorBidi" w:hAnsiTheme="majorBidi" w:cstheme="majorBidi"/>
          <w:sz w:val="24"/>
          <w:szCs w:val="24"/>
        </w:rPr>
        <w:t xml:space="preserve"> more freely</w:t>
      </w:r>
      <w:r w:rsidR="000C1EC3" w:rsidRPr="000C1EC3">
        <w:rPr>
          <w:rFonts w:asciiTheme="majorBidi" w:hAnsiTheme="majorBidi" w:cstheme="majorBidi"/>
          <w:sz w:val="24"/>
          <w:szCs w:val="24"/>
        </w:rPr>
        <w:t>.</w:t>
      </w:r>
    </w:p>
    <w:p w14:paraId="2DCB1CEB" w14:textId="3707B7CE" w:rsidR="00105368" w:rsidRPr="00BF4413" w:rsidRDefault="00ED7A03" w:rsidP="00977199">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To discern which of the six factors included in the Index Ventures </w:t>
      </w:r>
      <w:r w:rsidR="002F1643">
        <w:rPr>
          <w:rFonts w:asciiTheme="majorBidi" w:hAnsiTheme="majorBidi" w:cstheme="majorBidi"/>
          <w:sz w:val="24"/>
          <w:szCs w:val="24"/>
        </w:rPr>
        <w:t>scale</w:t>
      </w:r>
      <w:r w:rsidRPr="00BF4413">
        <w:rPr>
          <w:rFonts w:asciiTheme="majorBidi" w:hAnsiTheme="majorBidi" w:cstheme="majorBidi"/>
          <w:sz w:val="24"/>
          <w:szCs w:val="24"/>
        </w:rPr>
        <w:t xml:space="preserve"> primarily drive these results, we constructed a model incorporating each of these elements for detailed analysis</w:t>
      </w:r>
      <w:r w:rsidR="00E27C9C" w:rsidRPr="00BF4413">
        <w:rPr>
          <w:rFonts w:asciiTheme="majorBidi" w:hAnsiTheme="majorBidi" w:cstheme="majorBidi"/>
          <w:sz w:val="24"/>
          <w:szCs w:val="24"/>
        </w:rPr>
        <w:t xml:space="preserve">. </w:t>
      </w:r>
      <w:r w:rsidR="00977199">
        <w:rPr>
          <w:rFonts w:asciiTheme="majorBidi" w:hAnsiTheme="majorBidi" w:cstheme="majorBidi"/>
          <w:sz w:val="24"/>
          <w:szCs w:val="24"/>
        </w:rPr>
        <w:t xml:space="preserve">Similar </w:t>
      </w:r>
      <w:r w:rsidR="000177F2" w:rsidRPr="00BF4413">
        <w:rPr>
          <w:rFonts w:asciiTheme="majorBidi" w:hAnsiTheme="majorBidi" w:cstheme="majorBidi"/>
          <w:sz w:val="24"/>
          <w:szCs w:val="24"/>
        </w:rPr>
        <w:t>logistic regression</w:t>
      </w:r>
      <w:r w:rsidR="00977199">
        <w:rPr>
          <w:rFonts w:asciiTheme="majorBidi" w:hAnsiTheme="majorBidi" w:cstheme="majorBidi"/>
          <w:sz w:val="24"/>
          <w:szCs w:val="24"/>
        </w:rPr>
        <w:t xml:space="preserve"> analysis as in the previous section was performed, but this time with the Index Venture elements as the independent variables. The</w:t>
      </w:r>
      <w:r w:rsidR="000177F2" w:rsidRPr="00BF4413">
        <w:rPr>
          <w:rFonts w:asciiTheme="majorBidi" w:hAnsiTheme="majorBidi" w:cstheme="majorBidi"/>
          <w:sz w:val="24"/>
          <w:szCs w:val="24"/>
        </w:rPr>
        <w:t xml:space="preserve"> results reveal</w:t>
      </w:r>
      <w:r w:rsidR="00F2602D" w:rsidRPr="00BF4413">
        <w:rPr>
          <w:rFonts w:asciiTheme="majorBidi" w:hAnsiTheme="majorBidi" w:cstheme="majorBidi"/>
          <w:sz w:val="24"/>
          <w:szCs w:val="24"/>
        </w:rPr>
        <w:t xml:space="preserve"> that</w:t>
      </w:r>
      <w:r w:rsidR="00180EEC" w:rsidRPr="00BF4413">
        <w:rPr>
          <w:rFonts w:asciiTheme="majorBidi" w:hAnsiTheme="majorBidi" w:cstheme="majorBidi"/>
          <w:sz w:val="24"/>
          <w:szCs w:val="24"/>
        </w:rPr>
        <w:t xml:space="preserve"> the only significant predictor is the 'Strike Price'. The odds ratio associated with this variable is 1.6</w:t>
      </w:r>
      <w:r w:rsidR="00977199">
        <w:rPr>
          <w:rFonts w:asciiTheme="majorBidi" w:hAnsiTheme="majorBidi" w:cstheme="majorBidi"/>
          <w:sz w:val="24"/>
          <w:szCs w:val="24"/>
        </w:rPr>
        <w:t>6</w:t>
      </w:r>
      <w:r w:rsidR="00180EEC" w:rsidRPr="00BF4413">
        <w:rPr>
          <w:rFonts w:asciiTheme="majorBidi" w:hAnsiTheme="majorBidi" w:cstheme="majorBidi"/>
          <w:sz w:val="24"/>
          <w:szCs w:val="24"/>
        </w:rPr>
        <w:t>, and it</w:t>
      </w:r>
      <w:r w:rsidR="00977199">
        <w:rPr>
          <w:rFonts w:asciiTheme="majorBidi" w:hAnsiTheme="majorBidi" w:cstheme="majorBidi"/>
          <w:sz w:val="24"/>
          <w:szCs w:val="24"/>
        </w:rPr>
        <w:t xml:space="preserve"> i</w:t>
      </w:r>
      <w:r w:rsidR="00180EEC" w:rsidRPr="00BF4413">
        <w:rPr>
          <w:rFonts w:asciiTheme="majorBidi" w:hAnsiTheme="majorBidi" w:cstheme="majorBidi"/>
          <w:sz w:val="24"/>
          <w:szCs w:val="24"/>
        </w:rPr>
        <w:t>s statistically significant (p</w:t>
      </w:r>
      <w:r w:rsidR="00977199">
        <w:rPr>
          <w:rFonts w:asciiTheme="majorBidi" w:hAnsiTheme="majorBidi" w:cstheme="majorBidi"/>
          <w:sz w:val="24"/>
          <w:szCs w:val="24"/>
        </w:rPr>
        <w:t>-value</w:t>
      </w:r>
      <w:r w:rsidR="00180EEC" w:rsidRPr="00BF4413">
        <w:rPr>
          <w:rFonts w:asciiTheme="majorBidi" w:hAnsiTheme="majorBidi" w:cstheme="majorBidi"/>
          <w:sz w:val="24"/>
          <w:szCs w:val="24"/>
        </w:rPr>
        <w:t xml:space="preserve"> = 0.00</w:t>
      </w:r>
      <w:r w:rsidR="00977199">
        <w:rPr>
          <w:rFonts w:asciiTheme="majorBidi" w:hAnsiTheme="majorBidi" w:cstheme="majorBidi"/>
          <w:sz w:val="24"/>
          <w:szCs w:val="24"/>
        </w:rPr>
        <w:t>5</w:t>
      </w:r>
      <w:r w:rsidR="00180EEC" w:rsidRPr="00BF4413">
        <w:rPr>
          <w:rFonts w:asciiTheme="majorBidi" w:hAnsiTheme="majorBidi" w:cstheme="majorBidi"/>
          <w:sz w:val="24"/>
          <w:szCs w:val="24"/>
        </w:rPr>
        <w:t>). This suggests that for each unit increase in the strike price</w:t>
      </w:r>
      <w:r w:rsidR="00C51E2B">
        <w:rPr>
          <w:rFonts w:asciiTheme="majorBidi" w:hAnsiTheme="majorBidi" w:cstheme="majorBidi"/>
          <w:sz w:val="24"/>
          <w:szCs w:val="24"/>
        </w:rPr>
        <w:t xml:space="preserve"> friendliness scale</w:t>
      </w:r>
      <w:r w:rsidR="00180EEC" w:rsidRPr="00BF4413">
        <w:rPr>
          <w:rFonts w:asciiTheme="majorBidi" w:hAnsiTheme="majorBidi" w:cstheme="majorBidi"/>
          <w:sz w:val="24"/>
          <w:szCs w:val="24"/>
        </w:rPr>
        <w:t xml:space="preserve">, the odds of a company offering an </w:t>
      </w:r>
      <w:r w:rsidR="00EF65D8" w:rsidRPr="00BF4413">
        <w:rPr>
          <w:rFonts w:asciiTheme="majorBidi" w:hAnsiTheme="majorBidi" w:cstheme="majorBidi"/>
          <w:sz w:val="24"/>
          <w:szCs w:val="24"/>
        </w:rPr>
        <w:t>e</w:t>
      </w:r>
      <w:r w:rsidR="00180EEC" w:rsidRPr="00BF4413">
        <w:rPr>
          <w:rFonts w:asciiTheme="majorBidi" w:hAnsiTheme="majorBidi" w:cstheme="majorBidi"/>
          <w:sz w:val="24"/>
          <w:szCs w:val="24"/>
        </w:rPr>
        <w:t xml:space="preserve">mployee </w:t>
      </w:r>
      <w:r w:rsidR="00EF65D8" w:rsidRPr="00BF4413">
        <w:rPr>
          <w:rFonts w:asciiTheme="majorBidi" w:hAnsiTheme="majorBidi" w:cstheme="majorBidi"/>
          <w:sz w:val="24"/>
          <w:szCs w:val="24"/>
        </w:rPr>
        <w:t>equity compensation</w:t>
      </w:r>
      <w:r w:rsidR="00180EEC" w:rsidRPr="00BF4413">
        <w:rPr>
          <w:rFonts w:asciiTheme="majorBidi" w:hAnsiTheme="majorBidi" w:cstheme="majorBidi"/>
          <w:sz w:val="24"/>
          <w:szCs w:val="24"/>
        </w:rPr>
        <w:t xml:space="preserve"> increase by approximately 6</w:t>
      </w:r>
      <w:r w:rsidR="00977199">
        <w:rPr>
          <w:rFonts w:asciiTheme="majorBidi" w:hAnsiTheme="majorBidi" w:cstheme="majorBidi"/>
          <w:sz w:val="24"/>
          <w:szCs w:val="24"/>
        </w:rPr>
        <w:t>6</w:t>
      </w:r>
      <w:r w:rsidR="00180EEC" w:rsidRPr="00BF4413">
        <w:rPr>
          <w:rFonts w:asciiTheme="majorBidi" w:hAnsiTheme="majorBidi" w:cstheme="majorBidi"/>
          <w:sz w:val="24"/>
          <w:szCs w:val="24"/>
        </w:rPr>
        <w:t xml:space="preserve">%, assuming all other variables in the model are held constant. In other words, the higher the </w:t>
      </w:r>
      <w:r w:rsidR="00EF65D8" w:rsidRPr="00BF4413">
        <w:rPr>
          <w:rFonts w:asciiTheme="majorBidi" w:hAnsiTheme="majorBidi" w:cstheme="majorBidi"/>
          <w:sz w:val="24"/>
          <w:szCs w:val="24"/>
        </w:rPr>
        <w:t xml:space="preserve">Index Venture’s </w:t>
      </w:r>
      <w:r w:rsidR="00180EEC" w:rsidRPr="00BF4413">
        <w:rPr>
          <w:rFonts w:asciiTheme="majorBidi" w:hAnsiTheme="majorBidi" w:cstheme="majorBidi"/>
          <w:sz w:val="24"/>
          <w:szCs w:val="24"/>
        </w:rPr>
        <w:t>strike price</w:t>
      </w:r>
      <w:r w:rsidR="00EF65D8" w:rsidRPr="00BF4413">
        <w:rPr>
          <w:rFonts w:asciiTheme="majorBidi" w:hAnsiTheme="majorBidi" w:cstheme="majorBidi"/>
          <w:sz w:val="24"/>
          <w:szCs w:val="24"/>
        </w:rPr>
        <w:t xml:space="preserve"> score (meaning more </w:t>
      </w:r>
      <w:r w:rsidR="00680D11" w:rsidRPr="00BF4413">
        <w:rPr>
          <w:rFonts w:asciiTheme="majorBidi" w:hAnsiTheme="majorBidi" w:cstheme="majorBidi"/>
          <w:sz w:val="24"/>
          <w:szCs w:val="24"/>
        </w:rPr>
        <w:t xml:space="preserve">freedom in setting </w:t>
      </w:r>
      <w:r w:rsidR="00C51E2B">
        <w:rPr>
          <w:rFonts w:asciiTheme="majorBidi" w:hAnsiTheme="majorBidi" w:cstheme="majorBidi"/>
          <w:sz w:val="24"/>
          <w:szCs w:val="24"/>
        </w:rPr>
        <w:t xml:space="preserve">employee </w:t>
      </w:r>
      <w:r w:rsidR="00680D11" w:rsidRPr="00BF4413">
        <w:rPr>
          <w:rFonts w:asciiTheme="majorBidi" w:hAnsiTheme="majorBidi" w:cstheme="majorBidi"/>
          <w:sz w:val="24"/>
          <w:szCs w:val="24"/>
        </w:rPr>
        <w:t>stock options’ strike price</w:t>
      </w:r>
      <w:r w:rsidR="00105368" w:rsidRPr="00BF4413">
        <w:rPr>
          <w:rFonts w:asciiTheme="majorBidi" w:hAnsiTheme="majorBidi" w:cstheme="majorBidi"/>
          <w:sz w:val="24"/>
          <w:szCs w:val="24"/>
        </w:rPr>
        <w:t>s</w:t>
      </w:r>
      <w:r w:rsidR="00EF65D8" w:rsidRPr="00BF4413">
        <w:rPr>
          <w:rFonts w:asciiTheme="majorBidi" w:hAnsiTheme="majorBidi" w:cstheme="majorBidi"/>
          <w:sz w:val="24"/>
          <w:szCs w:val="24"/>
        </w:rPr>
        <w:t>)</w:t>
      </w:r>
      <w:r w:rsidR="00180EEC" w:rsidRPr="00BF4413">
        <w:rPr>
          <w:rFonts w:asciiTheme="majorBidi" w:hAnsiTheme="majorBidi" w:cstheme="majorBidi"/>
          <w:sz w:val="24"/>
          <w:szCs w:val="24"/>
        </w:rPr>
        <w:t xml:space="preserve">, the more likely a company is to offer </w:t>
      </w:r>
      <w:r w:rsidR="00680D11" w:rsidRPr="00BF4413">
        <w:rPr>
          <w:rFonts w:asciiTheme="majorBidi" w:hAnsiTheme="majorBidi" w:cstheme="majorBidi"/>
          <w:sz w:val="24"/>
          <w:szCs w:val="24"/>
        </w:rPr>
        <w:t>equity compensation to its employees</w:t>
      </w:r>
      <w:r w:rsidR="00180EEC" w:rsidRPr="00BF4413">
        <w:rPr>
          <w:rFonts w:asciiTheme="majorBidi" w:hAnsiTheme="majorBidi" w:cstheme="majorBidi"/>
          <w:sz w:val="24"/>
          <w:szCs w:val="24"/>
        </w:rPr>
        <w:t xml:space="preserve">, given that all other conditions remain the same. </w:t>
      </w:r>
    </w:p>
    <w:p w14:paraId="4D509D24" w14:textId="74E91B59" w:rsidR="00D53150" w:rsidRPr="00BF4413" w:rsidRDefault="00180EEC" w:rsidP="000177F2">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This result is visually represented in </w:t>
      </w:r>
      <w:r w:rsidRPr="00BF4413">
        <w:rPr>
          <w:rFonts w:asciiTheme="majorBidi" w:hAnsiTheme="majorBidi" w:cstheme="majorBidi"/>
          <w:b/>
          <w:bCs/>
          <w:sz w:val="24"/>
          <w:szCs w:val="24"/>
        </w:rPr>
        <w:t>Figure 3</w:t>
      </w:r>
      <w:r w:rsidRPr="00BF4413">
        <w:rPr>
          <w:rFonts w:asciiTheme="majorBidi" w:hAnsiTheme="majorBidi" w:cstheme="majorBidi"/>
          <w:sz w:val="24"/>
          <w:szCs w:val="24"/>
        </w:rPr>
        <w:t xml:space="preserve"> using a forest plot, which provides a clear visual interpretation of the effect sizes. The plot's horizontal lines represent confidence intervals, and the fact that the line associated with the 'Strike Price' does not cross the vertical line of no effect (odds ratio = 1.0) confirms its statistical significance.</w:t>
      </w:r>
    </w:p>
    <w:p w14:paraId="5EDBEBD7" w14:textId="697110D5" w:rsidR="007A623B" w:rsidRPr="00BF4413" w:rsidRDefault="007A623B" w:rsidP="00B10091">
      <w:pPr>
        <w:pStyle w:val="Caption"/>
        <w:keepNext/>
        <w:jc w:val="both"/>
        <w:rPr>
          <w:color w:val="auto"/>
          <w:sz w:val="24"/>
          <w:szCs w:val="24"/>
        </w:rPr>
      </w:pPr>
      <w:r w:rsidRPr="00BF4413">
        <w:rPr>
          <w:b/>
          <w:bCs/>
          <w:color w:val="auto"/>
          <w:sz w:val="24"/>
          <w:szCs w:val="24"/>
        </w:rPr>
        <w:lastRenderedPageBreak/>
        <w:t xml:space="preserve">Figure </w:t>
      </w:r>
      <w:r w:rsidR="002C1E81" w:rsidRPr="00BF4413">
        <w:rPr>
          <w:b/>
          <w:bCs/>
          <w:color w:val="auto"/>
          <w:sz w:val="24"/>
          <w:szCs w:val="24"/>
        </w:rPr>
        <w:t>3</w:t>
      </w:r>
      <w:r w:rsidRPr="00BF4413">
        <w:rPr>
          <w:color w:val="auto"/>
          <w:sz w:val="24"/>
          <w:szCs w:val="24"/>
        </w:rPr>
        <w:t>.</w:t>
      </w:r>
      <w:r w:rsidR="00C914B5" w:rsidRPr="00BF4413">
        <w:rPr>
          <w:color w:val="auto"/>
          <w:sz w:val="24"/>
          <w:szCs w:val="24"/>
        </w:rPr>
        <w:t xml:space="preserve"> Forest Plot of Logistic Regression Analysis. This plot displays the odds ratios and 95% confidence intervals for each predictor. The 'Strike Price' variable is the sole significant factor, indicating a robust positive association with the provision of employee equity </w:t>
      </w:r>
      <w:r w:rsidR="002F1643" w:rsidRPr="00BF4413">
        <w:rPr>
          <w:color w:val="auto"/>
          <w:sz w:val="24"/>
          <w:szCs w:val="24"/>
        </w:rPr>
        <w:t>compensation.</w:t>
      </w:r>
    </w:p>
    <w:p w14:paraId="362D6C0D" w14:textId="710AA85C" w:rsidR="008F40D0" w:rsidRPr="00BF4413" w:rsidRDefault="00977199" w:rsidP="00F04452">
      <w:pPr>
        <w:spacing w:line="360" w:lineRule="auto"/>
        <w:jc w:val="center"/>
        <w:rPr>
          <w:b/>
          <w:bCs/>
        </w:rPr>
      </w:pPr>
      <w:r>
        <w:rPr>
          <w:b/>
          <w:bCs/>
          <w:noProof/>
          <w14:ligatures w14:val="standardContextual"/>
        </w:rPr>
        <w:drawing>
          <wp:inline distT="0" distB="0" distL="0" distR="0" wp14:anchorId="401808AF" wp14:editId="7BF38081">
            <wp:extent cx="3981527" cy="3981527"/>
            <wp:effectExtent l="0" t="0" r="0" b="0"/>
            <wp:docPr id="5789920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92098"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81527" cy="3981527"/>
                    </a:xfrm>
                    <a:prstGeom prst="rect">
                      <a:avLst/>
                    </a:prstGeom>
                  </pic:spPr>
                </pic:pic>
              </a:graphicData>
            </a:graphic>
          </wp:inline>
        </w:drawing>
      </w:r>
    </w:p>
    <w:p w14:paraId="1C5E60F3" w14:textId="53FA5D1D" w:rsidR="00C649EB" w:rsidRDefault="00C51E2B" w:rsidP="00C649EB">
      <w:pPr>
        <w:pStyle w:val="Style1"/>
        <w:ind w:firstLine="720"/>
        <w:rPr>
          <w:b w:val="0"/>
          <w:bCs w:val="0"/>
        </w:rPr>
      </w:pPr>
      <w:r w:rsidRPr="00C51E2B">
        <w:rPr>
          <w:b w:val="0"/>
          <w:bCs w:val="0"/>
        </w:rPr>
        <w:t>Interestingly, this finding adds nuance to the prevailing literature's emphasis on the employee stock options tax rate as a primary reason for Europe's limited success in nurturing VC ecosystems</w:t>
      </w:r>
      <w:r>
        <w:rPr>
          <w:b w:val="0"/>
          <w:bCs w:val="0"/>
        </w:rPr>
        <w:t xml:space="preserve"> (</w:t>
      </w:r>
      <w:r w:rsidRPr="007E1447">
        <w:rPr>
          <w:b w:val="0"/>
          <w:bCs w:val="0"/>
        </w:rPr>
        <w:t>Henrekson &amp; Sanandaji</w:t>
      </w:r>
      <w:r>
        <w:rPr>
          <w:b w:val="0"/>
          <w:bCs w:val="0"/>
        </w:rPr>
        <w:t xml:space="preserve"> 2018a, b)</w:t>
      </w:r>
      <w:r w:rsidRPr="00C51E2B">
        <w:rPr>
          <w:b w:val="0"/>
          <w:bCs w:val="0"/>
        </w:rPr>
        <w:t xml:space="preserve">. </w:t>
      </w:r>
      <w:r>
        <w:rPr>
          <w:b w:val="0"/>
          <w:bCs w:val="0"/>
        </w:rPr>
        <w:t>According to the literature, w</w:t>
      </w:r>
      <w:r w:rsidRPr="00C649EB">
        <w:rPr>
          <w:b w:val="0"/>
          <w:bCs w:val="0"/>
        </w:rPr>
        <w:t xml:space="preserve">hile most countries treat stock options as labor earnings, the </w:t>
      </w:r>
      <w:r>
        <w:rPr>
          <w:b w:val="0"/>
          <w:bCs w:val="0"/>
        </w:rPr>
        <w:t>US</w:t>
      </w:r>
      <w:r w:rsidRPr="00C649EB">
        <w:rPr>
          <w:b w:val="0"/>
          <w:bCs w:val="0"/>
        </w:rPr>
        <w:t xml:space="preserve"> offers a more favorable capital gains tax rate, leading to widespread stock option</w:t>
      </w:r>
      <w:r w:rsidR="00E57488">
        <w:rPr>
          <w:b w:val="0"/>
          <w:bCs w:val="0"/>
        </w:rPr>
        <w:t>s</w:t>
      </w:r>
      <w:r w:rsidRPr="00C649EB">
        <w:rPr>
          <w:b w:val="0"/>
          <w:bCs w:val="0"/>
        </w:rPr>
        <w:t xml:space="preserve"> use in US</w:t>
      </w:r>
      <w:r>
        <w:rPr>
          <w:b w:val="0"/>
          <w:bCs w:val="0"/>
        </w:rPr>
        <w:t xml:space="preserve"> startups</w:t>
      </w:r>
      <w:r w:rsidRPr="00C649EB">
        <w:rPr>
          <w:b w:val="0"/>
          <w:bCs w:val="0"/>
        </w:rPr>
        <w:t>, which is less common in Europe.</w:t>
      </w:r>
      <w:r>
        <w:rPr>
          <w:b w:val="0"/>
          <w:bCs w:val="0"/>
        </w:rPr>
        <w:t xml:space="preserve"> </w:t>
      </w:r>
      <w:r w:rsidR="00E7204A" w:rsidRPr="00E7204A">
        <w:rPr>
          <w:b w:val="0"/>
          <w:bCs w:val="0"/>
        </w:rPr>
        <w:t>Our research indicates that even though tax rates play a role, startups are willing to provide equity to employees despite an unfavorable tax climate</w:t>
      </w:r>
      <w:r w:rsidR="00432025">
        <w:rPr>
          <w:b w:val="0"/>
          <w:bCs w:val="0"/>
        </w:rPr>
        <w:t>.</w:t>
      </w:r>
      <w:r w:rsidR="00432025" w:rsidRPr="00432025">
        <w:rPr>
          <w:b w:val="0"/>
          <w:bCs w:val="0"/>
        </w:rPr>
        <w:t xml:space="preserve"> high tax rates on employee stock options might still pose challenges for VC activity, potentially by driving up labor costs for startups. Yet, the leading deterrent in offering equity seems to stem from challenges in setting a strike price that accounts for the </w:t>
      </w:r>
      <w:r w:rsidR="00432025">
        <w:rPr>
          <w:b w:val="0"/>
          <w:bCs w:val="0"/>
        </w:rPr>
        <w:t>relatively lower</w:t>
      </w:r>
      <w:r w:rsidR="00432025" w:rsidRPr="00432025">
        <w:rPr>
          <w:b w:val="0"/>
          <w:bCs w:val="0"/>
        </w:rPr>
        <w:t xml:space="preserve"> value of the common stock</w:t>
      </w:r>
      <w:r w:rsidR="00432025">
        <w:rPr>
          <w:b w:val="0"/>
          <w:bCs w:val="0"/>
        </w:rPr>
        <w:t xml:space="preserve"> compared to the preferred stock of the investors</w:t>
      </w:r>
      <w:r w:rsidR="00432025" w:rsidRPr="00432025">
        <w:rPr>
          <w:b w:val="0"/>
          <w:bCs w:val="0"/>
        </w:rPr>
        <w:t>.</w:t>
      </w:r>
      <w:r w:rsidR="00432025">
        <w:rPr>
          <w:b w:val="0"/>
          <w:bCs w:val="0"/>
        </w:rPr>
        <w:t xml:space="preserve"> </w:t>
      </w:r>
    </w:p>
    <w:p w14:paraId="2F5B2B85" w14:textId="4D28414F" w:rsidR="00B35D7B" w:rsidRPr="00BF4413" w:rsidRDefault="00B35D7B" w:rsidP="00D53150">
      <w:pPr>
        <w:pStyle w:val="Style1"/>
      </w:pPr>
      <w:r w:rsidRPr="00BF4413">
        <w:t xml:space="preserve">V. Limitations and Future Directions </w:t>
      </w:r>
    </w:p>
    <w:p w14:paraId="532927BD" w14:textId="478DA768" w:rsidR="00422AD7" w:rsidRPr="00BF4413" w:rsidRDefault="00BB78FE" w:rsidP="006E17A3">
      <w:pPr>
        <w:spacing w:line="360" w:lineRule="auto"/>
        <w:ind w:firstLine="720"/>
        <w:jc w:val="both"/>
        <w:rPr>
          <w:rFonts w:asciiTheme="majorBidi" w:hAnsiTheme="majorBidi" w:cstheme="majorBidi"/>
          <w:sz w:val="24"/>
          <w:szCs w:val="24"/>
        </w:rPr>
      </w:pPr>
      <w:r w:rsidRPr="00BB78FE">
        <w:rPr>
          <w:rFonts w:asciiTheme="majorBidi" w:hAnsiTheme="majorBidi" w:cstheme="majorBidi"/>
          <w:sz w:val="24"/>
          <w:szCs w:val="24"/>
        </w:rPr>
        <w:t>It</w:t>
      </w:r>
      <w:r>
        <w:rPr>
          <w:rFonts w:asciiTheme="majorBidi" w:hAnsiTheme="majorBidi" w:cstheme="majorBidi"/>
          <w:sz w:val="24"/>
          <w:szCs w:val="24"/>
        </w:rPr>
        <w:t xml:space="preserve"> i</w:t>
      </w:r>
      <w:r w:rsidRPr="00BB78FE">
        <w:rPr>
          <w:rFonts w:asciiTheme="majorBidi" w:hAnsiTheme="majorBidi" w:cstheme="majorBidi"/>
          <w:sz w:val="24"/>
          <w:szCs w:val="24"/>
        </w:rPr>
        <w:t>s important to note the limitations of our sample</w:t>
      </w:r>
      <w:r>
        <w:rPr>
          <w:rFonts w:asciiTheme="majorBidi" w:hAnsiTheme="majorBidi" w:cstheme="majorBidi"/>
          <w:sz w:val="24"/>
          <w:szCs w:val="24"/>
        </w:rPr>
        <w:t xml:space="preserve"> and study design</w:t>
      </w:r>
      <w:r w:rsidR="006516E9" w:rsidRPr="00BF4413">
        <w:rPr>
          <w:rFonts w:asciiTheme="majorBidi" w:hAnsiTheme="majorBidi" w:cstheme="majorBidi"/>
          <w:sz w:val="24"/>
          <w:szCs w:val="24"/>
        </w:rPr>
        <w:t xml:space="preserve">. Since Equidam primarily serves startups seeking affordable valuation tools in their early stages, the sample </w:t>
      </w:r>
      <w:r w:rsidR="006516E9" w:rsidRPr="00BF4413">
        <w:rPr>
          <w:rFonts w:asciiTheme="majorBidi" w:hAnsiTheme="majorBidi" w:cstheme="majorBidi"/>
          <w:sz w:val="24"/>
          <w:szCs w:val="24"/>
        </w:rPr>
        <w:lastRenderedPageBreak/>
        <w:t>might not reflect the practices of firms at more advanced stages of development</w:t>
      </w:r>
      <w:r w:rsidR="00AD79D4">
        <w:rPr>
          <w:rFonts w:asciiTheme="majorBidi" w:hAnsiTheme="majorBidi" w:cstheme="majorBidi"/>
          <w:sz w:val="24"/>
          <w:szCs w:val="24"/>
        </w:rPr>
        <w:t xml:space="preserve"> or with better funding</w:t>
      </w:r>
      <w:r w:rsidR="006516E9" w:rsidRPr="00BF4413">
        <w:rPr>
          <w:rFonts w:asciiTheme="majorBidi" w:hAnsiTheme="majorBidi" w:cstheme="majorBidi"/>
          <w:sz w:val="24"/>
          <w:szCs w:val="24"/>
        </w:rPr>
        <w:t>. Consequently, our results may not be fully generalizable to a broader startup population. Additionally, Equidam's data quality might vary across jurisdictions, given that the company operates globally. Our study has addressed this limitation by focusing on countries for which Equidam has sufficient data</w:t>
      </w:r>
      <w:r w:rsidR="008D4A42">
        <w:rPr>
          <w:rFonts w:asciiTheme="majorBidi" w:hAnsiTheme="majorBidi" w:cstheme="majorBidi"/>
          <w:sz w:val="24"/>
          <w:szCs w:val="24"/>
        </w:rPr>
        <w:t xml:space="preserve"> on </w:t>
      </w:r>
      <w:r w:rsidR="00977199">
        <w:rPr>
          <w:rFonts w:asciiTheme="majorBidi" w:hAnsiTheme="majorBidi" w:cstheme="majorBidi"/>
          <w:sz w:val="24"/>
          <w:szCs w:val="24"/>
        </w:rPr>
        <w:t>2</w:t>
      </w:r>
      <w:r w:rsidR="008D4A42">
        <w:rPr>
          <w:rFonts w:asciiTheme="majorBidi" w:hAnsiTheme="majorBidi" w:cstheme="majorBidi"/>
          <w:sz w:val="24"/>
          <w:szCs w:val="24"/>
        </w:rPr>
        <w:t>0 companies or more</w:t>
      </w:r>
      <w:r w:rsidR="006516E9" w:rsidRPr="00BF4413">
        <w:rPr>
          <w:rFonts w:asciiTheme="majorBidi" w:hAnsiTheme="majorBidi" w:cstheme="majorBidi"/>
          <w:sz w:val="24"/>
          <w:szCs w:val="24"/>
        </w:rPr>
        <w:t xml:space="preserve">. </w:t>
      </w:r>
    </w:p>
    <w:p w14:paraId="6CD14D8E" w14:textId="525C879D" w:rsidR="000160DF" w:rsidRPr="00BF4413" w:rsidRDefault="00BB78FE" w:rsidP="00422AD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Furthermore, w</w:t>
      </w:r>
      <w:r w:rsidR="006516E9" w:rsidRPr="00BF4413">
        <w:rPr>
          <w:rFonts w:asciiTheme="majorBidi" w:hAnsiTheme="majorBidi" w:cstheme="majorBidi"/>
          <w:sz w:val="24"/>
          <w:szCs w:val="24"/>
        </w:rPr>
        <w:t>hile our analysis illuminates the correlation</w:t>
      </w:r>
      <w:r w:rsidR="00422AD7" w:rsidRPr="00BF4413">
        <w:rPr>
          <w:rFonts w:asciiTheme="majorBidi" w:hAnsiTheme="majorBidi" w:cstheme="majorBidi"/>
          <w:sz w:val="24"/>
          <w:szCs w:val="24"/>
        </w:rPr>
        <w:t xml:space="preserve"> between a country's legal framework and the propensity of early-stage startups to grant </w:t>
      </w:r>
      <w:r w:rsidR="00462204" w:rsidRPr="00BF4413">
        <w:rPr>
          <w:rFonts w:asciiTheme="majorBidi" w:hAnsiTheme="majorBidi" w:cstheme="majorBidi"/>
          <w:sz w:val="24"/>
          <w:szCs w:val="24"/>
        </w:rPr>
        <w:t xml:space="preserve">equity </w:t>
      </w:r>
      <w:r w:rsidR="00462204">
        <w:rPr>
          <w:rFonts w:asciiTheme="majorBidi" w:hAnsiTheme="majorBidi" w:cstheme="majorBidi"/>
          <w:sz w:val="24"/>
          <w:szCs w:val="24"/>
        </w:rPr>
        <w:t xml:space="preserve">to their </w:t>
      </w:r>
      <w:r w:rsidR="002F1643">
        <w:rPr>
          <w:rFonts w:asciiTheme="majorBidi" w:hAnsiTheme="majorBidi" w:cstheme="majorBidi"/>
          <w:sz w:val="24"/>
          <w:szCs w:val="24"/>
        </w:rPr>
        <w:t>employee</w:t>
      </w:r>
      <w:r w:rsidR="00462204">
        <w:rPr>
          <w:rFonts w:asciiTheme="majorBidi" w:hAnsiTheme="majorBidi" w:cstheme="majorBidi"/>
          <w:sz w:val="24"/>
          <w:szCs w:val="24"/>
        </w:rPr>
        <w:t>s</w:t>
      </w:r>
      <w:r w:rsidR="006516E9" w:rsidRPr="00BF4413">
        <w:rPr>
          <w:rFonts w:asciiTheme="majorBidi" w:hAnsiTheme="majorBidi" w:cstheme="majorBidi"/>
          <w:sz w:val="24"/>
          <w:szCs w:val="24"/>
        </w:rPr>
        <w:t xml:space="preserve">, it does not ascertain causation. To gain a deeper understanding of the causal relationship between regulatory frameworks and startups' utilization of equity compensation schemes, future studies </w:t>
      </w:r>
      <w:r w:rsidR="005C2D1C" w:rsidRPr="00BF4413">
        <w:rPr>
          <w:rFonts w:asciiTheme="majorBidi" w:hAnsiTheme="majorBidi" w:cstheme="majorBidi"/>
          <w:sz w:val="24"/>
          <w:szCs w:val="24"/>
        </w:rPr>
        <w:t xml:space="preserve">could consider using a natural experiment approach, </w:t>
      </w:r>
      <w:r w:rsidR="008432AC" w:rsidRPr="00BF4413">
        <w:rPr>
          <w:rFonts w:asciiTheme="majorBidi" w:hAnsiTheme="majorBidi" w:cstheme="majorBidi"/>
          <w:sz w:val="24"/>
          <w:szCs w:val="24"/>
        </w:rPr>
        <w:t>utilizing</w:t>
      </w:r>
      <w:r w:rsidR="005C2D1C" w:rsidRPr="00BF4413">
        <w:rPr>
          <w:rFonts w:asciiTheme="majorBidi" w:hAnsiTheme="majorBidi" w:cstheme="majorBidi"/>
          <w:sz w:val="24"/>
          <w:szCs w:val="24"/>
        </w:rPr>
        <w:t xml:space="preserve"> the policy changes that have been implemented in different EU states at different times. </w:t>
      </w:r>
    </w:p>
    <w:p w14:paraId="65F1DC75" w14:textId="1F29DE98" w:rsidR="0029475C" w:rsidRPr="00BF4413" w:rsidRDefault="006516E9" w:rsidP="00FD2D89">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Future research could further explore the role of cultural and societal factors in shaping the adoption of equity-based compensation schemes across different countries. It is </w:t>
      </w:r>
      <w:r w:rsidR="008D4A42">
        <w:rPr>
          <w:rFonts w:asciiTheme="majorBidi" w:hAnsiTheme="majorBidi" w:cstheme="majorBidi"/>
          <w:sz w:val="24"/>
          <w:szCs w:val="24"/>
        </w:rPr>
        <w:t>important</w:t>
      </w:r>
      <w:r w:rsidRPr="00BF4413">
        <w:rPr>
          <w:rFonts w:asciiTheme="majorBidi" w:hAnsiTheme="majorBidi" w:cstheme="majorBidi"/>
          <w:sz w:val="24"/>
          <w:szCs w:val="24"/>
        </w:rPr>
        <w:t xml:space="preserve"> to </w:t>
      </w:r>
      <w:r w:rsidR="008D4A42">
        <w:rPr>
          <w:rFonts w:asciiTheme="majorBidi" w:hAnsiTheme="majorBidi" w:cstheme="majorBidi"/>
          <w:sz w:val="24"/>
          <w:szCs w:val="24"/>
        </w:rPr>
        <w:t>consider</w:t>
      </w:r>
      <w:r w:rsidRPr="00BF4413">
        <w:rPr>
          <w:rFonts w:asciiTheme="majorBidi" w:hAnsiTheme="majorBidi" w:cstheme="majorBidi"/>
          <w:sz w:val="24"/>
          <w:szCs w:val="24"/>
        </w:rPr>
        <w:t xml:space="preserve"> that a uniform approach might not be effective across the board, considering the distinct cultural and institutional characteristics of different European countries. These unique characteristics inevitably affect the success of equity-based compensation plans. As such, policies and initiatives aimed at promoting the adoption of these schemes should be designed with the specific needs and </w:t>
      </w:r>
      <w:r w:rsidR="00462204" w:rsidRPr="00BF4413">
        <w:rPr>
          <w:rFonts w:asciiTheme="majorBidi" w:hAnsiTheme="majorBidi" w:cstheme="majorBidi"/>
          <w:sz w:val="24"/>
          <w:szCs w:val="24"/>
        </w:rPr>
        <w:t>circumstances</w:t>
      </w:r>
      <w:r w:rsidRPr="00BF4413">
        <w:rPr>
          <w:rFonts w:asciiTheme="majorBidi" w:hAnsiTheme="majorBidi" w:cstheme="majorBidi"/>
          <w:sz w:val="24"/>
          <w:szCs w:val="24"/>
        </w:rPr>
        <w:t xml:space="preserve"> of individual countries in mind, ensuring they are effective and sustainable in their unique ecosystems.</w:t>
      </w:r>
    </w:p>
    <w:p w14:paraId="6FE2E94F" w14:textId="23CBFDEB" w:rsidR="00A77894" w:rsidRPr="00BF4413" w:rsidRDefault="00A77894" w:rsidP="00454806">
      <w:pPr>
        <w:pStyle w:val="Style1"/>
      </w:pPr>
      <w:r w:rsidRPr="00BF4413">
        <w:t>VI. Discussion</w:t>
      </w:r>
      <w:r w:rsidR="00855C0A" w:rsidRPr="00BF4413">
        <w:t xml:space="preserve"> and </w:t>
      </w:r>
      <w:r w:rsidR="003C52EA" w:rsidRPr="00BF4413">
        <w:t>C</w:t>
      </w:r>
      <w:r w:rsidR="00855C0A" w:rsidRPr="00BF4413">
        <w:t xml:space="preserve">onclusion </w:t>
      </w:r>
      <w:r w:rsidRPr="00BF4413">
        <w:t xml:space="preserve"> </w:t>
      </w:r>
    </w:p>
    <w:p w14:paraId="6FD09773" w14:textId="7A782F44" w:rsidR="00860192" w:rsidRDefault="00860192" w:rsidP="0018482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To conclude, </w:t>
      </w:r>
      <w:r w:rsidRPr="00860192">
        <w:rPr>
          <w:rFonts w:asciiTheme="majorBidi" w:hAnsiTheme="majorBidi" w:cstheme="majorBidi"/>
          <w:sz w:val="24"/>
          <w:szCs w:val="24"/>
        </w:rPr>
        <w:t xml:space="preserve">our research indicates a moderate positive correlation between Index Ventures' scale measuring the friendliness of countries' legal policies toward employee stock options and startups' propensity to offer equity to </w:t>
      </w:r>
      <w:r>
        <w:rPr>
          <w:rFonts w:asciiTheme="majorBidi" w:hAnsiTheme="majorBidi" w:cstheme="majorBidi"/>
          <w:sz w:val="24"/>
          <w:szCs w:val="24"/>
        </w:rPr>
        <w:t xml:space="preserve">their </w:t>
      </w:r>
      <w:r w:rsidRPr="00860192">
        <w:rPr>
          <w:rFonts w:asciiTheme="majorBidi" w:hAnsiTheme="majorBidi" w:cstheme="majorBidi"/>
          <w:sz w:val="24"/>
          <w:szCs w:val="24"/>
        </w:rPr>
        <w:t xml:space="preserve">employees, though variations exist across countries. Nations like the US, UK, Israel, and Canada lead with strong correlations between supportive stock option policies and high startup employee ownership. In contrast, countries like Switzerland and the Netherlands have </w:t>
      </w:r>
      <w:r>
        <w:rPr>
          <w:rFonts w:asciiTheme="majorBidi" w:hAnsiTheme="majorBidi" w:cstheme="majorBidi"/>
          <w:sz w:val="24"/>
          <w:szCs w:val="24"/>
        </w:rPr>
        <w:t>relatively high</w:t>
      </w:r>
      <w:r w:rsidRPr="00860192">
        <w:rPr>
          <w:rFonts w:asciiTheme="majorBidi" w:hAnsiTheme="majorBidi" w:cstheme="majorBidi"/>
          <w:sz w:val="24"/>
          <w:szCs w:val="24"/>
        </w:rPr>
        <w:t xml:space="preserve"> ownership rates, despite only moderate Index Ventures' scale scores, pointing to other underlying factors. Meanwhile, Germany and Spain show lower ownership rates, correlating with less supportive policies. Our logistic regression analysis reveals that beyond legal determinants, factors such as startup growth phase, founders' experience, employee count, </w:t>
      </w:r>
      <w:r>
        <w:rPr>
          <w:rFonts w:asciiTheme="majorBidi" w:hAnsiTheme="majorBidi" w:cstheme="majorBidi"/>
          <w:sz w:val="24"/>
          <w:szCs w:val="24"/>
        </w:rPr>
        <w:t xml:space="preserve">external </w:t>
      </w:r>
      <w:r w:rsidRPr="00860192">
        <w:rPr>
          <w:rFonts w:asciiTheme="majorBidi" w:hAnsiTheme="majorBidi" w:cstheme="majorBidi"/>
          <w:sz w:val="24"/>
          <w:szCs w:val="24"/>
        </w:rPr>
        <w:t xml:space="preserve">legal consultation, and startup age play pivotal roles in equity compensation strategies, suggesting that factors tied to </w:t>
      </w:r>
      <w:r w:rsidRPr="00860192">
        <w:rPr>
          <w:rFonts w:asciiTheme="majorBidi" w:hAnsiTheme="majorBidi" w:cstheme="majorBidi"/>
          <w:sz w:val="24"/>
          <w:szCs w:val="24"/>
        </w:rPr>
        <w:lastRenderedPageBreak/>
        <w:t xml:space="preserve">experiential learning </w:t>
      </w:r>
      <w:r>
        <w:rPr>
          <w:rFonts w:asciiTheme="majorBidi" w:hAnsiTheme="majorBidi" w:cstheme="majorBidi"/>
          <w:sz w:val="24"/>
          <w:szCs w:val="24"/>
        </w:rPr>
        <w:t xml:space="preserve">and sophistication </w:t>
      </w:r>
      <w:r w:rsidRPr="00860192">
        <w:rPr>
          <w:rFonts w:asciiTheme="majorBidi" w:hAnsiTheme="majorBidi" w:cstheme="majorBidi"/>
          <w:sz w:val="24"/>
          <w:szCs w:val="24"/>
        </w:rPr>
        <w:t>hold notable importance in startups' decision-making processes</w:t>
      </w:r>
      <w:r>
        <w:rPr>
          <w:rFonts w:asciiTheme="majorBidi" w:hAnsiTheme="majorBidi" w:cstheme="majorBidi"/>
          <w:sz w:val="24"/>
          <w:szCs w:val="24"/>
        </w:rPr>
        <w:t xml:space="preserve"> in this issue</w:t>
      </w:r>
      <w:r w:rsidRPr="00860192">
        <w:rPr>
          <w:rFonts w:asciiTheme="majorBidi" w:hAnsiTheme="majorBidi" w:cstheme="majorBidi"/>
          <w:sz w:val="24"/>
          <w:szCs w:val="24"/>
        </w:rPr>
        <w:t>.</w:t>
      </w:r>
      <w:r>
        <w:rPr>
          <w:rFonts w:asciiTheme="majorBidi" w:hAnsiTheme="majorBidi" w:cstheme="majorBidi"/>
          <w:sz w:val="24"/>
          <w:szCs w:val="24"/>
        </w:rPr>
        <w:t xml:space="preserve"> </w:t>
      </w:r>
    </w:p>
    <w:p w14:paraId="1E562A4D" w14:textId="3FDF2D10" w:rsidR="0018482F" w:rsidRPr="00BF4413" w:rsidRDefault="00046B17" w:rsidP="0018482F">
      <w:pPr>
        <w:spacing w:line="360" w:lineRule="auto"/>
        <w:ind w:firstLine="720"/>
        <w:jc w:val="both"/>
        <w:rPr>
          <w:rFonts w:asciiTheme="majorBidi" w:hAnsiTheme="majorBidi" w:cstheme="majorBidi"/>
          <w:sz w:val="24"/>
          <w:szCs w:val="24"/>
        </w:rPr>
      </w:pPr>
      <w:r w:rsidRPr="00046B17">
        <w:rPr>
          <w:rFonts w:asciiTheme="majorBidi" w:hAnsiTheme="majorBidi" w:cstheme="majorBidi"/>
          <w:sz w:val="24"/>
          <w:szCs w:val="24"/>
        </w:rPr>
        <w:t xml:space="preserve">To contextualize our findings, </w:t>
      </w:r>
      <w:r>
        <w:rPr>
          <w:rFonts w:asciiTheme="majorBidi" w:hAnsiTheme="majorBidi" w:cstheme="majorBidi"/>
          <w:sz w:val="24"/>
          <w:szCs w:val="24"/>
        </w:rPr>
        <w:t xml:space="preserve">it is important to </w:t>
      </w:r>
      <w:r w:rsidRPr="00046B17">
        <w:rPr>
          <w:rFonts w:asciiTheme="majorBidi" w:hAnsiTheme="majorBidi" w:cstheme="majorBidi"/>
          <w:sz w:val="24"/>
          <w:szCs w:val="24"/>
        </w:rPr>
        <w:t>examin</w:t>
      </w:r>
      <w:r>
        <w:rPr>
          <w:rFonts w:asciiTheme="majorBidi" w:hAnsiTheme="majorBidi" w:cstheme="majorBidi"/>
          <w:sz w:val="24"/>
          <w:szCs w:val="24"/>
        </w:rPr>
        <w:t>e</w:t>
      </w:r>
      <w:r w:rsidRPr="00046B17">
        <w:rPr>
          <w:rFonts w:asciiTheme="majorBidi" w:hAnsiTheme="majorBidi" w:cstheme="majorBidi"/>
          <w:sz w:val="24"/>
          <w:szCs w:val="24"/>
        </w:rPr>
        <w:t xml:space="preserve"> the historical development of startup equity compensation practices</w:t>
      </w:r>
      <w:r>
        <w:rPr>
          <w:rFonts w:asciiTheme="majorBidi" w:hAnsiTheme="majorBidi" w:cstheme="majorBidi"/>
          <w:sz w:val="24"/>
          <w:szCs w:val="24"/>
        </w:rPr>
        <w:t xml:space="preserve"> across jurisdictions</w:t>
      </w:r>
      <w:r w:rsidR="00BB78FE" w:rsidRPr="00BB78FE">
        <w:rPr>
          <w:rFonts w:asciiTheme="majorBidi" w:hAnsiTheme="majorBidi" w:cstheme="majorBidi"/>
          <w:sz w:val="24"/>
          <w:szCs w:val="24"/>
        </w:rPr>
        <w:t xml:space="preserve">. In the US, </w:t>
      </w:r>
      <w:r>
        <w:rPr>
          <w:rFonts w:asciiTheme="majorBidi" w:hAnsiTheme="majorBidi" w:cstheme="majorBidi"/>
          <w:sz w:val="24"/>
          <w:szCs w:val="24"/>
        </w:rPr>
        <w:t>startups’</w:t>
      </w:r>
      <w:r w:rsidR="00BB78FE" w:rsidRPr="00BB78FE">
        <w:rPr>
          <w:rFonts w:asciiTheme="majorBidi" w:hAnsiTheme="majorBidi" w:cstheme="majorBidi"/>
          <w:sz w:val="24"/>
          <w:szCs w:val="24"/>
        </w:rPr>
        <w:t xml:space="preserve"> use of </w:t>
      </w:r>
      <w:r>
        <w:rPr>
          <w:rFonts w:asciiTheme="majorBidi" w:hAnsiTheme="majorBidi" w:cstheme="majorBidi"/>
          <w:sz w:val="24"/>
          <w:szCs w:val="24"/>
        </w:rPr>
        <w:t xml:space="preserve">employee </w:t>
      </w:r>
      <w:r w:rsidR="00BB78FE" w:rsidRPr="00BB78FE">
        <w:rPr>
          <w:rFonts w:asciiTheme="majorBidi" w:hAnsiTheme="majorBidi" w:cstheme="majorBidi"/>
          <w:sz w:val="24"/>
          <w:szCs w:val="24"/>
        </w:rPr>
        <w:t xml:space="preserve">stock options became widespread during the semiconductor boom of the 1970s and 1980s (Blasi, Kruse &amp; Bernstein 2003). The adoption of equity compensation schemes by Silicon Valley </w:t>
      </w:r>
      <w:r w:rsidR="00BB78FE">
        <w:rPr>
          <w:rFonts w:asciiTheme="majorBidi" w:hAnsiTheme="majorBidi" w:cstheme="majorBidi"/>
          <w:sz w:val="24"/>
          <w:szCs w:val="24"/>
        </w:rPr>
        <w:t xml:space="preserve">startups </w:t>
      </w:r>
      <w:r w:rsidR="00BB78FE" w:rsidRPr="00BB78FE">
        <w:rPr>
          <w:rFonts w:asciiTheme="majorBidi" w:hAnsiTheme="majorBidi" w:cstheme="majorBidi"/>
          <w:sz w:val="24"/>
          <w:szCs w:val="24"/>
        </w:rPr>
        <w:t>can be attributed in part to intense competition for top talent with established firms and the need to retain skilled employees in an environment where non-compete agreements are not legally enforceable (Booth 2006; Aran 2018). Moreover, it reflects the distinctive non-hierarchical work culture that emerged in Silicon Valley, which place</w:t>
      </w:r>
      <w:r w:rsidR="00BB78FE">
        <w:rPr>
          <w:rFonts w:asciiTheme="majorBidi" w:hAnsiTheme="majorBidi" w:cstheme="majorBidi"/>
          <w:sz w:val="24"/>
          <w:szCs w:val="24"/>
        </w:rPr>
        <w:t>s</w:t>
      </w:r>
      <w:r w:rsidR="00BB78FE" w:rsidRPr="00BB78FE">
        <w:rPr>
          <w:rFonts w:asciiTheme="majorBidi" w:hAnsiTheme="majorBidi" w:cstheme="majorBidi"/>
          <w:sz w:val="24"/>
          <w:szCs w:val="24"/>
        </w:rPr>
        <w:t xml:space="preserve"> a high value on talent. This approach was championed by notable venture capitalists such as Arthur Rock and became part of the blueprint for building a VC-backed startup. (Mallaby 2022).</w:t>
      </w:r>
      <w:r w:rsidR="0018482F" w:rsidRPr="00BF4413">
        <w:rPr>
          <w:rFonts w:asciiTheme="majorBidi" w:hAnsiTheme="majorBidi" w:cstheme="majorBidi"/>
          <w:sz w:val="24"/>
          <w:szCs w:val="24"/>
        </w:rPr>
        <w:t xml:space="preserve"> </w:t>
      </w:r>
    </w:p>
    <w:p w14:paraId="6AA193C0" w14:textId="580E0D97" w:rsidR="0018482F" w:rsidRPr="00BF4413" w:rsidRDefault="0018482F" w:rsidP="0018482F">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This practice of </w:t>
      </w:r>
      <w:r w:rsidR="00BB78FE">
        <w:rPr>
          <w:rFonts w:asciiTheme="majorBidi" w:hAnsiTheme="majorBidi" w:cstheme="majorBidi"/>
          <w:sz w:val="24"/>
          <w:szCs w:val="24"/>
        </w:rPr>
        <w:t xml:space="preserve">granting </w:t>
      </w:r>
      <w:r w:rsidRPr="00BF4413">
        <w:rPr>
          <w:rFonts w:asciiTheme="majorBidi" w:hAnsiTheme="majorBidi" w:cstheme="majorBidi"/>
          <w:sz w:val="24"/>
          <w:szCs w:val="24"/>
        </w:rPr>
        <w:t>equity compensation subsequently spread globally alongside the expansion of the venture capital industry. For instance, Israel, often referred to as the "Startup Nation" due to its robust and supportive startup ecosystem (Senor &amp; Singer 2009), was quick to enact accommodating policies regarding equity compensation. These policies, encapsulated in Section 102 of the Israeli Tax Ordinance, were introduced in the late 1980s and refined in the early 2000s, playing a crucial role in the country's startup growth</w:t>
      </w:r>
      <w:r w:rsidR="00046B17">
        <w:rPr>
          <w:rFonts w:asciiTheme="majorBidi" w:hAnsiTheme="majorBidi" w:cstheme="majorBidi"/>
          <w:sz w:val="24"/>
          <w:szCs w:val="24"/>
        </w:rPr>
        <w:t xml:space="preserve"> (Aran 202</w:t>
      </w:r>
      <w:r w:rsidR="00297796">
        <w:rPr>
          <w:rFonts w:asciiTheme="majorBidi" w:hAnsiTheme="majorBidi" w:cstheme="majorBidi"/>
          <w:sz w:val="24"/>
          <w:szCs w:val="24"/>
        </w:rPr>
        <w:t>4</w:t>
      </w:r>
      <w:r w:rsidR="00046B17">
        <w:rPr>
          <w:rFonts w:asciiTheme="majorBidi" w:hAnsiTheme="majorBidi" w:cstheme="majorBidi"/>
          <w:sz w:val="24"/>
          <w:szCs w:val="24"/>
        </w:rPr>
        <w:t>)</w:t>
      </w:r>
      <w:r w:rsidRPr="00BF4413">
        <w:rPr>
          <w:rFonts w:asciiTheme="majorBidi" w:hAnsiTheme="majorBidi" w:cstheme="majorBidi"/>
          <w:sz w:val="24"/>
          <w:szCs w:val="24"/>
        </w:rPr>
        <w:t xml:space="preserve">. </w:t>
      </w:r>
    </w:p>
    <w:p w14:paraId="53AE2D67" w14:textId="77777777" w:rsidR="0018482F" w:rsidRPr="00BF4413" w:rsidRDefault="0018482F" w:rsidP="0018482F">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In the UK, the Enterprise Management Incentive (EMI) scheme, introduced in 2000 and revised several times since, is a popular stock option program among tech startups. For larger startups and private companies, other tax-advantaged schemes like the Company Share Ownership Plan (CSOP) and Growth Shares exist, but they are complex to establish and usually reserved for senior employees. The Share Incentive Plan (SIP), offering potential zero tax rates, is another option but has low limits and must be extended to all employees. </w:t>
      </w:r>
    </w:p>
    <w:p w14:paraId="5C109D89" w14:textId="30431300" w:rsidR="0018482F" w:rsidRPr="00BF4413" w:rsidRDefault="0018482F" w:rsidP="0018482F">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Contrastingly, equity compensation has been less prevalent in Continental Europe. European start-ups have traditionally relied more heavily on conventional cash compensation and the legal and regulatory landscape surrounding equity-based compensation has been less favorable. However, the dynamics are transforming as European start-ups vie for greater competitiveness on the global stage. A growing recognition of the value of equity-based compensation among European investors and founders is leading to mounting pressure on local </w:t>
      </w:r>
      <w:r w:rsidRPr="00BF4413">
        <w:rPr>
          <w:rFonts w:asciiTheme="majorBidi" w:hAnsiTheme="majorBidi" w:cstheme="majorBidi"/>
          <w:sz w:val="24"/>
          <w:szCs w:val="24"/>
        </w:rPr>
        <w:lastRenderedPageBreak/>
        <w:t xml:space="preserve">lawmakers and regulators to revise policies pertaining to stock options and other forms of equity-based compensation. </w:t>
      </w:r>
    </w:p>
    <w:p w14:paraId="047877CD" w14:textId="2D80B764" w:rsidR="0018482F" w:rsidRPr="00BF4413" w:rsidRDefault="0018482F" w:rsidP="0018482F">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Thus, in 2018, a group of leading European startups, driven by concerns surrounding the existing legislative framework, appealed to the European Commission for policy reforms. Their entreaty, encapsulated in an open letter titled “Not Optional— Europe must attract more talent to startups,” underscored the urgency of rectifying the sporadic, inconsistent, and often punitive regulations overseeing employee ownership. In 2021, the European Commission addressed these concerns </w:t>
      </w:r>
      <w:r w:rsidR="00F2637D">
        <w:rPr>
          <w:rFonts w:asciiTheme="majorBidi" w:hAnsiTheme="majorBidi" w:cstheme="majorBidi"/>
          <w:sz w:val="24"/>
          <w:szCs w:val="24"/>
        </w:rPr>
        <w:t>as part of</w:t>
      </w:r>
      <w:r w:rsidRPr="00BF4413">
        <w:rPr>
          <w:rFonts w:asciiTheme="majorBidi" w:hAnsiTheme="majorBidi" w:cstheme="majorBidi"/>
          <w:sz w:val="24"/>
          <w:szCs w:val="24"/>
        </w:rPr>
        <w:t xml:space="preserve"> the "Start-up Nation Standards" initiative, a comprehensive approach to enhancing the legal framework for startups. </w:t>
      </w:r>
      <w:r w:rsidR="00F2637D" w:rsidRPr="00F2637D">
        <w:rPr>
          <w:rFonts w:asciiTheme="majorBidi" w:hAnsiTheme="majorBidi" w:cstheme="majorBidi"/>
          <w:sz w:val="24"/>
          <w:szCs w:val="24"/>
        </w:rPr>
        <w:t xml:space="preserve">This initiative recommends that employee stock options be subject to capital gains tax, instead of income tax, with the tax event deferred until a subsequent liquidity event occurs. Additionally, it suggests allowing startups to issue stock options without voting rights, granting them greater flexibility </w:t>
      </w:r>
      <w:r w:rsidR="00F2637D">
        <w:rPr>
          <w:rFonts w:asciiTheme="majorBidi" w:hAnsiTheme="majorBidi" w:cstheme="majorBidi"/>
          <w:sz w:val="24"/>
          <w:szCs w:val="24"/>
        </w:rPr>
        <w:t>from a corporate law perspective</w:t>
      </w:r>
      <w:r w:rsidRPr="00BF4413">
        <w:rPr>
          <w:rFonts w:asciiTheme="majorBidi" w:hAnsiTheme="majorBidi" w:cstheme="majorBidi"/>
          <w:sz w:val="24"/>
          <w:szCs w:val="24"/>
        </w:rPr>
        <w:t xml:space="preserve">. </w:t>
      </w:r>
    </w:p>
    <w:p w14:paraId="1C989D96" w14:textId="08898135" w:rsidR="0018482F" w:rsidRPr="00BF4413" w:rsidRDefault="0018482F" w:rsidP="0018482F">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Following the initiation of these guidelines, certain European countries, </w:t>
      </w:r>
      <w:r w:rsidR="00F2637D">
        <w:rPr>
          <w:rFonts w:asciiTheme="majorBidi" w:hAnsiTheme="majorBidi" w:cstheme="majorBidi"/>
          <w:sz w:val="24"/>
          <w:szCs w:val="24"/>
        </w:rPr>
        <w:t>including</w:t>
      </w:r>
      <w:r w:rsidRPr="00BF4413">
        <w:rPr>
          <w:rFonts w:asciiTheme="majorBidi" w:hAnsiTheme="majorBidi" w:cstheme="majorBidi"/>
          <w:sz w:val="24"/>
          <w:szCs w:val="24"/>
        </w:rPr>
        <w:t xml:space="preserve"> Latvia, Lithuania, France, and the Netherlands, have swiftly engaged in proactive measures to bolster the appeal of startups for employees by facilitating the sharing of equity. </w:t>
      </w:r>
      <w:r w:rsidR="00F2637D" w:rsidRPr="00F2637D">
        <w:rPr>
          <w:rFonts w:asciiTheme="majorBidi" w:hAnsiTheme="majorBidi" w:cstheme="majorBidi"/>
          <w:sz w:val="24"/>
          <w:szCs w:val="24"/>
        </w:rPr>
        <w:t>Currently, several European governments, including those of Germany, Austria, and Belgium, have embarked on exploratory investigations to formulate new policies.</w:t>
      </w:r>
      <w:r w:rsidRPr="00BF4413">
        <w:rPr>
          <w:rFonts w:asciiTheme="majorBidi" w:hAnsiTheme="majorBidi" w:cstheme="majorBidi"/>
          <w:sz w:val="24"/>
          <w:szCs w:val="24"/>
        </w:rPr>
        <w:t xml:space="preserve"> </w:t>
      </w:r>
    </w:p>
    <w:p w14:paraId="707A1F8B" w14:textId="183CAC50" w:rsidR="00731B07" w:rsidRPr="00BF4413" w:rsidRDefault="0018482F" w:rsidP="0018482F">
      <w:pPr>
        <w:spacing w:line="360" w:lineRule="auto"/>
        <w:ind w:firstLine="720"/>
        <w:jc w:val="both"/>
        <w:rPr>
          <w:rFonts w:asciiTheme="majorBidi" w:hAnsiTheme="majorBidi" w:cstheme="majorBidi"/>
          <w:sz w:val="24"/>
          <w:szCs w:val="24"/>
          <w:rtl/>
        </w:rPr>
      </w:pPr>
      <w:r>
        <w:rPr>
          <w:rFonts w:asciiTheme="majorBidi" w:hAnsiTheme="majorBidi" w:cstheme="majorBidi"/>
          <w:sz w:val="24"/>
          <w:szCs w:val="24"/>
        </w:rPr>
        <w:t>Against this backdrop, t</w:t>
      </w:r>
      <w:r w:rsidR="00731B07" w:rsidRPr="00BF4413">
        <w:rPr>
          <w:rFonts w:asciiTheme="majorBidi" w:hAnsiTheme="majorBidi" w:cstheme="majorBidi"/>
          <w:sz w:val="24"/>
          <w:szCs w:val="24"/>
        </w:rPr>
        <w:t>he results of this study provide significant insights into the complex interplay between legal policies and the propensity of startups to adopt employee equity compensation schemes, affirming and expanding upon existing literature on the topic.</w:t>
      </w:r>
      <w:r w:rsidR="00260EEF" w:rsidRPr="00BF4413">
        <w:rPr>
          <w:rFonts w:asciiTheme="majorBidi" w:hAnsiTheme="majorBidi" w:cstheme="majorBidi"/>
          <w:sz w:val="24"/>
          <w:szCs w:val="24"/>
        </w:rPr>
        <w:t xml:space="preserve"> </w:t>
      </w:r>
    </w:p>
    <w:p w14:paraId="7AF2637C" w14:textId="43B213CE" w:rsidR="003C72FB" w:rsidRPr="00BF4413" w:rsidRDefault="00FA59B9" w:rsidP="003C72F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I</w:t>
      </w:r>
      <w:r w:rsidRPr="00FA59B9">
        <w:rPr>
          <w:rFonts w:asciiTheme="majorBidi" w:hAnsiTheme="majorBidi" w:cstheme="majorBidi"/>
          <w:sz w:val="24"/>
          <w:szCs w:val="24"/>
        </w:rPr>
        <w:t xml:space="preserve">n "Understanding Venture Capital Structure: A Tax Explanation for Convertible Preferred Stock" (2003), </w:t>
      </w:r>
      <w:r>
        <w:rPr>
          <w:rFonts w:asciiTheme="majorBidi" w:hAnsiTheme="majorBidi" w:cstheme="majorBidi"/>
          <w:sz w:val="24"/>
          <w:szCs w:val="24"/>
        </w:rPr>
        <w:t xml:space="preserve">Ronald </w:t>
      </w:r>
      <w:r w:rsidRPr="00FA59B9">
        <w:rPr>
          <w:rFonts w:asciiTheme="majorBidi" w:hAnsiTheme="majorBidi" w:cstheme="majorBidi"/>
          <w:sz w:val="24"/>
          <w:szCs w:val="24"/>
        </w:rPr>
        <w:t xml:space="preserve">Gilson and </w:t>
      </w:r>
      <w:r>
        <w:rPr>
          <w:rFonts w:asciiTheme="majorBidi" w:hAnsiTheme="majorBidi" w:cstheme="majorBidi"/>
          <w:sz w:val="24"/>
          <w:szCs w:val="24"/>
        </w:rPr>
        <w:t xml:space="preserve">David </w:t>
      </w:r>
      <w:r w:rsidRPr="00FA59B9">
        <w:rPr>
          <w:rFonts w:asciiTheme="majorBidi" w:hAnsiTheme="majorBidi" w:cstheme="majorBidi"/>
          <w:sz w:val="24"/>
          <w:szCs w:val="24"/>
        </w:rPr>
        <w:t xml:space="preserve">Schizer challenge predominant theories on the use of convertible preferred stock in venture capital. They highlight US tax law as a pivotal, yet frequently overlooked, factor. </w:t>
      </w:r>
      <w:r>
        <w:rPr>
          <w:rFonts w:asciiTheme="majorBidi" w:hAnsiTheme="majorBidi" w:cstheme="majorBidi"/>
          <w:sz w:val="24"/>
          <w:szCs w:val="24"/>
        </w:rPr>
        <w:t xml:space="preserve">According to their thesis, </w:t>
      </w:r>
      <w:r w:rsidR="007A1FBE">
        <w:rPr>
          <w:rFonts w:asciiTheme="majorBidi" w:hAnsiTheme="majorBidi" w:cstheme="majorBidi"/>
          <w:sz w:val="24"/>
          <w:szCs w:val="24"/>
        </w:rPr>
        <w:t>startups</w:t>
      </w:r>
      <w:r w:rsidRPr="00FA59B9">
        <w:rPr>
          <w:rFonts w:asciiTheme="majorBidi" w:hAnsiTheme="majorBidi" w:cstheme="majorBidi"/>
          <w:sz w:val="24"/>
          <w:szCs w:val="24"/>
        </w:rPr>
        <w:t xml:space="preserve"> issue convertible preferred stock to </w:t>
      </w:r>
      <w:r>
        <w:rPr>
          <w:rFonts w:asciiTheme="majorBidi" w:hAnsiTheme="majorBidi" w:cstheme="majorBidi"/>
          <w:sz w:val="24"/>
          <w:szCs w:val="24"/>
        </w:rPr>
        <w:t>VCs</w:t>
      </w:r>
      <w:r w:rsidRPr="00FA59B9">
        <w:rPr>
          <w:rFonts w:asciiTheme="majorBidi" w:hAnsiTheme="majorBidi" w:cstheme="majorBidi"/>
          <w:sz w:val="24"/>
          <w:szCs w:val="24"/>
        </w:rPr>
        <w:t xml:space="preserve"> to mitigate the tax implications on </w:t>
      </w:r>
      <w:r w:rsidR="007A1FBE">
        <w:rPr>
          <w:rFonts w:asciiTheme="majorBidi" w:hAnsiTheme="majorBidi" w:cstheme="majorBidi"/>
          <w:sz w:val="24"/>
          <w:szCs w:val="24"/>
        </w:rPr>
        <w:t>employees</w:t>
      </w:r>
      <w:r w:rsidRPr="00FA59B9">
        <w:rPr>
          <w:rFonts w:asciiTheme="majorBidi" w:hAnsiTheme="majorBidi" w:cstheme="majorBidi"/>
          <w:sz w:val="24"/>
          <w:szCs w:val="24"/>
        </w:rPr>
        <w:t xml:space="preserve">' equity compensation. US tax law differentiates between compensatory return, taxed immediately at a higher rate, and investment return, taxed later and at a lower rate. To optimize tax </w:t>
      </w:r>
      <w:r w:rsidR="007A1FBE" w:rsidRPr="00FA59B9">
        <w:rPr>
          <w:rFonts w:asciiTheme="majorBidi" w:hAnsiTheme="majorBidi" w:cstheme="majorBidi"/>
          <w:sz w:val="24"/>
          <w:szCs w:val="24"/>
        </w:rPr>
        <w:t>efficiency,</w:t>
      </w:r>
      <w:r w:rsidR="007A1FBE">
        <w:rPr>
          <w:rFonts w:asciiTheme="majorBidi" w:hAnsiTheme="majorBidi" w:cstheme="majorBidi"/>
          <w:sz w:val="24"/>
          <w:szCs w:val="24"/>
        </w:rPr>
        <w:t xml:space="preserve"> they argue, </w:t>
      </w:r>
      <w:r w:rsidRPr="00FA59B9">
        <w:rPr>
          <w:rFonts w:asciiTheme="majorBidi" w:hAnsiTheme="majorBidi" w:cstheme="majorBidi"/>
          <w:sz w:val="24"/>
          <w:szCs w:val="24"/>
        </w:rPr>
        <w:t xml:space="preserve">companies seek to reduce the valuation of common stock designated as equity compensation. However, this strategy presents a dilemma: while management desires a low valuation for tax benefits, they simultaneously seek high valuations from </w:t>
      </w:r>
      <w:r w:rsidR="007A1FBE">
        <w:rPr>
          <w:rFonts w:asciiTheme="majorBidi" w:hAnsiTheme="majorBidi" w:cstheme="majorBidi"/>
          <w:sz w:val="24"/>
          <w:szCs w:val="24"/>
        </w:rPr>
        <w:t>VCs</w:t>
      </w:r>
      <w:r w:rsidRPr="00FA59B9">
        <w:rPr>
          <w:rFonts w:asciiTheme="majorBidi" w:hAnsiTheme="majorBidi" w:cstheme="majorBidi"/>
          <w:sz w:val="24"/>
          <w:szCs w:val="24"/>
        </w:rPr>
        <w:t xml:space="preserve">. This tension is resolved by issuing convertible preferred stock to VCs, which allows for a credible differentiation between the value of </w:t>
      </w:r>
      <w:r w:rsidRPr="00FA59B9">
        <w:rPr>
          <w:rFonts w:asciiTheme="majorBidi" w:hAnsiTheme="majorBidi" w:cstheme="majorBidi"/>
          <w:sz w:val="24"/>
          <w:szCs w:val="24"/>
        </w:rPr>
        <w:lastRenderedPageBreak/>
        <w:t>investors' stock and the common stock, harmonizing tax benefits with the company's capital-raising objectives</w:t>
      </w:r>
      <w:r w:rsidR="003C72FB" w:rsidRPr="00BF4413">
        <w:rPr>
          <w:rFonts w:asciiTheme="majorBidi" w:hAnsiTheme="majorBidi" w:cstheme="majorBidi"/>
          <w:sz w:val="24"/>
          <w:szCs w:val="24"/>
        </w:rPr>
        <w:t>.</w:t>
      </w:r>
    </w:p>
    <w:p w14:paraId="1DB54F34" w14:textId="4ED77FDF" w:rsidR="00E47D3D" w:rsidRDefault="00E37381" w:rsidP="003C72FB">
      <w:pPr>
        <w:spacing w:line="360" w:lineRule="auto"/>
        <w:ind w:firstLine="720"/>
        <w:jc w:val="both"/>
        <w:rPr>
          <w:rFonts w:asciiTheme="majorBidi" w:hAnsiTheme="majorBidi" w:cstheme="majorBidi"/>
          <w:sz w:val="24"/>
          <w:szCs w:val="24"/>
        </w:rPr>
      </w:pPr>
      <w:r w:rsidRPr="00BF4413">
        <w:rPr>
          <w:rFonts w:asciiTheme="majorBidi" w:hAnsiTheme="majorBidi" w:cstheme="majorBidi"/>
          <w:sz w:val="24"/>
          <w:szCs w:val="24"/>
        </w:rPr>
        <w:t xml:space="preserve">While certain elements of Gilson and Schizer's work may not have entirely withstood the test of time—for instance, their underemphasis on the economic significance of liquidation preferences, appears misaligned with more recent findings </w:t>
      </w:r>
      <w:r w:rsidR="00EB0293">
        <w:rPr>
          <w:rFonts w:asciiTheme="majorBidi" w:hAnsiTheme="majorBidi" w:cstheme="majorBidi"/>
          <w:sz w:val="24"/>
          <w:szCs w:val="24"/>
        </w:rPr>
        <w:t>(</w:t>
      </w:r>
      <w:r w:rsidRPr="00BF4413">
        <w:rPr>
          <w:rFonts w:asciiTheme="majorBidi" w:hAnsiTheme="majorBidi" w:cstheme="majorBidi"/>
          <w:sz w:val="24"/>
          <w:szCs w:val="24"/>
        </w:rPr>
        <w:t>Gornall &amp; Strebulaev 2020)—</w:t>
      </w:r>
      <w:r w:rsidR="002D23BB" w:rsidRPr="002D23BB">
        <w:rPr>
          <w:rFonts w:asciiTheme="majorBidi" w:hAnsiTheme="majorBidi" w:cstheme="majorBidi"/>
          <w:sz w:val="24"/>
          <w:szCs w:val="24"/>
        </w:rPr>
        <w:t>our study concurs with their primary assertion. Our findings emphasize the significance of a legal system's flexibility in setting a low exercise price for employee stock options, detached from the share price in the most recent financing round.</w:t>
      </w:r>
      <w:r w:rsidRPr="00BF4413">
        <w:rPr>
          <w:rFonts w:asciiTheme="majorBidi" w:hAnsiTheme="majorBidi" w:cstheme="majorBidi"/>
          <w:sz w:val="24"/>
          <w:szCs w:val="24"/>
        </w:rPr>
        <w:t xml:space="preserve"> </w:t>
      </w:r>
    </w:p>
    <w:p w14:paraId="55CED514" w14:textId="30F98C3E" w:rsidR="00115928" w:rsidRDefault="00294744" w:rsidP="00115928">
      <w:pPr>
        <w:spacing w:line="360" w:lineRule="auto"/>
        <w:ind w:firstLine="720"/>
        <w:jc w:val="both"/>
        <w:rPr>
          <w:rFonts w:asciiTheme="majorBidi" w:hAnsiTheme="majorBidi" w:cstheme="majorBidi"/>
          <w:sz w:val="24"/>
          <w:szCs w:val="24"/>
        </w:rPr>
      </w:pPr>
      <w:r w:rsidRPr="00294744">
        <w:rPr>
          <w:rFonts w:asciiTheme="majorBidi" w:hAnsiTheme="majorBidi" w:cstheme="majorBidi"/>
          <w:sz w:val="24"/>
          <w:szCs w:val="24"/>
        </w:rPr>
        <w:t xml:space="preserve">While much of the extant literature singles out the tax treatment of employee stock options as a primary determinant in the development of Europe's VC ecosystem, </w:t>
      </w:r>
      <w:r w:rsidR="00DA5D3F" w:rsidRPr="00DA5D3F">
        <w:rPr>
          <w:rFonts w:asciiTheme="majorBidi" w:hAnsiTheme="majorBidi" w:cstheme="majorBidi"/>
          <w:sz w:val="24"/>
          <w:szCs w:val="24"/>
        </w:rPr>
        <w:t xml:space="preserve">our empirical findings paint a more nuanced picture. Even in the face of potentially unfavorable tax environments, many startups across European jurisdictions persist in offering equity compensation to their employees. This behavior not only highlights the enduring influence of the Silicon Valley model for startup ownership, which emphasizes employee ownership, but also its adaptability across diverse regulatory landscapes. Such trends in equity </w:t>
      </w:r>
      <w:r w:rsidR="00767BDD">
        <w:rPr>
          <w:rFonts w:asciiTheme="majorBidi" w:hAnsiTheme="majorBidi" w:cstheme="majorBidi"/>
          <w:sz w:val="24"/>
          <w:szCs w:val="24"/>
        </w:rPr>
        <w:t>awards</w:t>
      </w:r>
      <w:r w:rsidR="00DA5D3F" w:rsidRPr="00DA5D3F">
        <w:rPr>
          <w:rFonts w:asciiTheme="majorBidi" w:hAnsiTheme="majorBidi" w:cstheme="majorBidi"/>
          <w:sz w:val="24"/>
          <w:szCs w:val="24"/>
        </w:rPr>
        <w:t xml:space="preserve"> hint that these compensation methods may transcend mere financial substitutes. They could be deeply embedded in the governance structures of VC-backed companies, aligning employee incentives with the broader company goals. The nuances observed in this study underscore the need for more extensive research on these dynamics across global startup ecosystems</w:t>
      </w:r>
      <w:r w:rsidR="00DA5D3F">
        <w:rPr>
          <w:rFonts w:asciiTheme="majorBidi" w:hAnsiTheme="majorBidi" w:cstheme="majorBidi"/>
          <w:sz w:val="24"/>
          <w:szCs w:val="24"/>
        </w:rPr>
        <w:t>.</w:t>
      </w:r>
    </w:p>
    <w:p w14:paraId="72FA6EA2" w14:textId="11C5DDA8" w:rsidR="000A4F62" w:rsidRPr="00BF4413" w:rsidRDefault="000A4F62" w:rsidP="000A4F62">
      <w:pPr>
        <w:spacing w:line="360" w:lineRule="auto"/>
        <w:ind w:firstLine="720"/>
        <w:jc w:val="both"/>
        <w:rPr>
          <w:rFonts w:asciiTheme="majorBidi" w:hAnsiTheme="majorBidi" w:cstheme="majorBidi"/>
          <w:sz w:val="24"/>
          <w:szCs w:val="24"/>
        </w:rPr>
      </w:pPr>
    </w:p>
    <w:p w14:paraId="76ABCF15" w14:textId="0C733C88" w:rsidR="00855C0A" w:rsidRPr="00BF4413" w:rsidRDefault="00855C0A" w:rsidP="009D6086">
      <w:pPr>
        <w:spacing w:line="360" w:lineRule="auto"/>
        <w:ind w:firstLine="720"/>
        <w:jc w:val="both"/>
        <w:rPr>
          <w:rFonts w:asciiTheme="majorBidi" w:hAnsiTheme="majorBidi" w:cstheme="majorBidi"/>
          <w:sz w:val="24"/>
          <w:szCs w:val="24"/>
        </w:rPr>
      </w:pPr>
    </w:p>
    <w:p w14:paraId="5A684D05" w14:textId="6E5FA95B" w:rsidR="002D23BB" w:rsidRDefault="002D23BB">
      <w:pPr>
        <w:rPr>
          <w:rFonts w:asciiTheme="majorBidi" w:hAnsiTheme="majorBidi" w:cstheme="majorBidi"/>
          <w:b/>
          <w:bCs/>
          <w:sz w:val="24"/>
          <w:szCs w:val="24"/>
        </w:rPr>
      </w:pPr>
      <w:r>
        <w:br w:type="page"/>
      </w:r>
    </w:p>
    <w:p w14:paraId="4F1FA521" w14:textId="51E1B1A1" w:rsidR="00454806" w:rsidRPr="00BF4413" w:rsidRDefault="006044A9" w:rsidP="001A7B83">
      <w:pPr>
        <w:pStyle w:val="Style1"/>
        <w:jc w:val="left"/>
      </w:pPr>
      <w:r w:rsidRPr="00BF4413">
        <w:lastRenderedPageBreak/>
        <w:t xml:space="preserve">Bibliography </w:t>
      </w:r>
    </w:p>
    <w:p w14:paraId="2E2110F1" w14:textId="514E2B89" w:rsidR="003502A6" w:rsidRDefault="003502A6" w:rsidP="00137855">
      <w:pPr>
        <w:spacing w:after="0" w:line="240" w:lineRule="auto"/>
        <w:ind w:hanging="480"/>
        <w:rPr>
          <w:rFonts w:ascii="Arial" w:hAnsi="Arial" w:cs="Arial"/>
          <w:color w:val="222222"/>
          <w:sz w:val="20"/>
          <w:szCs w:val="20"/>
          <w:shd w:val="clear" w:color="auto" w:fill="FFFFFF"/>
        </w:rPr>
      </w:pPr>
      <w:r w:rsidRPr="003502A6">
        <w:rPr>
          <w:rFonts w:ascii="Times New Roman" w:eastAsia="Times New Roman" w:hAnsi="Times New Roman" w:cs="Times New Roman"/>
          <w:sz w:val="24"/>
          <w:szCs w:val="24"/>
          <w:lang/>
        </w:rPr>
        <w:t>Aran, Yifat. "Beyond covenants not to compete: Equilibrium in high-tech startup labor markets." </w:t>
      </w:r>
      <w:r w:rsidRPr="008C699A">
        <w:rPr>
          <w:rFonts w:ascii="Times New Roman" w:eastAsia="Times New Roman" w:hAnsi="Times New Roman" w:cs="Times New Roman"/>
          <w:i/>
          <w:iCs/>
          <w:sz w:val="24"/>
          <w:szCs w:val="24"/>
          <w:lang/>
        </w:rPr>
        <w:t>Stan. L. Rev</w:t>
      </w:r>
      <w:r w:rsidRPr="003502A6">
        <w:rPr>
          <w:rFonts w:ascii="Times New Roman" w:eastAsia="Times New Roman" w:hAnsi="Times New Roman" w:cs="Times New Roman"/>
          <w:sz w:val="24"/>
          <w:szCs w:val="24"/>
          <w:lang/>
        </w:rPr>
        <w:t>. 70 (2018): 1235</w:t>
      </w:r>
      <w:r>
        <w:rPr>
          <w:rFonts w:ascii="Arial" w:hAnsi="Arial" w:cs="Arial"/>
          <w:color w:val="222222"/>
          <w:sz w:val="20"/>
          <w:szCs w:val="20"/>
          <w:shd w:val="clear" w:color="auto" w:fill="FFFFFF"/>
        </w:rPr>
        <w:t>.</w:t>
      </w:r>
    </w:p>
    <w:p w14:paraId="3DD36746" w14:textId="50A41B5E" w:rsidR="003502A6" w:rsidRDefault="003502A6" w:rsidP="00137855">
      <w:pPr>
        <w:spacing w:after="0" w:line="240" w:lineRule="auto"/>
        <w:ind w:hanging="480"/>
        <w:rPr>
          <w:rFonts w:ascii="Times New Roman" w:eastAsia="Times New Roman" w:hAnsi="Times New Roman" w:cs="Times New Roman"/>
          <w:sz w:val="24"/>
          <w:szCs w:val="24"/>
          <w:lang/>
        </w:rPr>
      </w:pPr>
      <w:r w:rsidRPr="007E1447">
        <w:rPr>
          <w:rFonts w:asciiTheme="majorBidi" w:hAnsiTheme="majorBidi" w:cstheme="majorBidi"/>
          <w:color w:val="222222"/>
          <w:sz w:val="24"/>
          <w:szCs w:val="24"/>
          <w:shd w:val="clear" w:color="auto" w:fill="FFFFFF"/>
        </w:rPr>
        <w:t>———</w:t>
      </w:r>
      <w:r w:rsidRPr="003502A6">
        <w:rPr>
          <w:rFonts w:ascii="Times New Roman" w:eastAsia="Times New Roman" w:hAnsi="Times New Roman" w:cs="Times New Roman"/>
          <w:sz w:val="24"/>
          <w:szCs w:val="24"/>
          <w:lang/>
        </w:rPr>
        <w:t>. "Making Disclosure Work for Start-Up Employees." </w:t>
      </w:r>
      <w:r w:rsidRPr="00293110">
        <w:rPr>
          <w:rFonts w:ascii="Times New Roman" w:eastAsia="Times New Roman" w:hAnsi="Times New Roman" w:cs="Times New Roman"/>
          <w:i/>
          <w:iCs/>
          <w:sz w:val="24"/>
          <w:szCs w:val="24"/>
          <w:lang/>
        </w:rPr>
        <w:t>Colum. Bus. L. Rev</w:t>
      </w:r>
      <w:r w:rsidRPr="003502A6">
        <w:rPr>
          <w:rFonts w:ascii="Times New Roman" w:eastAsia="Times New Roman" w:hAnsi="Times New Roman" w:cs="Times New Roman"/>
          <w:sz w:val="24"/>
          <w:szCs w:val="24"/>
          <w:lang/>
        </w:rPr>
        <w:t>. (2019): 867.</w:t>
      </w:r>
    </w:p>
    <w:p w14:paraId="23E76161" w14:textId="03FB2847" w:rsidR="00A66203" w:rsidRDefault="00A66203" w:rsidP="00137855">
      <w:pPr>
        <w:spacing w:after="0" w:line="240" w:lineRule="auto"/>
        <w:ind w:hanging="480"/>
        <w:rPr>
          <w:rFonts w:ascii="Times New Roman" w:eastAsia="Times New Roman" w:hAnsi="Times New Roman" w:cs="Times New Roman"/>
          <w:sz w:val="24"/>
          <w:szCs w:val="24"/>
          <w:lang/>
        </w:rPr>
      </w:pPr>
      <w:r w:rsidRPr="007E1447">
        <w:rPr>
          <w:rFonts w:asciiTheme="majorBidi" w:hAnsiTheme="majorBidi" w:cstheme="majorBidi"/>
          <w:color w:val="222222"/>
          <w:sz w:val="24"/>
          <w:szCs w:val="24"/>
          <w:shd w:val="clear" w:color="auto" w:fill="FFFFFF"/>
        </w:rPr>
        <w:t>———</w:t>
      </w:r>
      <w:r w:rsidRPr="003502A6">
        <w:rPr>
          <w:rFonts w:ascii="Times New Roman" w:eastAsia="Times New Roman" w:hAnsi="Times New Roman" w:cs="Times New Roman"/>
          <w:sz w:val="24"/>
          <w:szCs w:val="24"/>
          <w:lang/>
        </w:rPr>
        <w:t>.</w:t>
      </w:r>
      <w:r w:rsidR="003F1893">
        <w:rPr>
          <w:rFonts w:ascii="Times New Roman" w:eastAsia="Times New Roman" w:hAnsi="Times New Roman" w:cs="Times New Roman"/>
          <w:sz w:val="24"/>
          <w:szCs w:val="24"/>
          <w:lang/>
        </w:rPr>
        <w:t xml:space="preserve"> </w:t>
      </w:r>
      <w:r w:rsidRPr="00A66203">
        <w:rPr>
          <w:rFonts w:ascii="Times New Roman" w:eastAsia="Times New Roman" w:hAnsi="Times New Roman" w:cs="Times New Roman"/>
          <w:sz w:val="24"/>
          <w:szCs w:val="24"/>
          <w:lang/>
        </w:rPr>
        <w:t>"The RSU Time Bomb: Regulating Startup Equity Compensation in the Unicorn Era." In Research Handbook on the Structure of Private Equity and Venture Capital, edited by Elisabeth de Fontenay and Brian Broughman. Edward Elgar.</w:t>
      </w:r>
    </w:p>
    <w:p w14:paraId="4515C52A" w14:textId="46361599" w:rsidR="00293110" w:rsidRDefault="00293110" w:rsidP="00137855">
      <w:pPr>
        <w:spacing w:after="0" w:line="240" w:lineRule="auto"/>
        <w:ind w:hanging="480"/>
        <w:rPr>
          <w:rFonts w:ascii="Times New Roman" w:eastAsia="Times New Roman" w:hAnsi="Times New Roman" w:cs="Times New Roman"/>
          <w:sz w:val="24"/>
          <w:szCs w:val="24"/>
          <w:lang/>
        </w:rPr>
      </w:pPr>
      <w:r w:rsidRPr="00293110">
        <w:rPr>
          <w:rFonts w:ascii="Times New Roman" w:eastAsia="Times New Roman" w:hAnsi="Times New Roman" w:cs="Times New Roman"/>
          <w:sz w:val="24"/>
          <w:szCs w:val="24"/>
          <w:lang/>
        </w:rPr>
        <w:t>Allen, Franklin, and Wei-ling Song. "Venture Capital and Corporate." </w:t>
      </w:r>
      <w:r w:rsidRPr="00293110">
        <w:rPr>
          <w:rFonts w:ascii="Times New Roman" w:eastAsia="Times New Roman" w:hAnsi="Times New Roman" w:cs="Times New Roman"/>
          <w:i/>
          <w:iCs/>
          <w:sz w:val="24"/>
          <w:szCs w:val="24"/>
          <w:lang/>
        </w:rPr>
        <w:t>Corporate governance and capital flows in a global economy</w:t>
      </w:r>
      <w:r w:rsidRPr="00293110">
        <w:rPr>
          <w:rFonts w:ascii="Times New Roman" w:eastAsia="Times New Roman" w:hAnsi="Times New Roman" w:cs="Times New Roman"/>
          <w:sz w:val="24"/>
          <w:szCs w:val="24"/>
          <w:lang/>
        </w:rPr>
        <w:t> 1 (2003): 133.</w:t>
      </w:r>
    </w:p>
    <w:p w14:paraId="05BFFA42" w14:textId="0E9D56C0" w:rsidR="00613375" w:rsidRDefault="00613375" w:rsidP="00137855">
      <w:pPr>
        <w:spacing w:after="0" w:line="240" w:lineRule="auto"/>
        <w:ind w:hanging="480"/>
        <w:rPr>
          <w:rFonts w:ascii="Times New Roman" w:eastAsia="Times New Roman" w:hAnsi="Times New Roman" w:cs="Times New Roman"/>
          <w:sz w:val="24"/>
          <w:szCs w:val="24"/>
          <w:lang/>
        </w:rPr>
      </w:pPr>
      <w:r w:rsidRPr="00613375">
        <w:rPr>
          <w:rFonts w:ascii="Times New Roman" w:eastAsia="Times New Roman" w:hAnsi="Times New Roman" w:cs="Times New Roman"/>
          <w:sz w:val="24"/>
          <w:szCs w:val="24"/>
          <w:lang/>
        </w:rPr>
        <w:t>Alon-Beck, Anat. "Unicorn stock options-Golden goose or Trojan horse." </w:t>
      </w:r>
      <w:r w:rsidRPr="008C699A">
        <w:rPr>
          <w:rFonts w:ascii="Times New Roman" w:eastAsia="Times New Roman" w:hAnsi="Times New Roman" w:cs="Times New Roman"/>
          <w:i/>
          <w:iCs/>
          <w:sz w:val="24"/>
          <w:szCs w:val="24"/>
          <w:lang/>
        </w:rPr>
        <w:t>Colum. Bus. L. Rev. </w:t>
      </w:r>
      <w:r w:rsidRPr="00613375">
        <w:rPr>
          <w:rFonts w:ascii="Times New Roman" w:eastAsia="Times New Roman" w:hAnsi="Times New Roman" w:cs="Times New Roman"/>
          <w:sz w:val="24"/>
          <w:szCs w:val="24"/>
          <w:lang/>
        </w:rPr>
        <w:t>(2019): 107.</w:t>
      </w:r>
    </w:p>
    <w:p w14:paraId="6F8C095A" w14:textId="40011CF0" w:rsidR="00137855" w:rsidRPr="00BF4413" w:rsidRDefault="00137855" w:rsidP="00137855">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Armour</w:t>
      </w:r>
      <w:r w:rsidR="003502A6">
        <w:rPr>
          <w:rFonts w:ascii="Times New Roman" w:eastAsia="Times New Roman" w:hAnsi="Times New Roman" w:cs="Times New Roman"/>
          <w:sz w:val="24"/>
          <w:szCs w:val="24"/>
          <w:lang/>
        </w:rPr>
        <w:t>,</w:t>
      </w:r>
      <w:r w:rsidRPr="00BF4413">
        <w:rPr>
          <w:rFonts w:ascii="Times New Roman" w:eastAsia="Times New Roman" w:hAnsi="Times New Roman" w:cs="Times New Roman"/>
          <w:sz w:val="24"/>
          <w:szCs w:val="24"/>
          <w:lang/>
        </w:rPr>
        <w:t xml:space="preserve"> John, and Douglas Cumming “Legislative Road to Silicon Valley | Oxford Economic Papers | Oxford Academic.” Accessed June 8, 2023. </w:t>
      </w:r>
      <w:hyperlink r:id="rId13" w:history="1">
        <w:r w:rsidRPr="00BF4413">
          <w:rPr>
            <w:rFonts w:ascii="Times New Roman" w:eastAsia="Times New Roman" w:hAnsi="Times New Roman" w:cs="Times New Roman"/>
            <w:color w:val="0000FF"/>
            <w:sz w:val="24"/>
            <w:szCs w:val="24"/>
            <w:u w:val="single"/>
            <w:lang/>
          </w:rPr>
          <w:t>https://academic.oup.com/oep/article-abstract/58/4/596/2270138</w:t>
        </w:r>
      </w:hyperlink>
      <w:r w:rsidRPr="00BF4413">
        <w:rPr>
          <w:rFonts w:ascii="Times New Roman" w:eastAsia="Times New Roman" w:hAnsi="Times New Roman" w:cs="Times New Roman"/>
          <w:sz w:val="24"/>
          <w:szCs w:val="24"/>
          <w:lang/>
        </w:rPr>
        <w:t>.</w:t>
      </w:r>
    </w:p>
    <w:p w14:paraId="4A31B787" w14:textId="77777777" w:rsidR="005D1391" w:rsidRPr="00BF4413" w:rsidRDefault="005D1391" w:rsidP="005D1391">
      <w:pPr>
        <w:spacing w:after="0" w:line="240" w:lineRule="auto"/>
        <w:ind w:hanging="480"/>
        <w:rPr>
          <w:rFonts w:asciiTheme="majorBidi" w:eastAsia="Times New Roman" w:hAnsiTheme="majorBidi" w:cstheme="majorBidi"/>
          <w:sz w:val="24"/>
          <w:szCs w:val="24"/>
          <w:lang/>
        </w:rPr>
      </w:pPr>
      <w:r w:rsidRPr="00BF4413">
        <w:rPr>
          <w:rFonts w:asciiTheme="majorBidi" w:hAnsiTheme="majorBidi" w:cstheme="majorBidi"/>
          <w:color w:val="222222"/>
          <w:sz w:val="24"/>
          <w:szCs w:val="24"/>
          <w:shd w:val="clear" w:color="auto" w:fill="FFFFFF"/>
        </w:rPr>
        <w:t>Babina, Tania, Paige Ouimet, and Rebecca Zarutskie. "Going entrepreneurial? IPOs and new firm creation." </w:t>
      </w:r>
      <w:r w:rsidRPr="00BF4413">
        <w:rPr>
          <w:rFonts w:asciiTheme="majorBidi" w:hAnsiTheme="majorBidi" w:cstheme="majorBidi"/>
          <w:i/>
          <w:iCs/>
          <w:color w:val="222222"/>
          <w:sz w:val="24"/>
          <w:szCs w:val="24"/>
          <w:shd w:val="clear" w:color="auto" w:fill="FFFFFF"/>
        </w:rPr>
        <w:t>US Census Bureau Center for Economic Studies Paper No. CES-WP-17-18, Columbia Business School Research Paper</w:t>
      </w:r>
      <w:r w:rsidRPr="00BF4413">
        <w:rPr>
          <w:rFonts w:asciiTheme="majorBidi" w:hAnsiTheme="majorBidi" w:cstheme="majorBidi"/>
          <w:color w:val="222222"/>
          <w:sz w:val="24"/>
          <w:szCs w:val="24"/>
          <w:shd w:val="clear" w:color="auto" w:fill="FFFFFF"/>
        </w:rPr>
        <w:t> 17-32 (2017).</w:t>
      </w:r>
    </w:p>
    <w:p w14:paraId="6CF3A86C" w14:textId="5FC2799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Bernstein, Shai. “Does Going Public Affect Innovation?” </w:t>
      </w:r>
      <w:r w:rsidRPr="00BF4413">
        <w:rPr>
          <w:rFonts w:ascii="Times New Roman" w:eastAsia="Times New Roman" w:hAnsi="Times New Roman" w:cs="Times New Roman"/>
          <w:i/>
          <w:iCs/>
          <w:sz w:val="24"/>
          <w:szCs w:val="24"/>
          <w:lang/>
        </w:rPr>
        <w:t>The Journal of Finance</w:t>
      </w:r>
      <w:r w:rsidRPr="00BF4413">
        <w:rPr>
          <w:rFonts w:ascii="Times New Roman" w:eastAsia="Times New Roman" w:hAnsi="Times New Roman" w:cs="Times New Roman"/>
          <w:sz w:val="24"/>
          <w:szCs w:val="24"/>
          <w:lang/>
        </w:rPr>
        <w:t xml:space="preserve"> 70, no. 4 (2015): 1365–1403. </w:t>
      </w:r>
      <w:hyperlink r:id="rId14" w:history="1">
        <w:r w:rsidRPr="00BF4413">
          <w:rPr>
            <w:rFonts w:ascii="Times New Roman" w:eastAsia="Times New Roman" w:hAnsi="Times New Roman" w:cs="Times New Roman"/>
            <w:color w:val="0000FF"/>
            <w:sz w:val="24"/>
            <w:szCs w:val="24"/>
            <w:u w:val="single"/>
            <w:lang/>
          </w:rPr>
          <w:t>https://doi.org/10.1111/jofi.12275</w:t>
        </w:r>
      </w:hyperlink>
      <w:r w:rsidRPr="00BF4413">
        <w:rPr>
          <w:rFonts w:ascii="Times New Roman" w:eastAsia="Times New Roman" w:hAnsi="Times New Roman" w:cs="Times New Roman"/>
          <w:sz w:val="24"/>
          <w:szCs w:val="24"/>
          <w:lang/>
        </w:rPr>
        <w:t>.</w:t>
      </w:r>
    </w:p>
    <w:p w14:paraId="5A91272D"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Bias, Daniel. “Illiquid Equity, Labor Mobility, and Talent Allocation.” SSRN Scholarly Paper. Rochester, NY, November 9, 2021. </w:t>
      </w:r>
      <w:hyperlink r:id="rId15" w:history="1">
        <w:r w:rsidRPr="00BF4413">
          <w:rPr>
            <w:rFonts w:ascii="Times New Roman" w:eastAsia="Times New Roman" w:hAnsi="Times New Roman" w:cs="Times New Roman"/>
            <w:color w:val="0000FF"/>
            <w:sz w:val="24"/>
            <w:szCs w:val="24"/>
            <w:u w:val="single"/>
            <w:lang/>
          </w:rPr>
          <w:t>https://doi.org/10.2139/ssrn.3960342</w:t>
        </w:r>
      </w:hyperlink>
      <w:r w:rsidRPr="00BF4413">
        <w:rPr>
          <w:rFonts w:ascii="Times New Roman" w:eastAsia="Times New Roman" w:hAnsi="Times New Roman" w:cs="Times New Roman"/>
          <w:sz w:val="24"/>
          <w:szCs w:val="24"/>
          <w:lang/>
        </w:rPr>
        <w:t>.</w:t>
      </w:r>
    </w:p>
    <w:p w14:paraId="3480DD7B" w14:textId="77777777" w:rsidR="0056071E" w:rsidRPr="00BF4413" w:rsidRDefault="0056071E" w:rsidP="0056071E">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Black. Bernard S., and Ronald J. Gilson. “Venture Capital and the Structure of Capital Markets: Banks versus Stock Markets - ScienceDirect.” Accessed June 8, 2023. </w:t>
      </w:r>
      <w:hyperlink r:id="rId16" w:history="1">
        <w:r w:rsidRPr="00BF4413">
          <w:rPr>
            <w:rFonts w:ascii="Times New Roman" w:eastAsia="Times New Roman" w:hAnsi="Times New Roman" w:cs="Times New Roman"/>
            <w:color w:val="0000FF"/>
            <w:sz w:val="24"/>
            <w:szCs w:val="24"/>
            <w:u w:val="single"/>
            <w:lang/>
          </w:rPr>
          <w:t>https://www.sciencedirect.com/science/article/pii/S0304405X97000457</w:t>
        </w:r>
      </w:hyperlink>
      <w:r w:rsidRPr="00BF4413">
        <w:rPr>
          <w:rFonts w:ascii="Times New Roman" w:eastAsia="Times New Roman" w:hAnsi="Times New Roman" w:cs="Times New Roman"/>
          <w:sz w:val="24"/>
          <w:szCs w:val="24"/>
          <w:lang/>
        </w:rPr>
        <w:t>.</w:t>
      </w:r>
    </w:p>
    <w:p w14:paraId="0D98DFD0" w14:textId="1DEFFA1E"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Blasi, Joseph R., Douglas Kruse, and Aaron Bernstein. </w:t>
      </w:r>
      <w:r w:rsidRPr="00BF4413">
        <w:rPr>
          <w:rFonts w:ascii="Times New Roman" w:eastAsia="Times New Roman" w:hAnsi="Times New Roman" w:cs="Times New Roman"/>
          <w:i/>
          <w:iCs/>
          <w:sz w:val="24"/>
          <w:szCs w:val="24"/>
          <w:lang/>
        </w:rPr>
        <w:t>In the Company of Owners: The Truth about Stock Options (and Why Every Employee Should Have Them)</w:t>
      </w:r>
      <w:r w:rsidRPr="00BF4413">
        <w:rPr>
          <w:rFonts w:ascii="Times New Roman" w:eastAsia="Times New Roman" w:hAnsi="Times New Roman" w:cs="Times New Roman"/>
          <w:sz w:val="24"/>
          <w:szCs w:val="24"/>
          <w:lang/>
        </w:rPr>
        <w:t>. Basic Books, 2003.</w:t>
      </w:r>
    </w:p>
    <w:p w14:paraId="37B717A7" w14:textId="35827D81" w:rsidR="0088177F" w:rsidRDefault="0088177F" w:rsidP="00154BA0">
      <w:pPr>
        <w:spacing w:after="0" w:line="240" w:lineRule="auto"/>
        <w:ind w:hanging="480"/>
        <w:rPr>
          <w:rFonts w:ascii="Times New Roman" w:eastAsia="Times New Roman" w:hAnsi="Times New Roman" w:cs="Times New Roman"/>
          <w:sz w:val="24"/>
          <w:szCs w:val="24"/>
          <w:lang/>
        </w:rPr>
      </w:pPr>
      <w:r w:rsidRPr="0088177F">
        <w:rPr>
          <w:rFonts w:ascii="Times New Roman" w:eastAsia="Times New Roman" w:hAnsi="Times New Roman" w:cs="Times New Roman"/>
          <w:sz w:val="24"/>
          <w:szCs w:val="24"/>
          <w:lang/>
        </w:rPr>
        <w:t>Booth, Richard A. "Give me equity or give me death-the role of competition and compensation in Silicon Valley." Entrepreneurial Bus. LJ 1 (2006): 265.</w:t>
      </w:r>
    </w:p>
    <w:p w14:paraId="3CCEE8B5" w14:textId="14DB2F6D"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Cable, Abraham J. B. “Fool’s Gold: Equity Compensation &amp; the Mature Startup.” </w:t>
      </w:r>
      <w:r w:rsidRPr="00BF4413">
        <w:rPr>
          <w:rFonts w:ascii="Times New Roman" w:eastAsia="Times New Roman" w:hAnsi="Times New Roman" w:cs="Times New Roman"/>
          <w:i/>
          <w:iCs/>
          <w:sz w:val="24"/>
          <w:szCs w:val="24"/>
          <w:lang/>
        </w:rPr>
        <w:t>Virginia Law and Business Review</w:t>
      </w:r>
      <w:r w:rsidRPr="00BF4413">
        <w:rPr>
          <w:rFonts w:ascii="Times New Roman" w:eastAsia="Times New Roman" w:hAnsi="Times New Roman" w:cs="Times New Roman"/>
          <w:sz w:val="24"/>
          <w:szCs w:val="24"/>
          <w:lang/>
        </w:rPr>
        <w:t xml:space="preserve"> 11, no. 3 (2017 2016): 613–41.</w:t>
      </w:r>
    </w:p>
    <w:p w14:paraId="67BDE7C5" w14:textId="4E89D80F" w:rsidR="00B170C2" w:rsidRDefault="00B170C2" w:rsidP="00154BA0">
      <w:pPr>
        <w:spacing w:after="0" w:line="240" w:lineRule="auto"/>
        <w:ind w:hanging="480"/>
        <w:rPr>
          <w:rFonts w:ascii="Times New Roman" w:eastAsia="Times New Roman" w:hAnsi="Times New Roman" w:cs="Times New Roman"/>
          <w:sz w:val="24"/>
          <w:szCs w:val="24"/>
          <w:lang/>
        </w:rPr>
      </w:pPr>
      <w:r w:rsidRPr="00B170C2">
        <w:rPr>
          <w:rFonts w:ascii="Times New Roman" w:eastAsia="Times New Roman" w:hAnsi="Times New Roman" w:cs="Times New Roman"/>
          <w:sz w:val="24"/>
          <w:szCs w:val="24"/>
          <w:lang/>
        </w:rPr>
        <w:t>Cumming, Douglas, and Sofia Johan. "Phasing out an inefficient venture capital tax credit." Journal of Industry, Competition and Trade 10 (2010): 227-252.</w:t>
      </w:r>
    </w:p>
    <w:p w14:paraId="68C23FCB" w14:textId="00696E6C"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Dimov, Dimo P., and Dean A. Shepherd. “Human Capital Theory and Venture Capital Firms: Exploring ‘Home Runs’ and ‘Strike Outs.’” </w:t>
      </w:r>
      <w:r w:rsidRPr="00BF4413">
        <w:rPr>
          <w:rFonts w:ascii="Times New Roman" w:eastAsia="Times New Roman" w:hAnsi="Times New Roman" w:cs="Times New Roman"/>
          <w:i/>
          <w:iCs/>
          <w:sz w:val="24"/>
          <w:szCs w:val="24"/>
          <w:lang/>
        </w:rPr>
        <w:t>Journal of Business Venturing</w:t>
      </w:r>
      <w:r w:rsidRPr="00BF4413">
        <w:rPr>
          <w:rFonts w:ascii="Times New Roman" w:eastAsia="Times New Roman" w:hAnsi="Times New Roman" w:cs="Times New Roman"/>
          <w:sz w:val="24"/>
          <w:szCs w:val="24"/>
          <w:lang/>
        </w:rPr>
        <w:t xml:space="preserve"> 20, no. 1 (January 1, 2005): 1–21. </w:t>
      </w:r>
      <w:hyperlink r:id="rId17" w:history="1">
        <w:r w:rsidRPr="00BF4413">
          <w:rPr>
            <w:rFonts w:ascii="Times New Roman" w:eastAsia="Times New Roman" w:hAnsi="Times New Roman" w:cs="Times New Roman"/>
            <w:color w:val="0000FF"/>
            <w:sz w:val="24"/>
            <w:szCs w:val="24"/>
            <w:u w:val="single"/>
            <w:lang/>
          </w:rPr>
          <w:t>https://doi.org/10.1016/j.jbusvent.2003.12.007</w:t>
        </w:r>
      </w:hyperlink>
      <w:r w:rsidRPr="00BF4413">
        <w:rPr>
          <w:rFonts w:ascii="Times New Roman" w:eastAsia="Times New Roman" w:hAnsi="Times New Roman" w:cs="Times New Roman"/>
          <w:sz w:val="24"/>
          <w:szCs w:val="24"/>
          <w:lang/>
        </w:rPr>
        <w:t>.</w:t>
      </w:r>
    </w:p>
    <w:p w14:paraId="129557D8"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Gilson, Ronald J., and David M. Schizer. “Understanding Venture Capital Structure: A Tax Explanation for Convertible Preferred Stock.” </w:t>
      </w:r>
      <w:r w:rsidRPr="00BF4413">
        <w:rPr>
          <w:rFonts w:ascii="Times New Roman" w:eastAsia="Times New Roman" w:hAnsi="Times New Roman" w:cs="Times New Roman"/>
          <w:i/>
          <w:iCs/>
          <w:sz w:val="24"/>
          <w:szCs w:val="24"/>
          <w:lang/>
        </w:rPr>
        <w:t>Harvard Law Review</w:t>
      </w:r>
      <w:r w:rsidRPr="00BF4413">
        <w:rPr>
          <w:rFonts w:ascii="Times New Roman" w:eastAsia="Times New Roman" w:hAnsi="Times New Roman" w:cs="Times New Roman"/>
          <w:sz w:val="24"/>
          <w:szCs w:val="24"/>
          <w:lang/>
        </w:rPr>
        <w:t xml:space="preserve"> 116, no. 3 (2003): 874–916. </w:t>
      </w:r>
      <w:hyperlink r:id="rId18" w:history="1">
        <w:r w:rsidRPr="00BF4413">
          <w:rPr>
            <w:rFonts w:ascii="Times New Roman" w:eastAsia="Times New Roman" w:hAnsi="Times New Roman" w:cs="Times New Roman"/>
            <w:color w:val="0000FF"/>
            <w:sz w:val="24"/>
            <w:szCs w:val="24"/>
            <w:u w:val="single"/>
            <w:lang/>
          </w:rPr>
          <w:t>https://doi.org/10.2307/1342584</w:t>
        </w:r>
      </w:hyperlink>
      <w:r w:rsidRPr="00BF4413">
        <w:rPr>
          <w:rFonts w:ascii="Times New Roman" w:eastAsia="Times New Roman" w:hAnsi="Times New Roman" w:cs="Times New Roman"/>
          <w:sz w:val="24"/>
          <w:szCs w:val="24"/>
          <w:lang/>
        </w:rPr>
        <w:t>.</w:t>
      </w:r>
    </w:p>
    <w:p w14:paraId="51B7C4B7" w14:textId="76E98DED" w:rsidR="003A3D60" w:rsidRDefault="003A3D60" w:rsidP="00154BA0">
      <w:pPr>
        <w:spacing w:after="0" w:line="240" w:lineRule="auto"/>
        <w:ind w:hanging="480"/>
        <w:rPr>
          <w:rFonts w:ascii="Times New Roman" w:eastAsia="Times New Roman" w:hAnsi="Times New Roman" w:cs="Times New Roman"/>
          <w:sz w:val="24"/>
          <w:szCs w:val="24"/>
          <w:lang/>
        </w:rPr>
      </w:pPr>
      <w:r w:rsidRPr="003A3D60">
        <w:rPr>
          <w:rFonts w:ascii="Times New Roman" w:eastAsia="Times New Roman" w:hAnsi="Times New Roman" w:cs="Times New Roman"/>
          <w:sz w:val="24"/>
          <w:szCs w:val="24"/>
          <w:lang/>
        </w:rPr>
        <w:t>Giudici, Paolo, and Peter Agstner. "Startups and company law: the competitive pressure of Delaware on Italy (and Europe?)." </w:t>
      </w:r>
      <w:r w:rsidRPr="003A3D60">
        <w:rPr>
          <w:rFonts w:ascii="Times New Roman" w:eastAsia="Times New Roman" w:hAnsi="Times New Roman" w:cs="Times New Roman"/>
          <w:i/>
          <w:iCs/>
          <w:sz w:val="24"/>
          <w:szCs w:val="24"/>
          <w:lang/>
        </w:rPr>
        <w:t>European Business Organization Law Review</w:t>
      </w:r>
      <w:r w:rsidRPr="003A3D60">
        <w:rPr>
          <w:rFonts w:ascii="Times New Roman" w:eastAsia="Times New Roman" w:hAnsi="Times New Roman" w:cs="Times New Roman"/>
          <w:sz w:val="24"/>
          <w:szCs w:val="24"/>
          <w:lang/>
        </w:rPr>
        <w:t> 20 (2019): 597-632.</w:t>
      </w:r>
    </w:p>
    <w:p w14:paraId="6F3EB2CE" w14:textId="00BC4535"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Gornall, Will, and Ilya A. Strebulaev. “The Economic Impact of Venture Capital: Evidence from Public Companies.” SSRN Scholarly Paper. Rochester, NY, June 1, 2021. </w:t>
      </w:r>
      <w:hyperlink r:id="rId19" w:history="1">
        <w:r w:rsidRPr="00BF4413">
          <w:rPr>
            <w:rFonts w:ascii="Times New Roman" w:eastAsia="Times New Roman" w:hAnsi="Times New Roman" w:cs="Times New Roman"/>
            <w:color w:val="0000FF"/>
            <w:sz w:val="24"/>
            <w:szCs w:val="24"/>
            <w:u w:val="single"/>
            <w:lang/>
          </w:rPr>
          <w:t>https://doi.org/10.2139/ssrn.2681841</w:t>
        </w:r>
      </w:hyperlink>
      <w:r w:rsidRPr="00BF4413">
        <w:rPr>
          <w:rFonts w:ascii="Times New Roman" w:eastAsia="Times New Roman" w:hAnsi="Times New Roman" w:cs="Times New Roman"/>
          <w:sz w:val="24"/>
          <w:szCs w:val="24"/>
          <w:lang/>
        </w:rPr>
        <w:t>.</w:t>
      </w:r>
    </w:p>
    <w:p w14:paraId="667D5E29" w14:textId="77777777" w:rsidR="003A6C54" w:rsidRDefault="003A6C54" w:rsidP="003A6C54">
      <w:pPr>
        <w:spacing w:after="0" w:line="240" w:lineRule="auto"/>
        <w:ind w:hanging="480"/>
        <w:rPr>
          <w:rFonts w:asciiTheme="majorBidi" w:hAnsiTheme="majorBidi" w:cstheme="majorBidi"/>
          <w:color w:val="222222"/>
          <w:sz w:val="24"/>
          <w:szCs w:val="24"/>
          <w:shd w:val="clear" w:color="auto" w:fill="FFFFFF"/>
        </w:rPr>
      </w:pPr>
      <w:r w:rsidRPr="00BF4413">
        <w:rPr>
          <w:rFonts w:asciiTheme="majorBidi" w:hAnsiTheme="majorBidi" w:cstheme="majorBidi"/>
          <w:color w:val="222222"/>
          <w:sz w:val="24"/>
          <w:szCs w:val="24"/>
          <w:shd w:val="clear" w:color="auto" w:fill="FFFFFF"/>
        </w:rPr>
        <w:t>Hall, Bronwyn H., and Josh Lerner. "The financing of R&amp;D and innovation." In </w:t>
      </w:r>
      <w:r w:rsidRPr="00BF4413">
        <w:rPr>
          <w:rFonts w:asciiTheme="majorBidi" w:hAnsiTheme="majorBidi" w:cstheme="majorBidi"/>
          <w:i/>
          <w:iCs/>
          <w:color w:val="222222"/>
          <w:sz w:val="24"/>
          <w:szCs w:val="24"/>
          <w:shd w:val="clear" w:color="auto" w:fill="FFFFFF"/>
        </w:rPr>
        <w:t>Handbook of the Economics of Innovation</w:t>
      </w:r>
      <w:r w:rsidRPr="00BF4413">
        <w:rPr>
          <w:rFonts w:asciiTheme="majorBidi" w:hAnsiTheme="majorBidi" w:cstheme="majorBidi"/>
          <w:color w:val="222222"/>
          <w:sz w:val="24"/>
          <w:szCs w:val="24"/>
          <w:shd w:val="clear" w:color="auto" w:fill="FFFFFF"/>
        </w:rPr>
        <w:t>, vol. 1, pp. 609-639. North-Holland, 2010.</w:t>
      </w:r>
    </w:p>
    <w:p w14:paraId="1B5CF15F" w14:textId="0167A00A" w:rsidR="001A2983" w:rsidRDefault="001A2983" w:rsidP="003A6C54">
      <w:pPr>
        <w:spacing w:after="0" w:line="240" w:lineRule="auto"/>
        <w:ind w:hanging="480"/>
        <w:rPr>
          <w:rFonts w:asciiTheme="majorBidi" w:hAnsiTheme="majorBidi" w:cstheme="majorBidi"/>
          <w:color w:val="222222"/>
          <w:sz w:val="24"/>
          <w:szCs w:val="24"/>
          <w:shd w:val="clear" w:color="auto" w:fill="FFFFFF"/>
        </w:rPr>
      </w:pPr>
      <w:r w:rsidRPr="001A2983">
        <w:rPr>
          <w:rFonts w:asciiTheme="majorBidi" w:hAnsiTheme="majorBidi" w:cstheme="majorBidi"/>
          <w:color w:val="222222"/>
          <w:sz w:val="24"/>
          <w:szCs w:val="24"/>
          <w:shd w:val="clear" w:color="auto" w:fill="FFFFFF"/>
        </w:rPr>
        <w:t>Hege, Ulrich, Frédéric Palomino, and Armin Schwienbacher. Determinants of venture capital performance: Europe and the United States. working paper, HEC School of Management, 2003.</w:t>
      </w:r>
    </w:p>
    <w:p w14:paraId="494E7245" w14:textId="3D8E68F2" w:rsidR="007E1447" w:rsidRDefault="007E1447" w:rsidP="003A6C54">
      <w:pPr>
        <w:spacing w:after="0" w:line="240" w:lineRule="auto"/>
        <w:ind w:hanging="480"/>
        <w:rPr>
          <w:rFonts w:asciiTheme="majorBidi" w:hAnsiTheme="majorBidi" w:cstheme="majorBidi"/>
          <w:color w:val="222222"/>
          <w:sz w:val="24"/>
          <w:szCs w:val="24"/>
          <w:shd w:val="clear" w:color="auto" w:fill="FFFFFF"/>
        </w:rPr>
      </w:pPr>
      <w:r w:rsidRPr="007E1447">
        <w:rPr>
          <w:rFonts w:asciiTheme="majorBidi" w:hAnsiTheme="majorBidi" w:cstheme="majorBidi"/>
          <w:color w:val="222222"/>
          <w:sz w:val="24"/>
          <w:szCs w:val="24"/>
          <w:shd w:val="clear" w:color="auto" w:fill="FFFFFF"/>
        </w:rPr>
        <w:lastRenderedPageBreak/>
        <w:t>Henrekson, Magnus, and Tino Sanandaji. "Stock option taxation: a missing piece in European innovation policy?." </w:t>
      </w:r>
      <w:r w:rsidRPr="007E1447">
        <w:rPr>
          <w:rFonts w:asciiTheme="majorBidi" w:hAnsiTheme="majorBidi" w:cstheme="majorBidi"/>
          <w:i/>
          <w:iCs/>
          <w:color w:val="222222"/>
          <w:sz w:val="24"/>
          <w:szCs w:val="24"/>
          <w:shd w:val="clear" w:color="auto" w:fill="FFFFFF"/>
        </w:rPr>
        <w:t>Small Business Economics</w:t>
      </w:r>
      <w:r w:rsidRPr="007E1447">
        <w:rPr>
          <w:rFonts w:asciiTheme="majorBidi" w:hAnsiTheme="majorBidi" w:cstheme="majorBidi"/>
          <w:color w:val="222222"/>
          <w:sz w:val="24"/>
          <w:szCs w:val="24"/>
          <w:shd w:val="clear" w:color="auto" w:fill="FFFFFF"/>
        </w:rPr>
        <w:t> 51 (2018): 411-424.</w:t>
      </w:r>
    </w:p>
    <w:p w14:paraId="7A88677A" w14:textId="2E52040B" w:rsidR="007E1447" w:rsidRPr="007E1447" w:rsidRDefault="007E1447" w:rsidP="003A6C54">
      <w:pPr>
        <w:spacing w:after="0" w:line="240" w:lineRule="auto"/>
        <w:ind w:hanging="480"/>
        <w:rPr>
          <w:rFonts w:asciiTheme="majorBidi" w:hAnsiTheme="majorBidi" w:cstheme="majorBidi"/>
          <w:color w:val="222222"/>
          <w:sz w:val="24"/>
          <w:szCs w:val="24"/>
          <w:shd w:val="clear" w:color="auto" w:fill="FFFFFF"/>
        </w:rPr>
      </w:pPr>
      <w:r w:rsidRPr="007E1447">
        <w:rPr>
          <w:rFonts w:asciiTheme="majorBidi" w:hAnsiTheme="majorBidi" w:cstheme="majorBidi"/>
          <w:color w:val="222222"/>
          <w:sz w:val="24"/>
          <w:szCs w:val="24"/>
          <w:shd w:val="clear" w:color="auto" w:fill="FFFFFF"/>
        </w:rPr>
        <w:t>———. (2018). "Stock option taxation and venture capital activity: A cross-country study". </w:t>
      </w:r>
      <w:r w:rsidRPr="007E1447">
        <w:rPr>
          <w:rFonts w:asciiTheme="majorBidi" w:hAnsiTheme="majorBidi" w:cstheme="majorBidi"/>
          <w:i/>
          <w:iCs/>
          <w:color w:val="222222"/>
          <w:sz w:val="24"/>
          <w:szCs w:val="24"/>
          <w:shd w:val="clear" w:color="auto" w:fill="FFFFFF"/>
        </w:rPr>
        <w:t>Venture Capital</w:t>
      </w:r>
      <w:r w:rsidRPr="007E1447">
        <w:rPr>
          <w:rFonts w:asciiTheme="majorBidi" w:hAnsiTheme="majorBidi" w:cstheme="majorBidi"/>
          <w:color w:val="222222"/>
          <w:sz w:val="24"/>
          <w:szCs w:val="24"/>
          <w:shd w:val="clear" w:color="auto" w:fill="FFFFFF"/>
        </w:rPr>
        <w:t>, 20(1), 51-71.</w:t>
      </w:r>
    </w:p>
    <w:p w14:paraId="535E72DC" w14:textId="3514CDB6"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Hill, Kingston. “Growth Challenges for Small and Medium-Sized Enterprises: A UK-US Comparative Study,” n.d.</w:t>
      </w:r>
    </w:p>
    <w:p w14:paraId="5B5D66AA"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heme="majorBidi" w:eastAsia="Times New Roman" w:hAnsiTheme="majorBidi" w:cstheme="majorBidi"/>
          <w:sz w:val="24"/>
          <w:szCs w:val="24"/>
          <w:lang/>
        </w:rPr>
        <w:t>Jeng, Leslie A., and Philippe C. Wells. “The Determinants of Venture Capital Funding: Evidence</w:t>
      </w:r>
      <w:r w:rsidRPr="00BF4413">
        <w:rPr>
          <w:rFonts w:ascii="Times New Roman" w:eastAsia="Times New Roman" w:hAnsi="Times New Roman" w:cs="Times New Roman"/>
          <w:sz w:val="24"/>
          <w:szCs w:val="24"/>
          <w:lang/>
        </w:rPr>
        <w:t xml:space="preserve"> across Countries.” </w:t>
      </w:r>
      <w:r w:rsidRPr="00BF4413">
        <w:rPr>
          <w:rFonts w:ascii="Times New Roman" w:eastAsia="Times New Roman" w:hAnsi="Times New Roman" w:cs="Times New Roman"/>
          <w:i/>
          <w:iCs/>
          <w:sz w:val="24"/>
          <w:szCs w:val="24"/>
          <w:lang/>
        </w:rPr>
        <w:t>Journal of Corporate Finance</w:t>
      </w:r>
      <w:r w:rsidRPr="00BF4413">
        <w:rPr>
          <w:rFonts w:ascii="Times New Roman" w:eastAsia="Times New Roman" w:hAnsi="Times New Roman" w:cs="Times New Roman"/>
          <w:sz w:val="24"/>
          <w:szCs w:val="24"/>
          <w:lang/>
        </w:rPr>
        <w:t xml:space="preserve"> 6, no. 3 (September 1, 2000): 241–89. </w:t>
      </w:r>
      <w:hyperlink r:id="rId20" w:history="1">
        <w:r w:rsidRPr="00BF4413">
          <w:rPr>
            <w:rFonts w:ascii="Times New Roman" w:eastAsia="Times New Roman" w:hAnsi="Times New Roman" w:cs="Times New Roman"/>
            <w:color w:val="0000FF"/>
            <w:sz w:val="24"/>
            <w:szCs w:val="24"/>
            <w:u w:val="single"/>
            <w:lang/>
          </w:rPr>
          <w:t>https://doi.org/10.1016/S0929-1199(00)00003-1</w:t>
        </w:r>
      </w:hyperlink>
      <w:r w:rsidRPr="00BF4413">
        <w:rPr>
          <w:rFonts w:ascii="Times New Roman" w:eastAsia="Times New Roman" w:hAnsi="Times New Roman" w:cs="Times New Roman"/>
          <w:sz w:val="24"/>
          <w:szCs w:val="24"/>
          <w:lang/>
        </w:rPr>
        <w:t>.</w:t>
      </w:r>
    </w:p>
    <w:p w14:paraId="62E0821E" w14:textId="6BCB62B2" w:rsidR="00764FFB" w:rsidRPr="00764FFB" w:rsidRDefault="00764FFB" w:rsidP="00154BA0">
      <w:pPr>
        <w:spacing w:after="0" w:line="240" w:lineRule="auto"/>
        <w:ind w:hanging="480"/>
        <w:rPr>
          <w:rFonts w:asciiTheme="majorBidi" w:eastAsia="Times New Roman" w:hAnsiTheme="majorBidi" w:cstheme="majorBidi"/>
          <w:sz w:val="24"/>
          <w:szCs w:val="24"/>
          <w:lang/>
        </w:rPr>
      </w:pPr>
      <w:r w:rsidRPr="00764FFB">
        <w:rPr>
          <w:rFonts w:asciiTheme="majorBidi" w:eastAsia="Times New Roman" w:hAnsiTheme="majorBidi" w:cstheme="majorBidi"/>
          <w:sz w:val="24"/>
          <w:szCs w:val="24"/>
          <w:lang/>
        </w:rPr>
        <w:t>Kaplan, S., Martel, F., Strömberg, P.: How do legal differences and learning affect financial contracts?</w:t>
      </w:r>
      <w:r w:rsidRPr="008C699A">
        <w:rPr>
          <w:rFonts w:asciiTheme="majorBidi" w:eastAsia="Times New Roman" w:hAnsiTheme="majorBidi" w:cstheme="majorBidi"/>
          <w:i/>
          <w:iCs/>
          <w:sz w:val="24"/>
          <w:szCs w:val="24"/>
          <w:lang/>
        </w:rPr>
        <w:t xml:space="preserve"> J. Financ. Intermed</w:t>
      </w:r>
      <w:r w:rsidRPr="00764FFB">
        <w:rPr>
          <w:rFonts w:asciiTheme="majorBidi" w:eastAsia="Times New Roman" w:hAnsiTheme="majorBidi" w:cstheme="majorBidi"/>
          <w:sz w:val="24"/>
          <w:szCs w:val="24"/>
          <w:lang/>
        </w:rPr>
        <w:t>. 16(3), 273–311 (2007)</w:t>
      </w:r>
    </w:p>
    <w:p w14:paraId="293880D8" w14:textId="4395BF81"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Kanniainen, Vesa, and Christian Keuschnigg. </w:t>
      </w:r>
      <w:r w:rsidRPr="00BF4413">
        <w:rPr>
          <w:rFonts w:ascii="Times New Roman" w:eastAsia="Times New Roman" w:hAnsi="Times New Roman" w:cs="Times New Roman"/>
          <w:i/>
          <w:iCs/>
          <w:sz w:val="24"/>
          <w:szCs w:val="24"/>
          <w:lang/>
        </w:rPr>
        <w:t>Venture Capital, Entrepreneurship, and Public Policy</w:t>
      </w:r>
      <w:r w:rsidRPr="00BF4413">
        <w:rPr>
          <w:rFonts w:ascii="Times New Roman" w:eastAsia="Times New Roman" w:hAnsi="Times New Roman" w:cs="Times New Roman"/>
          <w:sz w:val="24"/>
          <w:szCs w:val="24"/>
          <w:lang/>
        </w:rPr>
        <w:t>. MIT Press, 2004.</w:t>
      </w:r>
    </w:p>
    <w:p w14:paraId="77B3A652"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Keuschnigg, Christian, and Soren Bo Nielsen. “Taxes and Venture Capital Support *.” </w:t>
      </w:r>
      <w:r w:rsidRPr="00BF4413">
        <w:rPr>
          <w:rFonts w:ascii="Times New Roman" w:eastAsia="Times New Roman" w:hAnsi="Times New Roman" w:cs="Times New Roman"/>
          <w:i/>
          <w:iCs/>
          <w:sz w:val="24"/>
          <w:szCs w:val="24"/>
          <w:lang/>
        </w:rPr>
        <w:t>Review of Finance</w:t>
      </w:r>
      <w:r w:rsidRPr="00BF4413">
        <w:rPr>
          <w:rFonts w:ascii="Times New Roman" w:eastAsia="Times New Roman" w:hAnsi="Times New Roman" w:cs="Times New Roman"/>
          <w:sz w:val="24"/>
          <w:szCs w:val="24"/>
          <w:lang/>
        </w:rPr>
        <w:t xml:space="preserve"> 7, no. 3 (January 1, 2003): 515–39. </w:t>
      </w:r>
      <w:hyperlink r:id="rId21" w:history="1">
        <w:r w:rsidRPr="00BF4413">
          <w:rPr>
            <w:rFonts w:ascii="Times New Roman" w:eastAsia="Times New Roman" w:hAnsi="Times New Roman" w:cs="Times New Roman"/>
            <w:color w:val="0000FF"/>
            <w:sz w:val="24"/>
            <w:szCs w:val="24"/>
            <w:u w:val="single"/>
            <w:lang/>
          </w:rPr>
          <w:t>https://doi.org/10.1023/B:EUFI.0000022144.17225.35</w:t>
        </w:r>
      </w:hyperlink>
      <w:r w:rsidRPr="00BF4413">
        <w:rPr>
          <w:rFonts w:ascii="Times New Roman" w:eastAsia="Times New Roman" w:hAnsi="Times New Roman" w:cs="Times New Roman"/>
          <w:sz w:val="24"/>
          <w:szCs w:val="24"/>
          <w:lang/>
        </w:rPr>
        <w:t>.</w:t>
      </w:r>
    </w:p>
    <w:p w14:paraId="42009F69" w14:textId="19165DDD" w:rsidR="00154BA0" w:rsidRPr="00BF4413" w:rsidRDefault="00AD637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w:t>
      </w:r>
      <w:r w:rsidR="00154BA0" w:rsidRPr="00BF4413">
        <w:rPr>
          <w:rFonts w:ascii="Times New Roman" w:eastAsia="Times New Roman" w:hAnsi="Times New Roman" w:cs="Times New Roman"/>
          <w:sz w:val="24"/>
          <w:szCs w:val="24"/>
          <w:lang/>
        </w:rPr>
        <w:t xml:space="preserve">. “Public Policy for Venture Capital.” </w:t>
      </w:r>
      <w:r w:rsidR="00154BA0" w:rsidRPr="00BF4413">
        <w:rPr>
          <w:rFonts w:ascii="Times New Roman" w:eastAsia="Times New Roman" w:hAnsi="Times New Roman" w:cs="Times New Roman"/>
          <w:i/>
          <w:iCs/>
          <w:sz w:val="24"/>
          <w:szCs w:val="24"/>
          <w:lang/>
        </w:rPr>
        <w:t>International Tax and Public Finance</w:t>
      </w:r>
      <w:r w:rsidR="00154BA0" w:rsidRPr="00BF4413">
        <w:rPr>
          <w:rFonts w:ascii="Times New Roman" w:eastAsia="Times New Roman" w:hAnsi="Times New Roman" w:cs="Times New Roman"/>
          <w:sz w:val="24"/>
          <w:szCs w:val="24"/>
          <w:lang/>
        </w:rPr>
        <w:t xml:space="preserve"> 8, no. 4 (August 1, 2001): 557–72. </w:t>
      </w:r>
      <w:hyperlink r:id="rId22" w:history="1">
        <w:r w:rsidR="00154BA0" w:rsidRPr="00BF4413">
          <w:rPr>
            <w:rFonts w:ascii="Times New Roman" w:eastAsia="Times New Roman" w:hAnsi="Times New Roman" w:cs="Times New Roman"/>
            <w:color w:val="0000FF"/>
            <w:sz w:val="24"/>
            <w:szCs w:val="24"/>
            <w:u w:val="single"/>
            <w:lang/>
          </w:rPr>
          <w:t>https://doi.org/10.1023/A:1011251920041</w:t>
        </w:r>
      </w:hyperlink>
      <w:r w:rsidR="00154BA0" w:rsidRPr="00BF4413">
        <w:rPr>
          <w:rFonts w:ascii="Times New Roman" w:eastAsia="Times New Roman" w:hAnsi="Times New Roman" w:cs="Times New Roman"/>
          <w:sz w:val="24"/>
          <w:szCs w:val="24"/>
          <w:lang/>
        </w:rPr>
        <w:t>.</w:t>
      </w:r>
    </w:p>
    <w:p w14:paraId="1A451C39"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 “Start-Ups, Venture Capitalists, and the Capital Gains Tax.” </w:t>
      </w:r>
      <w:r w:rsidRPr="00BF4413">
        <w:rPr>
          <w:rFonts w:ascii="Times New Roman" w:eastAsia="Times New Roman" w:hAnsi="Times New Roman" w:cs="Times New Roman"/>
          <w:i/>
          <w:iCs/>
          <w:sz w:val="24"/>
          <w:szCs w:val="24"/>
          <w:lang/>
        </w:rPr>
        <w:t>Journal of Public Economics</w:t>
      </w:r>
      <w:r w:rsidRPr="00BF4413">
        <w:rPr>
          <w:rFonts w:ascii="Times New Roman" w:eastAsia="Times New Roman" w:hAnsi="Times New Roman" w:cs="Times New Roman"/>
          <w:sz w:val="24"/>
          <w:szCs w:val="24"/>
          <w:lang/>
        </w:rPr>
        <w:t xml:space="preserve">, ISPE Conference, 88, no. 5 (April 1, 2004): 1011–42. </w:t>
      </w:r>
      <w:hyperlink r:id="rId23" w:history="1">
        <w:r w:rsidRPr="00BF4413">
          <w:rPr>
            <w:rFonts w:ascii="Times New Roman" w:eastAsia="Times New Roman" w:hAnsi="Times New Roman" w:cs="Times New Roman"/>
            <w:color w:val="0000FF"/>
            <w:sz w:val="24"/>
            <w:szCs w:val="24"/>
            <w:u w:val="single"/>
            <w:lang/>
          </w:rPr>
          <w:t>https://doi.org/10.1016/S0047-2727(03)00046-X</w:t>
        </w:r>
      </w:hyperlink>
      <w:r w:rsidRPr="00BF4413">
        <w:rPr>
          <w:rFonts w:ascii="Times New Roman" w:eastAsia="Times New Roman" w:hAnsi="Times New Roman" w:cs="Times New Roman"/>
          <w:sz w:val="24"/>
          <w:szCs w:val="24"/>
          <w:lang/>
        </w:rPr>
        <w:t>.</w:t>
      </w:r>
    </w:p>
    <w:p w14:paraId="0E435CEA" w14:textId="77777777" w:rsidR="002E4A04" w:rsidRPr="00BF4413" w:rsidRDefault="00154BA0" w:rsidP="002E4A04">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 “Tax Policy, Venture Capital, and Entrepreneurship.” </w:t>
      </w:r>
      <w:r w:rsidRPr="00BF4413">
        <w:rPr>
          <w:rFonts w:ascii="Times New Roman" w:eastAsia="Times New Roman" w:hAnsi="Times New Roman" w:cs="Times New Roman"/>
          <w:i/>
          <w:iCs/>
          <w:sz w:val="24"/>
          <w:szCs w:val="24"/>
          <w:lang/>
        </w:rPr>
        <w:t>Journal of Public Economics</w:t>
      </w:r>
      <w:r w:rsidRPr="00BF4413">
        <w:rPr>
          <w:rFonts w:ascii="Times New Roman" w:eastAsia="Times New Roman" w:hAnsi="Times New Roman" w:cs="Times New Roman"/>
          <w:sz w:val="24"/>
          <w:szCs w:val="24"/>
          <w:lang/>
        </w:rPr>
        <w:t xml:space="preserve">, Proceedings of the Trans Atlantic Public Economics Seminar on ``Taxation of Financial Incomet`` 22-24 May, 2000., 87, no. 1 (January 1, 2003): 175–203. </w:t>
      </w:r>
      <w:hyperlink r:id="rId24" w:history="1">
        <w:r w:rsidRPr="00BF4413">
          <w:rPr>
            <w:rFonts w:ascii="Times New Roman" w:eastAsia="Times New Roman" w:hAnsi="Times New Roman" w:cs="Times New Roman"/>
            <w:color w:val="0000FF"/>
            <w:sz w:val="24"/>
            <w:szCs w:val="24"/>
            <w:u w:val="single"/>
            <w:lang/>
          </w:rPr>
          <w:t>https://doi.org/10.1016/S0047-2727(01)00170-0</w:t>
        </w:r>
      </w:hyperlink>
      <w:r w:rsidRPr="00BF4413">
        <w:rPr>
          <w:rFonts w:ascii="Times New Roman" w:eastAsia="Times New Roman" w:hAnsi="Times New Roman" w:cs="Times New Roman"/>
          <w:sz w:val="24"/>
          <w:szCs w:val="24"/>
          <w:lang/>
        </w:rPr>
        <w:t>.</w:t>
      </w:r>
    </w:p>
    <w:p w14:paraId="3BEEC494" w14:textId="1CA00A3A" w:rsidR="00E976A4" w:rsidRPr="00BF4413" w:rsidRDefault="002E4A04" w:rsidP="002E4A04">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Kortum, Samuel, and Josh Lerner. “Assessing the Contribution of Venture Capital to Innovation.” </w:t>
      </w:r>
      <w:r w:rsidRPr="00BF4413">
        <w:rPr>
          <w:rFonts w:ascii="Times New Roman" w:eastAsia="Times New Roman" w:hAnsi="Times New Roman" w:cs="Times New Roman"/>
          <w:i/>
          <w:iCs/>
          <w:sz w:val="24"/>
          <w:szCs w:val="24"/>
          <w:lang/>
        </w:rPr>
        <w:t>The RAND Journal of Economics</w:t>
      </w:r>
      <w:r w:rsidRPr="00BF4413">
        <w:rPr>
          <w:rFonts w:ascii="Times New Roman" w:eastAsia="Times New Roman" w:hAnsi="Times New Roman" w:cs="Times New Roman"/>
          <w:sz w:val="24"/>
          <w:szCs w:val="24"/>
          <w:lang/>
        </w:rPr>
        <w:t xml:space="preserve"> 31, no. 4 (2000): 674–92. https://doi.org/10.2307/2696354.</w:t>
      </w:r>
    </w:p>
    <w:p w14:paraId="25838101" w14:textId="2B6A4CB8"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Lakkis, Emil. “Human Capital and IPO Timing.” SSRN Scholarly Paper. Rochester, NY, November 2, 2022. </w:t>
      </w:r>
      <w:hyperlink r:id="rId25" w:history="1">
        <w:r w:rsidRPr="00BF4413">
          <w:rPr>
            <w:rFonts w:ascii="Times New Roman" w:eastAsia="Times New Roman" w:hAnsi="Times New Roman" w:cs="Times New Roman"/>
            <w:color w:val="0000FF"/>
            <w:sz w:val="24"/>
            <w:szCs w:val="24"/>
            <w:u w:val="single"/>
            <w:lang/>
          </w:rPr>
          <w:t>https://doi.org/10.2139/ssrn.4279154</w:t>
        </w:r>
      </w:hyperlink>
      <w:r w:rsidRPr="00BF4413">
        <w:rPr>
          <w:rFonts w:ascii="Times New Roman" w:eastAsia="Times New Roman" w:hAnsi="Times New Roman" w:cs="Times New Roman"/>
          <w:sz w:val="24"/>
          <w:szCs w:val="24"/>
          <w:lang/>
        </w:rPr>
        <w:t>.</w:t>
      </w:r>
    </w:p>
    <w:p w14:paraId="0C02E300"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Lie, Erik, and Tingting Que. “On the Use of Option Grants as a Retention Tool.” SSRN Scholarly Paper. Rochester, NY, December 16, 2019. </w:t>
      </w:r>
      <w:hyperlink r:id="rId26" w:history="1">
        <w:r w:rsidRPr="00BF4413">
          <w:rPr>
            <w:rFonts w:ascii="Times New Roman" w:eastAsia="Times New Roman" w:hAnsi="Times New Roman" w:cs="Times New Roman"/>
            <w:color w:val="0000FF"/>
            <w:sz w:val="24"/>
            <w:szCs w:val="24"/>
            <w:u w:val="single"/>
            <w:lang/>
          </w:rPr>
          <w:t>https://doi.org/10.2139/ssrn.3504794</w:t>
        </w:r>
      </w:hyperlink>
      <w:r w:rsidRPr="00BF4413">
        <w:rPr>
          <w:rFonts w:ascii="Times New Roman" w:eastAsia="Times New Roman" w:hAnsi="Times New Roman" w:cs="Times New Roman"/>
          <w:sz w:val="24"/>
          <w:szCs w:val="24"/>
          <w:lang/>
        </w:rPr>
        <w:t>.</w:t>
      </w:r>
    </w:p>
    <w:p w14:paraId="77F25F69" w14:textId="77777777" w:rsidR="00DA258B" w:rsidRPr="00BF4413" w:rsidRDefault="00DA258B" w:rsidP="00DA258B">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Mallaby, Sebastian. “Amazon.Com: The Power Law: Venture Capital and the Making of the New Future: 9780525559993: Accessed June 11, 2023. </w:t>
      </w:r>
      <w:hyperlink r:id="rId27" w:history="1">
        <w:r w:rsidRPr="00BF4413">
          <w:rPr>
            <w:rFonts w:ascii="Times New Roman" w:eastAsia="Times New Roman" w:hAnsi="Times New Roman" w:cs="Times New Roman"/>
            <w:color w:val="0000FF"/>
            <w:sz w:val="24"/>
            <w:szCs w:val="24"/>
            <w:u w:val="single"/>
            <w:lang/>
          </w:rPr>
          <w:t>https://www.amazon.com/Power-Law-Venture-Capital-Making/dp/052555999X</w:t>
        </w:r>
      </w:hyperlink>
      <w:r w:rsidRPr="00BF4413">
        <w:rPr>
          <w:rFonts w:ascii="Times New Roman" w:eastAsia="Times New Roman" w:hAnsi="Times New Roman" w:cs="Times New Roman"/>
          <w:sz w:val="24"/>
          <w:szCs w:val="24"/>
          <w:lang/>
        </w:rPr>
        <w:t>.</w:t>
      </w:r>
    </w:p>
    <w:p w14:paraId="0EEB5263" w14:textId="4F208F87" w:rsidR="000426BC" w:rsidRDefault="000426BC" w:rsidP="005B7920">
      <w:pPr>
        <w:spacing w:after="0" w:line="240" w:lineRule="auto"/>
        <w:ind w:hanging="480"/>
        <w:rPr>
          <w:rFonts w:ascii="Times New Roman" w:eastAsia="Times New Roman" w:hAnsi="Times New Roman" w:cs="Times New Roman"/>
          <w:sz w:val="24"/>
          <w:szCs w:val="24"/>
          <w:lang/>
        </w:rPr>
      </w:pPr>
      <w:r w:rsidRPr="000426BC">
        <w:rPr>
          <w:rFonts w:ascii="Times New Roman" w:eastAsia="Times New Roman" w:hAnsi="Times New Roman" w:cs="Times New Roman"/>
          <w:sz w:val="24"/>
          <w:szCs w:val="24"/>
          <w:lang/>
        </w:rPr>
        <w:t>Ng, Weiyi, and Toby E. Stuart. "Acquired employees versus hired employees: Retained or turned over?." Strategic Management Journal 43, no. 5 (2022): 1025-1045.</w:t>
      </w:r>
    </w:p>
    <w:p w14:paraId="7BC6BA46" w14:textId="272C8AAF" w:rsidR="00F149BC" w:rsidRDefault="00F149BC" w:rsidP="005B7920">
      <w:pPr>
        <w:spacing w:after="0" w:line="240" w:lineRule="auto"/>
        <w:ind w:hanging="480"/>
        <w:rPr>
          <w:rFonts w:ascii="Times New Roman" w:eastAsia="Times New Roman" w:hAnsi="Times New Roman" w:cs="Times New Roman"/>
          <w:sz w:val="24"/>
          <w:szCs w:val="24"/>
          <w:lang/>
        </w:rPr>
      </w:pPr>
      <w:r w:rsidRPr="00F149BC">
        <w:rPr>
          <w:rFonts w:ascii="Times New Roman" w:eastAsia="Times New Roman" w:hAnsi="Times New Roman" w:cs="Times New Roman"/>
          <w:sz w:val="24"/>
          <w:szCs w:val="24"/>
          <w:lang/>
        </w:rPr>
        <w:t>Pereira, Alvaro. "The Law of Contingent Control in Venture Capital." </w:t>
      </w:r>
      <w:r w:rsidRPr="00F149BC">
        <w:rPr>
          <w:rFonts w:ascii="Times New Roman" w:eastAsia="Times New Roman" w:hAnsi="Times New Roman" w:cs="Times New Roman"/>
          <w:i/>
          <w:iCs/>
          <w:sz w:val="24"/>
          <w:szCs w:val="24"/>
          <w:lang/>
        </w:rPr>
        <w:t>Colum</w:t>
      </w:r>
      <w:r>
        <w:rPr>
          <w:rFonts w:ascii="Times New Roman" w:eastAsia="Times New Roman" w:hAnsi="Times New Roman" w:cs="Times New Roman"/>
          <w:i/>
          <w:iCs/>
          <w:sz w:val="24"/>
          <w:szCs w:val="24"/>
          <w:lang/>
        </w:rPr>
        <w:t>.</w:t>
      </w:r>
      <w:r w:rsidRPr="00F149BC">
        <w:rPr>
          <w:rFonts w:ascii="Times New Roman" w:eastAsia="Times New Roman" w:hAnsi="Times New Roman" w:cs="Times New Roman"/>
          <w:i/>
          <w:iCs/>
          <w:sz w:val="24"/>
          <w:szCs w:val="24"/>
          <w:lang/>
        </w:rPr>
        <w:t xml:space="preserve"> Bus</w:t>
      </w:r>
      <w:r>
        <w:rPr>
          <w:rFonts w:ascii="Times New Roman" w:eastAsia="Times New Roman" w:hAnsi="Times New Roman" w:cs="Times New Roman"/>
          <w:i/>
          <w:iCs/>
          <w:sz w:val="24"/>
          <w:szCs w:val="24"/>
          <w:lang/>
        </w:rPr>
        <w:t>.</w:t>
      </w:r>
      <w:r w:rsidRPr="00F149BC">
        <w:rPr>
          <w:rFonts w:ascii="Times New Roman" w:eastAsia="Times New Roman" w:hAnsi="Times New Roman" w:cs="Times New Roman"/>
          <w:i/>
          <w:iCs/>
          <w:sz w:val="24"/>
          <w:szCs w:val="24"/>
          <w:lang/>
        </w:rPr>
        <w:t xml:space="preserve"> L</w:t>
      </w:r>
      <w:r>
        <w:rPr>
          <w:rFonts w:ascii="Times New Roman" w:eastAsia="Times New Roman" w:hAnsi="Times New Roman" w:cs="Times New Roman"/>
          <w:i/>
          <w:iCs/>
          <w:sz w:val="24"/>
          <w:szCs w:val="24"/>
          <w:lang/>
        </w:rPr>
        <w:t>.</w:t>
      </w:r>
      <w:r w:rsidRPr="00F149BC">
        <w:rPr>
          <w:rFonts w:ascii="Times New Roman" w:eastAsia="Times New Roman" w:hAnsi="Times New Roman" w:cs="Times New Roman"/>
          <w:i/>
          <w:iCs/>
          <w:sz w:val="24"/>
          <w:szCs w:val="24"/>
          <w:lang/>
        </w:rPr>
        <w:t xml:space="preserve"> Rev</w:t>
      </w:r>
      <w:r>
        <w:rPr>
          <w:rFonts w:ascii="Times New Roman" w:eastAsia="Times New Roman" w:hAnsi="Times New Roman" w:cs="Times New Roman"/>
          <w:i/>
          <w:iCs/>
          <w:sz w:val="24"/>
          <w:szCs w:val="24"/>
          <w:lang/>
        </w:rPr>
        <w:t>.</w:t>
      </w:r>
      <w:r w:rsidRPr="00F149BC">
        <w:rPr>
          <w:rFonts w:ascii="Times New Roman" w:eastAsia="Times New Roman" w:hAnsi="Times New Roman" w:cs="Times New Roman"/>
          <w:i/>
          <w:iCs/>
          <w:sz w:val="24"/>
          <w:szCs w:val="24"/>
          <w:lang/>
        </w:rPr>
        <w:t> </w:t>
      </w:r>
      <w:r w:rsidRPr="00F149BC">
        <w:rPr>
          <w:rFonts w:ascii="Times New Roman" w:eastAsia="Times New Roman" w:hAnsi="Times New Roman" w:cs="Times New Roman"/>
          <w:sz w:val="24"/>
          <w:szCs w:val="24"/>
          <w:lang/>
        </w:rPr>
        <w:t>2023, no. 2 (2023).</w:t>
      </w:r>
    </w:p>
    <w:p w14:paraId="7CCC99AE" w14:textId="50983F71" w:rsidR="005B7920" w:rsidRPr="00BF4413" w:rsidRDefault="00154BA0" w:rsidP="005B792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Samila, Sampsa, and Olav Sorenson. “Venture Capital, Entrepreneurship, and Economic Growth.” </w:t>
      </w:r>
      <w:r w:rsidRPr="00BF4413">
        <w:rPr>
          <w:rFonts w:ascii="Times New Roman" w:eastAsia="Times New Roman" w:hAnsi="Times New Roman" w:cs="Times New Roman"/>
          <w:i/>
          <w:iCs/>
          <w:sz w:val="24"/>
          <w:szCs w:val="24"/>
          <w:lang/>
        </w:rPr>
        <w:t>The Review of Economics and Statistics</w:t>
      </w:r>
      <w:r w:rsidRPr="00BF4413">
        <w:rPr>
          <w:rFonts w:ascii="Times New Roman" w:eastAsia="Times New Roman" w:hAnsi="Times New Roman" w:cs="Times New Roman"/>
          <w:sz w:val="24"/>
          <w:szCs w:val="24"/>
          <w:lang/>
        </w:rPr>
        <w:t xml:space="preserve"> 93, no. 1 (February 1, 2011): 338–49. </w:t>
      </w:r>
      <w:hyperlink r:id="rId28" w:history="1">
        <w:r w:rsidRPr="00BF4413">
          <w:rPr>
            <w:rFonts w:ascii="Times New Roman" w:eastAsia="Times New Roman" w:hAnsi="Times New Roman" w:cs="Times New Roman"/>
            <w:color w:val="0000FF"/>
            <w:sz w:val="24"/>
            <w:szCs w:val="24"/>
            <w:u w:val="single"/>
            <w:lang/>
          </w:rPr>
          <w:t>https://doi.org/10.1162/REST_a_00066</w:t>
        </w:r>
      </w:hyperlink>
      <w:r w:rsidRPr="00BF4413">
        <w:rPr>
          <w:rFonts w:ascii="Times New Roman" w:eastAsia="Times New Roman" w:hAnsi="Times New Roman" w:cs="Times New Roman"/>
          <w:sz w:val="24"/>
          <w:szCs w:val="24"/>
          <w:lang/>
        </w:rPr>
        <w:t>.</w:t>
      </w:r>
    </w:p>
    <w:p w14:paraId="65BE85FB" w14:textId="2C3F6193" w:rsidR="00154BA0" w:rsidRPr="00BF4413" w:rsidRDefault="00596614" w:rsidP="00154BA0">
      <w:pPr>
        <w:spacing w:after="0" w:line="240" w:lineRule="auto"/>
        <w:ind w:hanging="480"/>
        <w:rPr>
          <w:rFonts w:asciiTheme="majorBidi" w:eastAsia="Times New Roman" w:hAnsiTheme="majorBidi" w:cstheme="majorBidi"/>
          <w:sz w:val="24"/>
          <w:szCs w:val="24"/>
          <w:lang/>
        </w:rPr>
      </w:pPr>
      <w:r w:rsidRPr="00BF4413">
        <w:rPr>
          <w:rFonts w:asciiTheme="majorBidi" w:hAnsiTheme="majorBidi" w:cstheme="majorBidi"/>
          <w:color w:val="222222"/>
          <w:sz w:val="24"/>
          <w:szCs w:val="24"/>
          <w:shd w:val="clear" w:color="auto" w:fill="FFFFFF"/>
        </w:rPr>
        <w:t>Senor, Dan, and Saul Singer. </w:t>
      </w:r>
      <w:r w:rsidRPr="00BF4413">
        <w:rPr>
          <w:rFonts w:asciiTheme="majorBidi" w:hAnsiTheme="majorBidi" w:cstheme="majorBidi"/>
          <w:i/>
          <w:iCs/>
          <w:color w:val="222222"/>
          <w:sz w:val="24"/>
          <w:szCs w:val="24"/>
          <w:shd w:val="clear" w:color="auto" w:fill="FFFFFF"/>
        </w:rPr>
        <w:t>Start-up nation: The story of Israel's economic miracle</w:t>
      </w:r>
      <w:r w:rsidRPr="00BF4413">
        <w:rPr>
          <w:rFonts w:asciiTheme="majorBidi" w:hAnsiTheme="majorBidi" w:cstheme="majorBidi"/>
          <w:color w:val="222222"/>
          <w:sz w:val="24"/>
          <w:szCs w:val="24"/>
          <w:shd w:val="clear" w:color="auto" w:fill="FFFFFF"/>
        </w:rPr>
        <w:t>. McClelland &amp; Stewart, 2011.</w:t>
      </w:r>
      <w:r w:rsidR="00154BA0" w:rsidRPr="00BF4413">
        <w:rPr>
          <w:rFonts w:asciiTheme="majorBidi" w:eastAsia="Times New Roman" w:hAnsiTheme="majorBidi" w:cstheme="majorBidi"/>
          <w:sz w:val="24"/>
          <w:szCs w:val="24"/>
          <w:lang/>
        </w:rPr>
        <w:t xml:space="preserve"> </w:t>
      </w:r>
    </w:p>
    <w:p w14:paraId="42B71E9D" w14:textId="77777777" w:rsidR="00154BA0" w:rsidRPr="00BF4413" w:rsidRDefault="00154BA0" w:rsidP="00154BA0">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t xml:space="preserve">Stuart, Toby E., and Olav Sorenson. “Liquidity Events and the Geographic Distribution of Entrepreneurial Activity.” </w:t>
      </w:r>
      <w:r w:rsidRPr="00BF4413">
        <w:rPr>
          <w:rFonts w:ascii="Times New Roman" w:eastAsia="Times New Roman" w:hAnsi="Times New Roman" w:cs="Times New Roman"/>
          <w:i/>
          <w:iCs/>
          <w:sz w:val="24"/>
          <w:szCs w:val="24"/>
          <w:lang/>
        </w:rPr>
        <w:t>Administrative Science Quarterly</w:t>
      </w:r>
      <w:r w:rsidRPr="00BF4413">
        <w:rPr>
          <w:rFonts w:ascii="Times New Roman" w:eastAsia="Times New Roman" w:hAnsi="Times New Roman" w:cs="Times New Roman"/>
          <w:sz w:val="24"/>
          <w:szCs w:val="24"/>
          <w:lang/>
        </w:rPr>
        <w:t xml:space="preserve"> 48, no. 2 (June 2003): 175–201. </w:t>
      </w:r>
      <w:hyperlink r:id="rId29" w:history="1">
        <w:r w:rsidRPr="00BF4413">
          <w:rPr>
            <w:rFonts w:ascii="Times New Roman" w:eastAsia="Times New Roman" w:hAnsi="Times New Roman" w:cs="Times New Roman"/>
            <w:color w:val="0000FF"/>
            <w:sz w:val="24"/>
            <w:szCs w:val="24"/>
            <w:u w:val="single"/>
            <w:lang/>
          </w:rPr>
          <w:t>https://doi.org/10.2307/3556656</w:t>
        </w:r>
      </w:hyperlink>
      <w:r w:rsidRPr="00BF4413">
        <w:rPr>
          <w:rFonts w:ascii="Times New Roman" w:eastAsia="Times New Roman" w:hAnsi="Times New Roman" w:cs="Times New Roman"/>
          <w:sz w:val="24"/>
          <w:szCs w:val="24"/>
          <w:lang/>
        </w:rPr>
        <w:t>.</w:t>
      </w:r>
    </w:p>
    <w:p w14:paraId="7F51BB48" w14:textId="1BD47B6B" w:rsidR="00A75D7B" w:rsidRDefault="00A75D7B" w:rsidP="00E74638">
      <w:pPr>
        <w:spacing w:after="0" w:line="240" w:lineRule="auto"/>
        <w:ind w:hanging="480"/>
        <w:rPr>
          <w:rFonts w:ascii="Times New Roman" w:eastAsia="Times New Roman" w:hAnsi="Times New Roman" w:cs="Times New Roman"/>
          <w:sz w:val="24"/>
          <w:szCs w:val="24"/>
          <w:lang/>
        </w:rPr>
      </w:pPr>
      <w:r w:rsidRPr="00A75D7B">
        <w:rPr>
          <w:rFonts w:ascii="Times New Roman" w:eastAsia="Times New Roman" w:hAnsi="Times New Roman" w:cs="Times New Roman"/>
          <w:sz w:val="24"/>
          <w:szCs w:val="24"/>
          <w:lang/>
        </w:rPr>
        <w:t>Toniolo, Anna, and Elisabetta Pederzini. "SMEs’ Equity Financing: Does Corporate Law Matter?." </w:t>
      </w:r>
      <w:r w:rsidRPr="00A75D7B">
        <w:rPr>
          <w:rFonts w:ascii="Times New Roman" w:eastAsia="Times New Roman" w:hAnsi="Times New Roman" w:cs="Times New Roman"/>
          <w:i/>
          <w:iCs/>
          <w:sz w:val="24"/>
          <w:szCs w:val="24"/>
          <w:lang/>
        </w:rPr>
        <w:t>European Company Law</w:t>
      </w:r>
      <w:r w:rsidRPr="00A75D7B">
        <w:rPr>
          <w:rFonts w:ascii="Times New Roman" w:eastAsia="Times New Roman" w:hAnsi="Times New Roman" w:cs="Times New Roman"/>
          <w:sz w:val="24"/>
          <w:szCs w:val="24"/>
          <w:lang/>
        </w:rPr>
        <w:t> 17, no. 6 (2020).</w:t>
      </w:r>
    </w:p>
    <w:p w14:paraId="0BF060EB" w14:textId="57EB776F" w:rsidR="00AD0E17" w:rsidRPr="00BF4413" w:rsidRDefault="00154BA0" w:rsidP="00E74638">
      <w:pPr>
        <w:spacing w:after="0" w:line="240" w:lineRule="auto"/>
        <w:ind w:hanging="480"/>
        <w:rPr>
          <w:rFonts w:ascii="Times New Roman" w:eastAsia="Times New Roman" w:hAnsi="Times New Roman" w:cs="Times New Roman"/>
          <w:sz w:val="24"/>
          <w:szCs w:val="24"/>
          <w:lang/>
        </w:rPr>
      </w:pPr>
      <w:r w:rsidRPr="00BF4413">
        <w:rPr>
          <w:rFonts w:ascii="Times New Roman" w:eastAsia="Times New Roman" w:hAnsi="Times New Roman" w:cs="Times New Roman"/>
          <w:sz w:val="24"/>
          <w:szCs w:val="24"/>
          <w:lang/>
        </w:rPr>
        <w:lastRenderedPageBreak/>
        <w:t xml:space="preserve">Unger, Jens M., Andreas Rauch, Michael Frese, and Nina Rosenbusch. “Human Capital and Entrepreneurial Success: A Meta-Analytical Review.” </w:t>
      </w:r>
      <w:r w:rsidRPr="00BF4413">
        <w:rPr>
          <w:rFonts w:ascii="Times New Roman" w:eastAsia="Times New Roman" w:hAnsi="Times New Roman" w:cs="Times New Roman"/>
          <w:i/>
          <w:iCs/>
          <w:sz w:val="24"/>
          <w:szCs w:val="24"/>
          <w:lang/>
        </w:rPr>
        <w:t>Journal of Business Venturing</w:t>
      </w:r>
      <w:r w:rsidRPr="00BF4413">
        <w:rPr>
          <w:rFonts w:ascii="Times New Roman" w:eastAsia="Times New Roman" w:hAnsi="Times New Roman" w:cs="Times New Roman"/>
          <w:sz w:val="24"/>
          <w:szCs w:val="24"/>
          <w:lang/>
        </w:rPr>
        <w:t xml:space="preserve"> 26, no. 3 (May 2011): 341–58. </w:t>
      </w:r>
      <w:hyperlink r:id="rId30" w:history="1">
        <w:r w:rsidRPr="00BF4413">
          <w:rPr>
            <w:rFonts w:ascii="Times New Roman" w:eastAsia="Times New Roman" w:hAnsi="Times New Roman" w:cs="Times New Roman"/>
            <w:color w:val="0000FF"/>
            <w:sz w:val="24"/>
            <w:szCs w:val="24"/>
            <w:u w:val="single"/>
            <w:lang/>
          </w:rPr>
          <w:t>https://doi.org/10.1016/j.jbusvent.2009.09.004</w:t>
        </w:r>
      </w:hyperlink>
      <w:r w:rsidRPr="00BF4413">
        <w:rPr>
          <w:rFonts w:ascii="Times New Roman" w:eastAsia="Times New Roman" w:hAnsi="Times New Roman" w:cs="Times New Roman"/>
          <w:sz w:val="24"/>
          <w:szCs w:val="24"/>
          <w:lang/>
        </w:rPr>
        <w:t>.</w:t>
      </w:r>
    </w:p>
    <w:p w14:paraId="199E2304" w14:textId="77777777" w:rsidR="00E74638" w:rsidRPr="00BF4413" w:rsidRDefault="00E74638" w:rsidP="00E74638">
      <w:pPr>
        <w:spacing w:after="0" w:line="240" w:lineRule="auto"/>
        <w:ind w:hanging="480"/>
        <w:rPr>
          <w:rFonts w:asciiTheme="majorBidi" w:eastAsia="Times New Roman" w:hAnsiTheme="majorBidi" w:cstheme="majorBidi"/>
          <w:sz w:val="24"/>
          <w:szCs w:val="24"/>
          <w:lang/>
        </w:rPr>
      </w:pPr>
      <w:r w:rsidRPr="00BF4413">
        <w:rPr>
          <w:rFonts w:asciiTheme="majorBidi" w:hAnsiTheme="majorBidi" w:cstheme="majorBidi"/>
          <w:color w:val="222222"/>
          <w:sz w:val="24"/>
          <w:szCs w:val="24"/>
          <w:shd w:val="clear" w:color="auto" w:fill="FFFFFF"/>
        </w:rPr>
        <w:t>Zingales, Luigi. "In search of new foundations." </w:t>
      </w:r>
      <w:r w:rsidRPr="00BF4413">
        <w:rPr>
          <w:rFonts w:asciiTheme="majorBidi" w:hAnsiTheme="majorBidi" w:cstheme="majorBidi"/>
          <w:i/>
          <w:iCs/>
          <w:color w:val="222222"/>
          <w:sz w:val="24"/>
          <w:szCs w:val="24"/>
          <w:shd w:val="clear" w:color="auto" w:fill="FFFFFF"/>
        </w:rPr>
        <w:t>The journal of Finance</w:t>
      </w:r>
      <w:r w:rsidRPr="00BF4413">
        <w:rPr>
          <w:rFonts w:asciiTheme="majorBidi" w:hAnsiTheme="majorBidi" w:cstheme="majorBidi"/>
          <w:color w:val="222222"/>
          <w:sz w:val="24"/>
          <w:szCs w:val="24"/>
          <w:shd w:val="clear" w:color="auto" w:fill="FFFFFF"/>
        </w:rPr>
        <w:t> 55, no. 4 (2000): 1623-1653.</w:t>
      </w:r>
    </w:p>
    <w:p w14:paraId="0878B400" w14:textId="77777777" w:rsidR="00E74638" w:rsidRPr="00BF4413" w:rsidRDefault="00E74638" w:rsidP="00E74638">
      <w:pPr>
        <w:spacing w:after="0" w:line="240" w:lineRule="auto"/>
        <w:ind w:hanging="480"/>
        <w:rPr>
          <w:rFonts w:ascii="Times New Roman" w:eastAsia="Times New Roman" w:hAnsi="Times New Roman" w:cs="Times New Roman"/>
          <w:sz w:val="24"/>
          <w:szCs w:val="24"/>
          <w:lang/>
        </w:rPr>
      </w:pPr>
    </w:p>
    <w:p w14:paraId="66114035" w14:textId="77777777" w:rsidR="00E74638" w:rsidRPr="00BF4413" w:rsidRDefault="00E74638" w:rsidP="00E74638">
      <w:pPr>
        <w:spacing w:after="0" w:line="240" w:lineRule="auto"/>
        <w:ind w:hanging="480"/>
        <w:rPr>
          <w:rFonts w:ascii="Times New Roman" w:eastAsia="Times New Roman" w:hAnsi="Times New Roman" w:cs="Times New Roman"/>
          <w:sz w:val="24"/>
          <w:szCs w:val="24"/>
          <w:lang/>
        </w:rPr>
      </w:pPr>
    </w:p>
    <w:p w14:paraId="2A65888B" w14:textId="77777777" w:rsidR="00E74638" w:rsidRPr="00BF4413" w:rsidRDefault="00E74638" w:rsidP="00E74638">
      <w:pPr>
        <w:spacing w:after="0" w:line="240" w:lineRule="auto"/>
        <w:ind w:hanging="480"/>
        <w:rPr>
          <w:rFonts w:ascii="Times New Roman" w:eastAsia="Times New Roman" w:hAnsi="Times New Roman" w:cs="Times New Roman"/>
          <w:sz w:val="24"/>
          <w:szCs w:val="24"/>
          <w:lang/>
        </w:rPr>
      </w:pPr>
    </w:p>
    <w:p w14:paraId="27CAF4DA" w14:textId="77777777" w:rsidR="005B7920" w:rsidRPr="00BF4413" w:rsidRDefault="005B7920" w:rsidP="006044A9">
      <w:pPr>
        <w:pStyle w:val="Style1"/>
      </w:pPr>
    </w:p>
    <w:p w14:paraId="59357995" w14:textId="66A4CB56" w:rsidR="00441CCF" w:rsidRPr="00BF4413" w:rsidRDefault="00441CCF">
      <w:pPr>
        <w:rPr>
          <w:rFonts w:asciiTheme="majorBidi" w:hAnsiTheme="majorBidi" w:cstheme="majorBidi"/>
          <w:b/>
          <w:bCs/>
          <w:sz w:val="24"/>
          <w:szCs w:val="24"/>
        </w:rPr>
      </w:pPr>
      <w:r w:rsidRPr="00BF4413">
        <w:br w:type="page"/>
      </w:r>
    </w:p>
    <w:p w14:paraId="188AD8AF" w14:textId="335E4B77" w:rsidR="00A77894" w:rsidRPr="00BF4413" w:rsidRDefault="00D07753" w:rsidP="00283303">
      <w:pPr>
        <w:rPr>
          <w:rFonts w:asciiTheme="majorBidi" w:hAnsiTheme="majorBidi" w:cstheme="majorBidi"/>
          <w:b/>
          <w:bCs/>
          <w:sz w:val="24"/>
          <w:szCs w:val="24"/>
        </w:rPr>
      </w:pPr>
      <w:r w:rsidRPr="00BF4413">
        <w:rPr>
          <w:rFonts w:asciiTheme="majorBidi" w:hAnsiTheme="majorBidi" w:cstheme="majorBidi"/>
          <w:b/>
          <w:bCs/>
          <w:sz w:val="24"/>
          <w:szCs w:val="24"/>
        </w:rPr>
        <w:lastRenderedPageBreak/>
        <w:t>A</w:t>
      </w:r>
      <w:r w:rsidR="00E07D52" w:rsidRPr="00BF4413">
        <w:rPr>
          <w:rFonts w:asciiTheme="majorBidi" w:hAnsiTheme="majorBidi" w:cstheme="majorBidi"/>
          <w:b/>
          <w:bCs/>
          <w:sz w:val="24"/>
          <w:szCs w:val="24"/>
        </w:rPr>
        <w:t>p</w:t>
      </w:r>
      <w:r w:rsidRPr="00BF4413">
        <w:rPr>
          <w:rFonts w:asciiTheme="majorBidi" w:hAnsiTheme="majorBidi" w:cstheme="majorBidi"/>
          <w:b/>
          <w:bCs/>
          <w:sz w:val="24"/>
          <w:szCs w:val="24"/>
        </w:rPr>
        <w:t xml:space="preserve">pendix </w:t>
      </w:r>
    </w:p>
    <w:p w14:paraId="72BCBDB5" w14:textId="58B2BB1A" w:rsidR="00E07D52" w:rsidRPr="00BF4413" w:rsidRDefault="00E07D52" w:rsidP="00AD0E17">
      <w:pPr>
        <w:jc w:val="center"/>
        <w:rPr>
          <w:rFonts w:asciiTheme="majorBidi" w:hAnsiTheme="majorBidi" w:cstheme="majorBidi"/>
          <w:sz w:val="24"/>
          <w:szCs w:val="24"/>
        </w:rPr>
      </w:pPr>
      <w:r w:rsidRPr="00BF4413">
        <w:rPr>
          <w:rFonts w:asciiTheme="majorBidi" w:hAnsiTheme="majorBidi" w:cstheme="majorBidi"/>
          <w:sz w:val="24"/>
          <w:szCs w:val="24"/>
        </w:rPr>
        <w:t xml:space="preserve">Summary </w:t>
      </w:r>
      <w:r w:rsidR="006B0127" w:rsidRPr="00BF4413">
        <w:rPr>
          <w:rFonts w:asciiTheme="majorBidi" w:hAnsiTheme="majorBidi" w:cstheme="majorBidi"/>
          <w:sz w:val="24"/>
          <w:szCs w:val="24"/>
        </w:rPr>
        <w:t>T</w:t>
      </w:r>
      <w:r w:rsidRPr="00BF4413">
        <w:rPr>
          <w:rFonts w:asciiTheme="majorBidi" w:hAnsiTheme="majorBidi" w:cstheme="majorBidi"/>
          <w:sz w:val="24"/>
          <w:szCs w:val="24"/>
        </w:rPr>
        <w:t>able</w:t>
      </w:r>
    </w:p>
    <w:tbl>
      <w:tblPr>
        <w:tblStyle w:val="PlainTable3"/>
        <w:tblW w:w="8222" w:type="dxa"/>
        <w:tblLayout w:type="fixed"/>
        <w:tblLook w:val="06A0" w:firstRow="1" w:lastRow="0" w:firstColumn="1" w:lastColumn="0" w:noHBand="1" w:noVBand="1"/>
      </w:tblPr>
      <w:tblGrid>
        <w:gridCol w:w="3261"/>
        <w:gridCol w:w="2835"/>
        <w:gridCol w:w="2126"/>
      </w:tblGrid>
      <w:tr w:rsidR="00E07D52" w:rsidRPr="00BF4413" w14:paraId="2C42F74E" w14:textId="77777777" w:rsidTr="000A4760">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3261" w:type="dxa"/>
            <w:noWrap/>
            <w:vAlign w:val="center"/>
            <w:hideMark/>
          </w:tcPr>
          <w:p w14:paraId="35AC6CF7" w14:textId="77777777" w:rsidR="00E07D52" w:rsidRPr="00BF4413" w:rsidRDefault="00E07D52" w:rsidP="000A4760">
            <w:pPr>
              <w:jc w:val="center"/>
              <w:rPr>
                <w:rFonts w:ascii="Times New Roman" w:eastAsia="Times New Roman" w:hAnsi="Times New Roman" w:cs="Times New Roman"/>
                <w:sz w:val="20"/>
                <w:szCs w:val="20"/>
                <w:lang w:val="en-US"/>
              </w:rPr>
            </w:pPr>
          </w:p>
        </w:tc>
        <w:tc>
          <w:tcPr>
            <w:tcW w:w="2835" w:type="dxa"/>
            <w:noWrap/>
            <w:vAlign w:val="center"/>
            <w:hideMark/>
          </w:tcPr>
          <w:p w14:paraId="32DD1A65" w14:textId="77777777" w:rsidR="00E07D52" w:rsidRPr="00BF4413" w:rsidRDefault="00E07D52" w:rsidP="000A47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Level</w:t>
            </w:r>
          </w:p>
        </w:tc>
        <w:tc>
          <w:tcPr>
            <w:tcW w:w="2126" w:type="dxa"/>
            <w:noWrap/>
            <w:vAlign w:val="center"/>
            <w:hideMark/>
          </w:tcPr>
          <w:p w14:paraId="674A6649" w14:textId="77777777" w:rsidR="00E07D52" w:rsidRPr="00BF4413" w:rsidRDefault="00E07D52" w:rsidP="000A47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Overall</w:t>
            </w:r>
          </w:p>
        </w:tc>
      </w:tr>
      <w:tr w:rsidR="00E07D52" w:rsidRPr="00BF4413" w14:paraId="32EF6934"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noWrap/>
            <w:vAlign w:val="center"/>
            <w:hideMark/>
          </w:tcPr>
          <w:p w14:paraId="20163DAF" w14:textId="77777777" w:rsidR="00E07D52" w:rsidRPr="00BF4413" w:rsidRDefault="00E07D52" w:rsidP="000A4760">
            <w:pPr>
              <w:jc w:val="center"/>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n</w:t>
            </w:r>
          </w:p>
        </w:tc>
        <w:tc>
          <w:tcPr>
            <w:tcW w:w="2835" w:type="dxa"/>
            <w:noWrap/>
            <w:vAlign w:val="center"/>
            <w:hideMark/>
          </w:tcPr>
          <w:p w14:paraId="10492DF5"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p>
        </w:tc>
        <w:tc>
          <w:tcPr>
            <w:tcW w:w="2126" w:type="dxa"/>
            <w:noWrap/>
            <w:vAlign w:val="center"/>
            <w:hideMark/>
          </w:tcPr>
          <w:p w14:paraId="6274B923" w14:textId="4486BD44"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4</w:t>
            </w:r>
            <w:r w:rsidR="00E07D52" w:rsidRPr="00BF4413">
              <w:rPr>
                <w:rFonts w:ascii="Calibri" w:eastAsia="Times New Roman" w:hAnsi="Calibri" w:cs="Calibri"/>
                <w:b/>
                <w:bCs/>
                <w:color w:val="000000"/>
                <w:sz w:val="20"/>
                <w:szCs w:val="20"/>
                <w:lang w:val="en-US"/>
              </w:rPr>
              <w:t>,3</w:t>
            </w:r>
            <w:r>
              <w:rPr>
                <w:rFonts w:ascii="Calibri" w:eastAsia="Times New Roman" w:hAnsi="Calibri" w:cs="Calibri"/>
                <w:b/>
                <w:bCs/>
                <w:color w:val="000000"/>
                <w:sz w:val="20"/>
                <w:szCs w:val="20"/>
                <w:lang w:val="en-US"/>
              </w:rPr>
              <w:t>19</w:t>
            </w:r>
          </w:p>
        </w:tc>
      </w:tr>
      <w:tr w:rsidR="00E07D52" w:rsidRPr="00BF4413" w14:paraId="547D30C9"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val="restart"/>
            <w:noWrap/>
            <w:vAlign w:val="center"/>
            <w:hideMark/>
          </w:tcPr>
          <w:p w14:paraId="25A3C28A" w14:textId="77777777" w:rsidR="00E07D52" w:rsidRPr="00BF4413" w:rsidRDefault="00E07D52" w:rsidP="000A4760">
            <w:pPr>
              <w:jc w:val="center"/>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CountryName (%)</w:t>
            </w:r>
          </w:p>
        </w:tc>
        <w:tc>
          <w:tcPr>
            <w:tcW w:w="2835" w:type="dxa"/>
            <w:noWrap/>
            <w:vAlign w:val="center"/>
            <w:hideMark/>
          </w:tcPr>
          <w:p w14:paraId="166AE906"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Australia</w:t>
            </w:r>
          </w:p>
        </w:tc>
        <w:tc>
          <w:tcPr>
            <w:tcW w:w="2126" w:type="dxa"/>
            <w:noWrap/>
            <w:vAlign w:val="center"/>
            <w:hideMark/>
          </w:tcPr>
          <w:p w14:paraId="1E7A4A32" w14:textId="13551DCB"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210</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4.9</w:t>
            </w:r>
            <w:r w:rsidR="00E07D52" w:rsidRPr="00BF4413">
              <w:rPr>
                <w:rFonts w:ascii="Calibri" w:eastAsia="Times New Roman" w:hAnsi="Calibri" w:cs="Calibri"/>
                <w:color w:val="000000"/>
                <w:sz w:val="20"/>
                <w:szCs w:val="20"/>
                <w:lang w:val="en-US"/>
              </w:rPr>
              <w:t>)</w:t>
            </w:r>
          </w:p>
        </w:tc>
      </w:tr>
      <w:tr w:rsidR="00E07D52" w:rsidRPr="00BF4413" w14:paraId="263F9634"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61C579F1"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6FE3F41B"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Austria</w:t>
            </w:r>
          </w:p>
        </w:tc>
        <w:tc>
          <w:tcPr>
            <w:tcW w:w="2126" w:type="dxa"/>
            <w:noWrap/>
            <w:vAlign w:val="center"/>
            <w:hideMark/>
          </w:tcPr>
          <w:p w14:paraId="17189CAF" w14:textId="334461A6"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48</w:t>
            </w:r>
            <w:r w:rsidR="00E07D52" w:rsidRPr="00BF4413">
              <w:rPr>
                <w:rFonts w:ascii="Calibri" w:eastAsia="Times New Roman" w:hAnsi="Calibri" w:cs="Calibri"/>
                <w:color w:val="000000"/>
                <w:sz w:val="20"/>
                <w:szCs w:val="20"/>
                <w:lang w:val="en-US"/>
              </w:rPr>
              <w:t xml:space="preserve"> (1.1)</w:t>
            </w:r>
          </w:p>
        </w:tc>
      </w:tr>
      <w:tr w:rsidR="00E07D52" w:rsidRPr="00BF4413" w14:paraId="55176529"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0721E4E"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6501993C"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Belgium</w:t>
            </w:r>
          </w:p>
        </w:tc>
        <w:tc>
          <w:tcPr>
            <w:tcW w:w="2126" w:type="dxa"/>
            <w:noWrap/>
            <w:vAlign w:val="center"/>
            <w:hideMark/>
          </w:tcPr>
          <w:p w14:paraId="0960793A" w14:textId="59FF1B8C"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70</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184E2431"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D90AD7B"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325C54DA"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Canada</w:t>
            </w:r>
          </w:p>
        </w:tc>
        <w:tc>
          <w:tcPr>
            <w:tcW w:w="2126" w:type="dxa"/>
            <w:noWrap/>
            <w:vAlign w:val="center"/>
            <w:hideMark/>
          </w:tcPr>
          <w:p w14:paraId="1B2FEAC4" w14:textId="4B34930E"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223</w:t>
            </w:r>
            <w:r w:rsidR="00E07D52" w:rsidRPr="00BF4413">
              <w:rPr>
                <w:rFonts w:ascii="Calibri" w:eastAsia="Times New Roman" w:hAnsi="Calibri" w:cs="Calibri"/>
                <w:color w:val="000000"/>
                <w:sz w:val="20"/>
                <w:szCs w:val="20"/>
                <w:lang w:val="en-US"/>
              </w:rPr>
              <w:t xml:space="preserve"> (5.2)</w:t>
            </w:r>
          </w:p>
        </w:tc>
      </w:tr>
      <w:tr w:rsidR="00E07D52" w:rsidRPr="00BF4413" w14:paraId="7B335822"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08CF2E1E"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0F28DEDD"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Czechia</w:t>
            </w:r>
          </w:p>
        </w:tc>
        <w:tc>
          <w:tcPr>
            <w:tcW w:w="2126" w:type="dxa"/>
            <w:noWrap/>
            <w:vAlign w:val="center"/>
            <w:hideMark/>
          </w:tcPr>
          <w:p w14:paraId="2DFA6CF9" w14:textId="58FC3268"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12</w:t>
            </w:r>
            <w:r w:rsidR="00E07D52" w:rsidRPr="00BF4413">
              <w:rPr>
                <w:rFonts w:ascii="Calibri" w:eastAsia="Times New Roman" w:hAnsi="Calibri" w:cs="Calibri"/>
                <w:color w:val="000000"/>
                <w:sz w:val="20"/>
                <w:szCs w:val="20"/>
                <w:lang w:val="en-US"/>
              </w:rPr>
              <w:t xml:space="preserve"> (0.3)</w:t>
            </w:r>
          </w:p>
        </w:tc>
      </w:tr>
      <w:tr w:rsidR="00E07D52" w:rsidRPr="00BF4413" w14:paraId="7C7DAFC3"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BC8FBB8"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686DCD48"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Denmark</w:t>
            </w:r>
          </w:p>
        </w:tc>
        <w:tc>
          <w:tcPr>
            <w:tcW w:w="2126" w:type="dxa"/>
            <w:noWrap/>
            <w:vAlign w:val="center"/>
            <w:hideMark/>
          </w:tcPr>
          <w:p w14:paraId="576944B5" w14:textId="3192C777"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116</w:t>
            </w:r>
            <w:r w:rsidR="00E07D52" w:rsidRPr="00BF4413">
              <w:rPr>
                <w:rFonts w:ascii="Calibri" w:eastAsia="Times New Roman" w:hAnsi="Calibri" w:cs="Calibri"/>
                <w:color w:val="000000"/>
                <w:sz w:val="20"/>
                <w:szCs w:val="20"/>
                <w:lang w:val="en-US"/>
              </w:rPr>
              <w:t xml:space="preserve"> (2.</w:t>
            </w:r>
            <w:r>
              <w:rPr>
                <w:rFonts w:ascii="Calibri" w:eastAsia="Times New Roman" w:hAnsi="Calibri" w:cs="Calibri"/>
                <w:color w:val="000000"/>
                <w:sz w:val="20"/>
                <w:szCs w:val="20"/>
                <w:lang w:val="en-US"/>
              </w:rPr>
              <w:t>7</w:t>
            </w:r>
            <w:r w:rsidR="00E07D52" w:rsidRPr="00BF4413">
              <w:rPr>
                <w:rFonts w:ascii="Calibri" w:eastAsia="Times New Roman" w:hAnsi="Calibri" w:cs="Calibri"/>
                <w:color w:val="000000"/>
                <w:sz w:val="20"/>
                <w:szCs w:val="20"/>
                <w:lang w:val="en-US"/>
              </w:rPr>
              <w:t>)</w:t>
            </w:r>
          </w:p>
        </w:tc>
      </w:tr>
      <w:tr w:rsidR="00E07D52" w:rsidRPr="00BF4413" w14:paraId="4148DF41"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CCCCE23"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580D101F"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Estonia</w:t>
            </w:r>
          </w:p>
        </w:tc>
        <w:tc>
          <w:tcPr>
            <w:tcW w:w="2126" w:type="dxa"/>
            <w:noWrap/>
            <w:vAlign w:val="center"/>
            <w:hideMark/>
          </w:tcPr>
          <w:p w14:paraId="08305566" w14:textId="39D57031"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20</w:t>
            </w:r>
            <w:r w:rsidR="00E07D52" w:rsidRPr="00BF4413">
              <w:rPr>
                <w:rFonts w:ascii="Calibri" w:eastAsia="Times New Roman" w:hAnsi="Calibri" w:cs="Calibri"/>
                <w:color w:val="000000"/>
                <w:sz w:val="20"/>
                <w:szCs w:val="20"/>
                <w:lang w:val="en-US"/>
              </w:rPr>
              <w:t xml:space="preserve"> (0.5)</w:t>
            </w:r>
          </w:p>
        </w:tc>
      </w:tr>
      <w:tr w:rsidR="00E07D52" w:rsidRPr="00BF4413" w14:paraId="0B663C38"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23A9991B"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3C636824"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Finland</w:t>
            </w:r>
          </w:p>
        </w:tc>
        <w:tc>
          <w:tcPr>
            <w:tcW w:w="2126" w:type="dxa"/>
            <w:noWrap/>
            <w:vAlign w:val="center"/>
            <w:hideMark/>
          </w:tcPr>
          <w:p w14:paraId="4C9F03EB" w14:textId="09934116"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71</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24697C4F"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6C20EEC2"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6746E14"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France</w:t>
            </w:r>
          </w:p>
        </w:tc>
        <w:tc>
          <w:tcPr>
            <w:tcW w:w="2126" w:type="dxa"/>
            <w:noWrap/>
            <w:vAlign w:val="center"/>
            <w:hideMark/>
          </w:tcPr>
          <w:p w14:paraId="7BAFDACA" w14:textId="3A6D101D"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76</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8</w:t>
            </w:r>
            <w:r w:rsidR="00E07D52" w:rsidRPr="00BF4413">
              <w:rPr>
                <w:rFonts w:ascii="Calibri" w:eastAsia="Times New Roman" w:hAnsi="Calibri" w:cs="Calibri"/>
                <w:color w:val="000000"/>
                <w:sz w:val="20"/>
                <w:szCs w:val="20"/>
                <w:lang w:val="en-US"/>
              </w:rPr>
              <w:t>)</w:t>
            </w:r>
          </w:p>
        </w:tc>
      </w:tr>
      <w:tr w:rsidR="00E07D52" w:rsidRPr="00BF4413" w14:paraId="3F7FAA8D"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DD29F2A"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1430FE81"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Germany</w:t>
            </w:r>
          </w:p>
        </w:tc>
        <w:tc>
          <w:tcPr>
            <w:tcW w:w="2126" w:type="dxa"/>
            <w:noWrap/>
            <w:vAlign w:val="center"/>
            <w:hideMark/>
          </w:tcPr>
          <w:p w14:paraId="36A0523C" w14:textId="384439C9"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253</w:t>
            </w:r>
            <w:r w:rsidR="00E07D52" w:rsidRPr="00BF4413">
              <w:rPr>
                <w:rFonts w:ascii="Calibri" w:eastAsia="Times New Roman" w:hAnsi="Calibri" w:cs="Calibri"/>
                <w:color w:val="000000"/>
                <w:sz w:val="20"/>
                <w:szCs w:val="20"/>
                <w:lang w:val="en-US"/>
              </w:rPr>
              <w:t xml:space="preserve"> (5.</w:t>
            </w:r>
            <w:r>
              <w:rPr>
                <w:rFonts w:ascii="Calibri" w:eastAsia="Times New Roman" w:hAnsi="Calibri" w:cs="Calibri"/>
                <w:color w:val="000000"/>
                <w:sz w:val="20"/>
                <w:szCs w:val="20"/>
                <w:lang w:val="en-US"/>
              </w:rPr>
              <w:t>9</w:t>
            </w:r>
            <w:r w:rsidR="00E07D52" w:rsidRPr="00BF4413">
              <w:rPr>
                <w:rFonts w:ascii="Calibri" w:eastAsia="Times New Roman" w:hAnsi="Calibri" w:cs="Calibri"/>
                <w:color w:val="000000"/>
                <w:sz w:val="20"/>
                <w:szCs w:val="20"/>
                <w:lang w:val="en-US"/>
              </w:rPr>
              <w:t>)</w:t>
            </w:r>
          </w:p>
        </w:tc>
      </w:tr>
      <w:tr w:rsidR="00E07D52" w:rsidRPr="00BF4413" w14:paraId="3433F6C2"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1FBECC80"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5B805D7"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Ireland</w:t>
            </w:r>
          </w:p>
        </w:tc>
        <w:tc>
          <w:tcPr>
            <w:tcW w:w="2126" w:type="dxa"/>
            <w:noWrap/>
            <w:vAlign w:val="center"/>
            <w:hideMark/>
          </w:tcPr>
          <w:p w14:paraId="2FC503EA" w14:textId="235F290A"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65</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5</w:t>
            </w:r>
            <w:r w:rsidR="00E07D52" w:rsidRPr="00BF4413">
              <w:rPr>
                <w:rFonts w:ascii="Calibri" w:eastAsia="Times New Roman" w:hAnsi="Calibri" w:cs="Calibri"/>
                <w:color w:val="000000"/>
                <w:sz w:val="20"/>
                <w:szCs w:val="20"/>
                <w:lang w:val="en-US"/>
              </w:rPr>
              <w:t>)</w:t>
            </w:r>
          </w:p>
        </w:tc>
      </w:tr>
      <w:tr w:rsidR="00E07D52" w:rsidRPr="00BF4413" w14:paraId="562B9D3F"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488E46A5"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1538FD70"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Israel</w:t>
            </w:r>
          </w:p>
        </w:tc>
        <w:tc>
          <w:tcPr>
            <w:tcW w:w="2126" w:type="dxa"/>
            <w:noWrap/>
            <w:vAlign w:val="center"/>
            <w:hideMark/>
          </w:tcPr>
          <w:p w14:paraId="465F6ED4" w14:textId="7DAA3E9F"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156</w:t>
            </w:r>
            <w:r w:rsidR="00E07D52" w:rsidRPr="00BF4413">
              <w:rPr>
                <w:rFonts w:ascii="Calibri" w:eastAsia="Times New Roman" w:hAnsi="Calibri" w:cs="Calibri"/>
                <w:color w:val="000000"/>
                <w:sz w:val="20"/>
                <w:szCs w:val="20"/>
                <w:lang w:val="en-US"/>
              </w:rPr>
              <w:t xml:space="preserve"> (3.</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7A0B2BD1"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623C58BF"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0256F94"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Italy</w:t>
            </w:r>
          </w:p>
        </w:tc>
        <w:tc>
          <w:tcPr>
            <w:tcW w:w="2126" w:type="dxa"/>
            <w:noWrap/>
            <w:vAlign w:val="center"/>
            <w:hideMark/>
          </w:tcPr>
          <w:p w14:paraId="77365296" w14:textId="0B61FC9F"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272</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6.3</w:t>
            </w:r>
            <w:r w:rsidR="00E07D52" w:rsidRPr="00BF4413">
              <w:rPr>
                <w:rFonts w:ascii="Calibri" w:eastAsia="Times New Roman" w:hAnsi="Calibri" w:cs="Calibri"/>
                <w:color w:val="000000"/>
                <w:sz w:val="20"/>
                <w:szCs w:val="20"/>
                <w:lang w:val="en-US"/>
              </w:rPr>
              <w:t>)</w:t>
            </w:r>
          </w:p>
        </w:tc>
      </w:tr>
      <w:tr w:rsidR="00E07D52" w:rsidRPr="00BF4413" w14:paraId="44666D9B"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199CDD5A"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31E472E1"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Latvia</w:t>
            </w:r>
          </w:p>
        </w:tc>
        <w:tc>
          <w:tcPr>
            <w:tcW w:w="2126" w:type="dxa"/>
            <w:noWrap/>
            <w:vAlign w:val="center"/>
            <w:hideMark/>
          </w:tcPr>
          <w:p w14:paraId="2417E986" w14:textId="7621CBE6"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w:t>
            </w:r>
            <w:r w:rsidR="00E07D52" w:rsidRPr="00BF4413">
              <w:rPr>
                <w:rFonts w:ascii="Calibri" w:eastAsia="Times New Roman" w:hAnsi="Calibri" w:cs="Calibri"/>
                <w:color w:val="000000"/>
                <w:sz w:val="20"/>
                <w:szCs w:val="20"/>
                <w:lang w:val="en-US"/>
              </w:rPr>
              <w:t xml:space="preserve"> (0.</w:t>
            </w:r>
            <w:r>
              <w:rPr>
                <w:rFonts w:ascii="Calibri" w:eastAsia="Times New Roman" w:hAnsi="Calibri" w:cs="Calibri"/>
                <w:color w:val="000000"/>
                <w:sz w:val="20"/>
                <w:szCs w:val="20"/>
                <w:lang w:val="en-US"/>
              </w:rPr>
              <w:t>2</w:t>
            </w:r>
            <w:r w:rsidR="00E07D52" w:rsidRPr="00BF4413">
              <w:rPr>
                <w:rFonts w:ascii="Calibri" w:eastAsia="Times New Roman" w:hAnsi="Calibri" w:cs="Calibri"/>
                <w:color w:val="000000"/>
                <w:sz w:val="20"/>
                <w:szCs w:val="20"/>
                <w:lang w:val="en-US"/>
              </w:rPr>
              <w:t>)</w:t>
            </w:r>
          </w:p>
        </w:tc>
      </w:tr>
      <w:tr w:rsidR="00E07D52" w:rsidRPr="00BF4413" w14:paraId="4EA390B8"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2887A86E"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755449F"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Lithuania</w:t>
            </w:r>
          </w:p>
        </w:tc>
        <w:tc>
          <w:tcPr>
            <w:tcW w:w="2126" w:type="dxa"/>
            <w:noWrap/>
            <w:vAlign w:val="center"/>
            <w:hideMark/>
          </w:tcPr>
          <w:p w14:paraId="1D367E9A" w14:textId="46055F40"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13</w:t>
            </w:r>
            <w:r w:rsidR="00E07D52" w:rsidRPr="00BF4413">
              <w:rPr>
                <w:rFonts w:ascii="Calibri" w:eastAsia="Times New Roman" w:hAnsi="Calibri" w:cs="Calibri"/>
                <w:color w:val="000000"/>
                <w:sz w:val="20"/>
                <w:szCs w:val="20"/>
                <w:lang w:val="en-US"/>
              </w:rPr>
              <w:t xml:space="preserve"> (0.3)</w:t>
            </w:r>
          </w:p>
        </w:tc>
      </w:tr>
      <w:tr w:rsidR="00E07D52" w:rsidRPr="00BF4413" w14:paraId="48E91BFA"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3F3B437"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675585DC"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Netherlands</w:t>
            </w:r>
          </w:p>
        </w:tc>
        <w:tc>
          <w:tcPr>
            <w:tcW w:w="2126" w:type="dxa"/>
            <w:noWrap/>
            <w:vAlign w:val="center"/>
            <w:hideMark/>
          </w:tcPr>
          <w:p w14:paraId="56FD27B5" w14:textId="21DE1C8A"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571</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13.2</w:t>
            </w:r>
            <w:r w:rsidR="00E07D52" w:rsidRPr="00BF4413">
              <w:rPr>
                <w:rFonts w:ascii="Calibri" w:eastAsia="Times New Roman" w:hAnsi="Calibri" w:cs="Calibri"/>
                <w:color w:val="000000"/>
                <w:sz w:val="20"/>
                <w:szCs w:val="20"/>
                <w:lang w:val="en-US"/>
              </w:rPr>
              <w:t>)</w:t>
            </w:r>
          </w:p>
        </w:tc>
      </w:tr>
      <w:tr w:rsidR="00E07D52" w:rsidRPr="00BF4413" w14:paraId="1923976F"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31E31BC4"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0ACEECA"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Norway</w:t>
            </w:r>
          </w:p>
        </w:tc>
        <w:tc>
          <w:tcPr>
            <w:tcW w:w="2126" w:type="dxa"/>
            <w:noWrap/>
            <w:vAlign w:val="center"/>
            <w:hideMark/>
          </w:tcPr>
          <w:p w14:paraId="3551AB40" w14:textId="2724CB7A"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72</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7</w:t>
            </w:r>
            <w:r w:rsidR="00E07D52" w:rsidRPr="00BF4413">
              <w:rPr>
                <w:rFonts w:ascii="Calibri" w:eastAsia="Times New Roman" w:hAnsi="Calibri" w:cs="Calibri"/>
                <w:color w:val="000000"/>
                <w:sz w:val="20"/>
                <w:szCs w:val="20"/>
                <w:lang w:val="en-US"/>
              </w:rPr>
              <w:t>)</w:t>
            </w:r>
          </w:p>
        </w:tc>
      </w:tr>
      <w:tr w:rsidR="00E07D52" w:rsidRPr="00BF4413" w14:paraId="3548A4CA"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0575475B"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F3F3337"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Poland</w:t>
            </w:r>
          </w:p>
        </w:tc>
        <w:tc>
          <w:tcPr>
            <w:tcW w:w="2126" w:type="dxa"/>
            <w:noWrap/>
            <w:vAlign w:val="center"/>
            <w:hideMark/>
          </w:tcPr>
          <w:p w14:paraId="369CB7EC" w14:textId="3FC16264"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25</w:t>
            </w:r>
            <w:r w:rsidR="00E07D52" w:rsidRPr="00BF4413">
              <w:rPr>
                <w:rFonts w:ascii="Calibri" w:eastAsia="Times New Roman" w:hAnsi="Calibri" w:cs="Calibri"/>
                <w:color w:val="000000"/>
                <w:sz w:val="20"/>
                <w:szCs w:val="20"/>
                <w:lang w:val="en-US"/>
              </w:rPr>
              <w:t xml:space="preserve"> (0.</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00CC71D2"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3EE69ADF"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2FD02D69"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Portugal</w:t>
            </w:r>
          </w:p>
        </w:tc>
        <w:tc>
          <w:tcPr>
            <w:tcW w:w="2126" w:type="dxa"/>
            <w:noWrap/>
            <w:vAlign w:val="center"/>
            <w:hideMark/>
          </w:tcPr>
          <w:p w14:paraId="606AEB29" w14:textId="05C0C72B"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 xml:space="preserve">56 </w:t>
            </w:r>
            <w:r w:rsidR="00E07D52" w:rsidRPr="00BF4413">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3</w:t>
            </w:r>
            <w:r w:rsidR="00E07D52" w:rsidRPr="00BF4413">
              <w:rPr>
                <w:rFonts w:ascii="Calibri" w:eastAsia="Times New Roman" w:hAnsi="Calibri" w:cs="Calibri"/>
                <w:color w:val="000000"/>
                <w:sz w:val="20"/>
                <w:szCs w:val="20"/>
                <w:lang w:val="en-US"/>
              </w:rPr>
              <w:t>)</w:t>
            </w:r>
          </w:p>
        </w:tc>
      </w:tr>
      <w:tr w:rsidR="00E07D52" w:rsidRPr="00BF4413" w14:paraId="287CBC4A"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3E37244F"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6478CC2E"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Spain</w:t>
            </w:r>
          </w:p>
        </w:tc>
        <w:tc>
          <w:tcPr>
            <w:tcW w:w="2126" w:type="dxa"/>
            <w:noWrap/>
            <w:vAlign w:val="center"/>
            <w:hideMark/>
          </w:tcPr>
          <w:p w14:paraId="093DF215" w14:textId="53C68953"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106</w:t>
            </w:r>
            <w:r w:rsidR="00E07D52" w:rsidRPr="00BF4413">
              <w:rPr>
                <w:rFonts w:ascii="Calibri" w:eastAsia="Times New Roman" w:hAnsi="Calibri" w:cs="Calibri"/>
                <w:color w:val="000000"/>
                <w:sz w:val="20"/>
                <w:szCs w:val="20"/>
                <w:lang w:val="en-US"/>
              </w:rPr>
              <w:t xml:space="preserve"> (2.</w:t>
            </w:r>
            <w:r>
              <w:rPr>
                <w:rFonts w:ascii="Calibri" w:eastAsia="Times New Roman" w:hAnsi="Calibri" w:cs="Calibri"/>
                <w:color w:val="000000"/>
                <w:sz w:val="20"/>
                <w:szCs w:val="20"/>
                <w:lang w:val="en-US"/>
              </w:rPr>
              <w:t>5</w:t>
            </w:r>
            <w:r w:rsidR="00E07D52" w:rsidRPr="00BF4413">
              <w:rPr>
                <w:rFonts w:ascii="Calibri" w:eastAsia="Times New Roman" w:hAnsi="Calibri" w:cs="Calibri"/>
                <w:color w:val="000000"/>
                <w:sz w:val="20"/>
                <w:szCs w:val="20"/>
                <w:lang w:val="en-US"/>
              </w:rPr>
              <w:t>)</w:t>
            </w:r>
          </w:p>
        </w:tc>
      </w:tr>
      <w:tr w:rsidR="00E07D52" w:rsidRPr="00BF4413" w14:paraId="7E62E629"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54502040"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20F20806"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Sweden</w:t>
            </w:r>
          </w:p>
        </w:tc>
        <w:tc>
          <w:tcPr>
            <w:tcW w:w="2126" w:type="dxa"/>
            <w:noWrap/>
            <w:vAlign w:val="center"/>
            <w:hideMark/>
          </w:tcPr>
          <w:p w14:paraId="002AA0AE" w14:textId="163FFA09"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77</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8</w:t>
            </w:r>
            <w:r w:rsidR="00E07D52" w:rsidRPr="00BF4413">
              <w:rPr>
                <w:rFonts w:ascii="Calibri" w:eastAsia="Times New Roman" w:hAnsi="Calibri" w:cs="Calibri"/>
                <w:color w:val="000000"/>
                <w:sz w:val="20"/>
                <w:szCs w:val="20"/>
                <w:lang w:val="en-US"/>
              </w:rPr>
              <w:t>)</w:t>
            </w:r>
          </w:p>
        </w:tc>
      </w:tr>
      <w:tr w:rsidR="00E07D52" w:rsidRPr="00BF4413" w14:paraId="3C9365B3"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3324A084"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1F2EC64A"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Switzerland</w:t>
            </w:r>
          </w:p>
        </w:tc>
        <w:tc>
          <w:tcPr>
            <w:tcW w:w="2126" w:type="dxa"/>
            <w:noWrap/>
            <w:vAlign w:val="center"/>
            <w:hideMark/>
          </w:tcPr>
          <w:p w14:paraId="6079D2A8" w14:textId="5272754B"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154</w:t>
            </w:r>
            <w:r w:rsidR="00E07D52" w:rsidRPr="00BF4413">
              <w:rPr>
                <w:rFonts w:ascii="Calibri" w:eastAsia="Times New Roman" w:hAnsi="Calibri" w:cs="Calibri"/>
                <w:color w:val="000000"/>
                <w:sz w:val="20"/>
                <w:szCs w:val="20"/>
                <w:lang w:val="en-US"/>
              </w:rPr>
              <w:t xml:space="preserve"> (3.</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002FCE36"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DB168BA"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1A0BAC92"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United Kingdom</w:t>
            </w:r>
          </w:p>
        </w:tc>
        <w:tc>
          <w:tcPr>
            <w:tcW w:w="2126" w:type="dxa"/>
            <w:noWrap/>
            <w:vAlign w:val="center"/>
            <w:hideMark/>
          </w:tcPr>
          <w:p w14:paraId="4CE82066" w14:textId="32471281"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533</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12.3</w:t>
            </w:r>
            <w:r w:rsidR="00E07D52" w:rsidRPr="00BF4413">
              <w:rPr>
                <w:rFonts w:ascii="Calibri" w:eastAsia="Times New Roman" w:hAnsi="Calibri" w:cs="Calibri"/>
                <w:color w:val="000000"/>
                <w:sz w:val="20"/>
                <w:szCs w:val="20"/>
                <w:lang w:val="en-US"/>
              </w:rPr>
              <w:t>)</w:t>
            </w:r>
          </w:p>
        </w:tc>
      </w:tr>
      <w:tr w:rsidR="00E07D52" w:rsidRPr="00BF4413" w14:paraId="30E37E8B"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tcBorders>
              <w:bottom w:val="single" w:sz="4" w:space="0" w:color="44546A" w:themeColor="text2"/>
            </w:tcBorders>
            <w:noWrap/>
            <w:vAlign w:val="center"/>
            <w:hideMark/>
          </w:tcPr>
          <w:p w14:paraId="4506A956"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tcBorders>
              <w:bottom w:val="single" w:sz="4" w:space="0" w:color="44546A" w:themeColor="text2"/>
            </w:tcBorders>
            <w:noWrap/>
            <w:vAlign w:val="center"/>
            <w:hideMark/>
          </w:tcPr>
          <w:p w14:paraId="2B9B192B"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United States</w:t>
            </w:r>
          </w:p>
        </w:tc>
        <w:tc>
          <w:tcPr>
            <w:tcW w:w="2126" w:type="dxa"/>
            <w:tcBorders>
              <w:bottom w:val="single" w:sz="4" w:space="0" w:color="44546A" w:themeColor="text2"/>
            </w:tcBorders>
            <w:noWrap/>
            <w:vAlign w:val="center"/>
            <w:hideMark/>
          </w:tcPr>
          <w:p w14:paraId="78214F13" w14:textId="76936EBE" w:rsidR="00E07D52" w:rsidRPr="00BF4413" w:rsidRDefault="002803F3"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1113</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25.8</w:t>
            </w:r>
            <w:r w:rsidR="00E07D52" w:rsidRPr="00BF4413">
              <w:rPr>
                <w:rFonts w:ascii="Calibri" w:eastAsia="Times New Roman" w:hAnsi="Calibri" w:cs="Calibri"/>
                <w:color w:val="000000"/>
                <w:sz w:val="20"/>
                <w:szCs w:val="20"/>
                <w:lang w:val="en-US"/>
              </w:rPr>
              <w:t>)</w:t>
            </w:r>
          </w:p>
        </w:tc>
      </w:tr>
      <w:tr w:rsidR="00E07D52" w:rsidRPr="00BF4413" w14:paraId="0738E85D"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val="restart"/>
            <w:tcBorders>
              <w:top w:val="single" w:sz="4" w:space="0" w:color="44546A" w:themeColor="text2"/>
            </w:tcBorders>
            <w:noWrap/>
            <w:vAlign w:val="center"/>
            <w:hideMark/>
          </w:tcPr>
          <w:p w14:paraId="227A710A" w14:textId="77777777" w:rsidR="00E07D52" w:rsidRPr="00BF4413" w:rsidRDefault="00E07D52" w:rsidP="000A4760">
            <w:pPr>
              <w:jc w:val="center"/>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 xml:space="preserve">Year of </w:t>
            </w:r>
            <w:r w:rsidRPr="00BF4413">
              <w:rPr>
                <w:rFonts w:ascii="Calibri" w:eastAsia="Times New Roman" w:hAnsi="Calibri" w:cs="Calibri" w:hint="cs"/>
                <w:color w:val="000000"/>
                <w:sz w:val="20"/>
                <w:szCs w:val="20"/>
                <w:lang w:val="en-US"/>
              </w:rPr>
              <w:t>INCORPORATION</w:t>
            </w:r>
            <w:r w:rsidRPr="00BF4413">
              <w:rPr>
                <w:rFonts w:ascii="Calibri" w:eastAsia="Times New Roman" w:hAnsi="Calibri" w:cs="Calibri"/>
                <w:color w:val="000000"/>
                <w:sz w:val="20"/>
                <w:szCs w:val="20"/>
                <w:lang w:val="en-US"/>
              </w:rPr>
              <w:t xml:space="preserve"> (%)</w:t>
            </w:r>
          </w:p>
        </w:tc>
        <w:tc>
          <w:tcPr>
            <w:tcW w:w="2835" w:type="dxa"/>
            <w:tcBorders>
              <w:top w:val="single" w:sz="4" w:space="0" w:color="44546A" w:themeColor="text2"/>
            </w:tcBorders>
            <w:noWrap/>
            <w:vAlign w:val="center"/>
            <w:hideMark/>
          </w:tcPr>
          <w:p w14:paraId="4E4F5E9B"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2007</w:t>
            </w:r>
          </w:p>
        </w:tc>
        <w:tc>
          <w:tcPr>
            <w:tcW w:w="2126" w:type="dxa"/>
            <w:tcBorders>
              <w:top w:val="single" w:sz="4" w:space="0" w:color="44546A" w:themeColor="text2"/>
            </w:tcBorders>
            <w:noWrap/>
            <w:vAlign w:val="center"/>
            <w:hideMark/>
          </w:tcPr>
          <w:p w14:paraId="55ED2F35" w14:textId="5658B8A9"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4</w:t>
            </w:r>
            <w:r w:rsidR="00E07D52" w:rsidRPr="00BF4413">
              <w:rPr>
                <w:rFonts w:ascii="Calibri" w:eastAsia="Times New Roman" w:hAnsi="Calibri" w:cs="Calibri"/>
                <w:color w:val="000000"/>
                <w:sz w:val="20"/>
                <w:szCs w:val="20"/>
                <w:lang w:val="en-US"/>
              </w:rPr>
              <w:t>7 (1.1)</w:t>
            </w:r>
          </w:p>
        </w:tc>
      </w:tr>
      <w:tr w:rsidR="00E07D52" w:rsidRPr="00BF4413" w14:paraId="023089D9"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2D36DEAD"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2D0950BD"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2008</w:t>
            </w:r>
          </w:p>
        </w:tc>
        <w:tc>
          <w:tcPr>
            <w:tcW w:w="2126" w:type="dxa"/>
            <w:noWrap/>
            <w:vAlign w:val="center"/>
            <w:hideMark/>
          </w:tcPr>
          <w:p w14:paraId="596B3DD9" w14:textId="31A49FF3"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42</w:t>
            </w:r>
            <w:r w:rsidR="00E07D52" w:rsidRPr="00BF4413">
              <w:rPr>
                <w:rFonts w:ascii="Calibri" w:eastAsia="Times New Roman" w:hAnsi="Calibri" w:cs="Calibri"/>
                <w:color w:val="000000"/>
                <w:sz w:val="20"/>
                <w:szCs w:val="20"/>
                <w:lang w:val="en-US"/>
              </w:rPr>
              <w:t xml:space="preserve"> (1.0)</w:t>
            </w:r>
          </w:p>
        </w:tc>
      </w:tr>
      <w:tr w:rsidR="00E07D52" w:rsidRPr="00BF4413" w14:paraId="1FB4241F"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1B24FF69"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5670DC0"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2009</w:t>
            </w:r>
          </w:p>
        </w:tc>
        <w:tc>
          <w:tcPr>
            <w:tcW w:w="2126" w:type="dxa"/>
            <w:noWrap/>
            <w:vAlign w:val="center"/>
            <w:hideMark/>
          </w:tcPr>
          <w:p w14:paraId="0D876ED9" w14:textId="3842764F"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81</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1.9</w:t>
            </w:r>
            <w:r w:rsidR="00E07D52" w:rsidRPr="00BF4413">
              <w:rPr>
                <w:rFonts w:ascii="Calibri" w:eastAsia="Times New Roman" w:hAnsi="Calibri" w:cs="Calibri"/>
                <w:color w:val="000000"/>
                <w:sz w:val="20"/>
                <w:szCs w:val="20"/>
                <w:lang w:val="en-US"/>
              </w:rPr>
              <w:t>)</w:t>
            </w:r>
          </w:p>
        </w:tc>
      </w:tr>
      <w:tr w:rsidR="00E07D52" w:rsidRPr="00BF4413" w14:paraId="54FD7C02"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5CDA6FF5"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305FAC5"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2010</w:t>
            </w:r>
          </w:p>
        </w:tc>
        <w:tc>
          <w:tcPr>
            <w:tcW w:w="2126" w:type="dxa"/>
            <w:noWrap/>
            <w:vAlign w:val="center"/>
            <w:hideMark/>
          </w:tcPr>
          <w:p w14:paraId="57723F91" w14:textId="7DFCEBC2"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87</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2.0</w:t>
            </w:r>
            <w:r w:rsidR="00E07D52" w:rsidRPr="00BF4413">
              <w:rPr>
                <w:rFonts w:ascii="Calibri" w:eastAsia="Times New Roman" w:hAnsi="Calibri" w:cs="Calibri"/>
                <w:color w:val="000000"/>
                <w:sz w:val="20"/>
                <w:szCs w:val="20"/>
                <w:lang w:val="en-US"/>
              </w:rPr>
              <w:t>)</w:t>
            </w:r>
          </w:p>
        </w:tc>
      </w:tr>
      <w:tr w:rsidR="00E07D52" w:rsidRPr="00BF4413" w14:paraId="1E8B779B"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1B8B4CDE"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A10A8F4"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2011</w:t>
            </w:r>
          </w:p>
        </w:tc>
        <w:tc>
          <w:tcPr>
            <w:tcW w:w="2126" w:type="dxa"/>
            <w:noWrap/>
            <w:vAlign w:val="center"/>
            <w:hideMark/>
          </w:tcPr>
          <w:p w14:paraId="7C2E7D57" w14:textId="205B378D"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111</w:t>
            </w:r>
            <w:r w:rsidR="00E07D52" w:rsidRPr="00BF4413">
              <w:rPr>
                <w:rFonts w:ascii="Calibri" w:eastAsia="Times New Roman" w:hAnsi="Calibri" w:cs="Calibri"/>
                <w:color w:val="000000"/>
                <w:sz w:val="20"/>
                <w:szCs w:val="20"/>
                <w:lang w:val="en-US"/>
              </w:rPr>
              <w:t xml:space="preserve"> (2.</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00407A84"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677838AB"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0A22DD47"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2012</w:t>
            </w:r>
          </w:p>
        </w:tc>
        <w:tc>
          <w:tcPr>
            <w:tcW w:w="2126" w:type="dxa"/>
            <w:noWrap/>
            <w:vAlign w:val="center"/>
            <w:hideMark/>
          </w:tcPr>
          <w:p w14:paraId="768FA882" w14:textId="50BA4D54"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200</w:t>
            </w:r>
            <w:r w:rsidR="00E07D52" w:rsidRPr="00BF4413">
              <w:rPr>
                <w:rFonts w:ascii="Calibri" w:eastAsia="Times New Roman" w:hAnsi="Calibri" w:cs="Calibri"/>
                <w:color w:val="000000"/>
                <w:sz w:val="20"/>
                <w:szCs w:val="20"/>
                <w:lang w:val="en-US"/>
              </w:rPr>
              <w:t xml:space="preserve"> (4.</w:t>
            </w:r>
            <w:r>
              <w:rPr>
                <w:rFonts w:ascii="Calibri" w:eastAsia="Times New Roman" w:hAnsi="Calibri" w:cs="Calibri"/>
                <w:color w:val="000000"/>
                <w:sz w:val="20"/>
                <w:szCs w:val="20"/>
                <w:lang w:val="en-US"/>
              </w:rPr>
              <w:t>6</w:t>
            </w:r>
            <w:r w:rsidR="00E07D52" w:rsidRPr="00BF4413">
              <w:rPr>
                <w:rFonts w:ascii="Calibri" w:eastAsia="Times New Roman" w:hAnsi="Calibri" w:cs="Calibri"/>
                <w:color w:val="000000"/>
                <w:sz w:val="20"/>
                <w:szCs w:val="20"/>
                <w:lang w:val="en-US"/>
              </w:rPr>
              <w:t>)</w:t>
            </w:r>
          </w:p>
        </w:tc>
      </w:tr>
      <w:tr w:rsidR="00E07D52" w:rsidRPr="00BF4413" w14:paraId="2C04A7C3"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44A8D406"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1BDABB42"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2013</w:t>
            </w:r>
          </w:p>
        </w:tc>
        <w:tc>
          <w:tcPr>
            <w:tcW w:w="2126" w:type="dxa"/>
            <w:noWrap/>
            <w:vAlign w:val="center"/>
            <w:hideMark/>
          </w:tcPr>
          <w:p w14:paraId="314E8302" w14:textId="302113F3"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332</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7.7</w:t>
            </w:r>
            <w:r w:rsidR="00E07D52" w:rsidRPr="00BF4413">
              <w:rPr>
                <w:rFonts w:ascii="Calibri" w:eastAsia="Times New Roman" w:hAnsi="Calibri" w:cs="Calibri"/>
                <w:color w:val="000000"/>
                <w:sz w:val="20"/>
                <w:szCs w:val="20"/>
                <w:lang w:val="en-US"/>
              </w:rPr>
              <w:t>)</w:t>
            </w:r>
          </w:p>
        </w:tc>
      </w:tr>
      <w:tr w:rsidR="00E07D52" w:rsidRPr="00BF4413" w14:paraId="024398B4"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49A4BAFB"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FA6128A"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2014</w:t>
            </w:r>
          </w:p>
        </w:tc>
        <w:tc>
          <w:tcPr>
            <w:tcW w:w="2126" w:type="dxa"/>
            <w:noWrap/>
            <w:vAlign w:val="center"/>
            <w:hideMark/>
          </w:tcPr>
          <w:p w14:paraId="31220C6E" w14:textId="616CA139"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512</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11</w:t>
            </w:r>
            <w:r w:rsidR="00E07D52" w:rsidRPr="00BF4413">
              <w:rPr>
                <w:rFonts w:ascii="Calibri" w:eastAsia="Times New Roman" w:hAnsi="Calibri" w:cs="Calibri"/>
                <w:color w:val="000000"/>
                <w:sz w:val="20"/>
                <w:szCs w:val="20"/>
                <w:lang w:val="en-US"/>
              </w:rPr>
              <w:t>.9)</w:t>
            </w:r>
          </w:p>
        </w:tc>
      </w:tr>
      <w:tr w:rsidR="00E07D52" w:rsidRPr="00BF4413" w14:paraId="653D75B0"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645E277"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20DEE75"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2015</w:t>
            </w:r>
          </w:p>
        </w:tc>
        <w:tc>
          <w:tcPr>
            <w:tcW w:w="2126" w:type="dxa"/>
            <w:noWrap/>
            <w:vAlign w:val="center"/>
            <w:hideMark/>
          </w:tcPr>
          <w:p w14:paraId="1B81FFC2" w14:textId="59EE74D3"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649</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15.0</w:t>
            </w:r>
            <w:r w:rsidR="00E07D52" w:rsidRPr="00BF4413">
              <w:rPr>
                <w:rFonts w:ascii="Calibri" w:eastAsia="Times New Roman" w:hAnsi="Calibri" w:cs="Calibri"/>
                <w:color w:val="000000"/>
                <w:sz w:val="20"/>
                <w:szCs w:val="20"/>
                <w:lang w:val="en-US"/>
              </w:rPr>
              <w:t>)</w:t>
            </w:r>
          </w:p>
        </w:tc>
      </w:tr>
      <w:tr w:rsidR="00E07D52" w:rsidRPr="00BF4413" w14:paraId="5C0045B5"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01D8D455"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765669DD"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2016</w:t>
            </w:r>
          </w:p>
        </w:tc>
        <w:tc>
          <w:tcPr>
            <w:tcW w:w="2126" w:type="dxa"/>
            <w:noWrap/>
            <w:vAlign w:val="center"/>
            <w:hideMark/>
          </w:tcPr>
          <w:p w14:paraId="6C282AD6" w14:textId="23AF6009"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622</w:t>
            </w:r>
            <w:r w:rsidR="00E07D52" w:rsidRPr="00BF4413">
              <w:rPr>
                <w:rFonts w:ascii="Calibri" w:eastAsia="Times New Roman" w:hAnsi="Calibri" w:cs="Calibri"/>
                <w:color w:val="000000"/>
                <w:sz w:val="20"/>
                <w:szCs w:val="20"/>
                <w:lang w:val="en-US"/>
              </w:rPr>
              <w:t xml:space="preserve"> (14.</w:t>
            </w:r>
            <w:r>
              <w:rPr>
                <w:rFonts w:ascii="Calibri" w:eastAsia="Times New Roman" w:hAnsi="Calibri" w:cs="Calibri"/>
                <w:color w:val="000000"/>
                <w:sz w:val="20"/>
                <w:szCs w:val="20"/>
                <w:lang w:val="en-US"/>
              </w:rPr>
              <w:t>4</w:t>
            </w:r>
            <w:r w:rsidR="00E07D52" w:rsidRPr="00BF4413">
              <w:rPr>
                <w:rFonts w:ascii="Calibri" w:eastAsia="Times New Roman" w:hAnsi="Calibri" w:cs="Calibri"/>
                <w:color w:val="000000"/>
                <w:sz w:val="20"/>
                <w:szCs w:val="20"/>
                <w:lang w:val="en-US"/>
              </w:rPr>
              <w:t>)</w:t>
            </w:r>
          </w:p>
        </w:tc>
      </w:tr>
      <w:tr w:rsidR="00E07D52" w:rsidRPr="00BF4413" w14:paraId="1D8BAD5D"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117F153C"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535E6887"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2017</w:t>
            </w:r>
          </w:p>
        </w:tc>
        <w:tc>
          <w:tcPr>
            <w:tcW w:w="2126" w:type="dxa"/>
            <w:noWrap/>
            <w:vAlign w:val="center"/>
            <w:hideMark/>
          </w:tcPr>
          <w:p w14:paraId="67DCD2B1" w14:textId="68F4A158"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721</w:t>
            </w:r>
            <w:r w:rsidR="00E07D52" w:rsidRPr="00BF4413">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16</w:t>
            </w:r>
            <w:r w:rsidR="00E07D52" w:rsidRPr="00BF4413">
              <w:rPr>
                <w:rFonts w:ascii="Calibri" w:eastAsia="Times New Roman" w:hAnsi="Calibri" w:cs="Calibri"/>
                <w:color w:val="000000"/>
                <w:sz w:val="20"/>
                <w:szCs w:val="20"/>
                <w:lang w:val="en-US"/>
              </w:rPr>
              <w:t>.</w:t>
            </w:r>
            <w:r>
              <w:rPr>
                <w:rFonts w:ascii="Calibri" w:eastAsia="Times New Roman" w:hAnsi="Calibri" w:cs="Calibri"/>
                <w:color w:val="000000"/>
                <w:sz w:val="20"/>
                <w:szCs w:val="20"/>
                <w:lang w:val="en-US"/>
              </w:rPr>
              <w:t>7</w:t>
            </w:r>
            <w:r w:rsidR="00E07D52" w:rsidRPr="00BF4413">
              <w:rPr>
                <w:rFonts w:ascii="Calibri" w:eastAsia="Times New Roman" w:hAnsi="Calibri" w:cs="Calibri"/>
                <w:color w:val="000000"/>
                <w:sz w:val="20"/>
                <w:szCs w:val="20"/>
                <w:lang w:val="en-US"/>
              </w:rPr>
              <w:t>)</w:t>
            </w:r>
          </w:p>
        </w:tc>
      </w:tr>
      <w:tr w:rsidR="00E07D52" w:rsidRPr="00BF4413" w14:paraId="4452DEF5"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12869331"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FC98070"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2018</w:t>
            </w:r>
          </w:p>
        </w:tc>
        <w:tc>
          <w:tcPr>
            <w:tcW w:w="2126" w:type="dxa"/>
            <w:noWrap/>
            <w:vAlign w:val="center"/>
            <w:hideMark/>
          </w:tcPr>
          <w:p w14:paraId="00512707" w14:textId="24E524AD" w:rsidR="00E07D52" w:rsidRPr="00BF4413" w:rsidRDefault="00C76C30"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511</w:t>
            </w:r>
            <w:r w:rsidR="00E07D52" w:rsidRPr="00BF4413">
              <w:rPr>
                <w:rFonts w:ascii="Calibri" w:eastAsia="Times New Roman" w:hAnsi="Calibri" w:cs="Calibri"/>
                <w:color w:val="000000"/>
                <w:sz w:val="20"/>
                <w:szCs w:val="20"/>
                <w:lang w:val="en-US"/>
              </w:rPr>
              <w:t xml:space="preserve"> (1</w:t>
            </w:r>
            <w:r>
              <w:rPr>
                <w:rFonts w:ascii="Calibri" w:eastAsia="Times New Roman" w:hAnsi="Calibri" w:cs="Calibri"/>
                <w:color w:val="000000"/>
                <w:sz w:val="20"/>
                <w:szCs w:val="20"/>
                <w:lang w:val="en-US"/>
              </w:rPr>
              <w:t>1</w:t>
            </w:r>
            <w:r w:rsidR="00E07D52" w:rsidRPr="00BF4413">
              <w:rPr>
                <w:rFonts w:ascii="Calibri" w:eastAsia="Times New Roman" w:hAnsi="Calibri" w:cs="Calibri"/>
                <w:color w:val="000000"/>
                <w:sz w:val="20"/>
                <w:szCs w:val="20"/>
                <w:lang w:val="en-US"/>
              </w:rPr>
              <w:t>.8)</w:t>
            </w:r>
          </w:p>
        </w:tc>
      </w:tr>
      <w:tr w:rsidR="00E07D52" w:rsidRPr="00BF4413" w14:paraId="295D2961"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3A402550"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49E43ACA"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2019</w:t>
            </w:r>
          </w:p>
        </w:tc>
        <w:tc>
          <w:tcPr>
            <w:tcW w:w="2126" w:type="dxa"/>
            <w:noWrap/>
            <w:vAlign w:val="center"/>
            <w:hideMark/>
          </w:tcPr>
          <w:p w14:paraId="53B03139" w14:textId="4A0BF3B3"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1</w:t>
            </w:r>
            <w:r w:rsidR="00C76C30">
              <w:rPr>
                <w:rFonts w:ascii="Calibri" w:eastAsia="Times New Roman" w:hAnsi="Calibri" w:cs="Calibri"/>
                <w:color w:val="000000"/>
                <w:sz w:val="20"/>
                <w:szCs w:val="20"/>
                <w:lang w:val="en-US"/>
              </w:rPr>
              <w:t>90</w:t>
            </w:r>
            <w:r w:rsidRPr="00BF4413">
              <w:rPr>
                <w:rFonts w:ascii="Calibri" w:eastAsia="Times New Roman" w:hAnsi="Calibri" w:cs="Calibri"/>
                <w:color w:val="000000"/>
                <w:sz w:val="20"/>
                <w:szCs w:val="20"/>
                <w:lang w:val="en-US"/>
              </w:rPr>
              <w:t xml:space="preserve"> (</w:t>
            </w:r>
            <w:r w:rsidR="00C76C30">
              <w:rPr>
                <w:rFonts w:ascii="Calibri" w:eastAsia="Times New Roman" w:hAnsi="Calibri" w:cs="Calibri"/>
                <w:color w:val="000000"/>
                <w:sz w:val="20"/>
                <w:szCs w:val="20"/>
                <w:lang w:val="en-US"/>
              </w:rPr>
              <w:t>4.4</w:t>
            </w:r>
            <w:r w:rsidRPr="00BF4413">
              <w:rPr>
                <w:rFonts w:ascii="Calibri" w:eastAsia="Times New Roman" w:hAnsi="Calibri" w:cs="Calibri"/>
                <w:color w:val="000000"/>
                <w:sz w:val="20"/>
                <w:szCs w:val="20"/>
                <w:lang w:val="en-US"/>
              </w:rPr>
              <w:t>)</w:t>
            </w:r>
          </w:p>
        </w:tc>
      </w:tr>
      <w:tr w:rsidR="00E07D52" w:rsidRPr="00BF4413" w14:paraId="295D62C7"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60947A0"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5D0DB9B6"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2020</w:t>
            </w:r>
          </w:p>
        </w:tc>
        <w:tc>
          <w:tcPr>
            <w:tcW w:w="2126" w:type="dxa"/>
            <w:noWrap/>
            <w:vAlign w:val="center"/>
            <w:hideMark/>
          </w:tcPr>
          <w:p w14:paraId="729A6D3B" w14:textId="1C72D9A5"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128 (3.</w:t>
            </w:r>
            <w:r w:rsidR="00C76C30">
              <w:rPr>
                <w:rFonts w:ascii="Calibri" w:eastAsia="Times New Roman" w:hAnsi="Calibri" w:cs="Calibri"/>
                <w:color w:val="000000"/>
                <w:sz w:val="20"/>
                <w:szCs w:val="20"/>
                <w:lang w:val="en-US"/>
              </w:rPr>
              <w:t>0</w:t>
            </w:r>
            <w:r w:rsidRPr="00BF4413">
              <w:rPr>
                <w:rFonts w:ascii="Calibri" w:eastAsia="Times New Roman" w:hAnsi="Calibri" w:cs="Calibri"/>
                <w:color w:val="000000"/>
                <w:sz w:val="20"/>
                <w:szCs w:val="20"/>
                <w:lang w:val="en-US"/>
              </w:rPr>
              <w:t>)</w:t>
            </w:r>
          </w:p>
        </w:tc>
      </w:tr>
      <w:tr w:rsidR="00E07D52" w:rsidRPr="00BF4413" w14:paraId="683195A7"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7EA326F5"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541A8DD2"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2021</w:t>
            </w:r>
          </w:p>
        </w:tc>
        <w:tc>
          <w:tcPr>
            <w:tcW w:w="2126" w:type="dxa"/>
            <w:noWrap/>
            <w:vAlign w:val="center"/>
            <w:hideMark/>
          </w:tcPr>
          <w:p w14:paraId="19BFA535" w14:textId="411064E3"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72 (</w:t>
            </w:r>
            <w:r w:rsidR="00C76C30">
              <w:rPr>
                <w:rFonts w:ascii="Calibri" w:eastAsia="Times New Roman" w:hAnsi="Calibri" w:cs="Calibri"/>
                <w:color w:val="000000"/>
                <w:sz w:val="20"/>
                <w:szCs w:val="20"/>
                <w:lang w:val="en-US"/>
              </w:rPr>
              <w:t>1.7</w:t>
            </w:r>
            <w:r w:rsidRPr="00BF4413">
              <w:rPr>
                <w:rFonts w:ascii="Calibri" w:eastAsia="Times New Roman" w:hAnsi="Calibri" w:cs="Calibri"/>
                <w:color w:val="000000"/>
                <w:sz w:val="20"/>
                <w:szCs w:val="20"/>
                <w:lang w:val="en-US"/>
              </w:rPr>
              <w:t>)</w:t>
            </w:r>
          </w:p>
        </w:tc>
      </w:tr>
      <w:tr w:rsidR="00E07D52" w:rsidRPr="00BF4413" w14:paraId="3A4CF1FF" w14:textId="77777777" w:rsidTr="000A4760">
        <w:trPr>
          <w:trHeight w:val="320"/>
        </w:trPr>
        <w:tc>
          <w:tcPr>
            <w:cnfStyle w:val="001000000000" w:firstRow="0" w:lastRow="0" w:firstColumn="1" w:lastColumn="0" w:oddVBand="0" w:evenVBand="0" w:oddHBand="0" w:evenHBand="0" w:firstRowFirstColumn="0" w:firstRowLastColumn="0" w:lastRowFirstColumn="0" w:lastRowLastColumn="0"/>
            <w:tcW w:w="3261" w:type="dxa"/>
            <w:vMerge/>
            <w:noWrap/>
            <w:vAlign w:val="center"/>
            <w:hideMark/>
          </w:tcPr>
          <w:p w14:paraId="514718BC" w14:textId="77777777" w:rsidR="00E07D52" w:rsidRPr="00BF4413" w:rsidRDefault="00E07D52" w:rsidP="000A4760">
            <w:pPr>
              <w:jc w:val="center"/>
              <w:rPr>
                <w:rFonts w:ascii="Calibri" w:eastAsia="Times New Roman" w:hAnsi="Calibri" w:cs="Calibri"/>
                <w:color w:val="000000"/>
                <w:sz w:val="20"/>
                <w:szCs w:val="20"/>
                <w:lang w:val="en-US"/>
              </w:rPr>
            </w:pPr>
          </w:p>
        </w:tc>
        <w:tc>
          <w:tcPr>
            <w:tcW w:w="2835" w:type="dxa"/>
            <w:noWrap/>
            <w:vAlign w:val="center"/>
            <w:hideMark/>
          </w:tcPr>
          <w:p w14:paraId="2F8CC1CF" w14:textId="77777777"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2022</w:t>
            </w:r>
          </w:p>
        </w:tc>
        <w:tc>
          <w:tcPr>
            <w:tcW w:w="2126" w:type="dxa"/>
            <w:noWrap/>
            <w:vAlign w:val="center"/>
            <w:hideMark/>
          </w:tcPr>
          <w:p w14:paraId="45F3F00D" w14:textId="3DF912A9"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BF4413">
              <w:rPr>
                <w:rFonts w:ascii="Calibri" w:eastAsia="Times New Roman" w:hAnsi="Calibri" w:cs="Calibri"/>
                <w:color w:val="000000"/>
                <w:sz w:val="20"/>
                <w:szCs w:val="20"/>
                <w:lang w:val="en-US"/>
              </w:rPr>
              <w:t>14 (0.</w:t>
            </w:r>
            <w:r w:rsidR="00C76C30">
              <w:rPr>
                <w:rFonts w:ascii="Calibri" w:eastAsia="Times New Roman" w:hAnsi="Calibri" w:cs="Calibri"/>
                <w:color w:val="000000"/>
                <w:sz w:val="20"/>
                <w:szCs w:val="20"/>
                <w:lang w:val="en-US"/>
              </w:rPr>
              <w:t>3</w:t>
            </w:r>
            <w:r w:rsidRPr="00BF4413">
              <w:rPr>
                <w:rFonts w:ascii="Calibri" w:eastAsia="Times New Roman" w:hAnsi="Calibri" w:cs="Calibri"/>
                <w:color w:val="000000"/>
                <w:sz w:val="20"/>
                <w:szCs w:val="20"/>
                <w:lang w:val="en-US"/>
              </w:rPr>
              <w:t>)</w:t>
            </w:r>
          </w:p>
        </w:tc>
      </w:tr>
      <w:tr w:rsidR="00E07D52" w:rsidRPr="00BF4413" w14:paraId="6635D14E" w14:textId="77777777" w:rsidTr="00C76C30">
        <w:trPr>
          <w:trHeight w:val="320"/>
        </w:trPr>
        <w:tc>
          <w:tcPr>
            <w:cnfStyle w:val="001000000000" w:firstRow="0" w:lastRow="0" w:firstColumn="1" w:lastColumn="0" w:oddVBand="0" w:evenVBand="0" w:oddHBand="0" w:evenHBand="0" w:firstRowFirstColumn="0" w:firstRowLastColumn="0" w:lastRowFirstColumn="0" w:lastRowLastColumn="0"/>
            <w:tcW w:w="3261" w:type="dxa"/>
            <w:vMerge/>
            <w:tcBorders>
              <w:bottom w:val="single" w:sz="4" w:space="0" w:color="000000" w:themeColor="text1"/>
            </w:tcBorders>
            <w:noWrap/>
            <w:vAlign w:val="center"/>
            <w:hideMark/>
          </w:tcPr>
          <w:p w14:paraId="34ECA438" w14:textId="77777777" w:rsidR="00E07D52" w:rsidRPr="00BF4413" w:rsidRDefault="00E07D52" w:rsidP="000A4760">
            <w:pPr>
              <w:rPr>
                <w:rFonts w:ascii="Calibri" w:eastAsia="Times New Roman" w:hAnsi="Calibri" w:cs="Calibri"/>
                <w:color w:val="000000"/>
                <w:sz w:val="20"/>
                <w:szCs w:val="20"/>
                <w:lang w:val="en-US"/>
              </w:rPr>
            </w:pPr>
          </w:p>
        </w:tc>
        <w:tc>
          <w:tcPr>
            <w:tcW w:w="2835" w:type="dxa"/>
            <w:tcBorders>
              <w:bottom w:val="single" w:sz="4" w:space="0" w:color="000000" w:themeColor="text1"/>
            </w:tcBorders>
            <w:noWrap/>
            <w:vAlign w:val="center"/>
          </w:tcPr>
          <w:p w14:paraId="7564D75A" w14:textId="1B198EDE" w:rsidR="00E07D52" w:rsidRPr="00BF4413" w:rsidRDefault="00E07D52" w:rsidP="00C76C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p>
        </w:tc>
        <w:tc>
          <w:tcPr>
            <w:tcW w:w="2126" w:type="dxa"/>
            <w:tcBorders>
              <w:bottom w:val="single" w:sz="4" w:space="0" w:color="000000" w:themeColor="text1"/>
            </w:tcBorders>
            <w:noWrap/>
            <w:vAlign w:val="center"/>
          </w:tcPr>
          <w:p w14:paraId="38A67DD3" w14:textId="174DB4B0" w:rsidR="00E07D52" w:rsidRPr="00BF4413" w:rsidRDefault="00E07D52" w:rsidP="000A47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p>
        </w:tc>
      </w:tr>
    </w:tbl>
    <w:p w14:paraId="39AB8C61" w14:textId="77777777" w:rsidR="00E07D52" w:rsidRPr="00BF4413" w:rsidRDefault="00E07D52" w:rsidP="00E07D52">
      <w:pPr>
        <w:rPr>
          <w:sz w:val="20"/>
          <w:szCs w:val="20"/>
        </w:rPr>
      </w:pPr>
    </w:p>
    <w:p w14:paraId="6E2DE1F8" w14:textId="77777777" w:rsidR="001F6E75" w:rsidRPr="00E07D52" w:rsidRDefault="001F6E75" w:rsidP="00283303">
      <w:pPr>
        <w:rPr>
          <w:rFonts w:asciiTheme="majorBidi" w:hAnsiTheme="majorBidi" w:cstheme="majorBidi"/>
          <w:b/>
          <w:bCs/>
          <w:sz w:val="24"/>
          <w:szCs w:val="24"/>
        </w:rPr>
      </w:pPr>
    </w:p>
    <w:sectPr w:rsidR="001F6E75" w:rsidRPr="00E07D52" w:rsidSect="00D92453">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E2AC" w14:textId="77777777" w:rsidR="00E553F3" w:rsidRPr="00BF4413" w:rsidRDefault="00E553F3" w:rsidP="00B35D7B">
      <w:pPr>
        <w:spacing w:after="0" w:line="240" w:lineRule="auto"/>
      </w:pPr>
      <w:r w:rsidRPr="00BF4413">
        <w:separator/>
      </w:r>
    </w:p>
  </w:endnote>
  <w:endnote w:type="continuationSeparator" w:id="0">
    <w:p w14:paraId="4D03D09B" w14:textId="77777777" w:rsidR="00E553F3" w:rsidRPr="00BF4413" w:rsidRDefault="00E553F3" w:rsidP="00B35D7B">
      <w:pPr>
        <w:spacing w:after="0" w:line="240" w:lineRule="auto"/>
      </w:pPr>
      <w:r w:rsidRPr="00BF4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43874"/>
      <w:docPartObj>
        <w:docPartGallery w:val="Page Numbers (Bottom of Page)"/>
        <w:docPartUnique/>
      </w:docPartObj>
    </w:sdtPr>
    <w:sdtContent>
      <w:p w14:paraId="4DF22893" w14:textId="77777777" w:rsidR="00B35D7B" w:rsidRPr="00BF4413" w:rsidRDefault="00B35D7B">
        <w:pPr>
          <w:pStyle w:val="Footer"/>
          <w:jc w:val="center"/>
        </w:pPr>
        <w:r w:rsidRPr="00BF4413">
          <w:fldChar w:fldCharType="begin"/>
        </w:r>
        <w:r w:rsidRPr="00BF4413">
          <w:instrText xml:space="preserve"> PAGE   \* MERGEFORMAT </w:instrText>
        </w:r>
        <w:r w:rsidRPr="00BF4413">
          <w:fldChar w:fldCharType="separate"/>
        </w:r>
        <w:r w:rsidRPr="00BF4413">
          <w:t>4</w:t>
        </w:r>
        <w:r w:rsidRPr="00BF4413">
          <w:fldChar w:fldCharType="end"/>
        </w:r>
      </w:p>
    </w:sdtContent>
  </w:sdt>
  <w:p w14:paraId="5E0B5DED" w14:textId="77777777" w:rsidR="00B35D7B" w:rsidRPr="00BF4413" w:rsidRDefault="00B3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A80B" w14:textId="77777777" w:rsidR="00E553F3" w:rsidRPr="00BF4413" w:rsidRDefault="00E553F3" w:rsidP="00B35D7B">
      <w:pPr>
        <w:spacing w:after="0" w:line="240" w:lineRule="auto"/>
      </w:pPr>
      <w:r w:rsidRPr="00BF4413">
        <w:separator/>
      </w:r>
    </w:p>
  </w:footnote>
  <w:footnote w:type="continuationSeparator" w:id="0">
    <w:p w14:paraId="56C38CEF" w14:textId="77777777" w:rsidR="00E553F3" w:rsidRPr="00BF4413" w:rsidRDefault="00E553F3" w:rsidP="00B35D7B">
      <w:pPr>
        <w:spacing w:after="0" w:line="240" w:lineRule="auto"/>
      </w:pPr>
      <w:r w:rsidRPr="00BF4413">
        <w:continuationSeparator/>
      </w:r>
    </w:p>
  </w:footnote>
  <w:footnote w:id="1">
    <w:p w14:paraId="419B74AC" w14:textId="77777777" w:rsidR="00B35D7B" w:rsidRPr="00BF4413" w:rsidRDefault="00B35D7B" w:rsidP="00B35D7B">
      <w:pPr>
        <w:pStyle w:val="FootnoteText"/>
        <w:rPr>
          <w:rFonts w:ascii="Garamond" w:hAnsi="Garamond"/>
        </w:rPr>
      </w:pPr>
      <w:r w:rsidRPr="00BF4413">
        <w:rPr>
          <w:rStyle w:val="FootnoteReference"/>
          <w:rFonts w:ascii="Garamond" w:hAnsi="Garamond"/>
        </w:rPr>
        <w:footnoteRef/>
      </w:r>
      <w:r w:rsidRPr="00BF4413">
        <w:rPr>
          <w:rFonts w:ascii="Garamond" w:hAnsi="Garamond"/>
        </w:rPr>
        <w:t xml:space="preserve"> Assistant Professor, University of Haifa, Faculty of Law </w:t>
      </w:r>
    </w:p>
  </w:footnote>
  <w:footnote w:id="2">
    <w:p w14:paraId="03D7CC45" w14:textId="216F73BE" w:rsidR="00B35D7B" w:rsidRPr="008A2A86" w:rsidRDefault="00B35D7B" w:rsidP="00B35D7B">
      <w:pPr>
        <w:pStyle w:val="FootnoteText"/>
        <w:rPr>
          <w:rFonts w:ascii="Garamond" w:hAnsi="Garamond"/>
        </w:rPr>
      </w:pPr>
      <w:r w:rsidRPr="00BF4413">
        <w:rPr>
          <w:rStyle w:val="FootnoteReference"/>
          <w:rFonts w:ascii="Garamond" w:hAnsi="Garamond"/>
        </w:rPr>
        <w:footnoteRef/>
      </w:r>
      <w:r w:rsidRPr="00BF4413">
        <w:rPr>
          <w:rFonts w:ascii="Garamond" w:hAnsi="Garamond"/>
        </w:rPr>
        <w:t xml:space="preserve"> </w:t>
      </w:r>
      <w:r w:rsidR="005622CC">
        <w:rPr>
          <w:rFonts w:ascii="Garamond" w:hAnsi="Garamond"/>
        </w:rPr>
        <w:t>Lecturer in Business Law, University of Leeds, School of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D66B" w14:textId="2F36EE55" w:rsidR="003A0FA4" w:rsidRDefault="003A0FA4" w:rsidP="003A0FA4">
    <w:pPr>
      <w:pStyle w:val="Header"/>
      <w:numPr>
        <w:ilvl w:val="0"/>
        <w:numId w:val="4"/>
      </w:numPr>
      <w:jc w:val="center"/>
    </w:pPr>
    <w:r>
      <w:t xml:space="preserve">Preliminary draft, we welcome all feedback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66B"/>
    <w:multiLevelType w:val="hybridMultilevel"/>
    <w:tmpl w:val="BFA8226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19E21FFC"/>
    <w:multiLevelType w:val="hybridMultilevel"/>
    <w:tmpl w:val="4BBA81E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86B3FF0"/>
    <w:multiLevelType w:val="hybridMultilevel"/>
    <w:tmpl w:val="4F7248FE"/>
    <w:lvl w:ilvl="0" w:tplc="2EF26EE2">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9FB3E32"/>
    <w:multiLevelType w:val="hybridMultilevel"/>
    <w:tmpl w:val="93C8CA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ABD13B8"/>
    <w:multiLevelType w:val="multilevel"/>
    <w:tmpl w:val="4BD8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155554">
    <w:abstractNumId w:val="4"/>
  </w:num>
  <w:num w:numId="2" w16cid:durableId="2111119324">
    <w:abstractNumId w:val="0"/>
  </w:num>
  <w:num w:numId="3" w16cid:durableId="1808009998">
    <w:abstractNumId w:val="3"/>
  </w:num>
  <w:num w:numId="4" w16cid:durableId="453405997">
    <w:abstractNumId w:val="2"/>
  </w:num>
  <w:num w:numId="5" w16cid:durableId="183044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A0MbY0NbAEss0MTZR0lIJTi4sz8/NACixqASeyOjUsAAAA"/>
  </w:docVars>
  <w:rsids>
    <w:rsidRoot w:val="00B35D7B"/>
    <w:rsid w:val="00002269"/>
    <w:rsid w:val="00005ADA"/>
    <w:rsid w:val="00015007"/>
    <w:rsid w:val="000160DF"/>
    <w:rsid w:val="000177F2"/>
    <w:rsid w:val="00022F23"/>
    <w:rsid w:val="0002354A"/>
    <w:rsid w:val="000240AE"/>
    <w:rsid w:val="00026F58"/>
    <w:rsid w:val="00027750"/>
    <w:rsid w:val="00027CE2"/>
    <w:rsid w:val="00037B4A"/>
    <w:rsid w:val="000426BC"/>
    <w:rsid w:val="0004297B"/>
    <w:rsid w:val="00046B17"/>
    <w:rsid w:val="00047490"/>
    <w:rsid w:val="00065463"/>
    <w:rsid w:val="00066481"/>
    <w:rsid w:val="00067995"/>
    <w:rsid w:val="00082615"/>
    <w:rsid w:val="00082BAE"/>
    <w:rsid w:val="00084B6C"/>
    <w:rsid w:val="0008559B"/>
    <w:rsid w:val="00090F2A"/>
    <w:rsid w:val="000A4949"/>
    <w:rsid w:val="000A4D1D"/>
    <w:rsid w:val="000A4F62"/>
    <w:rsid w:val="000B694A"/>
    <w:rsid w:val="000B6A71"/>
    <w:rsid w:val="000C1EC3"/>
    <w:rsid w:val="000D4698"/>
    <w:rsid w:val="000D5CBB"/>
    <w:rsid w:val="000D6D3A"/>
    <w:rsid w:val="000E6AE5"/>
    <w:rsid w:val="000E77BF"/>
    <w:rsid w:val="000F30E2"/>
    <w:rsid w:val="000F4E91"/>
    <w:rsid w:val="00100BA7"/>
    <w:rsid w:val="00101AA5"/>
    <w:rsid w:val="00105368"/>
    <w:rsid w:val="00111FD9"/>
    <w:rsid w:val="001146E1"/>
    <w:rsid w:val="00115928"/>
    <w:rsid w:val="00116923"/>
    <w:rsid w:val="00121DD6"/>
    <w:rsid w:val="00125532"/>
    <w:rsid w:val="00126B5D"/>
    <w:rsid w:val="00130041"/>
    <w:rsid w:val="00134A81"/>
    <w:rsid w:val="00135848"/>
    <w:rsid w:val="00137855"/>
    <w:rsid w:val="00140EDD"/>
    <w:rsid w:val="0014428F"/>
    <w:rsid w:val="001443DF"/>
    <w:rsid w:val="00144F5B"/>
    <w:rsid w:val="001452E9"/>
    <w:rsid w:val="001465F9"/>
    <w:rsid w:val="00150542"/>
    <w:rsid w:val="0015105E"/>
    <w:rsid w:val="001541E9"/>
    <w:rsid w:val="00154BA0"/>
    <w:rsid w:val="0016493B"/>
    <w:rsid w:val="001723AE"/>
    <w:rsid w:val="00172A25"/>
    <w:rsid w:val="00175AE2"/>
    <w:rsid w:val="001803F3"/>
    <w:rsid w:val="00180EEC"/>
    <w:rsid w:val="00183454"/>
    <w:rsid w:val="0018482F"/>
    <w:rsid w:val="001858B0"/>
    <w:rsid w:val="00185DEB"/>
    <w:rsid w:val="00190335"/>
    <w:rsid w:val="001908A7"/>
    <w:rsid w:val="00191FE3"/>
    <w:rsid w:val="00193B84"/>
    <w:rsid w:val="00194ADC"/>
    <w:rsid w:val="001977F9"/>
    <w:rsid w:val="001A2983"/>
    <w:rsid w:val="001A4F7C"/>
    <w:rsid w:val="001A7B83"/>
    <w:rsid w:val="001B092A"/>
    <w:rsid w:val="001B2CF4"/>
    <w:rsid w:val="001C457D"/>
    <w:rsid w:val="001C7AE1"/>
    <w:rsid w:val="001D120A"/>
    <w:rsid w:val="001D35D3"/>
    <w:rsid w:val="001D3ED0"/>
    <w:rsid w:val="001F1D47"/>
    <w:rsid w:val="001F2633"/>
    <w:rsid w:val="001F4C19"/>
    <w:rsid w:val="001F6E75"/>
    <w:rsid w:val="00200A13"/>
    <w:rsid w:val="00202A6B"/>
    <w:rsid w:val="00212E9A"/>
    <w:rsid w:val="00233D82"/>
    <w:rsid w:val="00236FA9"/>
    <w:rsid w:val="002371B5"/>
    <w:rsid w:val="0024133E"/>
    <w:rsid w:val="002414E0"/>
    <w:rsid w:val="00244481"/>
    <w:rsid w:val="00245F18"/>
    <w:rsid w:val="00253414"/>
    <w:rsid w:val="002534AE"/>
    <w:rsid w:val="002537FB"/>
    <w:rsid w:val="0025657C"/>
    <w:rsid w:val="00260EEF"/>
    <w:rsid w:val="00263243"/>
    <w:rsid w:val="002658AD"/>
    <w:rsid w:val="0027056C"/>
    <w:rsid w:val="002803F3"/>
    <w:rsid w:val="00283303"/>
    <w:rsid w:val="00283F0D"/>
    <w:rsid w:val="002900C8"/>
    <w:rsid w:val="002908A5"/>
    <w:rsid w:val="00293110"/>
    <w:rsid w:val="00294744"/>
    <w:rsid w:val="0029475C"/>
    <w:rsid w:val="00296EAA"/>
    <w:rsid w:val="00297796"/>
    <w:rsid w:val="002A0BC4"/>
    <w:rsid w:val="002A49D0"/>
    <w:rsid w:val="002A4F7C"/>
    <w:rsid w:val="002B0D8F"/>
    <w:rsid w:val="002B242C"/>
    <w:rsid w:val="002B2A6E"/>
    <w:rsid w:val="002C1DF8"/>
    <w:rsid w:val="002C1E81"/>
    <w:rsid w:val="002C3BD4"/>
    <w:rsid w:val="002C7248"/>
    <w:rsid w:val="002D23BB"/>
    <w:rsid w:val="002D3727"/>
    <w:rsid w:val="002E0DB9"/>
    <w:rsid w:val="002E2A9D"/>
    <w:rsid w:val="002E4A04"/>
    <w:rsid w:val="002E7A8C"/>
    <w:rsid w:val="002F08EE"/>
    <w:rsid w:val="002F1643"/>
    <w:rsid w:val="002F6F79"/>
    <w:rsid w:val="00304595"/>
    <w:rsid w:val="00311014"/>
    <w:rsid w:val="00315F59"/>
    <w:rsid w:val="00316F8F"/>
    <w:rsid w:val="00324B81"/>
    <w:rsid w:val="003259C7"/>
    <w:rsid w:val="00326D5F"/>
    <w:rsid w:val="00330031"/>
    <w:rsid w:val="00345C2A"/>
    <w:rsid w:val="00346429"/>
    <w:rsid w:val="003502A6"/>
    <w:rsid w:val="0035059A"/>
    <w:rsid w:val="00352B22"/>
    <w:rsid w:val="00353264"/>
    <w:rsid w:val="003542D5"/>
    <w:rsid w:val="003563A4"/>
    <w:rsid w:val="00360026"/>
    <w:rsid w:val="0036130F"/>
    <w:rsid w:val="003635FD"/>
    <w:rsid w:val="003717F2"/>
    <w:rsid w:val="00372E6C"/>
    <w:rsid w:val="00381E1E"/>
    <w:rsid w:val="00382FB6"/>
    <w:rsid w:val="00393EF0"/>
    <w:rsid w:val="003A0FA4"/>
    <w:rsid w:val="003A1A3E"/>
    <w:rsid w:val="003A33AE"/>
    <w:rsid w:val="003A33C4"/>
    <w:rsid w:val="003A3D60"/>
    <w:rsid w:val="003A6C54"/>
    <w:rsid w:val="003A754F"/>
    <w:rsid w:val="003C3A59"/>
    <w:rsid w:val="003C52EA"/>
    <w:rsid w:val="003C72FB"/>
    <w:rsid w:val="003D1C38"/>
    <w:rsid w:val="003E072F"/>
    <w:rsid w:val="003E7E8A"/>
    <w:rsid w:val="003F1893"/>
    <w:rsid w:val="003F374B"/>
    <w:rsid w:val="003F6483"/>
    <w:rsid w:val="00405A89"/>
    <w:rsid w:val="00410436"/>
    <w:rsid w:val="00410865"/>
    <w:rsid w:val="004127C4"/>
    <w:rsid w:val="00413490"/>
    <w:rsid w:val="00422AD7"/>
    <w:rsid w:val="0042393B"/>
    <w:rsid w:val="00430FF4"/>
    <w:rsid w:val="00432025"/>
    <w:rsid w:val="004335A6"/>
    <w:rsid w:val="00441CCF"/>
    <w:rsid w:val="004431AA"/>
    <w:rsid w:val="0044703C"/>
    <w:rsid w:val="0045091C"/>
    <w:rsid w:val="004511CE"/>
    <w:rsid w:val="00454806"/>
    <w:rsid w:val="00462204"/>
    <w:rsid w:val="0046304A"/>
    <w:rsid w:val="00470C77"/>
    <w:rsid w:val="004711A5"/>
    <w:rsid w:val="00471A6A"/>
    <w:rsid w:val="004722C4"/>
    <w:rsid w:val="004739FB"/>
    <w:rsid w:val="00485CB9"/>
    <w:rsid w:val="0049649F"/>
    <w:rsid w:val="004A6CEF"/>
    <w:rsid w:val="004B0342"/>
    <w:rsid w:val="004B04DA"/>
    <w:rsid w:val="004B1F9A"/>
    <w:rsid w:val="004B3069"/>
    <w:rsid w:val="004B70B6"/>
    <w:rsid w:val="004C2D5D"/>
    <w:rsid w:val="004C2F5B"/>
    <w:rsid w:val="004C313D"/>
    <w:rsid w:val="004C32FB"/>
    <w:rsid w:val="004C6F44"/>
    <w:rsid w:val="004D20EB"/>
    <w:rsid w:val="004E7D24"/>
    <w:rsid w:val="004F5DFE"/>
    <w:rsid w:val="00500A17"/>
    <w:rsid w:val="00511718"/>
    <w:rsid w:val="00512D38"/>
    <w:rsid w:val="00512E02"/>
    <w:rsid w:val="00517886"/>
    <w:rsid w:val="00520080"/>
    <w:rsid w:val="00541979"/>
    <w:rsid w:val="005507CC"/>
    <w:rsid w:val="005549B8"/>
    <w:rsid w:val="0056071E"/>
    <w:rsid w:val="005610FF"/>
    <w:rsid w:val="00561851"/>
    <w:rsid w:val="005622CC"/>
    <w:rsid w:val="005637FE"/>
    <w:rsid w:val="00565CC2"/>
    <w:rsid w:val="005737C2"/>
    <w:rsid w:val="005750CC"/>
    <w:rsid w:val="0058593F"/>
    <w:rsid w:val="005946EE"/>
    <w:rsid w:val="00596614"/>
    <w:rsid w:val="00597F5F"/>
    <w:rsid w:val="005A364B"/>
    <w:rsid w:val="005A3A0D"/>
    <w:rsid w:val="005B1C74"/>
    <w:rsid w:val="005B26AC"/>
    <w:rsid w:val="005B4D71"/>
    <w:rsid w:val="005B5936"/>
    <w:rsid w:val="005B7634"/>
    <w:rsid w:val="005B7920"/>
    <w:rsid w:val="005B79A2"/>
    <w:rsid w:val="005C20F4"/>
    <w:rsid w:val="005C2D1C"/>
    <w:rsid w:val="005C70B6"/>
    <w:rsid w:val="005D1391"/>
    <w:rsid w:val="005D3602"/>
    <w:rsid w:val="005D6944"/>
    <w:rsid w:val="005E7EB8"/>
    <w:rsid w:val="006043D0"/>
    <w:rsid w:val="006044A9"/>
    <w:rsid w:val="006053E2"/>
    <w:rsid w:val="006066C1"/>
    <w:rsid w:val="0061007E"/>
    <w:rsid w:val="00610C19"/>
    <w:rsid w:val="00613375"/>
    <w:rsid w:val="006204C5"/>
    <w:rsid w:val="006207C6"/>
    <w:rsid w:val="00630B5F"/>
    <w:rsid w:val="00632185"/>
    <w:rsid w:val="006335D4"/>
    <w:rsid w:val="00635B2C"/>
    <w:rsid w:val="006419C2"/>
    <w:rsid w:val="0064565E"/>
    <w:rsid w:val="00646277"/>
    <w:rsid w:val="006516E9"/>
    <w:rsid w:val="006612E1"/>
    <w:rsid w:val="00661C84"/>
    <w:rsid w:val="00664B4F"/>
    <w:rsid w:val="00672D6D"/>
    <w:rsid w:val="006750D9"/>
    <w:rsid w:val="00677229"/>
    <w:rsid w:val="00680D11"/>
    <w:rsid w:val="006922DB"/>
    <w:rsid w:val="00693E3B"/>
    <w:rsid w:val="006979D0"/>
    <w:rsid w:val="006A60FF"/>
    <w:rsid w:val="006A6766"/>
    <w:rsid w:val="006A6ABD"/>
    <w:rsid w:val="006B0127"/>
    <w:rsid w:val="006B0CB2"/>
    <w:rsid w:val="006B3563"/>
    <w:rsid w:val="006B7EC8"/>
    <w:rsid w:val="006C1D0C"/>
    <w:rsid w:val="006C47FA"/>
    <w:rsid w:val="006D0892"/>
    <w:rsid w:val="006D0CA2"/>
    <w:rsid w:val="006D1086"/>
    <w:rsid w:val="006D6639"/>
    <w:rsid w:val="006E04B0"/>
    <w:rsid w:val="006E17A3"/>
    <w:rsid w:val="006F000B"/>
    <w:rsid w:val="006F10D2"/>
    <w:rsid w:val="006F480C"/>
    <w:rsid w:val="00701199"/>
    <w:rsid w:val="00717BAE"/>
    <w:rsid w:val="007216C5"/>
    <w:rsid w:val="007276AC"/>
    <w:rsid w:val="00731B07"/>
    <w:rsid w:val="00732E24"/>
    <w:rsid w:val="007503D7"/>
    <w:rsid w:val="00754CEA"/>
    <w:rsid w:val="00761F9F"/>
    <w:rsid w:val="00762391"/>
    <w:rsid w:val="00764FFB"/>
    <w:rsid w:val="00766E13"/>
    <w:rsid w:val="00767BDD"/>
    <w:rsid w:val="00771D67"/>
    <w:rsid w:val="007755FC"/>
    <w:rsid w:val="0078353F"/>
    <w:rsid w:val="0078384A"/>
    <w:rsid w:val="007877F0"/>
    <w:rsid w:val="007A1FBE"/>
    <w:rsid w:val="007A3A10"/>
    <w:rsid w:val="007A623B"/>
    <w:rsid w:val="007A7838"/>
    <w:rsid w:val="007B1039"/>
    <w:rsid w:val="007B2BEA"/>
    <w:rsid w:val="007C17C2"/>
    <w:rsid w:val="007C73FD"/>
    <w:rsid w:val="007C7D8C"/>
    <w:rsid w:val="007D4D2E"/>
    <w:rsid w:val="007E0663"/>
    <w:rsid w:val="007E1447"/>
    <w:rsid w:val="007E3946"/>
    <w:rsid w:val="007F7745"/>
    <w:rsid w:val="00802D4F"/>
    <w:rsid w:val="00803B85"/>
    <w:rsid w:val="008051E8"/>
    <w:rsid w:val="00805548"/>
    <w:rsid w:val="008057EF"/>
    <w:rsid w:val="008103C7"/>
    <w:rsid w:val="0081296E"/>
    <w:rsid w:val="00813A40"/>
    <w:rsid w:val="00837154"/>
    <w:rsid w:val="0084199D"/>
    <w:rsid w:val="008432AC"/>
    <w:rsid w:val="00844EF2"/>
    <w:rsid w:val="008501D3"/>
    <w:rsid w:val="008532E8"/>
    <w:rsid w:val="00853577"/>
    <w:rsid w:val="0085418D"/>
    <w:rsid w:val="00855C0A"/>
    <w:rsid w:val="00860192"/>
    <w:rsid w:val="00860A9B"/>
    <w:rsid w:val="0088177F"/>
    <w:rsid w:val="00882BAB"/>
    <w:rsid w:val="008838B8"/>
    <w:rsid w:val="00885CA9"/>
    <w:rsid w:val="008919B8"/>
    <w:rsid w:val="0089268F"/>
    <w:rsid w:val="0089574F"/>
    <w:rsid w:val="00897DCA"/>
    <w:rsid w:val="008A7E69"/>
    <w:rsid w:val="008B4BBC"/>
    <w:rsid w:val="008B6E02"/>
    <w:rsid w:val="008C12AB"/>
    <w:rsid w:val="008C15DB"/>
    <w:rsid w:val="008C4316"/>
    <w:rsid w:val="008C699A"/>
    <w:rsid w:val="008D3124"/>
    <w:rsid w:val="008D44E3"/>
    <w:rsid w:val="008D4A42"/>
    <w:rsid w:val="008D620F"/>
    <w:rsid w:val="008D6E9C"/>
    <w:rsid w:val="008E20BD"/>
    <w:rsid w:val="008E41B2"/>
    <w:rsid w:val="008E4676"/>
    <w:rsid w:val="008E6FE9"/>
    <w:rsid w:val="008E7F4A"/>
    <w:rsid w:val="008F40D0"/>
    <w:rsid w:val="009019B8"/>
    <w:rsid w:val="009028F8"/>
    <w:rsid w:val="00902F8F"/>
    <w:rsid w:val="009050CA"/>
    <w:rsid w:val="0090521D"/>
    <w:rsid w:val="00905DAD"/>
    <w:rsid w:val="00924D29"/>
    <w:rsid w:val="009268C9"/>
    <w:rsid w:val="009272D8"/>
    <w:rsid w:val="0092768C"/>
    <w:rsid w:val="0093178C"/>
    <w:rsid w:val="00932212"/>
    <w:rsid w:val="00937166"/>
    <w:rsid w:val="00941260"/>
    <w:rsid w:val="00950BB2"/>
    <w:rsid w:val="009520DA"/>
    <w:rsid w:val="00955903"/>
    <w:rsid w:val="00956003"/>
    <w:rsid w:val="00960D98"/>
    <w:rsid w:val="00966DF5"/>
    <w:rsid w:val="009748DC"/>
    <w:rsid w:val="00976421"/>
    <w:rsid w:val="00976D5C"/>
    <w:rsid w:val="00977199"/>
    <w:rsid w:val="00980E77"/>
    <w:rsid w:val="00981EAB"/>
    <w:rsid w:val="009836D5"/>
    <w:rsid w:val="00987D7D"/>
    <w:rsid w:val="00993C1E"/>
    <w:rsid w:val="009A3016"/>
    <w:rsid w:val="009A33AF"/>
    <w:rsid w:val="009A5259"/>
    <w:rsid w:val="009A6709"/>
    <w:rsid w:val="009A7498"/>
    <w:rsid w:val="009B0507"/>
    <w:rsid w:val="009B6A98"/>
    <w:rsid w:val="009C27BB"/>
    <w:rsid w:val="009C500D"/>
    <w:rsid w:val="009D065A"/>
    <w:rsid w:val="009D6086"/>
    <w:rsid w:val="009D636B"/>
    <w:rsid w:val="009D716A"/>
    <w:rsid w:val="009E34C1"/>
    <w:rsid w:val="009E58D3"/>
    <w:rsid w:val="009E706C"/>
    <w:rsid w:val="009F1229"/>
    <w:rsid w:val="009F6823"/>
    <w:rsid w:val="00A01BAE"/>
    <w:rsid w:val="00A07D27"/>
    <w:rsid w:val="00A12319"/>
    <w:rsid w:val="00A12A35"/>
    <w:rsid w:val="00A2084C"/>
    <w:rsid w:val="00A22521"/>
    <w:rsid w:val="00A22D9F"/>
    <w:rsid w:val="00A2785A"/>
    <w:rsid w:val="00A27FEC"/>
    <w:rsid w:val="00A30A7B"/>
    <w:rsid w:val="00A337A5"/>
    <w:rsid w:val="00A34A33"/>
    <w:rsid w:val="00A36685"/>
    <w:rsid w:val="00A43264"/>
    <w:rsid w:val="00A474E7"/>
    <w:rsid w:val="00A47CE6"/>
    <w:rsid w:val="00A52262"/>
    <w:rsid w:val="00A52FDD"/>
    <w:rsid w:val="00A66203"/>
    <w:rsid w:val="00A668FD"/>
    <w:rsid w:val="00A75D7B"/>
    <w:rsid w:val="00A77894"/>
    <w:rsid w:val="00A8583B"/>
    <w:rsid w:val="00A942AC"/>
    <w:rsid w:val="00AA2E48"/>
    <w:rsid w:val="00AA7A7A"/>
    <w:rsid w:val="00AC1A0E"/>
    <w:rsid w:val="00AC3446"/>
    <w:rsid w:val="00AC377D"/>
    <w:rsid w:val="00AC7A18"/>
    <w:rsid w:val="00AD0E17"/>
    <w:rsid w:val="00AD2ACD"/>
    <w:rsid w:val="00AD41EA"/>
    <w:rsid w:val="00AD6370"/>
    <w:rsid w:val="00AD79D4"/>
    <w:rsid w:val="00AE37E3"/>
    <w:rsid w:val="00AE5333"/>
    <w:rsid w:val="00AE5EC2"/>
    <w:rsid w:val="00AF2281"/>
    <w:rsid w:val="00B02792"/>
    <w:rsid w:val="00B05D63"/>
    <w:rsid w:val="00B07322"/>
    <w:rsid w:val="00B10091"/>
    <w:rsid w:val="00B12345"/>
    <w:rsid w:val="00B14BA4"/>
    <w:rsid w:val="00B1644E"/>
    <w:rsid w:val="00B170C2"/>
    <w:rsid w:val="00B2674B"/>
    <w:rsid w:val="00B3307E"/>
    <w:rsid w:val="00B35252"/>
    <w:rsid w:val="00B35D7B"/>
    <w:rsid w:val="00B37D6B"/>
    <w:rsid w:val="00B4276F"/>
    <w:rsid w:val="00B44386"/>
    <w:rsid w:val="00B457B0"/>
    <w:rsid w:val="00B5068D"/>
    <w:rsid w:val="00B5345C"/>
    <w:rsid w:val="00B549F8"/>
    <w:rsid w:val="00B618F5"/>
    <w:rsid w:val="00B62A85"/>
    <w:rsid w:val="00B67F0A"/>
    <w:rsid w:val="00B838E2"/>
    <w:rsid w:val="00B8503A"/>
    <w:rsid w:val="00B9018E"/>
    <w:rsid w:val="00B936A4"/>
    <w:rsid w:val="00B9628A"/>
    <w:rsid w:val="00BA1168"/>
    <w:rsid w:val="00BA15E1"/>
    <w:rsid w:val="00BA34ED"/>
    <w:rsid w:val="00BA6294"/>
    <w:rsid w:val="00BA65C7"/>
    <w:rsid w:val="00BA6E3E"/>
    <w:rsid w:val="00BA76F7"/>
    <w:rsid w:val="00BB1418"/>
    <w:rsid w:val="00BB1D41"/>
    <w:rsid w:val="00BB3352"/>
    <w:rsid w:val="00BB3E7E"/>
    <w:rsid w:val="00BB78FE"/>
    <w:rsid w:val="00BC188A"/>
    <w:rsid w:val="00BC3A28"/>
    <w:rsid w:val="00BC4810"/>
    <w:rsid w:val="00BC63FD"/>
    <w:rsid w:val="00BC722E"/>
    <w:rsid w:val="00BD030A"/>
    <w:rsid w:val="00BD5847"/>
    <w:rsid w:val="00BD62BF"/>
    <w:rsid w:val="00BE456C"/>
    <w:rsid w:val="00BF26EC"/>
    <w:rsid w:val="00BF4413"/>
    <w:rsid w:val="00C01EA6"/>
    <w:rsid w:val="00C036AA"/>
    <w:rsid w:val="00C048D4"/>
    <w:rsid w:val="00C12892"/>
    <w:rsid w:val="00C12B94"/>
    <w:rsid w:val="00C12DEC"/>
    <w:rsid w:val="00C15705"/>
    <w:rsid w:val="00C16E50"/>
    <w:rsid w:val="00C20747"/>
    <w:rsid w:val="00C2584C"/>
    <w:rsid w:val="00C275D1"/>
    <w:rsid w:val="00C3154D"/>
    <w:rsid w:val="00C34B4D"/>
    <w:rsid w:val="00C355FB"/>
    <w:rsid w:val="00C363FE"/>
    <w:rsid w:val="00C3744E"/>
    <w:rsid w:val="00C4261C"/>
    <w:rsid w:val="00C45400"/>
    <w:rsid w:val="00C51E2B"/>
    <w:rsid w:val="00C54DCA"/>
    <w:rsid w:val="00C6231B"/>
    <w:rsid w:val="00C63272"/>
    <w:rsid w:val="00C649EB"/>
    <w:rsid w:val="00C722B8"/>
    <w:rsid w:val="00C74004"/>
    <w:rsid w:val="00C76C30"/>
    <w:rsid w:val="00C8103E"/>
    <w:rsid w:val="00C81B60"/>
    <w:rsid w:val="00C841FC"/>
    <w:rsid w:val="00C9014E"/>
    <w:rsid w:val="00C914B5"/>
    <w:rsid w:val="00C93374"/>
    <w:rsid w:val="00C9392F"/>
    <w:rsid w:val="00C9410A"/>
    <w:rsid w:val="00CA0163"/>
    <w:rsid w:val="00CA40FB"/>
    <w:rsid w:val="00CA4C78"/>
    <w:rsid w:val="00CA700D"/>
    <w:rsid w:val="00CB2DB6"/>
    <w:rsid w:val="00CC3C3F"/>
    <w:rsid w:val="00CC53FA"/>
    <w:rsid w:val="00CC542F"/>
    <w:rsid w:val="00CC717D"/>
    <w:rsid w:val="00CD315F"/>
    <w:rsid w:val="00CD3B5A"/>
    <w:rsid w:val="00CD4604"/>
    <w:rsid w:val="00CD65C8"/>
    <w:rsid w:val="00CE17A4"/>
    <w:rsid w:val="00CE4D4D"/>
    <w:rsid w:val="00CE6874"/>
    <w:rsid w:val="00CF267D"/>
    <w:rsid w:val="00CF4963"/>
    <w:rsid w:val="00CF778E"/>
    <w:rsid w:val="00D0151F"/>
    <w:rsid w:val="00D04871"/>
    <w:rsid w:val="00D0714A"/>
    <w:rsid w:val="00D07753"/>
    <w:rsid w:val="00D22881"/>
    <w:rsid w:val="00D261D4"/>
    <w:rsid w:val="00D30C51"/>
    <w:rsid w:val="00D329D8"/>
    <w:rsid w:val="00D34CDB"/>
    <w:rsid w:val="00D42753"/>
    <w:rsid w:val="00D43658"/>
    <w:rsid w:val="00D43E18"/>
    <w:rsid w:val="00D520DD"/>
    <w:rsid w:val="00D53150"/>
    <w:rsid w:val="00D540DD"/>
    <w:rsid w:val="00D5448A"/>
    <w:rsid w:val="00D60F56"/>
    <w:rsid w:val="00D62AB4"/>
    <w:rsid w:val="00D6712E"/>
    <w:rsid w:val="00D75FF0"/>
    <w:rsid w:val="00D81122"/>
    <w:rsid w:val="00D82B08"/>
    <w:rsid w:val="00D86CB8"/>
    <w:rsid w:val="00D9545A"/>
    <w:rsid w:val="00D96C36"/>
    <w:rsid w:val="00D97A9D"/>
    <w:rsid w:val="00DA258B"/>
    <w:rsid w:val="00DA5D3F"/>
    <w:rsid w:val="00DB04E7"/>
    <w:rsid w:val="00DB0F05"/>
    <w:rsid w:val="00DB2035"/>
    <w:rsid w:val="00DC234C"/>
    <w:rsid w:val="00DC41BE"/>
    <w:rsid w:val="00DC4E85"/>
    <w:rsid w:val="00DC6630"/>
    <w:rsid w:val="00DD0BCF"/>
    <w:rsid w:val="00DD6BCC"/>
    <w:rsid w:val="00DE286B"/>
    <w:rsid w:val="00DE38C7"/>
    <w:rsid w:val="00DF3FA6"/>
    <w:rsid w:val="00E024B7"/>
    <w:rsid w:val="00E0337A"/>
    <w:rsid w:val="00E048C5"/>
    <w:rsid w:val="00E05F74"/>
    <w:rsid w:val="00E0633C"/>
    <w:rsid w:val="00E07C04"/>
    <w:rsid w:val="00E07D52"/>
    <w:rsid w:val="00E10C41"/>
    <w:rsid w:val="00E1180D"/>
    <w:rsid w:val="00E2514B"/>
    <w:rsid w:val="00E27012"/>
    <w:rsid w:val="00E27C9C"/>
    <w:rsid w:val="00E31E90"/>
    <w:rsid w:val="00E32BA4"/>
    <w:rsid w:val="00E35296"/>
    <w:rsid w:val="00E35C39"/>
    <w:rsid w:val="00E37381"/>
    <w:rsid w:val="00E412BC"/>
    <w:rsid w:val="00E417C7"/>
    <w:rsid w:val="00E47753"/>
    <w:rsid w:val="00E47D3D"/>
    <w:rsid w:val="00E54E88"/>
    <w:rsid w:val="00E553F3"/>
    <w:rsid w:val="00E57024"/>
    <w:rsid w:val="00E57488"/>
    <w:rsid w:val="00E60191"/>
    <w:rsid w:val="00E7204A"/>
    <w:rsid w:val="00E72335"/>
    <w:rsid w:val="00E74638"/>
    <w:rsid w:val="00E855F9"/>
    <w:rsid w:val="00E8562A"/>
    <w:rsid w:val="00E9243E"/>
    <w:rsid w:val="00E954C8"/>
    <w:rsid w:val="00E970E4"/>
    <w:rsid w:val="00E976A4"/>
    <w:rsid w:val="00EA2DA3"/>
    <w:rsid w:val="00EA44C7"/>
    <w:rsid w:val="00EA63BE"/>
    <w:rsid w:val="00EA67FB"/>
    <w:rsid w:val="00EB0293"/>
    <w:rsid w:val="00EB0806"/>
    <w:rsid w:val="00EB0E1E"/>
    <w:rsid w:val="00EB26E3"/>
    <w:rsid w:val="00EB4AF2"/>
    <w:rsid w:val="00EB795C"/>
    <w:rsid w:val="00ED179F"/>
    <w:rsid w:val="00ED7A03"/>
    <w:rsid w:val="00EE1683"/>
    <w:rsid w:val="00EE22A5"/>
    <w:rsid w:val="00EE3BFA"/>
    <w:rsid w:val="00EF65D8"/>
    <w:rsid w:val="00EF72F6"/>
    <w:rsid w:val="00F04452"/>
    <w:rsid w:val="00F07253"/>
    <w:rsid w:val="00F149BC"/>
    <w:rsid w:val="00F21F89"/>
    <w:rsid w:val="00F2602D"/>
    <w:rsid w:val="00F2637D"/>
    <w:rsid w:val="00F27AE8"/>
    <w:rsid w:val="00F3050E"/>
    <w:rsid w:val="00F35C17"/>
    <w:rsid w:val="00F46DCE"/>
    <w:rsid w:val="00F514C3"/>
    <w:rsid w:val="00F51743"/>
    <w:rsid w:val="00F5654B"/>
    <w:rsid w:val="00F56AB1"/>
    <w:rsid w:val="00F6025C"/>
    <w:rsid w:val="00F6226D"/>
    <w:rsid w:val="00F6300B"/>
    <w:rsid w:val="00F63DA2"/>
    <w:rsid w:val="00F6620E"/>
    <w:rsid w:val="00F7366E"/>
    <w:rsid w:val="00F87DE0"/>
    <w:rsid w:val="00F9026C"/>
    <w:rsid w:val="00F931CC"/>
    <w:rsid w:val="00F95B23"/>
    <w:rsid w:val="00F96D86"/>
    <w:rsid w:val="00FA037D"/>
    <w:rsid w:val="00FA59B9"/>
    <w:rsid w:val="00FA59E5"/>
    <w:rsid w:val="00FA705E"/>
    <w:rsid w:val="00FB1894"/>
    <w:rsid w:val="00FB479E"/>
    <w:rsid w:val="00FC1420"/>
    <w:rsid w:val="00FC343F"/>
    <w:rsid w:val="00FC38CF"/>
    <w:rsid w:val="00FD2D2A"/>
    <w:rsid w:val="00FD2D89"/>
    <w:rsid w:val="00FD3269"/>
    <w:rsid w:val="00FE59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49111"/>
  <w15:chartTrackingRefBased/>
  <w15:docId w15:val="{5E1CAFAB-412A-47A5-88A5-EAD62C60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7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5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D7B"/>
    <w:rPr>
      <w:noProof/>
      <w:kern w:val="0"/>
      <w:sz w:val="20"/>
      <w:szCs w:val="20"/>
      <w14:ligatures w14:val="none"/>
    </w:rPr>
  </w:style>
  <w:style w:type="character" w:styleId="FootnoteReference">
    <w:name w:val="footnote reference"/>
    <w:basedOn w:val="DefaultParagraphFont"/>
    <w:uiPriority w:val="99"/>
    <w:semiHidden/>
    <w:unhideWhenUsed/>
    <w:rsid w:val="00B35D7B"/>
    <w:rPr>
      <w:vertAlign w:val="superscript"/>
    </w:rPr>
  </w:style>
  <w:style w:type="paragraph" w:styleId="Caption">
    <w:name w:val="caption"/>
    <w:basedOn w:val="Normal"/>
    <w:next w:val="Normal"/>
    <w:uiPriority w:val="35"/>
    <w:unhideWhenUsed/>
    <w:qFormat/>
    <w:rsid w:val="00B35D7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B35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D7B"/>
    <w:rPr>
      <w:noProof/>
      <w:kern w:val="0"/>
      <w14:ligatures w14:val="none"/>
    </w:rPr>
  </w:style>
  <w:style w:type="paragraph" w:styleId="NormalWeb">
    <w:name w:val="Normal (Web)"/>
    <w:basedOn w:val="Normal"/>
    <w:uiPriority w:val="99"/>
    <w:semiHidden/>
    <w:unhideWhenUsed/>
    <w:rsid w:val="000A4D1D"/>
    <w:pPr>
      <w:spacing w:before="100" w:beforeAutospacing="1" w:after="100" w:afterAutospacing="1" w:line="240" w:lineRule="auto"/>
    </w:pPr>
    <w:rPr>
      <w:rFonts w:ascii="Times New Roman" w:eastAsia="Times New Roman" w:hAnsi="Times New Roman" w:cs="Times New Roman"/>
      <w:sz w:val="24"/>
      <w:szCs w:val="24"/>
      <w:lang/>
    </w:rPr>
  </w:style>
  <w:style w:type="paragraph" w:styleId="ListParagraph">
    <w:name w:val="List Paragraph"/>
    <w:basedOn w:val="Normal"/>
    <w:uiPriority w:val="34"/>
    <w:qFormat/>
    <w:rsid w:val="0090521D"/>
    <w:pPr>
      <w:ind w:left="720"/>
      <w:contextualSpacing/>
    </w:pPr>
  </w:style>
  <w:style w:type="paragraph" w:customStyle="1" w:styleId="Style1">
    <w:name w:val="Style1"/>
    <w:basedOn w:val="Normal"/>
    <w:link w:val="Style1Char"/>
    <w:qFormat/>
    <w:rsid w:val="007A7838"/>
    <w:pPr>
      <w:spacing w:line="360" w:lineRule="auto"/>
      <w:jc w:val="both"/>
    </w:pPr>
    <w:rPr>
      <w:rFonts w:asciiTheme="majorBidi" w:hAnsiTheme="majorBidi" w:cstheme="majorBidi"/>
      <w:b/>
      <w:bCs/>
      <w:sz w:val="24"/>
      <w:szCs w:val="24"/>
    </w:rPr>
  </w:style>
  <w:style w:type="character" w:customStyle="1" w:styleId="Style1Char">
    <w:name w:val="Style1 Char"/>
    <w:basedOn w:val="DefaultParagraphFont"/>
    <w:link w:val="Style1"/>
    <w:rsid w:val="007A7838"/>
    <w:rPr>
      <w:rFonts w:asciiTheme="majorBidi" w:hAnsiTheme="majorBidi" w:cstheme="majorBidi"/>
      <w:b/>
      <w:bCs/>
      <w:noProof/>
      <w:kern w:val="0"/>
      <w:sz w:val="24"/>
      <w:szCs w:val="24"/>
      <w14:ligatures w14:val="none"/>
    </w:rPr>
  </w:style>
  <w:style w:type="paragraph" w:styleId="Header">
    <w:name w:val="header"/>
    <w:basedOn w:val="Normal"/>
    <w:link w:val="HeaderChar"/>
    <w:uiPriority w:val="99"/>
    <w:unhideWhenUsed/>
    <w:rsid w:val="00B07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22"/>
    <w:rPr>
      <w:noProof/>
      <w:kern w:val="0"/>
      <w14:ligatures w14:val="none"/>
    </w:rPr>
  </w:style>
  <w:style w:type="character" w:styleId="CommentReference">
    <w:name w:val="annotation reference"/>
    <w:basedOn w:val="DefaultParagraphFont"/>
    <w:uiPriority w:val="99"/>
    <w:semiHidden/>
    <w:unhideWhenUsed/>
    <w:rsid w:val="00E1180D"/>
    <w:rPr>
      <w:sz w:val="16"/>
      <w:szCs w:val="16"/>
    </w:rPr>
  </w:style>
  <w:style w:type="paragraph" w:styleId="CommentText">
    <w:name w:val="annotation text"/>
    <w:basedOn w:val="Normal"/>
    <w:link w:val="CommentTextChar"/>
    <w:uiPriority w:val="99"/>
    <w:unhideWhenUsed/>
    <w:rsid w:val="00E1180D"/>
    <w:pPr>
      <w:spacing w:line="240" w:lineRule="auto"/>
    </w:pPr>
    <w:rPr>
      <w:sz w:val="20"/>
      <w:szCs w:val="20"/>
    </w:rPr>
  </w:style>
  <w:style w:type="character" w:customStyle="1" w:styleId="CommentTextChar">
    <w:name w:val="Comment Text Char"/>
    <w:basedOn w:val="DefaultParagraphFont"/>
    <w:link w:val="CommentText"/>
    <w:uiPriority w:val="99"/>
    <w:rsid w:val="00E1180D"/>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180D"/>
    <w:rPr>
      <w:b/>
      <w:bCs/>
    </w:rPr>
  </w:style>
  <w:style w:type="character" w:customStyle="1" w:styleId="CommentSubjectChar">
    <w:name w:val="Comment Subject Char"/>
    <w:basedOn w:val="CommentTextChar"/>
    <w:link w:val="CommentSubject"/>
    <w:uiPriority w:val="99"/>
    <w:semiHidden/>
    <w:rsid w:val="00E1180D"/>
    <w:rPr>
      <w:b/>
      <w:bCs/>
      <w:noProof/>
      <w:kern w:val="0"/>
      <w:sz w:val="20"/>
      <w:szCs w:val="20"/>
      <w14:ligatures w14:val="none"/>
    </w:rPr>
  </w:style>
  <w:style w:type="table" w:styleId="PlainTable3">
    <w:name w:val="Plain Table 3"/>
    <w:basedOn w:val="TableNormal"/>
    <w:uiPriority w:val="43"/>
    <w:rsid w:val="00E07D52"/>
    <w:pPr>
      <w:spacing w:after="0" w:line="240" w:lineRule="auto"/>
    </w:pPr>
    <w:rPr>
      <w:sz w:val="24"/>
      <w:szCs w:val="24"/>
      <w:lang/>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1F6E75"/>
    <w:rPr>
      <w:color w:val="0000FF"/>
      <w:u w:val="single"/>
    </w:rPr>
  </w:style>
  <w:style w:type="character" w:styleId="UnresolvedMention">
    <w:name w:val="Unresolved Mention"/>
    <w:basedOn w:val="DefaultParagraphFont"/>
    <w:uiPriority w:val="99"/>
    <w:semiHidden/>
    <w:unhideWhenUsed/>
    <w:rsid w:val="002E0DB9"/>
    <w:rPr>
      <w:color w:val="605E5C"/>
      <w:shd w:val="clear" w:color="auto" w:fill="E1DFDD"/>
    </w:rPr>
  </w:style>
  <w:style w:type="paragraph" w:styleId="Revision">
    <w:name w:val="Revision"/>
    <w:hidden/>
    <w:uiPriority w:val="99"/>
    <w:semiHidden/>
    <w:rsid w:val="00CC3C3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60860">
      <w:bodyDiv w:val="1"/>
      <w:marLeft w:val="0"/>
      <w:marRight w:val="0"/>
      <w:marTop w:val="0"/>
      <w:marBottom w:val="0"/>
      <w:divBdr>
        <w:top w:val="none" w:sz="0" w:space="0" w:color="auto"/>
        <w:left w:val="none" w:sz="0" w:space="0" w:color="auto"/>
        <w:bottom w:val="none" w:sz="0" w:space="0" w:color="auto"/>
        <w:right w:val="none" w:sz="0" w:space="0" w:color="auto"/>
      </w:divBdr>
      <w:divsChild>
        <w:div w:id="2054426433">
          <w:marLeft w:val="0"/>
          <w:marRight w:val="0"/>
          <w:marTop w:val="0"/>
          <w:marBottom w:val="0"/>
          <w:divBdr>
            <w:top w:val="none" w:sz="0" w:space="0" w:color="auto"/>
            <w:left w:val="none" w:sz="0" w:space="0" w:color="auto"/>
            <w:bottom w:val="none" w:sz="0" w:space="0" w:color="auto"/>
            <w:right w:val="none" w:sz="0" w:space="0" w:color="auto"/>
          </w:divBdr>
          <w:divsChild>
            <w:div w:id="20701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4535">
      <w:bodyDiv w:val="1"/>
      <w:marLeft w:val="0"/>
      <w:marRight w:val="0"/>
      <w:marTop w:val="0"/>
      <w:marBottom w:val="0"/>
      <w:divBdr>
        <w:top w:val="none" w:sz="0" w:space="0" w:color="auto"/>
        <w:left w:val="none" w:sz="0" w:space="0" w:color="auto"/>
        <w:bottom w:val="none" w:sz="0" w:space="0" w:color="auto"/>
        <w:right w:val="none" w:sz="0" w:space="0" w:color="auto"/>
      </w:divBdr>
      <w:divsChild>
        <w:div w:id="624312356">
          <w:marLeft w:val="480"/>
          <w:marRight w:val="0"/>
          <w:marTop w:val="0"/>
          <w:marBottom w:val="0"/>
          <w:divBdr>
            <w:top w:val="none" w:sz="0" w:space="0" w:color="auto"/>
            <w:left w:val="none" w:sz="0" w:space="0" w:color="auto"/>
            <w:bottom w:val="none" w:sz="0" w:space="0" w:color="auto"/>
            <w:right w:val="none" w:sz="0" w:space="0" w:color="auto"/>
          </w:divBdr>
          <w:divsChild>
            <w:div w:id="1106004251">
              <w:marLeft w:val="0"/>
              <w:marRight w:val="0"/>
              <w:marTop w:val="0"/>
              <w:marBottom w:val="0"/>
              <w:divBdr>
                <w:top w:val="none" w:sz="0" w:space="0" w:color="auto"/>
                <w:left w:val="none" w:sz="0" w:space="0" w:color="auto"/>
                <w:bottom w:val="none" w:sz="0" w:space="0" w:color="auto"/>
                <w:right w:val="none" w:sz="0" w:space="0" w:color="auto"/>
              </w:divBdr>
            </w:div>
            <w:div w:id="1070422914">
              <w:marLeft w:val="0"/>
              <w:marRight w:val="0"/>
              <w:marTop w:val="0"/>
              <w:marBottom w:val="0"/>
              <w:divBdr>
                <w:top w:val="none" w:sz="0" w:space="0" w:color="auto"/>
                <w:left w:val="none" w:sz="0" w:space="0" w:color="auto"/>
                <w:bottom w:val="none" w:sz="0" w:space="0" w:color="auto"/>
                <w:right w:val="none" w:sz="0" w:space="0" w:color="auto"/>
              </w:divBdr>
            </w:div>
            <w:div w:id="781650109">
              <w:marLeft w:val="0"/>
              <w:marRight w:val="0"/>
              <w:marTop w:val="0"/>
              <w:marBottom w:val="0"/>
              <w:divBdr>
                <w:top w:val="none" w:sz="0" w:space="0" w:color="auto"/>
                <w:left w:val="none" w:sz="0" w:space="0" w:color="auto"/>
                <w:bottom w:val="none" w:sz="0" w:space="0" w:color="auto"/>
                <w:right w:val="none" w:sz="0" w:space="0" w:color="auto"/>
              </w:divBdr>
            </w:div>
            <w:div w:id="1478374884">
              <w:marLeft w:val="0"/>
              <w:marRight w:val="0"/>
              <w:marTop w:val="0"/>
              <w:marBottom w:val="0"/>
              <w:divBdr>
                <w:top w:val="none" w:sz="0" w:space="0" w:color="auto"/>
                <w:left w:val="none" w:sz="0" w:space="0" w:color="auto"/>
                <w:bottom w:val="none" w:sz="0" w:space="0" w:color="auto"/>
                <w:right w:val="none" w:sz="0" w:space="0" w:color="auto"/>
              </w:divBdr>
            </w:div>
            <w:div w:id="2122994060">
              <w:marLeft w:val="0"/>
              <w:marRight w:val="0"/>
              <w:marTop w:val="0"/>
              <w:marBottom w:val="0"/>
              <w:divBdr>
                <w:top w:val="none" w:sz="0" w:space="0" w:color="auto"/>
                <w:left w:val="none" w:sz="0" w:space="0" w:color="auto"/>
                <w:bottom w:val="none" w:sz="0" w:space="0" w:color="auto"/>
                <w:right w:val="none" w:sz="0" w:space="0" w:color="auto"/>
              </w:divBdr>
            </w:div>
            <w:div w:id="291519071">
              <w:marLeft w:val="0"/>
              <w:marRight w:val="0"/>
              <w:marTop w:val="0"/>
              <w:marBottom w:val="0"/>
              <w:divBdr>
                <w:top w:val="none" w:sz="0" w:space="0" w:color="auto"/>
                <w:left w:val="none" w:sz="0" w:space="0" w:color="auto"/>
                <w:bottom w:val="none" w:sz="0" w:space="0" w:color="auto"/>
                <w:right w:val="none" w:sz="0" w:space="0" w:color="auto"/>
              </w:divBdr>
            </w:div>
            <w:div w:id="1807889649">
              <w:marLeft w:val="0"/>
              <w:marRight w:val="0"/>
              <w:marTop w:val="0"/>
              <w:marBottom w:val="0"/>
              <w:divBdr>
                <w:top w:val="none" w:sz="0" w:space="0" w:color="auto"/>
                <w:left w:val="none" w:sz="0" w:space="0" w:color="auto"/>
                <w:bottom w:val="none" w:sz="0" w:space="0" w:color="auto"/>
                <w:right w:val="none" w:sz="0" w:space="0" w:color="auto"/>
              </w:divBdr>
            </w:div>
            <w:div w:id="502546282">
              <w:marLeft w:val="0"/>
              <w:marRight w:val="0"/>
              <w:marTop w:val="0"/>
              <w:marBottom w:val="0"/>
              <w:divBdr>
                <w:top w:val="none" w:sz="0" w:space="0" w:color="auto"/>
                <w:left w:val="none" w:sz="0" w:space="0" w:color="auto"/>
                <w:bottom w:val="none" w:sz="0" w:space="0" w:color="auto"/>
                <w:right w:val="none" w:sz="0" w:space="0" w:color="auto"/>
              </w:divBdr>
            </w:div>
            <w:div w:id="1578786738">
              <w:marLeft w:val="0"/>
              <w:marRight w:val="0"/>
              <w:marTop w:val="0"/>
              <w:marBottom w:val="0"/>
              <w:divBdr>
                <w:top w:val="none" w:sz="0" w:space="0" w:color="auto"/>
                <w:left w:val="none" w:sz="0" w:space="0" w:color="auto"/>
                <w:bottom w:val="none" w:sz="0" w:space="0" w:color="auto"/>
                <w:right w:val="none" w:sz="0" w:space="0" w:color="auto"/>
              </w:divBdr>
            </w:div>
            <w:div w:id="1536892179">
              <w:marLeft w:val="0"/>
              <w:marRight w:val="0"/>
              <w:marTop w:val="0"/>
              <w:marBottom w:val="0"/>
              <w:divBdr>
                <w:top w:val="none" w:sz="0" w:space="0" w:color="auto"/>
                <w:left w:val="none" w:sz="0" w:space="0" w:color="auto"/>
                <w:bottom w:val="none" w:sz="0" w:space="0" w:color="auto"/>
                <w:right w:val="none" w:sz="0" w:space="0" w:color="auto"/>
              </w:divBdr>
            </w:div>
            <w:div w:id="1682852449">
              <w:marLeft w:val="0"/>
              <w:marRight w:val="0"/>
              <w:marTop w:val="0"/>
              <w:marBottom w:val="0"/>
              <w:divBdr>
                <w:top w:val="none" w:sz="0" w:space="0" w:color="auto"/>
                <w:left w:val="none" w:sz="0" w:space="0" w:color="auto"/>
                <w:bottom w:val="none" w:sz="0" w:space="0" w:color="auto"/>
                <w:right w:val="none" w:sz="0" w:space="0" w:color="auto"/>
              </w:divBdr>
            </w:div>
            <w:div w:id="79178660">
              <w:marLeft w:val="0"/>
              <w:marRight w:val="0"/>
              <w:marTop w:val="0"/>
              <w:marBottom w:val="0"/>
              <w:divBdr>
                <w:top w:val="none" w:sz="0" w:space="0" w:color="auto"/>
                <w:left w:val="none" w:sz="0" w:space="0" w:color="auto"/>
                <w:bottom w:val="none" w:sz="0" w:space="0" w:color="auto"/>
                <w:right w:val="none" w:sz="0" w:space="0" w:color="auto"/>
              </w:divBdr>
            </w:div>
            <w:div w:id="1318144985">
              <w:marLeft w:val="0"/>
              <w:marRight w:val="0"/>
              <w:marTop w:val="0"/>
              <w:marBottom w:val="0"/>
              <w:divBdr>
                <w:top w:val="none" w:sz="0" w:space="0" w:color="auto"/>
                <w:left w:val="none" w:sz="0" w:space="0" w:color="auto"/>
                <w:bottom w:val="none" w:sz="0" w:space="0" w:color="auto"/>
                <w:right w:val="none" w:sz="0" w:space="0" w:color="auto"/>
              </w:divBdr>
            </w:div>
            <w:div w:id="1385173901">
              <w:marLeft w:val="0"/>
              <w:marRight w:val="0"/>
              <w:marTop w:val="0"/>
              <w:marBottom w:val="0"/>
              <w:divBdr>
                <w:top w:val="none" w:sz="0" w:space="0" w:color="auto"/>
                <w:left w:val="none" w:sz="0" w:space="0" w:color="auto"/>
                <w:bottom w:val="none" w:sz="0" w:space="0" w:color="auto"/>
                <w:right w:val="none" w:sz="0" w:space="0" w:color="auto"/>
              </w:divBdr>
            </w:div>
            <w:div w:id="414061072">
              <w:marLeft w:val="0"/>
              <w:marRight w:val="0"/>
              <w:marTop w:val="0"/>
              <w:marBottom w:val="0"/>
              <w:divBdr>
                <w:top w:val="none" w:sz="0" w:space="0" w:color="auto"/>
                <w:left w:val="none" w:sz="0" w:space="0" w:color="auto"/>
                <w:bottom w:val="none" w:sz="0" w:space="0" w:color="auto"/>
                <w:right w:val="none" w:sz="0" w:space="0" w:color="auto"/>
              </w:divBdr>
            </w:div>
            <w:div w:id="48112577">
              <w:marLeft w:val="0"/>
              <w:marRight w:val="0"/>
              <w:marTop w:val="0"/>
              <w:marBottom w:val="0"/>
              <w:divBdr>
                <w:top w:val="none" w:sz="0" w:space="0" w:color="auto"/>
                <w:left w:val="none" w:sz="0" w:space="0" w:color="auto"/>
                <w:bottom w:val="none" w:sz="0" w:space="0" w:color="auto"/>
                <w:right w:val="none" w:sz="0" w:space="0" w:color="auto"/>
              </w:divBdr>
            </w:div>
            <w:div w:id="1218513923">
              <w:marLeft w:val="0"/>
              <w:marRight w:val="0"/>
              <w:marTop w:val="0"/>
              <w:marBottom w:val="0"/>
              <w:divBdr>
                <w:top w:val="none" w:sz="0" w:space="0" w:color="auto"/>
                <w:left w:val="none" w:sz="0" w:space="0" w:color="auto"/>
                <w:bottom w:val="none" w:sz="0" w:space="0" w:color="auto"/>
                <w:right w:val="none" w:sz="0" w:space="0" w:color="auto"/>
              </w:divBdr>
            </w:div>
            <w:div w:id="1581479414">
              <w:marLeft w:val="0"/>
              <w:marRight w:val="0"/>
              <w:marTop w:val="0"/>
              <w:marBottom w:val="0"/>
              <w:divBdr>
                <w:top w:val="none" w:sz="0" w:space="0" w:color="auto"/>
                <w:left w:val="none" w:sz="0" w:space="0" w:color="auto"/>
                <w:bottom w:val="none" w:sz="0" w:space="0" w:color="auto"/>
                <w:right w:val="none" w:sz="0" w:space="0" w:color="auto"/>
              </w:divBdr>
            </w:div>
            <w:div w:id="2084834066">
              <w:marLeft w:val="0"/>
              <w:marRight w:val="0"/>
              <w:marTop w:val="0"/>
              <w:marBottom w:val="0"/>
              <w:divBdr>
                <w:top w:val="none" w:sz="0" w:space="0" w:color="auto"/>
                <w:left w:val="none" w:sz="0" w:space="0" w:color="auto"/>
                <w:bottom w:val="none" w:sz="0" w:space="0" w:color="auto"/>
                <w:right w:val="none" w:sz="0" w:space="0" w:color="auto"/>
              </w:divBdr>
            </w:div>
            <w:div w:id="917206011">
              <w:marLeft w:val="0"/>
              <w:marRight w:val="0"/>
              <w:marTop w:val="0"/>
              <w:marBottom w:val="0"/>
              <w:divBdr>
                <w:top w:val="none" w:sz="0" w:space="0" w:color="auto"/>
                <w:left w:val="none" w:sz="0" w:space="0" w:color="auto"/>
                <w:bottom w:val="none" w:sz="0" w:space="0" w:color="auto"/>
                <w:right w:val="none" w:sz="0" w:space="0" w:color="auto"/>
              </w:divBdr>
            </w:div>
            <w:div w:id="432746599">
              <w:marLeft w:val="0"/>
              <w:marRight w:val="0"/>
              <w:marTop w:val="0"/>
              <w:marBottom w:val="0"/>
              <w:divBdr>
                <w:top w:val="none" w:sz="0" w:space="0" w:color="auto"/>
                <w:left w:val="none" w:sz="0" w:space="0" w:color="auto"/>
                <w:bottom w:val="none" w:sz="0" w:space="0" w:color="auto"/>
                <w:right w:val="none" w:sz="0" w:space="0" w:color="auto"/>
              </w:divBdr>
            </w:div>
            <w:div w:id="1664624546">
              <w:marLeft w:val="0"/>
              <w:marRight w:val="0"/>
              <w:marTop w:val="0"/>
              <w:marBottom w:val="0"/>
              <w:divBdr>
                <w:top w:val="none" w:sz="0" w:space="0" w:color="auto"/>
                <w:left w:val="none" w:sz="0" w:space="0" w:color="auto"/>
                <w:bottom w:val="none" w:sz="0" w:space="0" w:color="auto"/>
                <w:right w:val="none" w:sz="0" w:space="0" w:color="auto"/>
              </w:divBdr>
            </w:div>
            <w:div w:id="1975674731">
              <w:marLeft w:val="0"/>
              <w:marRight w:val="0"/>
              <w:marTop w:val="0"/>
              <w:marBottom w:val="0"/>
              <w:divBdr>
                <w:top w:val="none" w:sz="0" w:space="0" w:color="auto"/>
                <w:left w:val="none" w:sz="0" w:space="0" w:color="auto"/>
                <w:bottom w:val="none" w:sz="0" w:space="0" w:color="auto"/>
                <w:right w:val="none" w:sz="0" w:space="0" w:color="auto"/>
              </w:divBdr>
            </w:div>
            <w:div w:id="379402219">
              <w:marLeft w:val="0"/>
              <w:marRight w:val="0"/>
              <w:marTop w:val="0"/>
              <w:marBottom w:val="0"/>
              <w:divBdr>
                <w:top w:val="none" w:sz="0" w:space="0" w:color="auto"/>
                <w:left w:val="none" w:sz="0" w:space="0" w:color="auto"/>
                <w:bottom w:val="none" w:sz="0" w:space="0" w:color="auto"/>
                <w:right w:val="none" w:sz="0" w:space="0" w:color="auto"/>
              </w:divBdr>
            </w:div>
            <w:div w:id="1495687587">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5843248">
              <w:marLeft w:val="0"/>
              <w:marRight w:val="0"/>
              <w:marTop w:val="0"/>
              <w:marBottom w:val="0"/>
              <w:divBdr>
                <w:top w:val="none" w:sz="0" w:space="0" w:color="auto"/>
                <w:left w:val="none" w:sz="0" w:space="0" w:color="auto"/>
                <w:bottom w:val="none" w:sz="0" w:space="0" w:color="auto"/>
                <w:right w:val="none" w:sz="0" w:space="0" w:color="auto"/>
              </w:divBdr>
            </w:div>
            <w:div w:id="389697365">
              <w:marLeft w:val="0"/>
              <w:marRight w:val="0"/>
              <w:marTop w:val="0"/>
              <w:marBottom w:val="0"/>
              <w:divBdr>
                <w:top w:val="none" w:sz="0" w:space="0" w:color="auto"/>
                <w:left w:val="none" w:sz="0" w:space="0" w:color="auto"/>
                <w:bottom w:val="none" w:sz="0" w:space="0" w:color="auto"/>
                <w:right w:val="none" w:sz="0" w:space="0" w:color="auto"/>
              </w:divBdr>
            </w:div>
            <w:div w:id="474495468">
              <w:marLeft w:val="0"/>
              <w:marRight w:val="0"/>
              <w:marTop w:val="0"/>
              <w:marBottom w:val="0"/>
              <w:divBdr>
                <w:top w:val="none" w:sz="0" w:space="0" w:color="auto"/>
                <w:left w:val="none" w:sz="0" w:space="0" w:color="auto"/>
                <w:bottom w:val="none" w:sz="0" w:space="0" w:color="auto"/>
                <w:right w:val="none" w:sz="0" w:space="0" w:color="auto"/>
              </w:divBdr>
            </w:div>
            <w:div w:id="549265888">
              <w:marLeft w:val="0"/>
              <w:marRight w:val="0"/>
              <w:marTop w:val="0"/>
              <w:marBottom w:val="0"/>
              <w:divBdr>
                <w:top w:val="none" w:sz="0" w:space="0" w:color="auto"/>
                <w:left w:val="none" w:sz="0" w:space="0" w:color="auto"/>
                <w:bottom w:val="none" w:sz="0" w:space="0" w:color="auto"/>
                <w:right w:val="none" w:sz="0" w:space="0" w:color="auto"/>
              </w:divBdr>
            </w:div>
            <w:div w:id="714280598">
              <w:marLeft w:val="0"/>
              <w:marRight w:val="0"/>
              <w:marTop w:val="0"/>
              <w:marBottom w:val="0"/>
              <w:divBdr>
                <w:top w:val="none" w:sz="0" w:space="0" w:color="auto"/>
                <w:left w:val="none" w:sz="0" w:space="0" w:color="auto"/>
                <w:bottom w:val="none" w:sz="0" w:space="0" w:color="auto"/>
                <w:right w:val="none" w:sz="0" w:space="0" w:color="auto"/>
              </w:divBdr>
            </w:div>
            <w:div w:id="424616570">
              <w:marLeft w:val="0"/>
              <w:marRight w:val="0"/>
              <w:marTop w:val="0"/>
              <w:marBottom w:val="0"/>
              <w:divBdr>
                <w:top w:val="none" w:sz="0" w:space="0" w:color="auto"/>
                <w:left w:val="none" w:sz="0" w:space="0" w:color="auto"/>
                <w:bottom w:val="none" w:sz="0" w:space="0" w:color="auto"/>
                <w:right w:val="none" w:sz="0" w:space="0" w:color="auto"/>
              </w:divBdr>
            </w:div>
            <w:div w:id="586613944">
              <w:marLeft w:val="0"/>
              <w:marRight w:val="0"/>
              <w:marTop w:val="0"/>
              <w:marBottom w:val="0"/>
              <w:divBdr>
                <w:top w:val="none" w:sz="0" w:space="0" w:color="auto"/>
                <w:left w:val="none" w:sz="0" w:space="0" w:color="auto"/>
                <w:bottom w:val="none" w:sz="0" w:space="0" w:color="auto"/>
                <w:right w:val="none" w:sz="0" w:space="0" w:color="auto"/>
              </w:divBdr>
            </w:div>
            <w:div w:id="281697083">
              <w:marLeft w:val="0"/>
              <w:marRight w:val="0"/>
              <w:marTop w:val="0"/>
              <w:marBottom w:val="0"/>
              <w:divBdr>
                <w:top w:val="none" w:sz="0" w:space="0" w:color="auto"/>
                <w:left w:val="none" w:sz="0" w:space="0" w:color="auto"/>
                <w:bottom w:val="none" w:sz="0" w:space="0" w:color="auto"/>
                <w:right w:val="none" w:sz="0" w:space="0" w:color="auto"/>
              </w:divBdr>
            </w:div>
            <w:div w:id="231425710">
              <w:marLeft w:val="0"/>
              <w:marRight w:val="0"/>
              <w:marTop w:val="0"/>
              <w:marBottom w:val="0"/>
              <w:divBdr>
                <w:top w:val="none" w:sz="0" w:space="0" w:color="auto"/>
                <w:left w:val="none" w:sz="0" w:space="0" w:color="auto"/>
                <w:bottom w:val="none" w:sz="0" w:space="0" w:color="auto"/>
                <w:right w:val="none" w:sz="0" w:space="0" w:color="auto"/>
              </w:divBdr>
            </w:div>
            <w:div w:id="436827407">
              <w:marLeft w:val="0"/>
              <w:marRight w:val="0"/>
              <w:marTop w:val="0"/>
              <w:marBottom w:val="0"/>
              <w:divBdr>
                <w:top w:val="none" w:sz="0" w:space="0" w:color="auto"/>
                <w:left w:val="none" w:sz="0" w:space="0" w:color="auto"/>
                <w:bottom w:val="none" w:sz="0" w:space="0" w:color="auto"/>
                <w:right w:val="none" w:sz="0" w:space="0" w:color="auto"/>
              </w:divBdr>
            </w:div>
            <w:div w:id="2028678383">
              <w:marLeft w:val="0"/>
              <w:marRight w:val="0"/>
              <w:marTop w:val="0"/>
              <w:marBottom w:val="0"/>
              <w:divBdr>
                <w:top w:val="none" w:sz="0" w:space="0" w:color="auto"/>
                <w:left w:val="none" w:sz="0" w:space="0" w:color="auto"/>
                <w:bottom w:val="none" w:sz="0" w:space="0" w:color="auto"/>
                <w:right w:val="none" w:sz="0" w:space="0" w:color="auto"/>
              </w:divBdr>
            </w:div>
            <w:div w:id="1678312034">
              <w:marLeft w:val="0"/>
              <w:marRight w:val="0"/>
              <w:marTop w:val="0"/>
              <w:marBottom w:val="0"/>
              <w:divBdr>
                <w:top w:val="none" w:sz="0" w:space="0" w:color="auto"/>
                <w:left w:val="none" w:sz="0" w:space="0" w:color="auto"/>
                <w:bottom w:val="none" w:sz="0" w:space="0" w:color="auto"/>
                <w:right w:val="none" w:sz="0" w:space="0" w:color="auto"/>
              </w:divBdr>
            </w:div>
            <w:div w:id="1841895672">
              <w:marLeft w:val="0"/>
              <w:marRight w:val="0"/>
              <w:marTop w:val="0"/>
              <w:marBottom w:val="0"/>
              <w:divBdr>
                <w:top w:val="none" w:sz="0" w:space="0" w:color="auto"/>
                <w:left w:val="none" w:sz="0" w:space="0" w:color="auto"/>
                <w:bottom w:val="none" w:sz="0" w:space="0" w:color="auto"/>
                <w:right w:val="none" w:sz="0" w:space="0" w:color="auto"/>
              </w:divBdr>
            </w:div>
            <w:div w:id="2063937235">
              <w:marLeft w:val="0"/>
              <w:marRight w:val="0"/>
              <w:marTop w:val="0"/>
              <w:marBottom w:val="0"/>
              <w:divBdr>
                <w:top w:val="none" w:sz="0" w:space="0" w:color="auto"/>
                <w:left w:val="none" w:sz="0" w:space="0" w:color="auto"/>
                <w:bottom w:val="none" w:sz="0" w:space="0" w:color="auto"/>
                <w:right w:val="none" w:sz="0" w:space="0" w:color="auto"/>
              </w:divBdr>
            </w:div>
            <w:div w:id="16433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7560">
      <w:bodyDiv w:val="1"/>
      <w:marLeft w:val="0"/>
      <w:marRight w:val="0"/>
      <w:marTop w:val="0"/>
      <w:marBottom w:val="0"/>
      <w:divBdr>
        <w:top w:val="none" w:sz="0" w:space="0" w:color="auto"/>
        <w:left w:val="none" w:sz="0" w:space="0" w:color="auto"/>
        <w:bottom w:val="none" w:sz="0" w:space="0" w:color="auto"/>
        <w:right w:val="none" w:sz="0" w:space="0" w:color="auto"/>
      </w:divBdr>
      <w:divsChild>
        <w:div w:id="2024355321">
          <w:marLeft w:val="0"/>
          <w:marRight w:val="0"/>
          <w:marTop w:val="0"/>
          <w:marBottom w:val="0"/>
          <w:divBdr>
            <w:top w:val="none" w:sz="0" w:space="0" w:color="auto"/>
            <w:left w:val="none" w:sz="0" w:space="0" w:color="auto"/>
            <w:bottom w:val="none" w:sz="0" w:space="0" w:color="auto"/>
            <w:right w:val="none" w:sz="0" w:space="0" w:color="auto"/>
          </w:divBdr>
        </w:div>
      </w:divsChild>
    </w:div>
    <w:div w:id="20972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ademic.oup.com/oep/article-abstract/58/4/596/2270138" TargetMode="External"/><Relationship Id="rId18" Type="http://schemas.openxmlformats.org/officeDocument/2006/relationships/hyperlink" Target="https://doi.org/10.2307/1342584" TargetMode="External"/><Relationship Id="rId26" Type="http://schemas.openxmlformats.org/officeDocument/2006/relationships/hyperlink" Target="https://doi.org/10.2139/ssrn.3504794" TargetMode="External"/><Relationship Id="rId3" Type="http://schemas.openxmlformats.org/officeDocument/2006/relationships/styles" Target="styles.xml"/><Relationship Id="rId21" Type="http://schemas.openxmlformats.org/officeDocument/2006/relationships/hyperlink" Target="https://doi.org/10.1023/B:EUFI.0000022144.17225.35"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jbusvent.2003.12.007" TargetMode="External"/><Relationship Id="rId25" Type="http://schemas.openxmlformats.org/officeDocument/2006/relationships/hyperlink" Target="https://doi.org/10.2139/ssrn.4279154" TargetMode="External"/><Relationship Id="rId2" Type="http://schemas.openxmlformats.org/officeDocument/2006/relationships/numbering" Target="numbering.xml"/><Relationship Id="rId16" Type="http://schemas.openxmlformats.org/officeDocument/2006/relationships/hyperlink" Target="https://www.sciencedirect.com/science/article/pii/S0304405X97000457" TargetMode="External"/><Relationship Id="rId20" Type="http://schemas.openxmlformats.org/officeDocument/2006/relationships/hyperlink" Target="https://doi.org/10.1016/S0929-1199(00)00003-1" TargetMode="External"/><Relationship Id="rId29" Type="http://schemas.openxmlformats.org/officeDocument/2006/relationships/hyperlink" Target="https://doi.org/10.2307/35566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S0047-2727(01)0017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39/ssrn.3960342" TargetMode="External"/><Relationship Id="rId23" Type="http://schemas.openxmlformats.org/officeDocument/2006/relationships/hyperlink" Target="https://doi.org/10.1016/S0047-2727(03)00046-X" TargetMode="External"/><Relationship Id="rId28" Type="http://schemas.openxmlformats.org/officeDocument/2006/relationships/hyperlink" Target="https://doi.org/10.1162/REST_a_00066" TargetMode="External"/><Relationship Id="rId10" Type="http://schemas.openxmlformats.org/officeDocument/2006/relationships/image" Target="media/image1.png"/><Relationship Id="rId19" Type="http://schemas.openxmlformats.org/officeDocument/2006/relationships/hyperlink" Target="https://doi.org/10.2139/ssrn.268184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11/jofi.12275" TargetMode="External"/><Relationship Id="rId22" Type="http://schemas.openxmlformats.org/officeDocument/2006/relationships/hyperlink" Target="https://doi.org/10.1023/A:1011251920041" TargetMode="External"/><Relationship Id="rId27" Type="http://schemas.openxmlformats.org/officeDocument/2006/relationships/hyperlink" Target="https://www.amazon.com/Power-Law-Venture-Capital-Making/dp/052555999X" TargetMode="External"/><Relationship Id="rId30" Type="http://schemas.openxmlformats.org/officeDocument/2006/relationships/hyperlink" Target="https://doi.org/10.1016/j.jbusvent.2009.0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527ACB-4495-42E4-A8A2-FB63946DB49F}">
  <we:reference id="wa200003478" version="1.0.0.0" store="en-US" storeType="OMEX"/>
  <we:alternateReferences>
    <we:reference id="wa200003478" version="1.0.0.0" store="wa200003478" storeType="OMEX"/>
  </we:alternateReferences>
  <we:properties>
    <we:property name="draftId" value="&quot;c9367c65-84c0-488d-9aa0-ee410aa2a98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D075-BE2A-4BE8-8B72-5536D5BE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24</Pages>
  <Words>7437</Words>
  <Characters>43732</Characters>
  <Application>Microsoft Office Word</Application>
  <DocSecurity>0</DocSecurity>
  <Lines>841</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Yifat Aran</dc:creator>
  <cp:keywords/>
  <dc:description/>
  <cp:lastModifiedBy>Casimiro Nigro</cp:lastModifiedBy>
  <cp:revision>60</cp:revision>
  <cp:lastPrinted>2023-09-28T07:29:00Z</cp:lastPrinted>
  <dcterms:created xsi:type="dcterms:W3CDTF">2023-09-20T22:00:00Z</dcterms:created>
  <dcterms:modified xsi:type="dcterms:W3CDTF">2025-09-30T20:08:00Z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id="y2jV7MYV"/&gt;&lt;style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y fmtid="{D5CDD505-2E9C-101B-9397-08002B2CF9AE}" pid="4" name="GrammarlyDocumentId">
    <vt:lpwstr>4cb9bc23-a122-46d1-a429-361fb1523ed0</vt:lpwstr>
  </property>
</Properties>
</file>