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181E0" w14:textId="0CFAE0A1" w:rsidR="003469DF" w:rsidRDefault="00035CEC" w:rsidP="00BB157A">
      <w:pPr>
        <w:jc w:val="both"/>
        <w:rPr>
          <w:rFonts w:ascii="NimbusRomNo9L" w:hAnsi="NimbusRomNo9L"/>
          <w:sz w:val="34"/>
          <w:szCs w:val="34"/>
          <w:lang w:val="en-US"/>
        </w:rPr>
      </w:pPr>
      <w:r w:rsidRPr="00035CEC">
        <w:rPr>
          <w:rFonts w:ascii="NimbusRomNo9L" w:hAnsi="NimbusRomNo9L"/>
          <w:sz w:val="34"/>
          <w:szCs w:val="34"/>
          <w:lang w:val="en-US"/>
        </w:rPr>
        <w:t>The Impact of Attorney</w:t>
      </w:r>
      <w:r w:rsidR="005E0D9D">
        <w:rPr>
          <w:rFonts w:ascii="NimbusRomNo9L" w:hAnsi="NimbusRomNo9L"/>
          <w:sz w:val="34"/>
          <w:szCs w:val="34"/>
          <w:lang w:val="en-US"/>
        </w:rPr>
        <w:t>s</w:t>
      </w:r>
      <w:r w:rsidR="005E0D9D">
        <w:rPr>
          <w:rFonts w:ascii="NimbusRomNo9L" w:hAnsi="NimbusRomNo9L" w:hint="eastAsia"/>
          <w:sz w:val="34"/>
          <w:szCs w:val="34"/>
          <w:lang w:val="en-US"/>
        </w:rPr>
        <w:t>’</w:t>
      </w:r>
      <w:r w:rsidRPr="00035CEC">
        <w:rPr>
          <w:rFonts w:ascii="NimbusRomNo9L" w:hAnsi="NimbusRomNo9L"/>
          <w:sz w:val="34"/>
          <w:szCs w:val="34"/>
          <w:lang w:val="en-US"/>
        </w:rPr>
        <w:t xml:space="preserve"> Abundance on </w:t>
      </w:r>
      <w:r w:rsidR="00A0545F">
        <w:rPr>
          <w:rFonts w:ascii="NimbusRomNo9L" w:hAnsi="NimbusRomNo9L"/>
          <w:sz w:val="34"/>
          <w:szCs w:val="34"/>
          <w:lang w:val="en-US"/>
        </w:rPr>
        <w:t>Litigation Quality</w:t>
      </w:r>
      <w:r w:rsidR="003469DF">
        <w:rPr>
          <w:rFonts w:ascii="NimbusRomNo9L" w:hAnsi="NimbusRomNo9L"/>
          <w:sz w:val="34"/>
          <w:szCs w:val="34"/>
          <w:lang w:val="en-US"/>
        </w:rPr>
        <w:t>. Evidence from France.</w:t>
      </w:r>
    </w:p>
    <w:p w14:paraId="64AAE309" w14:textId="4CB3F316" w:rsidR="00BB157A" w:rsidRPr="00166361" w:rsidRDefault="00EA48AC" w:rsidP="00BB157A">
      <w:pPr>
        <w:jc w:val="both"/>
        <w:rPr>
          <w:rFonts w:ascii="NimbusRomNo9L" w:hAnsi="NimbusRomNo9L"/>
          <w:position w:val="8"/>
          <w:sz w:val="16"/>
          <w:szCs w:val="16"/>
          <w:lang w:val="en-US"/>
        </w:rPr>
      </w:pPr>
      <w:r>
        <w:rPr>
          <w:rFonts w:ascii="NimbusRomNo9L" w:hAnsi="NimbusRomNo9L"/>
          <w:lang w:val="en-US"/>
        </w:rPr>
        <w:t>Umberto Nizza</w:t>
      </w:r>
      <w:r>
        <w:rPr>
          <w:rStyle w:val="FootnoteReference"/>
          <w:rFonts w:ascii="NimbusRomNo9L" w:hAnsi="NimbusRomNo9L"/>
          <w:lang w:val="en-US"/>
        </w:rPr>
        <w:footnoteReference w:customMarkFollows="1" w:id="1"/>
        <w:t>*</w:t>
      </w:r>
    </w:p>
    <w:p w14:paraId="0AD4C1CA" w14:textId="77777777" w:rsidR="00BB157A" w:rsidRPr="00166361" w:rsidRDefault="00BB157A" w:rsidP="00BB157A">
      <w:pPr>
        <w:jc w:val="both"/>
        <w:rPr>
          <w:lang w:val="en-US"/>
        </w:rPr>
      </w:pPr>
    </w:p>
    <w:p w14:paraId="1F1B1CFB" w14:textId="77777777" w:rsidR="00BB157A" w:rsidRPr="00166361" w:rsidRDefault="00BB157A" w:rsidP="00BB157A">
      <w:pPr>
        <w:spacing w:after="120"/>
        <w:jc w:val="center"/>
        <w:rPr>
          <w:sz w:val="21"/>
          <w:u w:val="single"/>
          <w:lang w:val="en-US"/>
        </w:rPr>
      </w:pPr>
      <w:r w:rsidRPr="00166361">
        <w:rPr>
          <w:rFonts w:ascii="NimbusRomNo9L" w:hAnsi="NimbusRomNo9L"/>
          <w:sz w:val="20"/>
          <w:u w:val="single"/>
          <w:lang w:val="en-US"/>
        </w:rPr>
        <w:t>Abstract</w:t>
      </w:r>
    </w:p>
    <w:p w14:paraId="63EB9D86" w14:textId="543BA0C7" w:rsidR="00035CEC" w:rsidRPr="00B63754" w:rsidRDefault="00035CEC" w:rsidP="00DD6B73">
      <w:pPr>
        <w:ind w:left="567" w:right="844"/>
        <w:jc w:val="both"/>
        <w:rPr>
          <w:rFonts w:ascii="NimbusRomNo9L" w:hAnsi="NimbusRomNo9L"/>
          <w:sz w:val="20"/>
          <w:lang w:val="en-US"/>
        </w:rPr>
      </w:pPr>
      <w:r w:rsidRPr="00B63754">
        <w:rPr>
          <w:rFonts w:ascii="NimbusRomNo9L" w:hAnsi="NimbusRomNo9L"/>
          <w:sz w:val="20"/>
          <w:lang w:val="en-US"/>
        </w:rPr>
        <w:t>This study examines the impact of lawyer concentration on litigation outcomes in French civil courts. Using a novel dataset and</w:t>
      </w:r>
      <w:r w:rsidR="00DF6E43">
        <w:rPr>
          <w:rFonts w:ascii="NimbusRomNo9L" w:hAnsi="NimbusRomNo9L"/>
          <w:sz w:val="20"/>
          <w:lang w:val="en-US"/>
        </w:rPr>
        <w:t xml:space="preserve"> a </w:t>
      </w:r>
      <w:r w:rsidR="005135D7">
        <w:rPr>
          <w:rFonts w:ascii="NimbusRomNo9L" w:hAnsi="NimbusRomNo9L"/>
          <w:sz w:val="20"/>
          <w:lang w:val="en-US"/>
        </w:rPr>
        <w:t xml:space="preserve">multidimensional </w:t>
      </w:r>
      <w:r w:rsidRPr="00B63754">
        <w:rPr>
          <w:rFonts w:ascii="NimbusRomNo9L" w:hAnsi="NimbusRomNo9L"/>
          <w:sz w:val="20"/>
          <w:lang w:val="en-US"/>
        </w:rPr>
        <w:t xml:space="preserve">approach, the </w:t>
      </w:r>
      <w:r w:rsidR="00EA48AC">
        <w:rPr>
          <w:rFonts w:ascii="NimbusRomNo9L" w:hAnsi="NimbusRomNo9L"/>
          <w:sz w:val="20"/>
          <w:lang w:val="en-US"/>
        </w:rPr>
        <w:t>paper</w:t>
      </w:r>
      <w:r w:rsidRPr="00B63754">
        <w:rPr>
          <w:rFonts w:ascii="NimbusRomNo9L" w:hAnsi="NimbusRomNo9L"/>
          <w:sz w:val="20"/>
          <w:lang w:val="en-US"/>
        </w:rPr>
        <w:t xml:space="preserve"> suggest that higher lawyer </w:t>
      </w:r>
      <w:r w:rsidR="0080288D">
        <w:rPr>
          <w:rFonts w:ascii="NimbusRomNo9L" w:hAnsi="NimbusRomNo9L"/>
          <w:sz w:val="20"/>
          <w:lang w:val="en-US"/>
        </w:rPr>
        <w:t>concentration</w:t>
      </w:r>
      <w:r w:rsidRPr="00B63754">
        <w:rPr>
          <w:rFonts w:ascii="NimbusRomNo9L" w:hAnsi="NimbusRomNo9L"/>
          <w:sz w:val="20"/>
          <w:lang w:val="en-US"/>
        </w:rPr>
        <w:t xml:space="preserve"> is negatively correlated with </w:t>
      </w:r>
      <w:r w:rsidR="005135D7">
        <w:rPr>
          <w:rFonts w:ascii="NimbusRomNo9L" w:hAnsi="NimbusRomNo9L"/>
          <w:sz w:val="20"/>
          <w:lang w:val="en-US"/>
        </w:rPr>
        <w:t>court outcome. In particular, the evidence suggests that higher attorneys</w:t>
      </w:r>
      <w:r w:rsidR="005135D7">
        <w:rPr>
          <w:rFonts w:ascii="NimbusRomNo9L" w:hAnsi="NimbusRomNo9L" w:hint="eastAsia"/>
          <w:sz w:val="20"/>
          <w:lang w:val="en-US"/>
        </w:rPr>
        <w:t>’</w:t>
      </w:r>
      <w:r w:rsidR="005135D7">
        <w:rPr>
          <w:rFonts w:ascii="NimbusRomNo9L" w:hAnsi="NimbusRomNo9L"/>
          <w:sz w:val="20"/>
          <w:lang w:val="en-US"/>
        </w:rPr>
        <w:t xml:space="preserve"> concentration is associated with an increase number of rejections of </w:t>
      </w:r>
      <w:r w:rsidRPr="00B63754">
        <w:rPr>
          <w:rFonts w:ascii="NimbusRomNo9L" w:hAnsi="NimbusRomNo9L"/>
          <w:sz w:val="20"/>
          <w:lang w:val="en-US"/>
        </w:rPr>
        <w:t xml:space="preserve">plaintiffs' </w:t>
      </w:r>
      <w:r w:rsidR="005135D7">
        <w:rPr>
          <w:rFonts w:ascii="NimbusRomNo9L" w:hAnsi="NimbusRomNo9L"/>
          <w:sz w:val="20"/>
          <w:lang w:val="en-US"/>
        </w:rPr>
        <w:t xml:space="preserve">lawsuits, a proxy of </w:t>
      </w:r>
      <w:r w:rsidR="005135D7">
        <w:rPr>
          <w:rFonts w:ascii="NimbusRomNo9L" w:hAnsi="NimbusRomNo9L"/>
          <w:sz w:val="20"/>
          <w:lang w:val="en-US"/>
        </w:rPr>
        <w:t>frivolous lawsuits</w:t>
      </w:r>
      <w:r w:rsidRPr="00B63754">
        <w:rPr>
          <w:rFonts w:ascii="NimbusRomNo9L" w:hAnsi="NimbusRomNo9L"/>
          <w:sz w:val="20"/>
          <w:lang w:val="en-US"/>
        </w:rPr>
        <w:t xml:space="preserve">. </w:t>
      </w:r>
      <w:r w:rsidR="005135D7">
        <w:rPr>
          <w:rFonts w:ascii="NimbusRomNo9L" w:hAnsi="NimbusRomNo9L"/>
          <w:sz w:val="20"/>
          <w:lang w:val="en-US"/>
        </w:rPr>
        <w:t xml:space="preserve">In essence, if there are more </w:t>
      </w:r>
      <w:r w:rsidR="00B63754" w:rsidRPr="00B63754">
        <w:rPr>
          <w:rFonts w:ascii="NimbusRomNo9L" w:hAnsi="NimbusRomNo9L"/>
          <w:sz w:val="20"/>
          <w:lang w:val="en-US"/>
        </w:rPr>
        <w:t>lawyers competing for clients</w:t>
      </w:r>
      <w:r w:rsidR="005135D7">
        <w:rPr>
          <w:rFonts w:ascii="NimbusRomNo9L" w:hAnsi="NimbusRomNo9L"/>
          <w:sz w:val="20"/>
          <w:lang w:val="en-US"/>
        </w:rPr>
        <w:t xml:space="preserve"> there is a rise in</w:t>
      </w:r>
      <w:r w:rsidR="00B63754" w:rsidRPr="00B63754">
        <w:rPr>
          <w:rFonts w:ascii="NimbusRomNo9L" w:hAnsi="NimbusRomNo9L"/>
          <w:sz w:val="20"/>
          <w:lang w:val="en-US"/>
        </w:rPr>
        <w:t xml:space="preserve"> strategic litigation, </w:t>
      </w:r>
      <w:r w:rsidR="005135D7">
        <w:rPr>
          <w:rFonts w:ascii="NimbusRomNo9L" w:hAnsi="NimbusRomNo9L"/>
          <w:sz w:val="20"/>
          <w:lang w:val="en-US"/>
        </w:rPr>
        <w:t xml:space="preserve">with </w:t>
      </w:r>
      <w:r w:rsidR="00B63754" w:rsidRPr="00B63754">
        <w:rPr>
          <w:rFonts w:ascii="NimbusRomNo9L" w:hAnsi="NimbusRomNo9L"/>
          <w:sz w:val="20"/>
          <w:lang w:val="en-US"/>
        </w:rPr>
        <w:t xml:space="preserve">weaker cases </w:t>
      </w:r>
      <w:r w:rsidR="005135D7">
        <w:rPr>
          <w:rFonts w:ascii="NimbusRomNo9L" w:hAnsi="NimbusRomNo9L" w:hint="eastAsia"/>
          <w:sz w:val="20"/>
          <w:lang w:val="en-US"/>
        </w:rPr>
        <w:t>introduced</w:t>
      </w:r>
      <w:r w:rsidR="005135D7">
        <w:rPr>
          <w:rFonts w:ascii="NimbusRomNo9L" w:hAnsi="NimbusRomNo9L"/>
          <w:sz w:val="20"/>
          <w:lang w:val="en-US"/>
        </w:rPr>
        <w:t xml:space="preserve"> in court </w:t>
      </w:r>
      <w:r w:rsidR="00B63754" w:rsidRPr="00B63754">
        <w:rPr>
          <w:rFonts w:ascii="NimbusRomNo9L" w:hAnsi="NimbusRomNo9L"/>
          <w:sz w:val="20"/>
          <w:lang w:val="en-US"/>
        </w:rPr>
        <w:t>to secure fees even if rejection is likely</w:t>
      </w:r>
      <w:r w:rsidR="00B63754">
        <w:rPr>
          <w:rFonts w:ascii="NimbusRomNo9L" w:hAnsi="NimbusRomNo9L"/>
          <w:sz w:val="20"/>
          <w:lang w:val="en-US"/>
        </w:rPr>
        <w:t xml:space="preserve">. </w:t>
      </w:r>
      <w:r w:rsidRPr="00B63754">
        <w:rPr>
          <w:rFonts w:ascii="NimbusRomNo9L" w:hAnsi="NimbusRomNo9L"/>
          <w:sz w:val="20"/>
          <w:lang w:val="en-US"/>
        </w:rPr>
        <w:t xml:space="preserve">The results confirm theories about lawyer-stimulated demand and draw attention to potential quality issues in legal representation under excessive competition. </w:t>
      </w:r>
      <w:r w:rsidR="005135D7">
        <w:rPr>
          <w:rFonts w:ascii="NimbusRomNo9L" w:hAnsi="NimbusRomNo9L"/>
          <w:sz w:val="20"/>
          <w:lang w:val="en-US"/>
        </w:rPr>
        <w:t xml:space="preserve">Policy implications are drawn to </w:t>
      </w:r>
      <w:r w:rsidRPr="00B63754">
        <w:rPr>
          <w:rFonts w:ascii="NimbusRomNo9L" w:hAnsi="NimbusRomNo9L"/>
          <w:sz w:val="20"/>
          <w:lang w:val="en-US"/>
        </w:rPr>
        <w:t>address issues impairing judicial efficiency and access to fair outcomes.</w:t>
      </w:r>
    </w:p>
    <w:p w14:paraId="48816E39" w14:textId="77777777" w:rsidR="00BB157A" w:rsidRPr="00166361" w:rsidRDefault="00BB157A" w:rsidP="00166361">
      <w:pPr>
        <w:ind w:right="561"/>
        <w:jc w:val="both"/>
        <w:rPr>
          <w:rFonts w:ascii="NimbusRomNo9L" w:hAnsi="NimbusRomNo9L"/>
          <w:sz w:val="20"/>
          <w:lang w:val="en-US"/>
        </w:rPr>
      </w:pPr>
    </w:p>
    <w:p w14:paraId="286E4C29" w14:textId="5A2C4EC1" w:rsidR="00BB157A" w:rsidRPr="00166361" w:rsidRDefault="00BB157A" w:rsidP="00BB157A">
      <w:pPr>
        <w:ind w:left="567" w:right="561"/>
        <w:jc w:val="both"/>
        <w:rPr>
          <w:rFonts w:ascii="NimbusRomNo9L" w:hAnsi="NimbusRomNo9L"/>
          <w:sz w:val="20"/>
          <w:lang w:val="en-US"/>
        </w:rPr>
      </w:pPr>
      <w:r w:rsidRPr="00DD6B73">
        <w:rPr>
          <w:rFonts w:ascii="NimbusRomNo9L" w:hAnsi="NimbusRomNo9L"/>
          <w:b/>
          <w:sz w:val="20"/>
          <w:lang w:val="en-US"/>
        </w:rPr>
        <w:t>Keywords</w:t>
      </w:r>
      <w:r w:rsidRPr="00166361">
        <w:rPr>
          <w:rFonts w:ascii="NimbusRomNo9L" w:hAnsi="NimbusRomNo9L"/>
          <w:sz w:val="20"/>
          <w:lang w:val="en-US"/>
        </w:rPr>
        <w:t xml:space="preserve">: lawyers; </w:t>
      </w:r>
      <w:r w:rsidR="00DD6B73">
        <w:rPr>
          <w:rFonts w:ascii="NimbusRomNo9L" w:hAnsi="NimbusRomNo9L"/>
          <w:sz w:val="20"/>
          <w:lang w:val="en-US"/>
        </w:rPr>
        <w:t xml:space="preserve">supply </w:t>
      </w:r>
      <w:r w:rsidRPr="00166361">
        <w:rPr>
          <w:rFonts w:ascii="NimbusRomNo9L" w:hAnsi="NimbusRomNo9L"/>
          <w:sz w:val="20"/>
          <w:lang w:val="en-US"/>
        </w:rPr>
        <w:t xml:space="preserve">induced demand; </w:t>
      </w:r>
      <w:r w:rsidR="00DD6B73">
        <w:rPr>
          <w:rFonts w:ascii="NimbusRomNo9L" w:hAnsi="NimbusRomNo9L"/>
          <w:sz w:val="20"/>
          <w:lang w:val="en-US"/>
        </w:rPr>
        <w:t>litigation</w:t>
      </w:r>
      <w:r w:rsidR="0080288D">
        <w:rPr>
          <w:rFonts w:ascii="NimbusRomNo9L" w:hAnsi="NimbusRomNo9L"/>
          <w:sz w:val="20"/>
          <w:lang w:val="en-US"/>
        </w:rPr>
        <w:t>; rejections</w:t>
      </w:r>
    </w:p>
    <w:p w14:paraId="39A890AC" w14:textId="77777777" w:rsidR="003A47B8" w:rsidRPr="00166361" w:rsidRDefault="003A47B8" w:rsidP="003A47B8">
      <w:pPr>
        <w:pStyle w:val="Title"/>
        <w:rPr>
          <w:rFonts w:eastAsia="Times New Roman"/>
          <w:sz w:val="32"/>
          <w:lang w:val="en-US"/>
        </w:rPr>
      </w:pPr>
      <w:r w:rsidRPr="00166361">
        <w:rPr>
          <w:rFonts w:eastAsia="Times New Roman"/>
          <w:sz w:val="32"/>
          <w:lang w:val="en-US"/>
        </w:rPr>
        <w:t>1. Introduction</w:t>
      </w:r>
    </w:p>
    <w:p w14:paraId="48340884" w14:textId="77777777" w:rsidR="007357E4" w:rsidRPr="00743DB6" w:rsidRDefault="007357E4" w:rsidP="007357E4">
      <w:pPr>
        <w:ind w:firstLine="567"/>
        <w:jc w:val="both"/>
        <w:rPr>
          <w:rFonts w:ascii="NimbusRomNo9L" w:hAnsi="NimbusRomNo9L"/>
          <w:lang w:val="en-US"/>
        </w:rPr>
      </w:pPr>
      <w:r w:rsidRPr="007357E4">
        <w:rPr>
          <w:rFonts w:ascii="NimbusRomNo9L" w:hAnsi="NimbusRomNo9L"/>
          <w:lang w:val="en-US"/>
        </w:rPr>
        <w:t>The legal profession plays a crucial role in facilitating access to justice systems around the world (</w:t>
      </w:r>
      <w:proofErr w:type="spellStart"/>
      <w:r w:rsidRPr="007357E4">
        <w:rPr>
          <w:rFonts w:ascii="NimbusRomNo9L" w:hAnsi="NimbusRomNo9L"/>
          <w:lang w:val="en-US"/>
        </w:rPr>
        <w:t>Heise</w:t>
      </w:r>
      <w:proofErr w:type="spellEnd"/>
      <w:r w:rsidRPr="007357E4">
        <w:rPr>
          <w:rFonts w:ascii="NimbusRomNo9L" w:hAnsi="NimbusRomNo9L"/>
          <w:lang w:val="en-US"/>
        </w:rPr>
        <w:t>, 2000). However, lawyers have been described as a group dominated by extroverted and sometimes unreliable individuals (Rydell et al., 2007). They are occasionally criticized for wasting valuable court time in pursuit of higher fees (</w:t>
      </w:r>
      <w:proofErr w:type="spellStart"/>
      <w:r w:rsidRPr="007357E4">
        <w:rPr>
          <w:rFonts w:ascii="NimbusRomNo9L" w:hAnsi="NimbusRomNo9L"/>
          <w:lang w:val="en-US"/>
        </w:rPr>
        <w:t>Kalven</w:t>
      </w:r>
      <w:proofErr w:type="spellEnd"/>
      <w:r w:rsidRPr="007357E4">
        <w:rPr>
          <w:rFonts w:ascii="NimbusRomNo9L" w:hAnsi="NimbusRomNo9L"/>
          <w:lang w:val="en-US"/>
        </w:rPr>
        <w:t xml:space="preserve">, 1960). </w:t>
      </w:r>
      <w:r w:rsidRPr="00743DB6">
        <w:rPr>
          <w:rFonts w:ascii="NimbusRomNo9L" w:hAnsi="NimbusRomNo9L"/>
          <w:lang w:val="en-US"/>
        </w:rPr>
        <w:t xml:space="preserve">Citizens and litigants regularly express dissatisfaction with congestion, costs, and delays plaguing justice administration (Pal, 2021; </w:t>
      </w:r>
      <w:proofErr w:type="spellStart"/>
      <w:r w:rsidRPr="00743DB6">
        <w:rPr>
          <w:rFonts w:ascii="NimbusRomNo9L" w:hAnsi="NimbusRomNo9L"/>
          <w:lang w:val="en-US"/>
        </w:rPr>
        <w:t>Garoupa</w:t>
      </w:r>
      <w:proofErr w:type="spellEnd"/>
      <w:r w:rsidRPr="00743DB6">
        <w:rPr>
          <w:rFonts w:ascii="NimbusRomNo9L" w:hAnsi="NimbusRomNo9L"/>
          <w:lang w:val="en-US"/>
        </w:rPr>
        <w:t>, 2008).</w:t>
      </w:r>
    </w:p>
    <w:p w14:paraId="0F378DB1" w14:textId="77777777" w:rsidR="007357E4" w:rsidRPr="00743DB6" w:rsidRDefault="007357E4" w:rsidP="007357E4">
      <w:pPr>
        <w:ind w:firstLine="567"/>
        <w:jc w:val="both"/>
        <w:rPr>
          <w:rFonts w:ascii="NimbusRomNo9L" w:hAnsi="NimbusRomNo9L"/>
          <w:lang w:val="en-US"/>
        </w:rPr>
      </w:pPr>
      <w:r w:rsidRPr="00743DB6">
        <w:rPr>
          <w:rFonts w:ascii="NimbusRomNo9L" w:hAnsi="NimbusRomNo9L"/>
          <w:lang w:val="en-US"/>
        </w:rPr>
        <w:t>From a theoretical perspective, there are rational incentives for lawyers to prolong their involvement in cases. It is reasonable for attorneys to bill more hours in order to obtain higher fees (Myers, 1992) and increase their business costs (</w:t>
      </w:r>
      <w:proofErr w:type="spellStart"/>
      <w:r w:rsidRPr="00743DB6">
        <w:rPr>
          <w:rFonts w:ascii="NimbusRomNo9L" w:hAnsi="NimbusRomNo9L"/>
          <w:lang w:val="en-US"/>
        </w:rPr>
        <w:t>Bessen</w:t>
      </w:r>
      <w:proofErr w:type="spellEnd"/>
      <w:r w:rsidRPr="00743DB6">
        <w:rPr>
          <w:rFonts w:ascii="NimbusRomNo9L" w:hAnsi="NimbusRomNo9L"/>
          <w:lang w:val="en-US"/>
        </w:rPr>
        <w:t xml:space="preserve"> &amp; </w:t>
      </w:r>
      <w:proofErr w:type="spellStart"/>
      <w:r w:rsidRPr="00743DB6">
        <w:rPr>
          <w:rFonts w:ascii="NimbusRomNo9L" w:hAnsi="NimbusRomNo9L"/>
          <w:lang w:val="en-US"/>
        </w:rPr>
        <w:t>Meurer</w:t>
      </w:r>
      <w:proofErr w:type="spellEnd"/>
      <w:r w:rsidRPr="00743DB6">
        <w:rPr>
          <w:rFonts w:ascii="NimbusRomNo9L" w:hAnsi="NimbusRomNo9L"/>
          <w:lang w:val="en-US"/>
        </w:rPr>
        <w:t>, 2012). They may also seek to modify judicial interest rates to their advantage (</w:t>
      </w:r>
      <w:proofErr w:type="spellStart"/>
      <w:r w:rsidRPr="00743DB6">
        <w:rPr>
          <w:rFonts w:ascii="NimbusRomNo9L" w:hAnsi="NimbusRomNo9L"/>
          <w:lang w:val="en-US"/>
        </w:rPr>
        <w:t>Acciarri</w:t>
      </w:r>
      <w:proofErr w:type="spellEnd"/>
      <w:r w:rsidRPr="00743DB6">
        <w:rPr>
          <w:rFonts w:ascii="NimbusRomNo9L" w:hAnsi="NimbusRomNo9L"/>
          <w:lang w:val="en-US"/>
        </w:rPr>
        <w:t xml:space="preserve"> &amp; </w:t>
      </w:r>
      <w:proofErr w:type="spellStart"/>
      <w:r w:rsidRPr="00743DB6">
        <w:rPr>
          <w:rFonts w:ascii="NimbusRomNo9L" w:hAnsi="NimbusRomNo9L"/>
          <w:lang w:val="en-US"/>
        </w:rPr>
        <w:t>Garoupa</w:t>
      </w:r>
      <w:proofErr w:type="spellEnd"/>
      <w:r w:rsidRPr="00743DB6">
        <w:rPr>
          <w:rFonts w:ascii="NimbusRomNo9L" w:hAnsi="NimbusRomNo9L"/>
          <w:lang w:val="en-US"/>
        </w:rPr>
        <w:t>, 2013). Some literature argues lawyers are incentivized to intentionally delay justice through "an inexhaustible arsenal of dilatory techniques" focused on postponing trials for as long as profitable (Kidder, 1974, p. 31; Belli, 1981). This perspective posits procrastination stems from economic motives to generate highly idiosyncratic (Flanders, 1980) and lengthy outcomes benefiting legal fees (Economides, 2018). Scholars have characterized the legal profession as prone to exaggeration in evaluations (</w:t>
      </w:r>
      <w:proofErr w:type="spellStart"/>
      <w:r w:rsidRPr="00743DB6">
        <w:rPr>
          <w:rFonts w:ascii="NimbusRomNo9L" w:hAnsi="NimbusRomNo9L"/>
          <w:lang w:val="en-US"/>
        </w:rPr>
        <w:t>Monek</w:t>
      </w:r>
      <w:proofErr w:type="spellEnd"/>
      <w:r w:rsidRPr="00743DB6">
        <w:rPr>
          <w:rFonts w:ascii="NimbusRomNo9L" w:hAnsi="NimbusRomNo9L"/>
          <w:lang w:val="en-US"/>
        </w:rPr>
        <w:t>, 1983), needless case initiation (Voigt, 2016), and filing frivolous petitions solely for litigation leverage (</w:t>
      </w:r>
      <w:proofErr w:type="spellStart"/>
      <w:r w:rsidRPr="00743DB6">
        <w:rPr>
          <w:rFonts w:ascii="NimbusRomNo9L" w:hAnsi="NimbusRomNo9L"/>
          <w:lang w:val="en-US"/>
        </w:rPr>
        <w:t>Lidge</w:t>
      </w:r>
      <w:proofErr w:type="spellEnd"/>
      <w:r w:rsidRPr="00743DB6">
        <w:rPr>
          <w:rFonts w:ascii="NimbusRomNo9L" w:hAnsi="NimbusRomNo9L"/>
          <w:lang w:val="en-US"/>
        </w:rPr>
        <w:t>, 2009). Theories attribute problematic delays to intertwined relationships between attorneys, litigation markets (Posner, 1997), and financial returns from prolonged disputes (</w:t>
      </w:r>
      <w:proofErr w:type="spellStart"/>
      <w:r w:rsidRPr="00743DB6">
        <w:rPr>
          <w:rFonts w:ascii="NimbusRomNo9L" w:hAnsi="NimbusRomNo9L"/>
          <w:lang w:val="en-US"/>
        </w:rPr>
        <w:t>Tahura</w:t>
      </w:r>
      <w:proofErr w:type="spellEnd"/>
      <w:r w:rsidRPr="00743DB6">
        <w:rPr>
          <w:rFonts w:ascii="NimbusRomNo9L" w:hAnsi="NimbusRomNo9L"/>
          <w:lang w:val="en-US"/>
        </w:rPr>
        <w:t>, 2022).</w:t>
      </w:r>
    </w:p>
    <w:p w14:paraId="61437BB1" w14:textId="77777777" w:rsidR="007357E4" w:rsidRPr="00743DB6" w:rsidRDefault="007357E4" w:rsidP="007357E4">
      <w:pPr>
        <w:ind w:firstLine="567"/>
        <w:jc w:val="both"/>
        <w:rPr>
          <w:rFonts w:ascii="NimbusRomNo9L" w:hAnsi="NimbusRomNo9L"/>
          <w:lang w:val="en-US"/>
        </w:rPr>
      </w:pPr>
      <w:r w:rsidRPr="00743DB6">
        <w:rPr>
          <w:rFonts w:ascii="NimbusRomNo9L" w:hAnsi="NimbusRomNo9L"/>
          <w:lang w:val="en-US"/>
        </w:rPr>
        <w:t xml:space="preserve">In terms of resolving matters efficiently, lawyers reportedly seek to prolong efforts over time in pursuit of greater compensation (Hadfield, 2000; Macey &amp; Miller, 1991). They exacerbate settlement delays (Lederman &amp; </w:t>
      </w:r>
      <w:proofErr w:type="spellStart"/>
      <w:r w:rsidRPr="00743DB6">
        <w:rPr>
          <w:rFonts w:ascii="NimbusRomNo9L" w:hAnsi="NimbusRomNo9L"/>
          <w:lang w:val="en-US"/>
        </w:rPr>
        <w:t>Hrung</w:t>
      </w:r>
      <w:proofErr w:type="spellEnd"/>
      <w:r w:rsidRPr="00743DB6">
        <w:rPr>
          <w:rFonts w:ascii="NimbusRomNo9L" w:hAnsi="NimbusRomNo9L"/>
          <w:lang w:val="en-US"/>
        </w:rPr>
        <w:t>, 2006) by slowing negotiations (</w:t>
      </w:r>
      <w:proofErr w:type="spellStart"/>
      <w:r w:rsidRPr="00743DB6">
        <w:rPr>
          <w:rFonts w:ascii="NimbusRomNo9L" w:hAnsi="NimbusRomNo9L"/>
          <w:lang w:val="en-US"/>
        </w:rPr>
        <w:t>Helland</w:t>
      </w:r>
      <w:proofErr w:type="spellEnd"/>
      <w:r w:rsidRPr="00743DB6">
        <w:rPr>
          <w:rFonts w:ascii="NimbusRomNo9L" w:hAnsi="NimbusRomNo9L"/>
          <w:lang w:val="en-US"/>
        </w:rPr>
        <w:t xml:space="preserve"> &amp; Tabarrok, 2003) and arbitration (Thornicroft, 1994). However, empirical analyses must reliably demonstrate how fee structures impact proceeding durations (</w:t>
      </w:r>
      <w:proofErr w:type="spellStart"/>
      <w:r w:rsidRPr="00743DB6">
        <w:rPr>
          <w:rFonts w:ascii="NimbusRomNo9L" w:hAnsi="NimbusRomNo9L"/>
          <w:lang w:val="en-US"/>
        </w:rPr>
        <w:t>Kritzer</w:t>
      </w:r>
      <w:proofErr w:type="spellEnd"/>
      <w:r w:rsidRPr="00743DB6">
        <w:rPr>
          <w:rFonts w:ascii="NimbusRomNo9L" w:hAnsi="NimbusRomNo9L"/>
          <w:lang w:val="en-US"/>
        </w:rPr>
        <w:t>, 2002). Processing times involve pretrial opportunities (Johnson, 1997), interest rates (</w:t>
      </w:r>
      <w:proofErr w:type="spellStart"/>
      <w:r w:rsidRPr="00743DB6">
        <w:rPr>
          <w:rFonts w:ascii="NimbusRomNo9L" w:hAnsi="NimbusRomNo9L"/>
          <w:lang w:val="en-US"/>
        </w:rPr>
        <w:t>Spurr</w:t>
      </w:r>
      <w:proofErr w:type="spellEnd"/>
      <w:r w:rsidRPr="00743DB6">
        <w:rPr>
          <w:rFonts w:ascii="NimbusRomNo9L" w:hAnsi="NimbusRomNo9L"/>
          <w:lang w:val="en-US"/>
        </w:rPr>
        <w:t xml:space="preserve">, 1997), data asymmetries (Fenn et al., 1999), complexity (Di Vita, 2010), and </w:t>
      </w:r>
      <w:r w:rsidRPr="00743DB6">
        <w:rPr>
          <w:rFonts w:ascii="NimbusRomNo9L" w:hAnsi="NimbusRomNo9L"/>
          <w:lang w:val="en-US"/>
        </w:rPr>
        <w:lastRenderedPageBreak/>
        <w:t>formalities (</w:t>
      </w:r>
      <w:proofErr w:type="spellStart"/>
      <w:r w:rsidRPr="00743DB6">
        <w:rPr>
          <w:rFonts w:ascii="NimbusRomNo9L" w:hAnsi="NimbusRomNo9L"/>
          <w:lang w:val="en-US"/>
        </w:rPr>
        <w:t>Djankov</w:t>
      </w:r>
      <w:proofErr w:type="spellEnd"/>
      <w:r w:rsidRPr="00743DB6">
        <w:rPr>
          <w:rFonts w:ascii="NimbusRomNo9L" w:hAnsi="NimbusRomNo9L"/>
          <w:lang w:val="en-US"/>
        </w:rPr>
        <w:t xml:space="preserve"> et al., 2003). Courts failing to manage swelling dockets rely on incoming (</w:t>
      </w:r>
      <w:proofErr w:type="spellStart"/>
      <w:r w:rsidRPr="00743DB6">
        <w:rPr>
          <w:rFonts w:ascii="NimbusRomNo9L" w:hAnsi="NimbusRomNo9L"/>
          <w:lang w:val="en-US"/>
        </w:rPr>
        <w:t>Felli</w:t>
      </w:r>
      <w:proofErr w:type="spellEnd"/>
      <w:r w:rsidRPr="00743DB6">
        <w:rPr>
          <w:rFonts w:ascii="NimbusRomNo9L" w:hAnsi="NimbusRomNo9L"/>
          <w:lang w:val="en-US"/>
        </w:rPr>
        <w:t xml:space="preserve"> et al., 2008), pending (</w:t>
      </w:r>
      <w:proofErr w:type="spellStart"/>
      <w:r w:rsidRPr="00743DB6">
        <w:rPr>
          <w:rFonts w:ascii="NimbusRomNo9L" w:hAnsi="NimbusRomNo9L"/>
          <w:lang w:val="en-US"/>
        </w:rPr>
        <w:t>Ariola</w:t>
      </w:r>
      <w:proofErr w:type="spellEnd"/>
      <w:r w:rsidRPr="00743DB6">
        <w:rPr>
          <w:rFonts w:ascii="NimbusRomNo9L" w:hAnsi="NimbusRomNo9L"/>
          <w:lang w:val="en-US"/>
        </w:rPr>
        <w:t xml:space="preserve"> et al., 1979), and lingering (</w:t>
      </w:r>
      <w:proofErr w:type="spellStart"/>
      <w:r w:rsidRPr="00743DB6">
        <w:rPr>
          <w:rFonts w:ascii="NimbusRomNo9L" w:hAnsi="NimbusRomNo9L"/>
          <w:lang w:val="en-US"/>
        </w:rPr>
        <w:t>Bielen</w:t>
      </w:r>
      <w:proofErr w:type="spellEnd"/>
      <w:r w:rsidRPr="00743DB6">
        <w:rPr>
          <w:rFonts w:ascii="NimbusRomNo9L" w:hAnsi="NimbusRomNo9L"/>
          <w:lang w:val="en-US"/>
        </w:rPr>
        <w:t xml:space="preserve"> et al., 2018) caseloads.</w:t>
      </w:r>
    </w:p>
    <w:p w14:paraId="74ED1E92" w14:textId="77777777" w:rsidR="007357E4" w:rsidRPr="00743DB6" w:rsidRDefault="007357E4" w:rsidP="007357E4">
      <w:pPr>
        <w:ind w:firstLine="567"/>
        <w:jc w:val="both"/>
        <w:rPr>
          <w:rFonts w:ascii="NimbusRomNo9L" w:hAnsi="NimbusRomNo9L"/>
          <w:lang w:val="en-US"/>
        </w:rPr>
      </w:pPr>
      <w:r w:rsidRPr="00743DB6">
        <w:rPr>
          <w:rFonts w:ascii="NimbusRomNo9L" w:hAnsi="NimbusRomNo9L"/>
          <w:lang w:val="en-US"/>
        </w:rPr>
        <w:t xml:space="preserve">Robust literature assesses the lawyer-induced demand hypothesis, including work by </w:t>
      </w:r>
      <w:proofErr w:type="spellStart"/>
      <w:r w:rsidRPr="00743DB6">
        <w:rPr>
          <w:rFonts w:ascii="NimbusRomNo9L" w:hAnsi="NimbusRomNo9L"/>
          <w:lang w:val="en-US"/>
        </w:rPr>
        <w:t>Bielen</w:t>
      </w:r>
      <w:proofErr w:type="spellEnd"/>
      <w:r w:rsidRPr="00743DB6">
        <w:rPr>
          <w:rFonts w:ascii="NimbusRomNo9L" w:hAnsi="NimbusRomNo9L"/>
          <w:lang w:val="en-US"/>
        </w:rPr>
        <w:t xml:space="preserve"> &amp; </w:t>
      </w:r>
      <w:proofErr w:type="spellStart"/>
      <w:r w:rsidRPr="00743DB6">
        <w:rPr>
          <w:rFonts w:ascii="NimbusRomNo9L" w:hAnsi="NimbusRomNo9L"/>
          <w:lang w:val="en-US"/>
        </w:rPr>
        <w:t>Marneffe</w:t>
      </w:r>
      <w:proofErr w:type="spellEnd"/>
      <w:r w:rsidRPr="00743DB6">
        <w:rPr>
          <w:rFonts w:ascii="NimbusRomNo9L" w:hAnsi="NimbusRomNo9L"/>
          <w:lang w:val="en-US"/>
        </w:rPr>
        <w:t xml:space="preserve"> (2017), </w:t>
      </w:r>
      <w:proofErr w:type="spellStart"/>
      <w:r w:rsidRPr="00743DB6">
        <w:rPr>
          <w:rFonts w:ascii="NimbusRomNo9L" w:hAnsi="NimbusRomNo9L"/>
          <w:lang w:val="en-US"/>
        </w:rPr>
        <w:t>Finocchiaro</w:t>
      </w:r>
      <w:proofErr w:type="spellEnd"/>
      <w:r w:rsidRPr="00743DB6">
        <w:rPr>
          <w:rFonts w:ascii="NimbusRomNo9L" w:hAnsi="NimbusRomNo9L"/>
          <w:lang w:val="en-US"/>
        </w:rPr>
        <w:t xml:space="preserve"> Castro &amp; </w:t>
      </w:r>
      <w:proofErr w:type="spellStart"/>
      <w:r w:rsidRPr="00743DB6">
        <w:rPr>
          <w:rFonts w:ascii="NimbusRomNo9L" w:hAnsi="NimbusRomNo9L"/>
          <w:lang w:val="en-US"/>
        </w:rPr>
        <w:t>Guccio</w:t>
      </w:r>
      <w:proofErr w:type="spellEnd"/>
      <w:r w:rsidRPr="00743DB6">
        <w:rPr>
          <w:rFonts w:ascii="NimbusRomNo9L" w:hAnsi="NimbusRomNo9L"/>
          <w:lang w:val="en-US"/>
        </w:rPr>
        <w:t xml:space="preserve"> (2014), </w:t>
      </w:r>
      <w:proofErr w:type="spellStart"/>
      <w:r w:rsidRPr="00743DB6">
        <w:rPr>
          <w:rFonts w:ascii="NimbusRomNo9L" w:hAnsi="NimbusRomNo9L"/>
          <w:lang w:val="en-US"/>
        </w:rPr>
        <w:t>Carmignani</w:t>
      </w:r>
      <w:proofErr w:type="spellEnd"/>
      <w:r w:rsidRPr="00743DB6">
        <w:rPr>
          <w:rFonts w:ascii="NimbusRomNo9L" w:hAnsi="NimbusRomNo9L"/>
          <w:lang w:val="en-US"/>
        </w:rPr>
        <w:t xml:space="preserve"> &amp; </w:t>
      </w:r>
      <w:proofErr w:type="spellStart"/>
      <w:r w:rsidRPr="00743DB6">
        <w:rPr>
          <w:rFonts w:ascii="NimbusRomNo9L" w:hAnsi="NimbusRomNo9L"/>
          <w:lang w:val="en-US"/>
        </w:rPr>
        <w:t>Giacomelli</w:t>
      </w:r>
      <w:proofErr w:type="spellEnd"/>
      <w:r w:rsidRPr="00743DB6">
        <w:rPr>
          <w:rFonts w:ascii="NimbusRomNo9L" w:hAnsi="NimbusRomNo9L"/>
          <w:lang w:val="en-US"/>
        </w:rPr>
        <w:t xml:space="preserve"> (2009), Ginsburg &amp; </w:t>
      </w:r>
      <w:proofErr w:type="spellStart"/>
      <w:r w:rsidRPr="00743DB6">
        <w:rPr>
          <w:rFonts w:ascii="NimbusRomNo9L" w:hAnsi="NimbusRomNo9L"/>
          <w:lang w:val="en-US"/>
        </w:rPr>
        <w:t>Hoetker</w:t>
      </w:r>
      <w:proofErr w:type="spellEnd"/>
      <w:r w:rsidRPr="00743DB6">
        <w:rPr>
          <w:rFonts w:ascii="NimbusRomNo9L" w:hAnsi="NimbusRomNo9L"/>
          <w:lang w:val="en-US"/>
        </w:rPr>
        <w:t xml:space="preserve"> (2006), and Bar-Gill (2005). Notwithstanding, mixed findings counsel care with empirical data given endogeneity complicating causality determinations and methodological imperfections in analyzing competitive influences (Mora-Sanguinetti &amp; </w:t>
      </w:r>
      <w:proofErr w:type="spellStart"/>
      <w:r w:rsidRPr="00743DB6">
        <w:rPr>
          <w:rFonts w:ascii="NimbusRomNo9L" w:hAnsi="NimbusRomNo9L"/>
          <w:lang w:val="en-US"/>
        </w:rPr>
        <w:t>Garoupa</w:t>
      </w:r>
      <w:proofErr w:type="spellEnd"/>
      <w:r w:rsidRPr="00743DB6">
        <w:rPr>
          <w:rFonts w:ascii="NimbusRomNo9L" w:hAnsi="NimbusRomNo9L"/>
          <w:lang w:val="en-US"/>
        </w:rPr>
        <w:t xml:space="preserve">, 2015; </w:t>
      </w:r>
      <w:proofErr w:type="spellStart"/>
      <w:r w:rsidRPr="00743DB6">
        <w:rPr>
          <w:rFonts w:ascii="NimbusRomNo9L" w:hAnsi="NimbusRomNo9L"/>
          <w:lang w:val="en-US"/>
        </w:rPr>
        <w:t>Clemenz</w:t>
      </w:r>
      <w:proofErr w:type="spellEnd"/>
      <w:r w:rsidRPr="00743DB6">
        <w:rPr>
          <w:rFonts w:ascii="NimbusRomNo9L" w:hAnsi="NimbusRomNo9L"/>
          <w:lang w:val="en-US"/>
        </w:rPr>
        <w:t xml:space="preserve"> &amp; </w:t>
      </w:r>
      <w:proofErr w:type="spellStart"/>
      <w:r w:rsidRPr="00743DB6">
        <w:rPr>
          <w:rFonts w:ascii="NimbusRomNo9L" w:hAnsi="NimbusRomNo9L"/>
          <w:lang w:val="en-US"/>
        </w:rPr>
        <w:t>Gugler</w:t>
      </w:r>
      <w:proofErr w:type="spellEnd"/>
      <w:r w:rsidRPr="00743DB6">
        <w:rPr>
          <w:rFonts w:ascii="NimbusRomNo9L" w:hAnsi="NimbusRomNo9L"/>
          <w:lang w:val="en-US"/>
        </w:rPr>
        <w:t>, 2000; Rosales &amp; Jimenez-Rubio, 2016).</w:t>
      </w:r>
    </w:p>
    <w:p w14:paraId="64A8399D" w14:textId="70EB0188" w:rsidR="007357E4" w:rsidRDefault="007357E4" w:rsidP="00743DB6">
      <w:pPr>
        <w:ind w:firstLine="567"/>
        <w:jc w:val="both"/>
        <w:rPr>
          <w:rFonts w:ascii="NimbusRomNo9L" w:hAnsi="NimbusRomNo9L"/>
          <w:lang w:val="en-US"/>
        </w:rPr>
      </w:pPr>
      <w:r w:rsidRPr="00743DB6">
        <w:rPr>
          <w:rFonts w:ascii="NimbusRomNo9L" w:hAnsi="NimbusRomNo9L"/>
          <w:lang w:val="en-US"/>
        </w:rPr>
        <w:t>France offers a unique case study due to lawyers historically shaping legal culture and social life while assisting justice and judges in upholding freedoms (</w:t>
      </w:r>
      <w:proofErr w:type="spellStart"/>
      <w:r w:rsidRPr="00743DB6">
        <w:rPr>
          <w:rFonts w:ascii="NimbusRomNo9L" w:hAnsi="NimbusRomNo9L"/>
          <w:lang w:val="en-US"/>
        </w:rPr>
        <w:t>Dewatripont</w:t>
      </w:r>
      <w:proofErr w:type="spellEnd"/>
      <w:r w:rsidRPr="00743DB6">
        <w:rPr>
          <w:rFonts w:ascii="NimbusRomNo9L" w:hAnsi="NimbusRomNo9L"/>
          <w:lang w:val="en-US"/>
        </w:rPr>
        <w:t xml:space="preserve"> &amp; </w:t>
      </w:r>
      <w:proofErr w:type="spellStart"/>
      <w:r w:rsidRPr="00743DB6">
        <w:rPr>
          <w:rFonts w:ascii="NimbusRomNo9L" w:hAnsi="NimbusRomNo9L"/>
          <w:lang w:val="en-US"/>
        </w:rPr>
        <w:t>Tirole</w:t>
      </w:r>
      <w:proofErr w:type="spellEnd"/>
      <w:r w:rsidRPr="00743DB6">
        <w:rPr>
          <w:rFonts w:ascii="NimbusRomNo9L" w:hAnsi="NimbusRomNo9L"/>
          <w:lang w:val="en-US"/>
        </w:rPr>
        <w:t xml:space="preserve">, 1999; Bell, 1994; </w:t>
      </w:r>
      <w:proofErr w:type="spellStart"/>
      <w:r w:rsidRPr="00743DB6">
        <w:rPr>
          <w:rFonts w:ascii="NimbusRomNo9L" w:hAnsi="NimbusRomNo9L"/>
          <w:lang w:val="en-US"/>
        </w:rPr>
        <w:t>Thouzellier</w:t>
      </w:r>
      <w:proofErr w:type="spellEnd"/>
      <w:r w:rsidRPr="00743DB6">
        <w:rPr>
          <w:rFonts w:ascii="NimbusRomNo9L" w:hAnsi="NimbusRomNo9L"/>
          <w:lang w:val="en-US"/>
        </w:rPr>
        <w:t>, 2012). However, surging attorney numbers now overburden the profession (</w:t>
      </w:r>
      <w:proofErr w:type="spellStart"/>
      <w:r w:rsidRPr="00743DB6">
        <w:rPr>
          <w:rFonts w:ascii="NimbusRomNo9L" w:hAnsi="NimbusRomNo9L"/>
          <w:lang w:val="en-US"/>
        </w:rPr>
        <w:t>Deffains</w:t>
      </w:r>
      <w:proofErr w:type="spellEnd"/>
      <w:r w:rsidRPr="00743DB6">
        <w:rPr>
          <w:rFonts w:ascii="NimbusRomNo9L" w:hAnsi="NimbusRomNo9L"/>
          <w:lang w:val="en-US"/>
        </w:rPr>
        <w:t xml:space="preserve"> &amp; Thierry, 2014). Justifications for supplier-induced demands relate to economic advantages from unwarranted lawsuits and complex trials obscuring information from paying clients (Brickman, 2011; Tabarrok &amp; </w:t>
      </w:r>
      <w:proofErr w:type="spellStart"/>
      <w:r w:rsidRPr="00743DB6">
        <w:rPr>
          <w:rFonts w:ascii="NimbusRomNo9L" w:hAnsi="NimbusRomNo9L"/>
          <w:lang w:val="en-US"/>
        </w:rPr>
        <w:t>Helland</w:t>
      </w:r>
      <w:proofErr w:type="spellEnd"/>
      <w:r w:rsidRPr="00743DB6">
        <w:rPr>
          <w:rFonts w:ascii="NimbusRomNo9L" w:hAnsi="NimbusRomNo9L"/>
          <w:lang w:val="en-US"/>
        </w:rPr>
        <w:t>, 2005).</w:t>
      </w:r>
    </w:p>
    <w:p w14:paraId="5BCF4273" w14:textId="77777777" w:rsidR="00743DB6" w:rsidRPr="00743DB6" w:rsidRDefault="00743DB6" w:rsidP="00743DB6">
      <w:pPr>
        <w:ind w:firstLine="567"/>
        <w:jc w:val="both"/>
        <w:rPr>
          <w:rFonts w:ascii="NimbusRomNo9L" w:hAnsi="NimbusRomNo9L"/>
          <w:lang w:val="en-US"/>
        </w:rPr>
      </w:pPr>
      <w:r w:rsidRPr="00743DB6">
        <w:rPr>
          <w:rFonts w:ascii="NimbusRomNo9L" w:hAnsi="NimbusRomNo9L"/>
          <w:lang w:val="en-US"/>
        </w:rPr>
        <w:t>Previous research has found extreme levels of competition among French lawyers, particularly in the sphere of labor law, can foster detrimental outcomes like excess litigation (</w:t>
      </w:r>
      <w:proofErr w:type="spellStart"/>
      <w:r w:rsidRPr="00743DB6">
        <w:rPr>
          <w:rFonts w:ascii="NimbusRomNo9L" w:hAnsi="NimbusRomNo9L"/>
          <w:lang w:val="en-US"/>
        </w:rPr>
        <w:t>Fraisse</w:t>
      </w:r>
      <w:proofErr w:type="spellEnd"/>
      <w:r w:rsidRPr="00743DB6">
        <w:rPr>
          <w:rFonts w:ascii="NimbusRomNo9L" w:hAnsi="NimbusRomNo9L"/>
          <w:lang w:val="en-US"/>
        </w:rPr>
        <w:t xml:space="preserve"> et al., 2015). Literature also postulates economic motivations may incentivize procedural delays given attorneys receive compensation correlating to resolution timeframes (</w:t>
      </w:r>
      <w:proofErr w:type="spellStart"/>
      <w:r w:rsidRPr="00743DB6">
        <w:rPr>
          <w:rFonts w:ascii="NimbusRomNo9L" w:hAnsi="NimbusRomNo9L"/>
          <w:lang w:val="en-US"/>
        </w:rPr>
        <w:t>Baudel</w:t>
      </w:r>
      <w:proofErr w:type="spellEnd"/>
      <w:r w:rsidRPr="00743DB6">
        <w:rPr>
          <w:rFonts w:ascii="NimbusRomNo9L" w:hAnsi="NimbusRomNo9L"/>
          <w:lang w:val="en-US"/>
        </w:rPr>
        <w:t>, 2006).</w:t>
      </w:r>
    </w:p>
    <w:p w14:paraId="39351C0E" w14:textId="77777777" w:rsidR="00743DB6" w:rsidRPr="00743DB6" w:rsidRDefault="00743DB6" w:rsidP="00743DB6">
      <w:pPr>
        <w:ind w:firstLine="567"/>
        <w:jc w:val="both"/>
        <w:rPr>
          <w:rFonts w:ascii="NimbusRomNo9L" w:hAnsi="NimbusRomNo9L"/>
          <w:lang w:val="en-US"/>
        </w:rPr>
      </w:pPr>
      <w:r w:rsidRPr="00743DB6">
        <w:rPr>
          <w:rFonts w:ascii="NimbusRomNo9L" w:hAnsi="NimbusRomNo9L"/>
          <w:lang w:val="en-US"/>
        </w:rPr>
        <w:t>Despite considerable theoretical and empirical work exposing potential inefficiencies of lawyer competition, this study homes in on institutional perspectives, hypothesizing monopolistic structures could stimulate better legal arguments and deter baseless cases (D'Agostino et al., 2012). Excess competition may engender adverse selection as lawyers exploit supplier-induced demand dynamics for financial gain rather than serving public interests (Abel, 2012).</w:t>
      </w:r>
    </w:p>
    <w:p w14:paraId="45821C9A" w14:textId="77777777" w:rsidR="00743DB6" w:rsidRPr="00743DB6" w:rsidRDefault="00743DB6" w:rsidP="00743DB6">
      <w:pPr>
        <w:ind w:firstLine="567"/>
        <w:jc w:val="both"/>
        <w:rPr>
          <w:rFonts w:ascii="NimbusRomNo9L" w:hAnsi="NimbusRomNo9L"/>
          <w:lang w:val="en-US"/>
        </w:rPr>
      </w:pPr>
      <w:r w:rsidRPr="00743DB6">
        <w:rPr>
          <w:rFonts w:ascii="NimbusRomNo9L" w:hAnsi="NimbusRomNo9L"/>
          <w:lang w:val="en-US"/>
        </w:rPr>
        <w:t xml:space="preserve">This manuscript tests if concentrating lawyers territorially heightens rejection rates at the Tribunal de </w:t>
      </w:r>
      <w:proofErr w:type="spellStart"/>
      <w:r w:rsidRPr="00743DB6">
        <w:rPr>
          <w:rFonts w:ascii="NimbusRomNo9L" w:hAnsi="NimbusRomNo9L"/>
          <w:lang w:val="en-US"/>
        </w:rPr>
        <w:t>grande</w:t>
      </w:r>
      <w:proofErr w:type="spellEnd"/>
      <w:r w:rsidRPr="00743DB6">
        <w:rPr>
          <w:rFonts w:ascii="NimbusRomNo9L" w:hAnsi="NimbusRomNo9L"/>
          <w:lang w:val="en-US"/>
        </w:rPr>
        <w:t xml:space="preserve"> instance (TGI), France's initial court of civil jurisdiction presided by legal representation (</w:t>
      </w:r>
      <w:proofErr w:type="spellStart"/>
      <w:r w:rsidRPr="00743DB6">
        <w:rPr>
          <w:rFonts w:ascii="NimbusRomNo9L" w:hAnsi="NimbusRomNo9L"/>
          <w:lang w:val="en-US"/>
        </w:rPr>
        <w:t>Fricero</w:t>
      </w:r>
      <w:proofErr w:type="spellEnd"/>
      <w:r w:rsidRPr="00743DB6">
        <w:rPr>
          <w:rFonts w:ascii="NimbusRomNo9L" w:hAnsi="NimbusRomNo9L"/>
          <w:lang w:val="en-US"/>
        </w:rPr>
        <w:t>, 2015). Hearings consist either of tripartite judicial panels or individual magistrates.</w:t>
      </w:r>
    </w:p>
    <w:p w14:paraId="2B901FC8" w14:textId="77777777" w:rsidR="00743DB6" w:rsidRPr="00743DB6" w:rsidRDefault="00743DB6" w:rsidP="00743DB6">
      <w:pPr>
        <w:ind w:firstLine="567"/>
        <w:jc w:val="both"/>
        <w:rPr>
          <w:rFonts w:ascii="NimbusRomNo9L" w:hAnsi="NimbusRomNo9L"/>
          <w:lang w:val="en-US"/>
        </w:rPr>
      </w:pPr>
      <w:r w:rsidRPr="00743DB6">
        <w:rPr>
          <w:rFonts w:ascii="NimbusRomNo9L" w:hAnsi="NimbusRomNo9L"/>
          <w:lang w:val="en-US"/>
        </w:rPr>
        <w:t xml:space="preserve">A dual analysis is undertaken. First, innovative 2012-2019 data and instrumental variables derived from archives address omitted biases in estimating competition's impact on dismissals. Second, advanced quantile regressions reveal how rejection determinants shift across the entire dispute distribution per evolving lawyer concentrations, as formalized by </w:t>
      </w:r>
      <w:proofErr w:type="spellStart"/>
      <w:r w:rsidRPr="00743DB6">
        <w:rPr>
          <w:rFonts w:ascii="NimbusRomNo9L" w:hAnsi="NimbusRomNo9L"/>
          <w:lang w:val="en-US"/>
        </w:rPr>
        <w:t>Chernozhukov</w:t>
      </w:r>
      <w:proofErr w:type="spellEnd"/>
      <w:r w:rsidRPr="00743DB6">
        <w:rPr>
          <w:rFonts w:ascii="NimbusRomNo9L" w:hAnsi="NimbusRomNo9L"/>
          <w:lang w:val="en-US"/>
        </w:rPr>
        <w:t xml:space="preserve"> and Hansen (2005).</w:t>
      </w:r>
    </w:p>
    <w:p w14:paraId="531FFB58" w14:textId="77777777" w:rsidR="00743DB6" w:rsidRPr="00743DB6" w:rsidRDefault="00743DB6" w:rsidP="00743DB6">
      <w:pPr>
        <w:ind w:firstLine="567"/>
        <w:jc w:val="both"/>
        <w:rPr>
          <w:rFonts w:ascii="NimbusRomNo9L" w:hAnsi="NimbusRomNo9L"/>
          <w:lang w:val="en-US"/>
        </w:rPr>
      </w:pPr>
      <w:r w:rsidRPr="00743DB6">
        <w:rPr>
          <w:rFonts w:ascii="NimbusRomNo9L" w:hAnsi="NimbusRomNo9L"/>
          <w:lang w:val="en-US"/>
        </w:rPr>
        <w:t>Results show lawyer concentration uplifts rejections over all observations. This linkage presumably stems from demand stimulation theory but may parallel diminished representation quality. Additional evidence implies institutional distortions profoundly mold legal demand, necessitating policy remedies for enduring processing problems.</w:t>
      </w:r>
    </w:p>
    <w:p w14:paraId="02A6BBC4" w14:textId="7FB01215" w:rsidR="00743DB6" w:rsidRPr="00743DB6" w:rsidRDefault="00743DB6" w:rsidP="00743DB6">
      <w:pPr>
        <w:ind w:firstLine="567"/>
        <w:jc w:val="both"/>
        <w:rPr>
          <w:rFonts w:ascii="NimbusRomNo9L" w:hAnsi="NimbusRomNo9L"/>
          <w:lang w:val="en-US"/>
        </w:rPr>
      </w:pPr>
      <w:r w:rsidRPr="00743DB6">
        <w:rPr>
          <w:rFonts w:ascii="NimbusRomNo9L" w:hAnsi="NimbusRomNo9L"/>
          <w:lang w:val="en-US"/>
        </w:rPr>
        <w:t>The remainder is organized as: Section 2 outlines methodology; Section 3 reports empirical outcomes and robustness testing; Section 4 discusses implications; conclusions complete the manuscript. Throughout, citations from the extensive literature are maintained to substantiate insights.</w:t>
      </w:r>
    </w:p>
    <w:p w14:paraId="63D6ECDB" w14:textId="4E743D01" w:rsidR="002950B9" w:rsidRPr="00166361" w:rsidRDefault="002950B9" w:rsidP="002950B9">
      <w:pPr>
        <w:pStyle w:val="Title"/>
        <w:rPr>
          <w:rFonts w:eastAsia="Times New Roman"/>
          <w:lang w:val="en-US"/>
        </w:rPr>
      </w:pPr>
      <w:r w:rsidRPr="00166361">
        <w:rPr>
          <w:rFonts w:eastAsia="Times New Roman"/>
          <w:lang w:val="en-US"/>
        </w:rPr>
        <w:t>2. Data and Conceptual Framework</w:t>
      </w:r>
      <w:r w:rsidRPr="00166361">
        <w:rPr>
          <w:rFonts w:eastAsia="Times New Roman"/>
          <w:vanish/>
          <w:lang w:val="en-US"/>
        </w:rPr>
        <w:t>Top of Form</w:t>
      </w:r>
    </w:p>
    <w:p w14:paraId="6AF9D113" w14:textId="2552E70B" w:rsidR="00C322F6" w:rsidRPr="00C322F6" w:rsidRDefault="00C322F6" w:rsidP="00C322F6">
      <w:pPr>
        <w:ind w:firstLine="567"/>
        <w:jc w:val="both"/>
        <w:rPr>
          <w:rFonts w:ascii="NimbusRomNo9L" w:hAnsi="NimbusRomNo9L"/>
          <w:lang w:val="en-US"/>
        </w:rPr>
      </w:pPr>
      <w:r w:rsidRPr="00C322F6">
        <w:rPr>
          <w:rFonts w:ascii="NimbusRomNo9L" w:hAnsi="NimbusRomNo9L"/>
          <w:lang w:val="en-US"/>
        </w:rPr>
        <w:t>The dataset underpinning this analysis encompasses 157 jurisdictions across France and 1,256 observations spanning 2012 to</w:t>
      </w:r>
      <w:r>
        <w:rPr>
          <w:rFonts w:ascii="NimbusRomNo9L" w:hAnsi="NimbusRomNo9L"/>
          <w:lang w:val="en-US"/>
        </w:rPr>
        <w:t xml:space="preserve"> 2019</w:t>
      </w:r>
      <w:r w:rsidRPr="00C322F6">
        <w:rPr>
          <w:rFonts w:ascii="NimbusRomNo9L" w:hAnsi="NimbusRomNo9L"/>
          <w:lang w:val="en-US"/>
        </w:rPr>
        <w:t>. Data originate</w:t>
      </w:r>
      <w:r>
        <w:rPr>
          <w:rFonts w:ascii="NimbusRomNo9L" w:hAnsi="NimbusRomNo9L"/>
          <w:lang w:val="en-US"/>
        </w:rPr>
        <w:t>s</w:t>
      </w:r>
      <w:r w:rsidRPr="00C322F6">
        <w:rPr>
          <w:rFonts w:ascii="NimbusRomNo9L" w:hAnsi="NimbusRomNo9L"/>
          <w:lang w:val="en-US"/>
        </w:rPr>
        <w:t xml:space="preserve"> from national </w:t>
      </w:r>
      <w:r w:rsidRPr="00C322F6">
        <w:rPr>
          <w:rFonts w:ascii="NimbusRomNo9L" w:hAnsi="NimbusRomNo9L"/>
          <w:lang w:val="en-US"/>
        </w:rPr>
        <w:lastRenderedPageBreak/>
        <w:t>sources including the INSEE, Ministry of Justice statistics bureau, and the BNF national library. Overseas territories are excluded owing to limited reporting.</w:t>
      </w:r>
    </w:p>
    <w:p w14:paraId="0CD6A78A" w14:textId="77777777" w:rsidR="00C322F6" w:rsidRPr="00C322F6" w:rsidRDefault="00C322F6" w:rsidP="00C322F6">
      <w:pPr>
        <w:ind w:firstLine="567"/>
        <w:jc w:val="both"/>
        <w:rPr>
          <w:rFonts w:ascii="NimbusRomNo9L" w:hAnsi="NimbusRomNo9L"/>
          <w:lang w:val="en-US"/>
        </w:rPr>
      </w:pPr>
      <w:r w:rsidRPr="00C322F6">
        <w:rPr>
          <w:rFonts w:ascii="NimbusRomNo9L" w:hAnsi="NimbusRomNo9L"/>
          <w:lang w:val="en-US"/>
        </w:rPr>
        <w:t>Acknowledging constraints, the research relies solely on court-aggregated data due to prohibitions on studying individual judge behaviors in criminal matters. This necessarily precludes analyzing variance at the judicial level and influences findings to exclusively reflect macro tendencies.</w:t>
      </w:r>
    </w:p>
    <w:p w14:paraId="21E60053" w14:textId="77777777" w:rsidR="00C322F6" w:rsidRPr="00C322F6" w:rsidRDefault="00C322F6" w:rsidP="00C322F6">
      <w:pPr>
        <w:ind w:firstLine="567"/>
        <w:jc w:val="both"/>
        <w:rPr>
          <w:rFonts w:ascii="NimbusRomNo9L" w:hAnsi="NimbusRomNo9L"/>
          <w:lang w:val="en-US"/>
        </w:rPr>
      </w:pPr>
      <w:r w:rsidRPr="00C322F6">
        <w:rPr>
          <w:rFonts w:ascii="NimbusRomNo9L" w:hAnsi="NimbusRomNo9L"/>
          <w:lang w:val="en-US"/>
        </w:rPr>
        <w:t>Per economic postulation, consumer demand for professional services correlates positively with supplier quantity (</w:t>
      </w:r>
      <w:proofErr w:type="spellStart"/>
      <w:r w:rsidRPr="00C322F6">
        <w:rPr>
          <w:rFonts w:ascii="NimbusRomNo9L" w:hAnsi="NimbusRomNo9L"/>
          <w:lang w:val="en-US"/>
        </w:rPr>
        <w:t>Buonanno</w:t>
      </w:r>
      <w:proofErr w:type="spellEnd"/>
      <w:r w:rsidRPr="00C322F6">
        <w:rPr>
          <w:rFonts w:ascii="NimbusRomNo9L" w:hAnsi="NimbusRomNo9L"/>
          <w:lang w:val="en-US"/>
        </w:rPr>
        <w:t xml:space="preserve"> &amp; </w:t>
      </w:r>
      <w:proofErr w:type="spellStart"/>
      <w:r w:rsidRPr="00C322F6">
        <w:rPr>
          <w:rFonts w:ascii="NimbusRomNo9L" w:hAnsi="NimbusRomNo9L"/>
          <w:lang w:val="en-US"/>
        </w:rPr>
        <w:t>Galizzi</w:t>
      </w:r>
      <w:proofErr w:type="spellEnd"/>
      <w:r w:rsidRPr="00C322F6">
        <w:rPr>
          <w:rFonts w:ascii="NimbusRomNo9L" w:hAnsi="NimbusRomNo9L"/>
          <w:lang w:val="en-US"/>
        </w:rPr>
        <w:t>, 2012). Standard theory assumes amplified practitioners leverage informational asymmetries to stimulate superfluous demand that enriches profits over social welfare.</w:t>
      </w:r>
    </w:p>
    <w:p w14:paraId="0FA7238E" w14:textId="77777777" w:rsidR="00C322F6" w:rsidRPr="00C322F6" w:rsidRDefault="00C322F6" w:rsidP="00C322F6">
      <w:pPr>
        <w:ind w:firstLine="567"/>
        <w:jc w:val="both"/>
        <w:rPr>
          <w:rFonts w:ascii="NimbusRomNo9L" w:hAnsi="NimbusRomNo9L"/>
          <w:lang w:val="en-US"/>
        </w:rPr>
      </w:pPr>
      <w:r w:rsidRPr="00C322F6">
        <w:rPr>
          <w:rFonts w:ascii="NimbusRomNo9L" w:hAnsi="NimbusRomNo9L"/>
          <w:lang w:val="en-US"/>
        </w:rPr>
        <w:t>Lawyers hold potential not only to generate novel cases through expansive networks, but also introduce frivolous suits prejudicial to justice due their specialized acumen in discerning merit. Logically, increasing lawyer populations relative to legal need should correlate with higher dismissal rates as non-starters are pursued regardless of futility recognized among peers. Rational plaintiffs forego baseless actions forecasted to fail.</w:t>
      </w:r>
    </w:p>
    <w:p w14:paraId="1A0BC94B" w14:textId="77777777" w:rsidR="00C322F6" w:rsidRPr="00C322F6" w:rsidRDefault="00C322F6" w:rsidP="00C322F6">
      <w:pPr>
        <w:ind w:firstLine="567"/>
        <w:jc w:val="both"/>
        <w:rPr>
          <w:rFonts w:ascii="NimbusRomNo9L" w:hAnsi="NimbusRomNo9L"/>
          <w:lang w:val="en-US"/>
        </w:rPr>
      </w:pPr>
      <w:r w:rsidRPr="00C322F6">
        <w:rPr>
          <w:rFonts w:ascii="NimbusRomNo9L" w:hAnsi="NimbusRomNo9L"/>
          <w:lang w:val="en-US"/>
        </w:rPr>
        <w:t>On these premises, a relationship between rising legal saturation points and concurrent rejection totals could evidence demand inducement dynamics outweighing social obligations to curtail litigation conducive only to remuneration, not resolution. Testing this is the aim of modeled associations between variables that account for endogenous influences through careful methodology respecting data constraints.</w:t>
      </w:r>
    </w:p>
    <w:p w14:paraId="69096459" w14:textId="2C223FF4" w:rsidR="00BC59D3" w:rsidRPr="009D1013" w:rsidRDefault="009D1013" w:rsidP="009D1013">
      <w:pPr>
        <w:ind w:firstLine="567"/>
        <w:jc w:val="both"/>
        <w:rPr>
          <w:rFonts w:ascii="NimbusRomNo9L" w:hAnsi="NimbusRomNo9L"/>
          <w:lang w:val="en-US"/>
        </w:rPr>
      </w:pPr>
      <w:r w:rsidRPr="009D1013">
        <w:rPr>
          <w:rFonts w:ascii="NimbusRomNo9L" w:hAnsi="NimbusRomNo9L"/>
          <w:lang w:val="en-US"/>
        </w:rPr>
        <w:t>To test this hypothesis, we use a two-stage least squares method to estimate the empirical coefficients using the following simple model parameters:</w:t>
      </w:r>
    </w:p>
    <w:p w14:paraId="677F1468" w14:textId="2A84EC7B" w:rsidR="00BC59D3" w:rsidRPr="009D1013" w:rsidRDefault="00BC59D3" w:rsidP="00BC59D3">
      <w:pPr>
        <w:spacing w:before="240" w:after="240"/>
        <w:jc w:val="center"/>
        <w:rPr>
          <w:rFonts w:ascii="NimbusRomNo9L" w:hAnsi="NimbusRomNo9L"/>
          <w:i/>
        </w:rPr>
      </w:pPr>
      <w:r w:rsidRPr="009D1013">
        <w:rPr>
          <w:rFonts w:ascii="CMMI12" w:hAnsi="CMMI12"/>
          <w:i/>
        </w:rPr>
        <w:t>Rejections</w:t>
      </w:r>
      <w:proofErr w:type="spellStart"/>
      <w:r w:rsidRPr="009D1013">
        <w:rPr>
          <w:rFonts w:ascii="CMMI8" w:hAnsi="CMMI8"/>
          <w:i/>
          <w:position w:val="-4"/>
          <w:sz w:val="16"/>
          <w:szCs w:val="16"/>
        </w:rPr>
        <w:t>c,t</w:t>
      </w:r>
      <w:proofErr w:type="spellEnd"/>
      <w:r w:rsidRPr="009D1013">
        <w:rPr>
          <w:rFonts w:ascii="CMMI8" w:hAnsi="CMMI8"/>
          <w:i/>
          <w:position w:val="-4"/>
          <w:sz w:val="16"/>
          <w:szCs w:val="16"/>
        </w:rPr>
        <w:t xml:space="preserve"> </w:t>
      </w:r>
      <w:r w:rsidRPr="009D1013">
        <w:rPr>
          <w:rFonts w:ascii="CMR12" w:hAnsi="CMR12"/>
          <w:i/>
        </w:rPr>
        <w:t xml:space="preserve">= </w:t>
      </w:r>
      <w:r w:rsidRPr="00166361">
        <w:rPr>
          <w:rFonts w:ascii="CMMI12" w:hAnsi="CMMI12"/>
          <w:i/>
          <w:lang w:val="en-US"/>
        </w:rPr>
        <w:t>β</w:t>
      </w:r>
      <w:r w:rsidRPr="009D1013">
        <w:rPr>
          <w:rFonts w:ascii="CMR8" w:hAnsi="CMR8"/>
          <w:i/>
          <w:position w:val="-4"/>
          <w:sz w:val="16"/>
          <w:szCs w:val="16"/>
        </w:rPr>
        <w:t xml:space="preserve">1 </w:t>
      </w:r>
      <w:proofErr w:type="spellStart"/>
      <w:r w:rsidRPr="009D1013">
        <w:rPr>
          <w:rFonts w:ascii="CMMI12" w:hAnsi="CMMI12"/>
          <w:i/>
        </w:rPr>
        <w:t>lawyers</w:t>
      </w:r>
      <w:r w:rsidRPr="009D1013">
        <w:rPr>
          <w:rFonts w:ascii="CMMI8" w:hAnsi="CMMI8"/>
          <w:i/>
          <w:position w:val="-4"/>
          <w:sz w:val="16"/>
          <w:szCs w:val="16"/>
        </w:rPr>
        <w:t>c,t</w:t>
      </w:r>
      <w:proofErr w:type="spellEnd"/>
      <w:r w:rsidRPr="009D1013">
        <w:rPr>
          <w:rFonts w:ascii="CMMI8" w:hAnsi="CMMI8"/>
          <w:i/>
          <w:position w:val="-4"/>
          <w:sz w:val="16"/>
          <w:szCs w:val="16"/>
        </w:rPr>
        <w:t xml:space="preserve"> </w:t>
      </w:r>
      <w:r w:rsidRPr="009D1013">
        <w:rPr>
          <w:rFonts w:ascii="CMR12" w:hAnsi="CMR12"/>
          <w:i/>
        </w:rPr>
        <w:t xml:space="preserve">+ </w:t>
      </w:r>
      <w:r w:rsidRPr="00166361">
        <w:rPr>
          <w:rFonts w:ascii="CMMI12" w:hAnsi="CMMI12"/>
          <w:i/>
          <w:lang w:val="en-US"/>
        </w:rPr>
        <w:t>β</w:t>
      </w:r>
      <w:r w:rsidRPr="009D1013">
        <w:rPr>
          <w:rFonts w:ascii="CMR8" w:hAnsi="CMR8"/>
          <w:i/>
          <w:position w:val="-4"/>
          <w:sz w:val="16"/>
          <w:szCs w:val="16"/>
        </w:rPr>
        <w:t xml:space="preserve">2 </w:t>
      </w:r>
      <w:r w:rsidRPr="009D1013">
        <w:rPr>
          <w:rFonts w:ascii="CMMI12" w:hAnsi="CMMI12"/>
          <w:i/>
        </w:rPr>
        <w:t>X</w:t>
      </w:r>
      <w:proofErr w:type="spellStart"/>
      <w:r w:rsidRPr="009D1013">
        <w:rPr>
          <w:rFonts w:ascii="CMMI8" w:hAnsi="CMMI8"/>
          <w:i/>
          <w:position w:val="-4"/>
          <w:sz w:val="16"/>
          <w:szCs w:val="16"/>
        </w:rPr>
        <w:t>c,t</w:t>
      </w:r>
      <w:proofErr w:type="spellEnd"/>
      <w:r w:rsidRPr="009D1013">
        <w:rPr>
          <w:rFonts w:ascii="CMMI8" w:hAnsi="CMMI8"/>
          <w:i/>
          <w:position w:val="-4"/>
          <w:sz w:val="16"/>
          <w:szCs w:val="16"/>
        </w:rPr>
        <w:t xml:space="preserve"> </w:t>
      </w:r>
      <w:r w:rsidRPr="009D1013">
        <w:rPr>
          <w:rFonts w:ascii="CMR12" w:hAnsi="CMR12"/>
          <w:i/>
        </w:rPr>
        <w:t xml:space="preserve">+ </w:t>
      </w:r>
      <w:r w:rsidRPr="00166361">
        <w:rPr>
          <w:rFonts w:ascii="CMMI12" w:hAnsi="CMMI12"/>
          <w:i/>
          <w:lang w:val="en-US"/>
        </w:rPr>
        <w:t>α</w:t>
      </w:r>
      <w:r w:rsidRPr="009D1013">
        <w:rPr>
          <w:rFonts w:ascii="CMMI8" w:hAnsi="CMMI8"/>
          <w:i/>
          <w:position w:val="-4"/>
          <w:sz w:val="16"/>
          <w:szCs w:val="16"/>
        </w:rPr>
        <w:t xml:space="preserve">ct </w:t>
      </w:r>
      <w:r w:rsidRPr="009D1013">
        <w:rPr>
          <w:rFonts w:ascii="CMR12" w:hAnsi="CMR12"/>
          <w:i/>
        </w:rPr>
        <w:t xml:space="preserve">+ </w:t>
      </w:r>
      <w:r w:rsidRPr="00166361">
        <w:rPr>
          <w:rFonts w:ascii="CMMI12" w:hAnsi="CMMI12"/>
          <w:i/>
          <w:lang w:val="en-US"/>
        </w:rPr>
        <w:t>ε</w:t>
      </w:r>
      <w:proofErr w:type="spellStart"/>
      <w:r w:rsidRPr="009D1013">
        <w:rPr>
          <w:rFonts w:ascii="CMMI8" w:hAnsi="CMMI8"/>
          <w:i/>
          <w:position w:val="-4"/>
          <w:sz w:val="16"/>
          <w:szCs w:val="16"/>
        </w:rPr>
        <w:t>c,t</w:t>
      </w:r>
      <w:proofErr w:type="spellEnd"/>
    </w:p>
    <w:p w14:paraId="10E0DEE8" w14:textId="1E729A2A" w:rsidR="009D1013" w:rsidRPr="009D1013" w:rsidRDefault="00BC59D3" w:rsidP="009D1013">
      <w:pPr>
        <w:ind w:firstLine="567"/>
        <w:jc w:val="both"/>
        <w:rPr>
          <w:rFonts w:ascii="NimbusRomNo9L" w:hAnsi="NimbusRomNo9L"/>
          <w:lang w:val="en-US"/>
        </w:rPr>
      </w:pPr>
      <w:r w:rsidRPr="00166361">
        <w:rPr>
          <w:rFonts w:ascii="NimbusRomNo9L" w:hAnsi="NimbusRomNo9L"/>
          <w:lang w:val="en-US"/>
        </w:rPr>
        <w:t xml:space="preserve">The dependent variable </w:t>
      </w:r>
      <w:r w:rsidRPr="00166361">
        <w:rPr>
          <w:rFonts w:ascii="CMMI12" w:hAnsi="CMMI12"/>
          <w:i/>
          <w:lang w:val="en-US"/>
        </w:rPr>
        <w:t>Rejections</w:t>
      </w:r>
      <w:proofErr w:type="spellStart"/>
      <w:r w:rsidRPr="00166361">
        <w:rPr>
          <w:rFonts w:ascii="CMMI8" w:hAnsi="CMMI8"/>
          <w:i/>
          <w:position w:val="-4"/>
          <w:sz w:val="16"/>
          <w:szCs w:val="16"/>
          <w:lang w:val="en-US"/>
        </w:rPr>
        <w:t>c,t</w:t>
      </w:r>
      <w:proofErr w:type="spellEnd"/>
      <w:r w:rsidRPr="00166361">
        <w:rPr>
          <w:rFonts w:ascii="NimbusRomNo9L" w:hAnsi="NimbusRomNo9L"/>
          <w:lang w:val="en-US"/>
        </w:rPr>
        <w:t xml:space="preserve"> represents the rate of court cases </w:t>
      </w:r>
      <w:r w:rsidR="005135D7">
        <w:rPr>
          <w:rFonts w:ascii="NimbusRomNo9L" w:hAnsi="NimbusRomNo9L" w:hint="eastAsia"/>
          <w:lang w:val="en-US"/>
        </w:rPr>
        <w:t>introduced</w:t>
      </w:r>
      <w:r w:rsidR="005135D7">
        <w:rPr>
          <w:rFonts w:ascii="NimbusRomNo9L" w:hAnsi="NimbusRomNo9L"/>
          <w:lang w:val="en-US"/>
        </w:rPr>
        <w:t xml:space="preserve"> by the plaintiff and then </w:t>
      </w:r>
      <w:bookmarkStart w:id="0" w:name="_GoBack"/>
      <w:bookmarkEnd w:id="0"/>
      <w:r w:rsidRPr="00166361">
        <w:rPr>
          <w:rFonts w:ascii="NimbusRomNo9L" w:hAnsi="NimbusRomNo9L"/>
          <w:lang w:val="en-US"/>
        </w:rPr>
        <w:t>rejected by courts of first instance (</w:t>
      </w:r>
      <w:r w:rsidR="00717383" w:rsidRPr="00717383">
        <w:rPr>
          <w:rFonts w:ascii="NimbusRomNo9L" w:hAnsi="NimbusRomNo9L"/>
          <w:i/>
          <w:lang w:val="en-US"/>
        </w:rPr>
        <w:t>c</w:t>
      </w:r>
      <w:r w:rsidRPr="00166361">
        <w:rPr>
          <w:rFonts w:ascii="NimbusRomNo9L" w:hAnsi="NimbusRomNo9L"/>
          <w:lang w:val="en-US"/>
        </w:rPr>
        <w:t>)</w:t>
      </w:r>
      <w:r w:rsidR="00717383">
        <w:rPr>
          <w:rFonts w:ascii="NimbusRomNo9L" w:hAnsi="NimbusRomNo9L"/>
          <w:lang w:val="en-US"/>
        </w:rPr>
        <w:t xml:space="preserve"> at each year of observation (</w:t>
      </w:r>
      <w:r w:rsidR="00717383" w:rsidRPr="00717383">
        <w:rPr>
          <w:rFonts w:ascii="NimbusRomNo9L" w:hAnsi="NimbusRomNo9L"/>
          <w:i/>
          <w:lang w:val="en-US"/>
        </w:rPr>
        <w:t>t</w:t>
      </w:r>
      <w:r w:rsidR="00717383">
        <w:rPr>
          <w:rFonts w:ascii="NimbusRomNo9L" w:hAnsi="NimbusRomNo9L"/>
          <w:lang w:val="en-US"/>
        </w:rPr>
        <w:t>)</w:t>
      </w:r>
      <w:r w:rsidRPr="00166361">
        <w:rPr>
          <w:rFonts w:ascii="NimbusRomNo9L" w:hAnsi="NimbusRomNo9L"/>
          <w:lang w:val="en-US"/>
        </w:rPr>
        <w:t xml:space="preserve">. The explanatory variable of interest is the variable </w:t>
      </w:r>
      <w:r w:rsidRPr="00166361">
        <w:rPr>
          <w:rFonts w:ascii="CMMI12" w:hAnsi="CMMI12"/>
          <w:i/>
          <w:lang w:val="en-US"/>
        </w:rPr>
        <w:t>lawyers</w:t>
      </w:r>
      <w:proofErr w:type="spellStart"/>
      <w:r w:rsidRPr="00166361">
        <w:rPr>
          <w:rFonts w:ascii="CMMI8" w:hAnsi="CMMI8"/>
          <w:i/>
          <w:position w:val="-4"/>
          <w:sz w:val="16"/>
          <w:szCs w:val="16"/>
          <w:lang w:val="en-US"/>
        </w:rPr>
        <w:t>c,t</w:t>
      </w:r>
      <w:proofErr w:type="spellEnd"/>
      <w:r w:rsidRPr="00166361">
        <w:rPr>
          <w:rFonts w:ascii="NimbusRomNo9L" w:hAnsi="NimbusRomNo9L"/>
          <w:lang w:val="en-US"/>
        </w:rPr>
        <w:t xml:space="preserve"> which is the number of lawyers registered with the competent bar association</w:t>
      </w:r>
      <w:r w:rsidR="00717383">
        <w:rPr>
          <w:rFonts w:ascii="NimbusRomNo9L" w:hAnsi="NimbusRomNo9L"/>
          <w:lang w:val="en-US"/>
        </w:rPr>
        <w:t xml:space="preserve"> per 100.000 inhabitants</w:t>
      </w:r>
      <w:r w:rsidRPr="00166361">
        <w:rPr>
          <w:rFonts w:ascii="NimbusRomNo9L" w:hAnsi="NimbusRomNo9L"/>
          <w:lang w:val="en-US"/>
        </w:rPr>
        <w:t xml:space="preserve">. </w:t>
      </w:r>
      <w:r w:rsidR="009D1013" w:rsidRPr="009D1013">
        <w:rPr>
          <w:rFonts w:ascii="NimbusRomNo9L" w:hAnsi="NimbusRomNo9L"/>
          <w:lang w:val="en-US"/>
        </w:rPr>
        <w:t>The law requires mandatory legal representation and limits the jurisdiction of lawyers to the court of appeal where the lawyer is registered (</w:t>
      </w:r>
      <w:proofErr w:type="spellStart"/>
      <w:r w:rsidR="009D1013" w:rsidRPr="009D1013">
        <w:rPr>
          <w:rFonts w:ascii="NimbusRomNo9L" w:hAnsi="NimbusRomNo9L"/>
          <w:lang w:val="en-US"/>
        </w:rPr>
        <w:t>Fricero</w:t>
      </w:r>
      <w:proofErr w:type="spellEnd"/>
      <w:r w:rsidR="009D1013" w:rsidRPr="009D1013">
        <w:rPr>
          <w:rFonts w:ascii="NimbusRomNo9L" w:hAnsi="NimbusRomNo9L"/>
          <w:lang w:val="en-US"/>
        </w:rPr>
        <w:t>, 2021)</w:t>
      </w:r>
      <w:r w:rsidR="00717383">
        <w:rPr>
          <w:rFonts w:ascii="NimbusRomNo9L" w:hAnsi="NimbusRomNo9L"/>
          <w:lang w:val="en-US"/>
        </w:rPr>
        <w:t xml:space="preserve">, </w:t>
      </w:r>
      <w:r w:rsidR="009D1013" w:rsidRPr="009D1013">
        <w:rPr>
          <w:rFonts w:ascii="NimbusRomNo9L" w:hAnsi="NimbusRomNo9L"/>
          <w:lang w:val="en-US"/>
        </w:rPr>
        <w:t>allow</w:t>
      </w:r>
      <w:r w:rsidR="00717383">
        <w:rPr>
          <w:rFonts w:ascii="NimbusRomNo9L" w:hAnsi="NimbusRomNo9L"/>
          <w:lang w:val="en-US"/>
        </w:rPr>
        <w:t xml:space="preserve">ing </w:t>
      </w:r>
      <w:r w:rsidR="009D1013" w:rsidRPr="009D1013">
        <w:rPr>
          <w:rFonts w:ascii="NimbusRomNo9L" w:hAnsi="NimbusRomNo9L"/>
          <w:lang w:val="en-US"/>
        </w:rPr>
        <w:t xml:space="preserve">for the precise number of lawyers practicing in each TGI jurisdiction to be </w:t>
      </w:r>
      <w:r w:rsidR="00717383">
        <w:rPr>
          <w:rFonts w:ascii="NimbusRomNo9L" w:hAnsi="NimbusRomNo9L"/>
          <w:lang w:val="en-US"/>
        </w:rPr>
        <w:t>considered</w:t>
      </w:r>
      <w:r w:rsidR="009D1013" w:rsidRPr="009D1013">
        <w:rPr>
          <w:rFonts w:ascii="NimbusRomNo9L" w:hAnsi="NimbusRomNo9L"/>
          <w:lang w:val="en-US"/>
        </w:rPr>
        <w:t>. The variable is instrumented as described in the following section.</w:t>
      </w:r>
    </w:p>
    <w:p w14:paraId="4592DF7A" w14:textId="1DFD48CF" w:rsidR="009D1013" w:rsidRDefault="009D1013" w:rsidP="009D1013">
      <w:pPr>
        <w:ind w:firstLine="567"/>
        <w:jc w:val="both"/>
        <w:rPr>
          <w:rFonts w:ascii="NimbusRomNo9L" w:hAnsi="NimbusRomNo9L"/>
          <w:lang w:val="en-US"/>
        </w:rPr>
      </w:pPr>
      <w:r w:rsidRPr="009D1013">
        <w:rPr>
          <w:rFonts w:ascii="NimbusRomNo9L" w:hAnsi="NimbusRomNo9L"/>
          <w:lang w:val="en-US"/>
        </w:rPr>
        <w:t xml:space="preserve">Since institutional and socio-economic factors can stimulate inductive demand for litigation, we include a vector of control variables – </w:t>
      </w:r>
      <w:proofErr w:type="spellStart"/>
      <w:proofErr w:type="gramStart"/>
      <w:r w:rsidRPr="009D1013">
        <w:rPr>
          <w:rFonts w:ascii="NimbusRomNo9L" w:hAnsi="NimbusRomNo9L"/>
          <w:i/>
          <w:lang w:val="en-US"/>
        </w:rPr>
        <w:t>X</w:t>
      </w:r>
      <w:r w:rsidRPr="009D1013">
        <w:rPr>
          <w:rFonts w:ascii="NimbusRomNo9L" w:hAnsi="NimbusRomNo9L"/>
          <w:i/>
          <w:vertAlign w:val="subscript"/>
          <w:lang w:val="en-US"/>
        </w:rPr>
        <w:t>c,t</w:t>
      </w:r>
      <w:proofErr w:type="spellEnd"/>
      <w:proofErr w:type="gramEnd"/>
      <w:r w:rsidRPr="009D1013">
        <w:rPr>
          <w:rFonts w:ascii="NimbusRomNo9L" w:hAnsi="NimbusRomNo9L"/>
          <w:vertAlign w:val="subscript"/>
          <w:lang w:val="en-US"/>
        </w:rPr>
        <w:t xml:space="preserve"> </w:t>
      </w:r>
      <w:r w:rsidRPr="009D1013">
        <w:rPr>
          <w:rFonts w:ascii="NimbusRomNo9L" w:hAnsi="NimbusRomNo9L"/>
          <w:lang w:val="en-US"/>
        </w:rPr>
        <w:t xml:space="preserve">– in the model. This vector </w:t>
      </w:r>
      <w:r w:rsidR="00120E33">
        <w:rPr>
          <w:rFonts w:ascii="NimbusRomNo9L" w:hAnsi="NimbusRomNo9L"/>
          <w:lang w:val="en-US"/>
        </w:rPr>
        <w:t>includes</w:t>
      </w:r>
      <w:r w:rsidRPr="009D1013">
        <w:rPr>
          <w:rFonts w:ascii="NimbusRomNo9L" w:hAnsi="NimbusRomNo9L"/>
          <w:lang w:val="en-US"/>
        </w:rPr>
        <w:t xml:space="preserve"> various indicators that may affect rejection rates.</w:t>
      </w:r>
    </w:p>
    <w:p w14:paraId="6D04E827" w14:textId="28B56C93" w:rsidR="009D1013" w:rsidRDefault="00BC59D3" w:rsidP="00EE2AFF">
      <w:pPr>
        <w:ind w:firstLine="567"/>
        <w:jc w:val="both"/>
        <w:rPr>
          <w:rFonts w:ascii="NimbusRomNo9L" w:hAnsi="NimbusRomNo9L"/>
          <w:lang w:val="en-US"/>
        </w:rPr>
      </w:pPr>
      <w:r w:rsidRPr="00166361">
        <w:rPr>
          <w:rFonts w:ascii="NimbusRomNo9L" w:hAnsi="NimbusRomNo9L"/>
          <w:lang w:val="en-US"/>
        </w:rPr>
        <w:t xml:space="preserve">The first </w:t>
      </w:r>
      <w:r w:rsidR="00120E33">
        <w:rPr>
          <w:rFonts w:ascii="NimbusRomNo9L" w:hAnsi="NimbusRomNo9L"/>
          <w:lang w:val="en-US"/>
        </w:rPr>
        <w:t xml:space="preserve">judicial-related </w:t>
      </w:r>
      <w:r w:rsidRPr="00166361">
        <w:rPr>
          <w:rFonts w:ascii="NimbusRomNo9L" w:hAnsi="NimbusRomNo9L"/>
          <w:lang w:val="en-US"/>
        </w:rPr>
        <w:t>group includes</w:t>
      </w:r>
      <w:r w:rsidR="00832394">
        <w:rPr>
          <w:rFonts w:ascii="NimbusRomNo9L" w:hAnsi="NimbusRomNo9L"/>
          <w:lang w:val="en-US"/>
        </w:rPr>
        <w:t xml:space="preserve"> data from the Ministry of Justice</w:t>
      </w:r>
      <w:r w:rsidRPr="00166361">
        <w:rPr>
          <w:rFonts w:ascii="NimbusRomNo9L" w:hAnsi="NimbusRomNo9L"/>
          <w:lang w:val="en-US"/>
        </w:rPr>
        <w:t xml:space="preserve">: </w:t>
      </w:r>
      <w:r w:rsidR="00EE2AFF">
        <w:rPr>
          <w:rFonts w:ascii="NimbusRomNo9L" w:hAnsi="NimbusRomNo9L"/>
          <w:lang w:val="en-US"/>
        </w:rPr>
        <w:t xml:space="preserve"> </w:t>
      </w:r>
    </w:p>
    <w:p w14:paraId="1E346351" w14:textId="6091ED94" w:rsidR="00C32CD2" w:rsidRPr="00C32CD2" w:rsidRDefault="00C32CD2" w:rsidP="00C32CD2">
      <w:pPr>
        <w:pStyle w:val="ListParagraph"/>
        <w:numPr>
          <w:ilvl w:val="0"/>
          <w:numId w:val="5"/>
        </w:numPr>
        <w:jc w:val="both"/>
        <w:rPr>
          <w:rFonts w:ascii="NimbusRomNo9L" w:hAnsi="NimbusRomNo9L"/>
          <w:lang w:val="en-US"/>
        </w:rPr>
      </w:pPr>
      <w:r>
        <w:rPr>
          <w:rFonts w:ascii="NimbusRomNo9L" w:hAnsi="NimbusRomNo9L"/>
          <w:lang w:val="en-US"/>
        </w:rPr>
        <w:t>The rate of b</w:t>
      </w:r>
      <w:r w:rsidR="00120E33">
        <w:rPr>
          <w:rFonts w:ascii="NimbusRomNo9L" w:hAnsi="NimbusRomNo9L"/>
          <w:lang w:val="en-US"/>
        </w:rPr>
        <w:t>acklogged</w:t>
      </w:r>
      <w:r w:rsidR="009D1013" w:rsidRPr="009D1013">
        <w:rPr>
          <w:rFonts w:ascii="NimbusRomNo9L" w:hAnsi="NimbusRomNo9L"/>
          <w:lang w:val="en-US"/>
        </w:rPr>
        <w:t xml:space="preserve"> court cases</w:t>
      </w:r>
      <w:r w:rsidR="00D17386">
        <w:rPr>
          <w:rFonts w:ascii="NimbusRomNo9L" w:hAnsi="NimbusRomNo9L"/>
          <w:lang w:val="en-US"/>
        </w:rPr>
        <w:t xml:space="preserve"> </w:t>
      </w:r>
      <w:r>
        <w:rPr>
          <w:rFonts w:ascii="NimbusRomNo9L" w:hAnsi="NimbusRomNo9L"/>
          <w:lang w:val="en-US"/>
        </w:rPr>
        <w:t xml:space="preserve">– constructed as the ratio between the </w:t>
      </w:r>
      <w:r w:rsidRPr="00C32CD2">
        <w:rPr>
          <w:rFonts w:ascii="NimbusRomNo9L" w:hAnsi="NimbusRomNo9L"/>
          <w:lang w:val="en-US"/>
        </w:rPr>
        <w:t>stock</w:t>
      </w:r>
      <w:r>
        <w:rPr>
          <w:rFonts w:ascii="NimbusRomNo9L" w:hAnsi="NimbusRomNo9L"/>
          <w:lang w:val="en-US"/>
        </w:rPr>
        <w:t xml:space="preserve"> and </w:t>
      </w:r>
      <w:r w:rsidRPr="00C32CD2">
        <w:rPr>
          <w:rFonts w:ascii="NimbusRomNo9L" w:hAnsi="NimbusRomNo9L"/>
          <w:lang w:val="en-US"/>
        </w:rPr>
        <w:t>end</w:t>
      </w:r>
      <w:r>
        <w:rPr>
          <w:rFonts w:ascii="NimbusRomNo9L" w:hAnsi="NimbusRomNo9L"/>
          <w:lang w:val="en-US"/>
        </w:rPr>
        <w:t xml:space="preserve">ed </w:t>
      </w:r>
      <w:r w:rsidRPr="00C32CD2">
        <w:rPr>
          <w:rFonts w:ascii="NimbusRomNo9L" w:hAnsi="NimbusRomNo9L"/>
          <w:lang w:val="en-US"/>
        </w:rPr>
        <w:t>cases</w:t>
      </w:r>
      <w:r>
        <w:rPr>
          <w:rFonts w:ascii="NimbusRomNo9L" w:hAnsi="NimbusRomNo9L"/>
          <w:lang w:val="en-US"/>
        </w:rPr>
        <w:t xml:space="preserve"> </w:t>
      </w:r>
      <w:r w:rsidR="00EE2AFF">
        <w:rPr>
          <w:rFonts w:ascii="NimbusRomNo9L" w:hAnsi="NimbusRomNo9L"/>
          <w:lang w:val="en-US"/>
        </w:rPr>
        <w:t>(</w:t>
      </w:r>
      <w:proofErr w:type="spellStart"/>
      <w:r w:rsidR="00EE2AFF">
        <w:rPr>
          <w:rFonts w:ascii="NimbusRomNo9L" w:hAnsi="NimbusRomNo9L"/>
          <w:lang w:val="en-US"/>
        </w:rPr>
        <w:t>Bielen</w:t>
      </w:r>
      <w:proofErr w:type="spellEnd"/>
      <w:r w:rsidR="00EE2AFF">
        <w:rPr>
          <w:rFonts w:ascii="NimbusRomNo9L" w:hAnsi="NimbusRomNo9L"/>
          <w:lang w:val="en-US"/>
        </w:rPr>
        <w:t xml:space="preserve"> et al., 2018) </w:t>
      </w:r>
      <w:r>
        <w:rPr>
          <w:rFonts w:ascii="NimbusRomNo9L" w:hAnsi="NimbusRomNo9L"/>
          <w:lang w:val="en-US"/>
        </w:rPr>
        <w:t xml:space="preserve">– </w:t>
      </w:r>
      <w:r w:rsidRPr="00C32CD2">
        <w:rPr>
          <w:rFonts w:ascii="NimbusRomNo9L" w:hAnsi="NimbusRomNo9L"/>
          <w:lang w:val="en-US"/>
        </w:rPr>
        <w:t xml:space="preserve">captures potential court inefficiencies </w:t>
      </w:r>
      <w:r w:rsidR="00FA1FC4">
        <w:rPr>
          <w:rFonts w:ascii="NimbusRomNo9L" w:hAnsi="NimbusRomNo9L"/>
          <w:lang w:val="en-US"/>
        </w:rPr>
        <w:t>(</w:t>
      </w:r>
      <w:r w:rsidR="00FA1FC4" w:rsidRPr="00FA1FC4">
        <w:rPr>
          <w:rFonts w:ascii="NimbusRomNo9L" w:hAnsi="NimbusRomNo9L"/>
          <w:lang w:val="en-US"/>
        </w:rPr>
        <w:t>Voigt &amp; El-Bialy, 2016</w:t>
      </w:r>
      <w:r w:rsidR="00FA1FC4">
        <w:rPr>
          <w:rFonts w:ascii="NimbusRomNo9L" w:hAnsi="NimbusRomNo9L"/>
          <w:lang w:val="en-US"/>
        </w:rPr>
        <w:t xml:space="preserve">) </w:t>
      </w:r>
      <w:r w:rsidRPr="00C32CD2">
        <w:rPr>
          <w:rFonts w:ascii="NimbusRomNo9L" w:hAnsi="NimbusRomNo9L"/>
          <w:lang w:val="en-US"/>
        </w:rPr>
        <w:t>that might contribute to higher rejection rates due to rushed evaluations or overburdened judges. If courts with high lawyer concentration also have higher backlogs</w:t>
      </w:r>
      <w:r w:rsidR="00954F3B">
        <w:rPr>
          <w:rFonts w:ascii="NimbusRomNo9L" w:hAnsi="NimbusRomNo9L"/>
          <w:lang w:val="en-US"/>
        </w:rPr>
        <w:t xml:space="preserve"> (Hossain, 2019)</w:t>
      </w:r>
      <w:r w:rsidRPr="00C32CD2">
        <w:rPr>
          <w:rFonts w:ascii="NimbusRomNo9L" w:hAnsi="NimbusRomNo9L"/>
          <w:lang w:val="en-US"/>
        </w:rPr>
        <w:t>, it's crucial to control for this factor to isolate the true impact of lawyer density</w:t>
      </w:r>
      <w:r w:rsidR="00265BA6">
        <w:rPr>
          <w:rFonts w:ascii="NimbusRomNo9L" w:hAnsi="NimbusRomNo9L"/>
          <w:lang w:val="en-US"/>
        </w:rPr>
        <w:t>.</w:t>
      </w:r>
    </w:p>
    <w:p w14:paraId="5A513357" w14:textId="1AA3E96A" w:rsidR="001D0CFB" w:rsidRPr="001D0CFB" w:rsidRDefault="001D0CFB" w:rsidP="001D0CFB">
      <w:pPr>
        <w:pStyle w:val="ListParagraph"/>
        <w:numPr>
          <w:ilvl w:val="0"/>
          <w:numId w:val="5"/>
        </w:numPr>
        <w:jc w:val="both"/>
        <w:rPr>
          <w:rFonts w:ascii="NimbusRomNo9L" w:hAnsi="NimbusRomNo9L"/>
          <w:lang w:val="en-US"/>
        </w:rPr>
      </w:pPr>
      <w:r>
        <w:rPr>
          <w:rFonts w:ascii="NimbusRomNo9L" w:hAnsi="NimbusRomNo9L"/>
          <w:lang w:val="en-US"/>
        </w:rPr>
        <w:t>The rate of w</w:t>
      </w:r>
      <w:r w:rsidR="009D1013" w:rsidRPr="00120E33">
        <w:rPr>
          <w:rFonts w:ascii="NimbusRomNo9L" w:hAnsi="NimbusRomNo9L"/>
          <w:lang w:val="en-US"/>
        </w:rPr>
        <w:t>ithdrawn cases</w:t>
      </w:r>
      <w:r>
        <w:rPr>
          <w:rFonts w:ascii="NimbusRomNo9L" w:hAnsi="NimbusRomNo9L"/>
          <w:lang w:val="en-US"/>
        </w:rPr>
        <w:t>,</w:t>
      </w:r>
      <w:r w:rsidRPr="001D0CFB">
        <w:rPr>
          <w:rFonts w:ascii="Helvetica Neue" w:hAnsi="Helvetica Neue"/>
          <w:color w:val="1F1F1F"/>
          <w:lang w:val="en-US"/>
        </w:rPr>
        <w:t xml:space="preserve"> </w:t>
      </w:r>
      <w:r>
        <w:rPr>
          <w:rFonts w:ascii="NimbusRomNo9L" w:hAnsi="NimbusRomNo9L"/>
          <w:lang w:val="en-US"/>
        </w:rPr>
        <w:t>that c</w:t>
      </w:r>
      <w:r w:rsidRPr="001D0CFB">
        <w:rPr>
          <w:rFonts w:ascii="NimbusRomNo9L" w:hAnsi="NimbusRomNo9L"/>
          <w:lang w:val="en-US"/>
        </w:rPr>
        <w:t>ontrols for cases resolved outside the court system due to weak arguments</w:t>
      </w:r>
      <w:r w:rsidR="00954F3B">
        <w:rPr>
          <w:rFonts w:ascii="NimbusRomNo9L" w:hAnsi="NimbusRomNo9L"/>
          <w:lang w:val="en-US"/>
        </w:rPr>
        <w:t xml:space="preserve"> (</w:t>
      </w:r>
      <w:proofErr w:type="spellStart"/>
      <w:r w:rsidR="00954F3B">
        <w:rPr>
          <w:rFonts w:ascii="NimbusRomNo9L" w:hAnsi="NimbusRomNo9L"/>
          <w:lang w:val="en-US"/>
        </w:rPr>
        <w:t>Molot</w:t>
      </w:r>
      <w:proofErr w:type="spellEnd"/>
      <w:r w:rsidR="00954F3B">
        <w:rPr>
          <w:rFonts w:ascii="NimbusRomNo9L" w:hAnsi="NimbusRomNo9L"/>
          <w:lang w:val="en-US"/>
        </w:rPr>
        <w:t xml:space="preserve">, </w:t>
      </w:r>
      <w:r w:rsidR="001800F7">
        <w:rPr>
          <w:rFonts w:ascii="NimbusRomNo9L" w:hAnsi="NimbusRomNo9L"/>
          <w:lang w:val="en-US"/>
        </w:rPr>
        <w:t>2014)</w:t>
      </w:r>
      <w:r w:rsidRPr="001D0CFB">
        <w:rPr>
          <w:rFonts w:ascii="NimbusRomNo9L" w:hAnsi="NimbusRomNo9L"/>
          <w:lang w:val="en-US"/>
        </w:rPr>
        <w:t>, settlements</w:t>
      </w:r>
      <w:r w:rsidR="001800F7">
        <w:rPr>
          <w:rFonts w:ascii="NimbusRomNo9L" w:hAnsi="NimbusRomNo9L"/>
          <w:lang w:val="en-US"/>
        </w:rPr>
        <w:t xml:space="preserve"> (</w:t>
      </w:r>
      <w:proofErr w:type="spellStart"/>
      <w:r w:rsidR="001800F7" w:rsidRPr="001800F7">
        <w:rPr>
          <w:rFonts w:ascii="NimbusRomNo9L" w:eastAsia="Times New Roman" w:hAnsi="NimbusRomNo9L" w:cs="Times New Roman"/>
          <w:spacing w:val="-10"/>
          <w:lang w:val="en-US"/>
        </w:rPr>
        <w:t>Stipanowich</w:t>
      </w:r>
      <w:proofErr w:type="spellEnd"/>
      <w:r w:rsidRPr="001D0CFB">
        <w:rPr>
          <w:rFonts w:ascii="NimbusRomNo9L" w:hAnsi="NimbusRomNo9L"/>
          <w:lang w:val="en-US"/>
        </w:rPr>
        <w:t>, </w:t>
      </w:r>
      <w:r w:rsidR="001800F7">
        <w:rPr>
          <w:rFonts w:ascii="NimbusRomNo9L" w:hAnsi="NimbusRomNo9L"/>
          <w:lang w:val="en-US"/>
        </w:rPr>
        <w:t xml:space="preserve">2004), </w:t>
      </w:r>
      <w:r w:rsidRPr="001D0CFB">
        <w:rPr>
          <w:rFonts w:ascii="NimbusRomNo9L" w:hAnsi="NimbusRomNo9L"/>
          <w:lang w:val="en-US"/>
        </w:rPr>
        <w:t>or strategic maneuvers</w:t>
      </w:r>
      <w:r w:rsidR="001800F7">
        <w:rPr>
          <w:rFonts w:ascii="NimbusRomNo9L" w:hAnsi="NimbusRomNo9L"/>
          <w:lang w:val="en-US"/>
        </w:rPr>
        <w:t xml:space="preserve"> (</w:t>
      </w:r>
      <w:proofErr w:type="spellStart"/>
      <w:r w:rsidR="001800F7" w:rsidRPr="001800F7">
        <w:rPr>
          <w:rFonts w:ascii="NimbusRomNo9L" w:hAnsi="NimbusRomNo9L"/>
          <w:lang w:val="en-US"/>
        </w:rPr>
        <w:t>Goodpaster</w:t>
      </w:r>
      <w:proofErr w:type="spellEnd"/>
      <w:r w:rsidR="001800F7">
        <w:rPr>
          <w:rFonts w:ascii="NimbusRomNo9L" w:hAnsi="NimbusRomNo9L"/>
          <w:lang w:val="en-US"/>
        </w:rPr>
        <w:t>, 1992)</w:t>
      </w:r>
      <w:r w:rsidRPr="001D0CFB">
        <w:rPr>
          <w:rFonts w:ascii="NimbusRomNo9L" w:hAnsi="NimbusRomNo9L"/>
          <w:lang w:val="en-US"/>
        </w:rPr>
        <w:t xml:space="preserve">. This helps </w:t>
      </w:r>
      <w:r w:rsidRPr="001D0CFB">
        <w:rPr>
          <w:rFonts w:ascii="NimbusRomNo9L" w:hAnsi="NimbusRomNo9L"/>
          <w:lang w:val="en-US"/>
        </w:rPr>
        <w:lastRenderedPageBreak/>
        <w:t>isolate the impact of lawyer concentration on cases actually reaching litigation and potentially influencing rejection rates.</w:t>
      </w:r>
    </w:p>
    <w:p w14:paraId="2C26336A" w14:textId="506E19C2" w:rsidR="009D1013" w:rsidRPr="00120E33" w:rsidRDefault="00D17386" w:rsidP="00E11D5D">
      <w:pPr>
        <w:pStyle w:val="ListParagraph"/>
        <w:numPr>
          <w:ilvl w:val="0"/>
          <w:numId w:val="5"/>
        </w:numPr>
        <w:jc w:val="both"/>
        <w:rPr>
          <w:rFonts w:ascii="NimbusRomNo9L" w:hAnsi="NimbusRomNo9L"/>
          <w:lang w:val="en-US"/>
        </w:rPr>
      </w:pPr>
      <w:r>
        <w:rPr>
          <w:rFonts w:ascii="NimbusRomNo9L" w:hAnsi="NimbusRomNo9L"/>
          <w:lang w:val="en-US"/>
        </w:rPr>
        <w:t>Lawsuits’ duration</w:t>
      </w:r>
      <w:r w:rsidR="000F009B" w:rsidRPr="000F009B">
        <w:rPr>
          <w:rFonts w:ascii="NimbusRomNo9L" w:hAnsi="NimbusRomNo9L"/>
          <w:lang w:val="en-US"/>
        </w:rPr>
        <w:t xml:space="preserve"> </w:t>
      </w:r>
      <w:r w:rsidR="00E11D5D">
        <w:rPr>
          <w:rFonts w:ascii="NimbusRomNo9L" w:hAnsi="NimbusRomNo9L"/>
          <w:lang w:val="en-US"/>
        </w:rPr>
        <w:t xml:space="preserve">– in months – </w:t>
      </w:r>
      <w:r w:rsidR="000F009B" w:rsidRPr="000F009B">
        <w:rPr>
          <w:rFonts w:ascii="NimbusRomNo9L" w:hAnsi="NimbusRomNo9L"/>
          <w:lang w:val="en-US"/>
        </w:rPr>
        <w:t>reflects potential complexities</w:t>
      </w:r>
      <w:r w:rsidR="0081213C">
        <w:rPr>
          <w:rFonts w:ascii="NimbusRomNo9L" w:hAnsi="NimbusRomNo9L"/>
          <w:lang w:val="en-US"/>
        </w:rPr>
        <w:t xml:space="preserve"> in the legal stakes (</w:t>
      </w:r>
      <w:proofErr w:type="spellStart"/>
      <w:r w:rsidR="0081213C" w:rsidRPr="0081213C">
        <w:rPr>
          <w:rFonts w:ascii="NimbusRomNo9L" w:hAnsi="NimbusRomNo9L"/>
          <w:lang w:val="en-US"/>
        </w:rPr>
        <w:t>Grajzl</w:t>
      </w:r>
      <w:proofErr w:type="spellEnd"/>
      <w:r w:rsidR="003D0979">
        <w:rPr>
          <w:rFonts w:ascii="NimbusRomNo9L" w:hAnsi="NimbusRomNo9L"/>
          <w:lang w:val="en-US"/>
        </w:rPr>
        <w:t xml:space="preserve"> </w:t>
      </w:r>
      <w:r w:rsidR="0081213C" w:rsidRPr="0081213C">
        <w:rPr>
          <w:rFonts w:ascii="NimbusRomNo9L" w:hAnsi="NimbusRomNo9L"/>
          <w:lang w:val="en-US"/>
        </w:rPr>
        <w:t xml:space="preserve">&amp; </w:t>
      </w:r>
      <w:proofErr w:type="spellStart"/>
      <w:r w:rsidR="0081213C" w:rsidRPr="0081213C">
        <w:rPr>
          <w:rFonts w:ascii="NimbusRomNo9L" w:hAnsi="NimbusRomNo9L"/>
          <w:lang w:val="en-US"/>
        </w:rPr>
        <w:t>Zajc</w:t>
      </w:r>
      <w:proofErr w:type="spellEnd"/>
      <w:r w:rsidR="0081213C">
        <w:rPr>
          <w:rFonts w:ascii="NimbusRomNo9L" w:hAnsi="NimbusRomNo9L"/>
          <w:lang w:val="en-US"/>
        </w:rPr>
        <w:t xml:space="preserve">, </w:t>
      </w:r>
      <w:r w:rsidR="0081213C" w:rsidRPr="0081213C">
        <w:rPr>
          <w:rFonts w:ascii="NimbusRomNo9L" w:hAnsi="NimbusRomNo9L"/>
          <w:lang w:val="en-US"/>
        </w:rPr>
        <w:t>2017</w:t>
      </w:r>
      <w:r w:rsidR="0081213C">
        <w:rPr>
          <w:rFonts w:ascii="NimbusRomNo9L" w:hAnsi="NimbusRomNo9L"/>
          <w:lang w:val="en-US"/>
        </w:rPr>
        <w:t xml:space="preserve">) that might </w:t>
      </w:r>
      <w:r w:rsidR="000F009B" w:rsidRPr="000F009B">
        <w:rPr>
          <w:rFonts w:ascii="NimbusRomNo9L" w:hAnsi="NimbusRomNo9L"/>
          <w:lang w:val="en-US"/>
        </w:rPr>
        <w:t>lead to rejections for procedural errors, time-related dismissals, or strategic delays by lawyers</w:t>
      </w:r>
      <w:r w:rsidR="00D75C45">
        <w:rPr>
          <w:rFonts w:ascii="NimbusRomNo9L" w:hAnsi="NimbusRomNo9L"/>
          <w:lang w:val="en-US"/>
        </w:rPr>
        <w:t xml:space="preserve"> (</w:t>
      </w:r>
      <w:r w:rsidR="00D75C45" w:rsidRPr="00D75C45">
        <w:rPr>
          <w:rFonts w:ascii="NimbusRomNo9L" w:hAnsi="NimbusRomNo9L"/>
          <w:lang w:val="en-US"/>
        </w:rPr>
        <w:t xml:space="preserve">Wistrich &amp; </w:t>
      </w:r>
      <w:proofErr w:type="spellStart"/>
      <w:r w:rsidR="00D75C45" w:rsidRPr="00D75C45">
        <w:rPr>
          <w:rFonts w:ascii="NimbusRomNo9L" w:hAnsi="NimbusRomNo9L"/>
          <w:lang w:val="en-US"/>
        </w:rPr>
        <w:t>Rachlinski</w:t>
      </w:r>
      <w:proofErr w:type="spellEnd"/>
      <w:r w:rsidR="00D75C45" w:rsidRPr="00D75C45">
        <w:rPr>
          <w:rFonts w:ascii="NimbusRomNo9L" w:hAnsi="NimbusRomNo9L"/>
          <w:lang w:val="en-US"/>
        </w:rPr>
        <w:t>, 2012</w:t>
      </w:r>
      <w:r w:rsidR="00D75C45">
        <w:rPr>
          <w:rFonts w:ascii="NimbusRomNo9L" w:hAnsi="NimbusRomNo9L"/>
          <w:lang w:val="en-US"/>
        </w:rPr>
        <w:t>)</w:t>
      </w:r>
      <w:r w:rsidR="000F009B" w:rsidRPr="000F009B">
        <w:rPr>
          <w:rFonts w:ascii="NimbusRomNo9L" w:hAnsi="NimbusRomNo9L"/>
          <w:lang w:val="en-US"/>
        </w:rPr>
        <w:t>.</w:t>
      </w:r>
    </w:p>
    <w:p w14:paraId="1922EA45" w14:textId="12711F92" w:rsidR="009D1013" w:rsidRDefault="003355DB" w:rsidP="009D1013">
      <w:pPr>
        <w:ind w:firstLine="567"/>
        <w:jc w:val="both"/>
        <w:rPr>
          <w:rFonts w:ascii="NimbusRomNo9L" w:hAnsi="NimbusRomNo9L"/>
          <w:lang w:val="en-US"/>
        </w:rPr>
      </w:pPr>
      <w:r w:rsidRPr="00166361">
        <w:rPr>
          <w:rFonts w:ascii="NimbusRomNo9L" w:hAnsi="NimbusRomNo9L"/>
          <w:lang w:val="en-US"/>
        </w:rPr>
        <w:t xml:space="preserve">The </w:t>
      </w:r>
      <w:r w:rsidR="00D17386">
        <w:rPr>
          <w:rFonts w:ascii="NimbusRomNo9L" w:hAnsi="NimbusRomNo9L"/>
          <w:lang w:val="en-US"/>
        </w:rPr>
        <w:t xml:space="preserve">second group reflects </w:t>
      </w:r>
      <w:r w:rsidRPr="00166361">
        <w:rPr>
          <w:rFonts w:ascii="NimbusRomNo9L" w:hAnsi="NimbusRomNo9L"/>
          <w:lang w:val="en-US"/>
        </w:rPr>
        <w:t xml:space="preserve">socio-economic </w:t>
      </w:r>
      <w:r w:rsidR="00D17386">
        <w:rPr>
          <w:rFonts w:ascii="NimbusRomNo9L" w:hAnsi="NimbusRomNo9L"/>
          <w:lang w:val="en-US"/>
        </w:rPr>
        <w:t xml:space="preserve">factors and </w:t>
      </w:r>
      <w:r w:rsidRPr="00166361">
        <w:rPr>
          <w:rFonts w:ascii="NimbusRomNo9L" w:hAnsi="NimbusRomNo9L"/>
          <w:lang w:val="en-US"/>
        </w:rPr>
        <w:t>include</w:t>
      </w:r>
      <w:r w:rsidR="00D17386">
        <w:rPr>
          <w:rFonts w:ascii="NimbusRomNo9L" w:hAnsi="NimbusRomNo9L"/>
          <w:lang w:val="en-US"/>
        </w:rPr>
        <w:t>s</w:t>
      </w:r>
      <w:r w:rsidRPr="00166361">
        <w:rPr>
          <w:rFonts w:ascii="NimbusRomNo9L" w:hAnsi="NimbusRomNo9L"/>
          <w:lang w:val="en-US"/>
        </w:rPr>
        <w:t>:</w:t>
      </w:r>
      <w:r w:rsidR="00996A75">
        <w:rPr>
          <w:rFonts w:ascii="NimbusRomNo9L" w:hAnsi="NimbusRomNo9L"/>
          <w:lang w:val="en-US"/>
        </w:rPr>
        <w:t xml:space="preserve"> </w:t>
      </w:r>
    </w:p>
    <w:p w14:paraId="1E03B269" w14:textId="2B952533" w:rsidR="00C32CD2" w:rsidRPr="00C32CD2" w:rsidRDefault="000F009B" w:rsidP="00C32CD2">
      <w:pPr>
        <w:pStyle w:val="ListParagraph"/>
        <w:numPr>
          <w:ilvl w:val="0"/>
          <w:numId w:val="5"/>
        </w:numPr>
        <w:jc w:val="both"/>
        <w:rPr>
          <w:rFonts w:ascii="NimbusRomNo9L" w:hAnsi="NimbusRomNo9L"/>
          <w:lang w:val="en-US"/>
        </w:rPr>
      </w:pPr>
      <w:r>
        <w:rPr>
          <w:rFonts w:ascii="NimbusRomNo9L" w:hAnsi="NimbusRomNo9L"/>
          <w:lang w:val="en-US"/>
        </w:rPr>
        <w:t>P</w:t>
      </w:r>
      <w:r w:rsidR="00D17386" w:rsidRPr="00D17386">
        <w:rPr>
          <w:rFonts w:ascii="NimbusRomNo9L" w:hAnsi="NimbusRomNo9L"/>
          <w:lang w:val="en-US"/>
        </w:rPr>
        <w:t xml:space="preserve">opulation </w:t>
      </w:r>
      <w:r w:rsidR="00C32CD2">
        <w:rPr>
          <w:rFonts w:ascii="NimbusRomNo9L" w:hAnsi="NimbusRomNo9L"/>
          <w:lang w:val="en-US"/>
        </w:rPr>
        <w:t>d</w:t>
      </w:r>
      <w:r w:rsidR="00D17386" w:rsidRPr="00D17386">
        <w:rPr>
          <w:rFonts w:ascii="NimbusRomNo9L" w:hAnsi="NimbusRomNo9L"/>
          <w:lang w:val="en-US"/>
        </w:rPr>
        <w:t>ensity</w:t>
      </w:r>
      <w:r w:rsidR="0028144A">
        <w:rPr>
          <w:rFonts w:ascii="NimbusRomNo9L" w:hAnsi="NimbusRomNo9L"/>
          <w:lang w:val="en-US"/>
        </w:rPr>
        <w:t xml:space="preserve"> - measured as the ratio of population and judicial boundaries in the territory </w:t>
      </w:r>
      <w:r w:rsidR="00832394">
        <w:rPr>
          <w:rFonts w:ascii="NimbusRomNo9L" w:hAnsi="NimbusRomNo9L"/>
          <w:lang w:val="en-US"/>
        </w:rPr>
        <w:t xml:space="preserve">(INSEE, Ministry of Justice) </w:t>
      </w:r>
      <w:r w:rsidR="0028144A">
        <w:rPr>
          <w:rFonts w:ascii="NimbusRomNo9L" w:hAnsi="NimbusRomNo9L"/>
          <w:lang w:val="en-US"/>
        </w:rPr>
        <w:t xml:space="preserve">– </w:t>
      </w:r>
      <w:r w:rsidR="00C32CD2" w:rsidRPr="00C32CD2">
        <w:rPr>
          <w:rFonts w:ascii="NimbusRomNo9L" w:hAnsi="NimbusRomNo9L"/>
          <w:lang w:val="en-US"/>
        </w:rPr>
        <w:t>to controls for potential variations in caseload due to the number of people residing within the court's jurisdiction</w:t>
      </w:r>
      <w:r w:rsidR="00D75C45">
        <w:rPr>
          <w:rFonts w:ascii="NimbusRomNo9L" w:hAnsi="NimbusRomNo9L"/>
          <w:lang w:val="en-US"/>
        </w:rPr>
        <w:t xml:space="preserve"> (</w:t>
      </w:r>
      <w:proofErr w:type="spellStart"/>
      <w:r w:rsidR="00D75C45" w:rsidRPr="00D75C45">
        <w:rPr>
          <w:rFonts w:ascii="NimbusRomNo9L" w:hAnsi="NimbusRomNo9L"/>
          <w:lang w:val="en-US"/>
        </w:rPr>
        <w:t>Heydebrand</w:t>
      </w:r>
      <w:proofErr w:type="spellEnd"/>
      <w:r w:rsidR="00D75C45">
        <w:rPr>
          <w:rFonts w:ascii="NimbusRomNo9L" w:hAnsi="NimbusRomNo9L"/>
          <w:lang w:val="en-US"/>
        </w:rPr>
        <w:t xml:space="preserve"> </w:t>
      </w:r>
      <w:r w:rsidR="00D75C45" w:rsidRPr="00D75C45">
        <w:rPr>
          <w:rFonts w:ascii="NimbusRomNo9L" w:hAnsi="NimbusRomNo9L"/>
          <w:lang w:val="en-US"/>
        </w:rPr>
        <w:t xml:space="preserve">&amp; </w:t>
      </w:r>
      <w:proofErr w:type="spellStart"/>
      <w:r w:rsidR="00D75C45" w:rsidRPr="00D75C45">
        <w:rPr>
          <w:rFonts w:ascii="NimbusRomNo9L" w:hAnsi="NimbusRomNo9L"/>
          <w:lang w:val="en-US"/>
        </w:rPr>
        <w:t>Seron</w:t>
      </w:r>
      <w:proofErr w:type="spellEnd"/>
      <w:r w:rsidR="00D75C45" w:rsidRPr="00D75C45">
        <w:rPr>
          <w:rFonts w:ascii="NimbusRomNo9L" w:hAnsi="NimbusRomNo9L"/>
          <w:lang w:val="en-US"/>
        </w:rPr>
        <w:t>, 1986</w:t>
      </w:r>
      <w:r w:rsidR="00D75C45">
        <w:rPr>
          <w:rFonts w:ascii="NimbusRomNo9L" w:hAnsi="NimbusRomNo9L"/>
          <w:lang w:val="en-US"/>
        </w:rPr>
        <w:t>)</w:t>
      </w:r>
      <w:r w:rsidR="00C32CD2" w:rsidRPr="00C32CD2">
        <w:rPr>
          <w:rFonts w:ascii="NimbusRomNo9L" w:hAnsi="NimbusRomNo9L"/>
          <w:lang w:val="en-US"/>
        </w:rPr>
        <w:t>. Higher population density might lead to more lawsuits</w:t>
      </w:r>
      <w:r w:rsidR="006C336B">
        <w:rPr>
          <w:rFonts w:ascii="NimbusRomNo9L" w:hAnsi="NimbusRomNo9L"/>
          <w:lang w:val="en-US"/>
        </w:rPr>
        <w:t xml:space="preserve"> (Eisenberg et al.</w:t>
      </w:r>
      <w:r w:rsidR="00C32CD2" w:rsidRPr="00C32CD2">
        <w:rPr>
          <w:rFonts w:ascii="NimbusRomNo9L" w:hAnsi="NimbusRomNo9L"/>
          <w:lang w:val="en-US"/>
        </w:rPr>
        <w:t>, </w:t>
      </w:r>
      <w:r w:rsidR="006C336B">
        <w:rPr>
          <w:rFonts w:ascii="NimbusRomNo9L" w:hAnsi="NimbusRomNo9L"/>
          <w:lang w:val="en-US"/>
        </w:rPr>
        <w:t xml:space="preserve">2012; </w:t>
      </w:r>
      <w:r w:rsidR="006C336B" w:rsidRPr="006C336B">
        <w:rPr>
          <w:rFonts w:ascii="NimbusRomNo9L" w:hAnsi="NimbusRomNo9L"/>
          <w:lang w:val="en-US"/>
        </w:rPr>
        <w:t>Calhoun</w:t>
      </w:r>
      <w:r w:rsidR="006C336B">
        <w:rPr>
          <w:rFonts w:ascii="NimbusRomNo9L" w:hAnsi="NimbusRomNo9L"/>
          <w:lang w:val="en-US"/>
        </w:rPr>
        <w:t xml:space="preserve">, 1962) </w:t>
      </w:r>
      <w:r w:rsidR="00C32CD2" w:rsidRPr="00C32CD2">
        <w:rPr>
          <w:rFonts w:ascii="NimbusRomNo9L" w:hAnsi="NimbusRomNo9L"/>
          <w:lang w:val="en-US"/>
        </w:rPr>
        <w:t>potentially impacting rejection rates independently of lawyer concentration.</w:t>
      </w:r>
    </w:p>
    <w:p w14:paraId="002106F5" w14:textId="14B27D7C" w:rsidR="000F009B" w:rsidRPr="00FC4747" w:rsidRDefault="000F009B" w:rsidP="00FC4747">
      <w:pPr>
        <w:pStyle w:val="ListParagraph"/>
        <w:numPr>
          <w:ilvl w:val="0"/>
          <w:numId w:val="5"/>
        </w:numPr>
        <w:jc w:val="both"/>
        <w:rPr>
          <w:rFonts w:ascii="NimbusRomNo9L" w:hAnsi="NimbusRomNo9L"/>
          <w:lang w:val="en-US"/>
        </w:rPr>
      </w:pPr>
      <w:r>
        <w:rPr>
          <w:rFonts w:ascii="NimbusRomNo9L" w:hAnsi="NimbusRomNo9L"/>
          <w:lang w:val="en-US"/>
        </w:rPr>
        <w:t xml:space="preserve">An </w:t>
      </w:r>
      <w:r w:rsidR="00D320DA">
        <w:rPr>
          <w:rFonts w:ascii="NimbusRomNo9L" w:hAnsi="NimbusRomNo9L"/>
          <w:lang w:val="en-US"/>
        </w:rPr>
        <w:t>i</w:t>
      </w:r>
      <w:r w:rsidR="00792448" w:rsidRPr="00D17386">
        <w:rPr>
          <w:rFonts w:ascii="NimbusRomNo9L" w:hAnsi="NimbusRomNo9L"/>
          <w:lang w:val="en-US"/>
        </w:rPr>
        <w:t xml:space="preserve">nequality </w:t>
      </w:r>
      <w:r w:rsidR="00D320DA">
        <w:rPr>
          <w:rFonts w:ascii="NimbusRomNo9L" w:hAnsi="NimbusRomNo9L"/>
          <w:lang w:val="en-US"/>
        </w:rPr>
        <w:t>i</w:t>
      </w:r>
      <w:r w:rsidR="00792448" w:rsidRPr="00D17386">
        <w:rPr>
          <w:rFonts w:ascii="NimbusRomNo9L" w:hAnsi="NimbusRomNo9L"/>
          <w:lang w:val="en-US"/>
        </w:rPr>
        <w:t>ndicator</w:t>
      </w:r>
      <w:r>
        <w:rPr>
          <w:rFonts w:ascii="NimbusRomNo9L" w:hAnsi="NimbusRomNo9L"/>
          <w:lang w:val="en-US"/>
        </w:rPr>
        <w:t>, which</w:t>
      </w:r>
      <w:r w:rsidR="00792448">
        <w:rPr>
          <w:rFonts w:ascii="NimbusRomNo9L" w:hAnsi="NimbusRomNo9L"/>
          <w:lang w:val="en-US"/>
        </w:rPr>
        <w:t xml:space="preserve"> is measured by INSEE has the difference between the </w:t>
      </w:r>
      <w:r w:rsidR="001823E3">
        <w:rPr>
          <w:rFonts w:ascii="NimbusRomNo9L" w:hAnsi="NimbusRomNo9L"/>
          <w:lang w:val="en-US"/>
        </w:rPr>
        <w:t xml:space="preserve">first and ninth decile in population </w:t>
      </w:r>
      <w:r w:rsidR="001823E3" w:rsidRPr="009D1013">
        <w:rPr>
          <w:rFonts w:ascii="NimbusRomNo9L" w:hAnsi="NimbusRomNo9L"/>
          <w:lang w:val="en-US"/>
        </w:rPr>
        <w:t>disposable income</w:t>
      </w:r>
      <w:r w:rsidR="00792448">
        <w:rPr>
          <w:rFonts w:ascii="NimbusRomNo9L" w:hAnsi="NimbusRomNo9L"/>
          <w:lang w:val="en-US"/>
        </w:rPr>
        <w:t xml:space="preserve">. It measures </w:t>
      </w:r>
      <w:r w:rsidRPr="000F009B">
        <w:rPr>
          <w:rFonts w:ascii="NimbusRomNo9L" w:hAnsi="NimbusRomNo9L"/>
          <w:lang w:val="en-US"/>
        </w:rPr>
        <w:t xml:space="preserve">potential disparities in access to justice </w:t>
      </w:r>
      <w:r w:rsidR="00501E5B">
        <w:rPr>
          <w:rFonts w:ascii="NimbusRomNo9L" w:hAnsi="NimbusRomNo9L"/>
          <w:lang w:val="en-US"/>
        </w:rPr>
        <w:t>(</w:t>
      </w:r>
      <w:proofErr w:type="spellStart"/>
      <w:r w:rsidR="00501E5B" w:rsidRPr="00501E5B">
        <w:rPr>
          <w:rFonts w:ascii="NimbusRomNo9L" w:hAnsi="NimbusRomNo9L"/>
          <w:lang w:val="en-US"/>
        </w:rPr>
        <w:t>Sandefur</w:t>
      </w:r>
      <w:proofErr w:type="spellEnd"/>
      <w:r w:rsidR="00501E5B">
        <w:rPr>
          <w:rFonts w:ascii="NimbusRomNo9L" w:hAnsi="NimbusRomNo9L"/>
          <w:lang w:val="en-US"/>
        </w:rPr>
        <w:t xml:space="preserve">, 2008) </w:t>
      </w:r>
      <w:r w:rsidRPr="000F009B">
        <w:rPr>
          <w:rFonts w:ascii="NimbusRomNo9L" w:hAnsi="NimbusRomNo9L"/>
          <w:lang w:val="en-US"/>
        </w:rPr>
        <w:t>and the quality of legal representation</w:t>
      </w:r>
      <w:r w:rsidR="00166B6A">
        <w:rPr>
          <w:rFonts w:ascii="NimbusRomNo9L" w:hAnsi="NimbusRomNo9L"/>
          <w:lang w:val="en-US"/>
        </w:rPr>
        <w:t xml:space="preserve"> (</w:t>
      </w:r>
      <w:proofErr w:type="spellStart"/>
      <w:r w:rsidR="0003498F">
        <w:rPr>
          <w:rFonts w:ascii="NimbusRomNo9L" w:hAnsi="NimbusRomNo9L"/>
          <w:lang w:val="en-US"/>
        </w:rPr>
        <w:t>Agmon</w:t>
      </w:r>
      <w:proofErr w:type="spellEnd"/>
      <w:r w:rsidR="0003498F">
        <w:rPr>
          <w:rFonts w:ascii="NimbusRomNo9L" w:hAnsi="NimbusRomNo9L"/>
          <w:lang w:val="en-US"/>
        </w:rPr>
        <w:t xml:space="preserve">, 2021; </w:t>
      </w:r>
      <w:r w:rsidR="00166B6A">
        <w:rPr>
          <w:rFonts w:ascii="NimbusRomNo9L" w:hAnsi="NimbusRomNo9L"/>
          <w:lang w:val="en-US"/>
        </w:rPr>
        <w:t>Gilman, 2014</w:t>
      </w:r>
      <w:r w:rsidR="00166B6A" w:rsidRPr="00FC4747">
        <w:rPr>
          <w:rFonts w:ascii="NimbusRomNo9L" w:hAnsi="NimbusRomNo9L"/>
          <w:lang w:val="en-US"/>
        </w:rPr>
        <w:t>)</w:t>
      </w:r>
      <w:r w:rsidRPr="00FC4747">
        <w:rPr>
          <w:rFonts w:ascii="NimbusRomNo9L" w:hAnsi="NimbusRomNo9L"/>
          <w:lang w:val="en-US"/>
        </w:rPr>
        <w:t xml:space="preserve">. Larger wealth gaps might indicate that individuals from poorer backgrounds are more likely to file weaker cases </w:t>
      </w:r>
      <w:r w:rsidR="00712022">
        <w:rPr>
          <w:rFonts w:ascii="NimbusRomNo9L" w:hAnsi="NimbusRomNo9L"/>
          <w:lang w:val="en-US"/>
        </w:rPr>
        <w:t>(</w:t>
      </w:r>
      <w:r w:rsidR="00712022" w:rsidRPr="00712022">
        <w:rPr>
          <w:rFonts w:ascii="NimbusRomNo9L" w:hAnsi="NimbusRomNo9L"/>
          <w:lang w:val="en-US"/>
        </w:rPr>
        <w:t>Wexler</w:t>
      </w:r>
      <w:r w:rsidR="00712022">
        <w:rPr>
          <w:rFonts w:ascii="NimbusRomNo9L" w:hAnsi="NimbusRomNo9L"/>
          <w:lang w:val="en-US"/>
        </w:rPr>
        <w:t xml:space="preserve">, 1969) </w:t>
      </w:r>
      <w:r w:rsidRPr="00FC4747">
        <w:rPr>
          <w:rFonts w:ascii="NimbusRomNo9L" w:hAnsi="NimbusRomNo9L"/>
          <w:lang w:val="en-US"/>
        </w:rPr>
        <w:t>or have less effective representation</w:t>
      </w:r>
      <w:r w:rsidR="00712022">
        <w:rPr>
          <w:rFonts w:ascii="NimbusRomNo9L" w:hAnsi="NimbusRomNo9L"/>
          <w:lang w:val="en-US"/>
        </w:rPr>
        <w:t xml:space="preserve"> (</w:t>
      </w:r>
      <w:r w:rsidR="00712022" w:rsidRPr="00FC4747">
        <w:rPr>
          <w:rFonts w:ascii="NimbusRomNo9L" w:hAnsi="NimbusRomNo9L"/>
          <w:lang w:val="en-US"/>
        </w:rPr>
        <w:t>Kohler‐Hausmann, 2011</w:t>
      </w:r>
      <w:r w:rsidR="00712022">
        <w:rPr>
          <w:rFonts w:ascii="NimbusRomNo9L" w:hAnsi="NimbusRomNo9L"/>
          <w:lang w:val="en-US"/>
        </w:rPr>
        <w:t>)</w:t>
      </w:r>
      <w:r w:rsidRPr="00FC4747">
        <w:rPr>
          <w:rFonts w:ascii="NimbusRomNo9L" w:hAnsi="NimbusRomNo9L"/>
          <w:lang w:val="en-US"/>
        </w:rPr>
        <w:t>, leading to higher rejection rates</w:t>
      </w:r>
    </w:p>
    <w:p w14:paraId="276A6165" w14:textId="13C0E0C2" w:rsidR="000F009B" w:rsidRPr="000F009B" w:rsidRDefault="000F009B" w:rsidP="000F009B">
      <w:pPr>
        <w:pStyle w:val="ListParagraph"/>
        <w:numPr>
          <w:ilvl w:val="0"/>
          <w:numId w:val="5"/>
        </w:numPr>
        <w:jc w:val="both"/>
        <w:rPr>
          <w:rFonts w:ascii="NimbusRomNo9L" w:hAnsi="NimbusRomNo9L"/>
          <w:lang w:val="en-US"/>
        </w:rPr>
      </w:pPr>
      <w:r>
        <w:rPr>
          <w:rFonts w:ascii="NimbusRomNo9L" w:hAnsi="NimbusRomNo9L"/>
          <w:lang w:val="en-US"/>
        </w:rPr>
        <w:t>The rate of individuals without any diploma</w:t>
      </w:r>
      <w:r w:rsidR="009F4598">
        <w:rPr>
          <w:rStyle w:val="FootnoteReference"/>
          <w:rFonts w:ascii="NimbusRomNo9L" w:hAnsi="NimbusRomNo9L"/>
          <w:lang w:val="en-US"/>
        </w:rPr>
        <w:footnoteReference w:id="2"/>
      </w:r>
      <w:r>
        <w:rPr>
          <w:rFonts w:ascii="NimbusRomNo9L" w:hAnsi="NimbusRomNo9L"/>
          <w:lang w:val="en-US"/>
        </w:rPr>
        <w:t xml:space="preserve"> </w:t>
      </w:r>
      <w:r w:rsidR="0028144A">
        <w:rPr>
          <w:rFonts w:ascii="NimbusRomNo9L" w:hAnsi="NimbusRomNo9L"/>
          <w:lang w:val="en-US"/>
        </w:rPr>
        <w:t>–</w:t>
      </w:r>
      <w:r w:rsidR="009F4598">
        <w:rPr>
          <w:rFonts w:ascii="NimbusRomNo9L" w:hAnsi="NimbusRomNo9L"/>
          <w:lang w:val="en-US"/>
        </w:rPr>
        <w:t xml:space="preserve"> </w:t>
      </w:r>
      <w:r w:rsidR="0028144A">
        <w:rPr>
          <w:rFonts w:ascii="NimbusRomNo9L" w:hAnsi="NimbusRomNo9L"/>
          <w:lang w:val="en-US"/>
        </w:rPr>
        <w:t>data from INSEE</w:t>
      </w:r>
      <w:r w:rsidR="0028144A" w:rsidRPr="000F009B">
        <w:rPr>
          <w:rFonts w:ascii="NimbusRomNo9L" w:hAnsi="NimbusRomNo9L"/>
          <w:lang w:val="en-US"/>
        </w:rPr>
        <w:t xml:space="preserve"> </w:t>
      </w:r>
      <w:r w:rsidR="009F4598">
        <w:rPr>
          <w:rFonts w:ascii="NimbusRomNo9L" w:hAnsi="NimbusRomNo9L"/>
          <w:lang w:val="en-US"/>
        </w:rPr>
        <w:t xml:space="preserve">– </w:t>
      </w:r>
      <w:r w:rsidRPr="000F009B">
        <w:rPr>
          <w:rFonts w:ascii="NimbusRomNo9L" w:hAnsi="NimbusRomNo9L"/>
          <w:lang w:val="en-US"/>
        </w:rPr>
        <w:t xml:space="preserve">controls for potential variations in legal awareness </w:t>
      </w:r>
      <w:r w:rsidR="002A1C39">
        <w:rPr>
          <w:rFonts w:ascii="NimbusRomNo9L" w:hAnsi="NimbusRomNo9L"/>
          <w:lang w:val="en-US"/>
        </w:rPr>
        <w:t xml:space="preserve">(Merry, 1990) </w:t>
      </w:r>
      <w:r w:rsidRPr="000F009B">
        <w:rPr>
          <w:rFonts w:ascii="NimbusRomNo9L" w:hAnsi="NimbusRomNo9L"/>
          <w:lang w:val="en-US"/>
        </w:rPr>
        <w:t>and ability to navigate the legal system</w:t>
      </w:r>
      <w:r w:rsidR="00C333D0">
        <w:rPr>
          <w:rFonts w:ascii="NimbusRomNo9L" w:hAnsi="NimbusRomNo9L"/>
          <w:lang w:val="en-US"/>
        </w:rPr>
        <w:t xml:space="preserve"> (Cantrell, 2001)</w:t>
      </w:r>
      <w:r w:rsidRPr="000F009B">
        <w:rPr>
          <w:rFonts w:ascii="NimbusRomNo9L" w:hAnsi="NimbusRomNo9L"/>
          <w:lang w:val="en-US"/>
        </w:rPr>
        <w:t>. Lower educational attainment might be linked to weaker case preparation or misunderstanding of legal procedures</w:t>
      </w:r>
      <w:r w:rsidR="00D145B4">
        <w:rPr>
          <w:rFonts w:ascii="NimbusRomNo9L" w:hAnsi="NimbusRomNo9L"/>
          <w:lang w:val="en-US"/>
        </w:rPr>
        <w:t xml:space="preserve"> (Burke, 2002)</w:t>
      </w:r>
      <w:r w:rsidRPr="000F009B">
        <w:rPr>
          <w:rFonts w:ascii="NimbusRomNo9L" w:hAnsi="NimbusRomNo9L"/>
          <w:lang w:val="en-US"/>
        </w:rPr>
        <w:t>, potentially influencing rejection rates.</w:t>
      </w:r>
    </w:p>
    <w:p w14:paraId="4825997E" w14:textId="16609642" w:rsidR="00D17386" w:rsidRPr="000F009B" w:rsidRDefault="000F009B" w:rsidP="000F009B">
      <w:pPr>
        <w:pStyle w:val="ListParagraph"/>
        <w:numPr>
          <w:ilvl w:val="0"/>
          <w:numId w:val="5"/>
        </w:numPr>
        <w:jc w:val="both"/>
        <w:rPr>
          <w:rFonts w:ascii="NimbusRomNo9L" w:hAnsi="NimbusRomNo9L"/>
          <w:lang w:val="en-US"/>
        </w:rPr>
      </w:pPr>
      <w:r>
        <w:rPr>
          <w:rFonts w:ascii="NimbusRomNo9L" w:hAnsi="NimbusRomNo9L"/>
          <w:lang w:val="en-US"/>
        </w:rPr>
        <w:t>The u</w:t>
      </w:r>
      <w:r w:rsidR="00D17386" w:rsidRPr="00D17386">
        <w:rPr>
          <w:rFonts w:ascii="NimbusRomNo9L" w:hAnsi="NimbusRomNo9L"/>
          <w:lang w:val="en-US"/>
        </w:rPr>
        <w:t xml:space="preserve">nemployment </w:t>
      </w:r>
      <w:r>
        <w:rPr>
          <w:rFonts w:ascii="NimbusRomNo9L" w:hAnsi="NimbusRomNo9L"/>
          <w:lang w:val="en-US"/>
        </w:rPr>
        <w:t>r</w:t>
      </w:r>
      <w:r w:rsidR="00D17386" w:rsidRPr="00D17386">
        <w:rPr>
          <w:rFonts w:ascii="NimbusRomNo9L" w:hAnsi="NimbusRomNo9L"/>
          <w:lang w:val="en-US"/>
        </w:rPr>
        <w:t>ate</w:t>
      </w:r>
      <w:r>
        <w:rPr>
          <w:rFonts w:ascii="NimbusRomNo9L" w:hAnsi="NimbusRomNo9L"/>
          <w:lang w:val="en-US"/>
        </w:rPr>
        <w:t xml:space="preserve"> </w:t>
      </w:r>
      <w:r w:rsidRPr="000F009B">
        <w:rPr>
          <w:rFonts w:ascii="NimbusRomNo9L" w:hAnsi="NimbusRomNo9L"/>
          <w:lang w:val="en-US"/>
        </w:rPr>
        <w:t xml:space="preserve">is provided by INSEE and </w:t>
      </w:r>
      <w:r>
        <w:rPr>
          <w:rFonts w:ascii="NimbusRomNo9L" w:hAnsi="NimbusRomNo9L"/>
          <w:lang w:val="en-US"/>
        </w:rPr>
        <w:t>controls</w:t>
      </w:r>
      <w:r w:rsidRPr="000F009B">
        <w:rPr>
          <w:rFonts w:ascii="NimbusRomNo9L" w:hAnsi="NimbusRomNo9L"/>
          <w:lang w:val="en-US"/>
        </w:rPr>
        <w:t xml:space="preserve"> for the potential impact of economic hardship on litigation trends</w:t>
      </w:r>
      <w:r w:rsidR="00B13BBD">
        <w:rPr>
          <w:rFonts w:ascii="NimbusRomNo9L" w:hAnsi="NimbusRomNo9L"/>
          <w:lang w:val="en-US"/>
        </w:rPr>
        <w:t xml:space="preserve"> (</w:t>
      </w:r>
      <w:proofErr w:type="spellStart"/>
      <w:r w:rsidR="00B13BBD">
        <w:rPr>
          <w:rFonts w:ascii="NimbusRomNo9L" w:hAnsi="NimbusRomNo9L"/>
          <w:lang w:val="en-US"/>
        </w:rPr>
        <w:t>Bachmeier</w:t>
      </w:r>
      <w:proofErr w:type="spellEnd"/>
      <w:r w:rsidR="00B13BBD">
        <w:rPr>
          <w:rFonts w:ascii="NimbusRomNo9L" w:hAnsi="NimbusRomNo9L"/>
          <w:lang w:val="en-US"/>
        </w:rPr>
        <w:t xml:space="preserve"> et al., 2004)</w:t>
      </w:r>
      <w:r w:rsidRPr="000F009B">
        <w:rPr>
          <w:rFonts w:ascii="NimbusRomNo9L" w:hAnsi="NimbusRomNo9L"/>
          <w:lang w:val="en-US"/>
        </w:rPr>
        <w:t>. Higher unemployment rates might be associated with increased desperation</w:t>
      </w:r>
      <w:r w:rsidR="00DB52C8">
        <w:rPr>
          <w:rFonts w:ascii="NimbusRomNo9L" w:hAnsi="NimbusRomNo9L"/>
          <w:lang w:val="en-US"/>
        </w:rPr>
        <w:t xml:space="preserve"> (Shapiro &amp; </w:t>
      </w:r>
      <w:proofErr w:type="spellStart"/>
      <w:r w:rsidR="00DB52C8" w:rsidRPr="00DB52C8">
        <w:rPr>
          <w:rFonts w:ascii="NimbusRomNo9L" w:hAnsi="NimbusRomNo9L"/>
          <w:lang w:val="en-US"/>
        </w:rPr>
        <w:t>Ahlburg</w:t>
      </w:r>
      <w:proofErr w:type="spellEnd"/>
      <w:r w:rsidRPr="000F009B">
        <w:rPr>
          <w:rFonts w:ascii="NimbusRomNo9L" w:hAnsi="NimbusRomNo9L"/>
          <w:lang w:val="en-US"/>
        </w:rPr>
        <w:t>, </w:t>
      </w:r>
      <w:r w:rsidR="00DB52C8">
        <w:rPr>
          <w:rFonts w:ascii="NimbusRomNo9L" w:hAnsi="NimbusRomNo9L"/>
          <w:lang w:val="en-US"/>
        </w:rPr>
        <w:t xml:space="preserve">1982) </w:t>
      </w:r>
      <w:r w:rsidRPr="000F009B">
        <w:rPr>
          <w:rFonts w:ascii="NimbusRomNo9L" w:hAnsi="NimbusRomNo9L"/>
          <w:lang w:val="en-US"/>
        </w:rPr>
        <w:t xml:space="preserve">leading to more lawsuits </w:t>
      </w:r>
      <w:r w:rsidR="00B13BBD">
        <w:rPr>
          <w:rFonts w:ascii="NimbusRomNo9L" w:hAnsi="NimbusRomNo9L"/>
          <w:lang w:val="en-US"/>
        </w:rPr>
        <w:t xml:space="preserve">– </w:t>
      </w:r>
      <w:r w:rsidRPr="000F009B">
        <w:rPr>
          <w:rFonts w:ascii="NimbusRomNo9L" w:hAnsi="NimbusRomNo9L"/>
          <w:lang w:val="en-US"/>
        </w:rPr>
        <w:t>potentially weaker ones</w:t>
      </w:r>
      <w:r w:rsidR="00B13BBD">
        <w:rPr>
          <w:rFonts w:ascii="NimbusRomNo9L" w:hAnsi="NimbusRomNo9L"/>
          <w:lang w:val="en-US"/>
        </w:rPr>
        <w:t xml:space="preserve"> (Chopra, 2010</w:t>
      </w:r>
      <w:r w:rsidRPr="000F009B">
        <w:rPr>
          <w:rFonts w:ascii="NimbusRomNo9L" w:hAnsi="NimbusRomNo9L"/>
          <w:lang w:val="en-US"/>
        </w:rPr>
        <w:t>)</w:t>
      </w:r>
      <w:r w:rsidR="00B13BBD">
        <w:rPr>
          <w:rFonts w:ascii="NimbusRomNo9L" w:hAnsi="NimbusRomNo9L"/>
          <w:lang w:val="en-US"/>
        </w:rPr>
        <w:t xml:space="preserve"> –</w:t>
      </w:r>
      <w:r w:rsidR="00646F4C">
        <w:rPr>
          <w:rFonts w:ascii="NimbusRomNo9L" w:hAnsi="NimbusRomNo9L"/>
          <w:lang w:val="en-US"/>
        </w:rPr>
        <w:t xml:space="preserve"> </w:t>
      </w:r>
      <w:r w:rsidRPr="000F009B">
        <w:rPr>
          <w:rFonts w:ascii="NimbusRomNo9L" w:hAnsi="NimbusRomNo9L"/>
          <w:lang w:val="en-US"/>
        </w:rPr>
        <w:t>impacting rejection rates.</w:t>
      </w:r>
    </w:p>
    <w:p w14:paraId="5B55C0D6" w14:textId="77777777" w:rsidR="00311FBA" w:rsidRDefault="003355DB" w:rsidP="009D1013">
      <w:pPr>
        <w:ind w:firstLine="567"/>
        <w:jc w:val="both"/>
        <w:rPr>
          <w:rFonts w:ascii="NimbusRomNo9L" w:hAnsi="NimbusRomNo9L"/>
          <w:lang w:val="en-US"/>
        </w:rPr>
      </w:pPr>
      <w:r w:rsidRPr="00166361">
        <w:rPr>
          <w:rFonts w:ascii="NimbusRomNo9L" w:hAnsi="NimbusRomNo9L"/>
          <w:lang w:val="en-US"/>
        </w:rPr>
        <w:t>Finally, the model includes time indicators (α</w:t>
      </w:r>
      <w:proofErr w:type="spellStart"/>
      <w:proofErr w:type="gramStart"/>
      <w:r w:rsidRPr="009D1013">
        <w:rPr>
          <w:rFonts w:ascii="NimbusRomNo9L" w:hAnsi="NimbusRomNo9L"/>
          <w:vertAlign w:val="subscript"/>
          <w:lang w:val="en-US"/>
        </w:rPr>
        <w:t>c,t</w:t>
      </w:r>
      <w:proofErr w:type="spellEnd"/>
      <w:proofErr w:type="gramEnd"/>
      <w:r w:rsidRPr="00166361">
        <w:rPr>
          <w:rFonts w:ascii="NimbusRomNo9L" w:hAnsi="NimbusRomNo9L"/>
          <w:lang w:val="en-US"/>
        </w:rPr>
        <w:t xml:space="preserve">) </w:t>
      </w:r>
      <w:r w:rsidR="009D1013">
        <w:rPr>
          <w:rFonts w:ascii="NimbusRomNo9L" w:hAnsi="NimbusRomNo9L"/>
          <w:lang w:val="en-US"/>
        </w:rPr>
        <w:t>t</w:t>
      </w:r>
      <w:r w:rsidR="009D1013" w:rsidRPr="009D1013">
        <w:rPr>
          <w:rFonts w:ascii="NimbusRomNo9L" w:hAnsi="NimbusRomNo9L"/>
          <w:lang w:val="en-US"/>
        </w:rPr>
        <w:t>o restrict the correlation of the components of unobserved results in annual observations and the usual unobserved random term (</w:t>
      </w:r>
      <w:r w:rsidR="009D1013" w:rsidRPr="009D1013">
        <w:rPr>
          <w:rFonts w:ascii="NimbusRomNo9L" w:hAnsi="NimbusRomNo9L"/>
        </w:rPr>
        <w:t>ε</w:t>
      </w:r>
      <w:proofErr w:type="spellStart"/>
      <w:r w:rsidR="009D1013" w:rsidRPr="009D1013">
        <w:rPr>
          <w:rFonts w:ascii="NimbusRomNo9L" w:hAnsi="NimbusRomNo9L"/>
          <w:vertAlign w:val="subscript"/>
          <w:lang w:val="en-US"/>
        </w:rPr>
        <w:t>c,t</w:t>
      </w:r>
      <w:proofErr w:type="spellEnd"/>
      <w:r w:rsidR="009D1013" w:rsidRPr="009D1013">
        <w:rPr>
          <w:rFonts w:ascii="NimbusRomNo9L" w:hAnsi="NimbusRomNo9L"/>
          <w:lang w:val="en-US"/>
        </w:rPr>
        <w:t xml:space="preserve">). At the same time, error types are grouped into </w:t>
      </w:r>
      <w:r w:rsidR="009D1013">
        <w:rPr>
          <w:rFonts w:ascii="NimbusRomNo9L" w:hAnsi="NimbusRomNo9L"/>
          <w:lang w:val="en-US"/>
        </w:rPr>
        <w:t xml:space="preserve">a single entity </w:t>
      </w:r>
      <w:r w:rsidR="009D1013" w:rsidRPr="009D1013">
        <w:rPr>
          <w:rFonts w:ascii="NimbusRomNo9L" w:hAnsi="NimbusRomNo9L"/>
          <w:lang w:val="en-US"/>
        </w:rPr>
        <w:t xml:space="preserve">at the level of years and jurisdictions. </w:t>
      </w:r>
    </w:p>
    <w:p w14:paraId="617C1EF2" w14:textId="5B2B82B3" w:rsidR="002626EB" w:rsidRDefault="002626EB" w:rsidP="002626EB">
      <w:pPr>
        <w:ind w:firstLine="567"/>
        <w:jc w:val="both"/>
        <w:rPr>
          <w:rFonts w:ascii="NimbusRomNo9L" w:hAnsi="NimbusRomNo9L"/>
          <w:lang w:val="en-US"/>
        </w:rPr>
      </w:pPr>
      <w:r w:rsidRPr="002626EB">
        <w:rPr>
          <w:rFonts w:ascii="NimbusRomNo9L" w:hAnsi="NimbusRomNo9L"/>
          <w:lang w:val="en-US"/>
        </w:rPr>
        <w:t>The paper outlines a sensitivity analysis that removes specific types of courts from the main analysis to assess the robustness of the findings. These exclusions aim to control for potential confounding factors and achieve cleaner results in understanding the relationship between lawyer concentration and rejection rates in French courts.</w:t>
      </w:r>
    </w:p>
    <w:p w14:paraId="25DE0E1C" w14:textId="77777777" w:rsidR="008002B4" w:rsidRPr="00D87ECD" w:rsidRDefault="008002B4" w:rsidP="008002B4">
      <w:pPr>
        <w:ind w:firstLine="567"/>
        <w:jc w:val="both"/>
        <w:rPr>
          <w:rFonts w:ascii="NimbusRomNo9L" w:hAnsi="NimbusRomNo9L"/>
          <w:lang w:val="en-US"/>
        </w:rPr>
      </w:pPr>
      <w:r w:rsidRPr="00D87ECD">
        <w:rPr>
          <w:rFonts w:ascii="NimbusRomNo9L" w:hAnsi="NimbusRomNo9L"/>
          <w:bCs/>
          <w:lang w:val="en-US"/>
        </w:rPr>
        <w:t>Firstly</w:t>
      </w:r>
      <w:r w:rsidRPr="00D87ECD">
        <w:rPr>
          <w:rFonts w:ascii="NimbusRomNo9L" w:hAnsi="NimbusRomNo9L"/>
          <w:lang w:val="en-US"/>
        </w:rPr>
        <w:t xml:space="preserve">, to mitigate potential biases and unwanted variability arising from their different characteristics and data inconsistencies, courts with unique histories and operational structures are excluded in the robustness checks. These courts, like newly introduced, suppressed, and detached tribunals, might have undergone significant changes and lack information about various key variables like registered lawyers, case </w:t>
      </w:r>
      <w:r w:rsidRPr="00D87ECD">
        <w:rPr>
          <w:rFonts w:ascii="NimbusRomNo9L" w:hAnsi="NimbusRomNo9L"/>
          <w:lang w:val="en-US"/>
        </w:rPr>
        <w:lastRenderedPageBreak/>
        <w:t>duration, and backlogs. Focusing on established, stable courts allows the analysis to isolate the impact of lawyer concentration within a more uniform legal system.</w:t>
      </w:r>
    </w:p>
    <w:p w14:paraId="52CFFF18" w14:textId="77777777" w:rsidR="008002B4" w:rsidRPr="00D87ECD" w:rsidRDefault="008002B4" w:rsidP="008002B4">
      <w:pPr>
        <w:ind w:firstLine="567"/>
        <w:jc w:val="both"/>
        <w:rPr>
          <w:rFonts w:ascii="NimbusRomNo9L" w:hAnsi="NimbusRomNo9L"/>
          <w:lang w:val="en-US"/>
        </w:rPr>
      </w:pPr>
      <w:r w:rsidRPr="00D87ECD">
        <w:rPr>
          <w:rFonts w:ascii="NimbusRomNo9L" w:hAnsi="NimbusRomNo9L"/>
          <w:bCs/>
          <w:lang w:val="en-US"/>
        </w:rPr>
        <w:t>Secondly</w:t>
      </w:r>
      <w:r w:rsidRPr="00D87ECD">
        <w:rPr>
          <w:rFonts w:ascii="NimbusRomNo9L" w:hAnsi="NimbusRomNo9L"/>
          <w:lang w:val="en-US"/>
        </w:rPr>
        <w:t>, additional robustness checks remove courts with exceptionally high lawyer densities. These outliers, representing a small proportion of the sample but having significantly more lawyers per capita, could introduce excessive variability that obscures the overall relationship under investigation. Analyzing courts with more similar lawyer densities allows for a more focused examination of the specific effect within a controlled range.</w:t>
      </w:r>
    </w:p>
    <w:p w14:paraId="4860DD60" w14:textId="7E24B4C2" w:rsidR="00072165" w:rsidRDefault="008002B4" w:rsidP="00D87ECD">
      <w:pPr>
        <w:ind w:firstLine="567"/>
        <w:jc w:val="both"/>
        <w:rPr>
          <w:rFonts w:ascii="NimbusRomNo9L" w:hAnsi="NimbusRomNo9L"/>
          <w:lang w:val="en-US"/>
        </w:rPr>
      </w:pPr>
      <w:r w:rsidRPr="00D87ECD">
        <w:rPr>
          <w:rFonts w:ascii="NimbusRomNo9L" w:hAnsi="NimbusRomNo9L"/>
          <w:lang w:val="en-US"/>
        </w:rPr>
        <w:t>It's important to acknowledge that excluding these courts might limit the generalizability of the findings to the entire French legal system, as they represent aspects of the national legal landscape. However, these controls are crucial for a cleaner understanding of the complex relationship between lawyer concentration and rejection rates, recognizing that specificities of certain tribunals might require further empirical exploration</w:t>
      </w:r>
      <w:r w:rsidR="00D87ECD" w:rsidRPr="00D87ECD">
        <w:rPr>
          <w:rFonts w:ascii="NimbusRomNo9L" w:hAnsi="NimbusRomNo9L"/>
          <w:lang w:val="en-US"/>
        </w:rPr>
        <w:t>.</w:t>
      </w:r>
    </w:p>
    <w:p w14:paraId="2A0D76EE" w14:textId="0A066DD7" w:rsidR="00D87ECD" w:rsidRPr="00D87ECD" w:rsidRDefault="00D87ECD" w:rsidP="0082139C">
      <w:pPr>
        <w:ind w:firstLine="567"/>
        <w:jc w:val="both"/>
        <w:rPr>
          <w:rFonts w:ascii="NimbusRomNo9L" w:hAnsi="NimbusRomNo9L"/>
          <w:lang w:val="en-US"/>
        </w:rPr>
      </w:pPr>
      <w:r w:rsidRPr="0082139C">
        <w:rPr>
          <w:rFonts w:ascii="NimbusRomNo9L" w:hAnsi="NimbusRomNo9L"/>
          <w:lang w:val="en-US"/>
        </w:rPr>
        <w:t xml:space="preserve">Eventually, to </w:t>
      </w:r>
      <w:r w:rsidRPr="0082139C">
        <w:rPr>
          <w:rFonts w:ascii="NimbusRomNo9L" w:hAnsi="NimbusRomNo9L"/>
          <w:bCs/>
          <w:lang w:val="en-US"/>
        </w:rPr>
        <w:t xml:space="preserve">understand how the impact of </w:t>
      </w:r>
      <w:r w:rsidR="00772A97" w:rsidRPr="0082139C">
        <w:rPr>
          <w:rFonts w:ascii="NimbusRomNo9L" w:hAnsi="NimbusRomNo9L"/>
          <w:bCs/>
          <w:lang w:val="en-US"/>
        </w:rPr>
        <w:t>lawyers</w:t>
      </w:r>
      <w:r w:rsidR="00772A97" w:rsidRPr="0082139C">
        <w:rPr>
          <w:rFonts w:ascii="NimbusRomNo9L" w:hAnsi="NimbusRomNo9L" w:hint="eastAsia"/>
          <w:bCs/>
          <w:lang w:val="en-US"/>
        </w:rPr>
        <w:t>’</w:t>
      </w:r>
      <w:r w:rsidRPr="0082139C">
        <w:rPr>
          <w:rFonts w:ascii="NimbusRomNo9L" w:hAnsi="NimbusRomNo9L"/>
          <w:bCs/>
          <w:lang w:val="en-US"/>
        </w:rPr>
        <w:t xml:space="preserve"> density changes for different groups of courts, we use a special statistical technique called the Smoothed Instrumental Variable Regression Estimator (SIVQR). This method, developed by </w:t>
      </w:r>
      <w:proofErr w:type="spellStart"/>
      <w:r w:rsidRPr="0082139C">
        <w:rPr>
          <w:rFonts w:ascii="NimbusRomNo9L" w:hAnsi="NimbusRomNo9L"/>
          <w:bCs/>
          <w:lang w:val="en-US"/>
        </w:rPr>
        <w:t>Chernozhukov</w:t>
      </w:r>
      <w:proofErr w:type="spellEnd"/>
      <w:r w:rsidRPr="0082139C">
        <w:rPr>
          <w:rFonts w:ascii="NimbusRomNo9L" w:hAnsi="NimbusRomNo9L"/>
          <w:bCs/>
          <w:lang w:val="en-US"/>
        </w:rPr>
        <w:t xml:space="preserve"> &amp; Hansen </w:t>
      </w:r>
      <w:r w:rsidR="0082139C" w:rsidRPr="0082139C">
        <w:rPr>
          <w:rFonts w:ascii="NimbusRomNo9L" w:hAnsi="NimbusRomNo9L"/>
          <w:bCs/>
          <w:lang w:val="en-US"/>
        </w:rPr>
        <w:t>(</w:t>
      </w:r>
      <w:r w:rsidRPr="0082139C">
        <w:rPr>
          <w:rFonts w:ascii="NimbusRomNo9L" w:hAnsi="NimbusRomNo9L"/>
          <w:bCs/>
          <w:lang w:val="en-US"/>
        </w:rPr>
        <w:t>2005</w:t>
      </w:r>
      <w:r w:rsidR="0082139C" w:rsidRPr="0082139C">
        <w:rPr>
          <w:rFonts w:ascii="NimbusRomNo9L" w:hAnsi="NimbusRomNo9L"/>
          <w:bCs/>
          <w:lang w:val="en-US"/>
        </w:rPr>
        <w:t>)</w:t>
      </w:r>
      <w:r w:rsidRPr="0082139C">
        <w:rPr>
          <w:rFonts w:ascii="NimbusRomNo9L" w:hAnsi="NimbusRomNo9L"/>
          <w:bCs/>
          <w:lang w:val="en-US"/>
        </w:rPr>
        <w:t xml:space="preserve"> and adapted by Kaplan &amp; Sun </w:t>
      </w:r>
      <w:r w:rsidR="0082139C" w:rsidRPr="0082139C">
        <w:rPr>
          <w:rFonts w:ascii="NimbusRomNo9L" w:hAnsi="NimbusRomNo9L"/>
          <w:bCs/>
          <w:lang w:val="en-US"/>
        </w:rPr>
        <w:t>(</w:t>
      </w:r>
      <w:r w:rsidRPr="0082139C">
        <w:rPr>
          <w:rFonts w:ascii="NimbusRomNo9L" w:hAnsi="NimbusRomNo9L"/>
          <w:bCs/>
          <w:lang w:val="en-US"/>
        </w:rPr>
        <w:t>2017</w:t>
      </w:r>
      <w:r w:rsidR="0082139C" w:rsidRPr="0082139C">
        <w:rPr>
          <w:rFonts w:ascii="NimbusRomNo9L" w:hAnsi="NimbusRomNo9L"/>
          <w:bCs/>
          <w:lang w:val="en-US"/>
        </w:rPr>
        <w:t>)</w:t>
      </w:r>
      <w:r w:rsidRPr="0082139C">
        <w:rPr>
          <w:rFonts w:ascii="NimbusRomNo9L" w:hAnsi="NimbusRomNo9L"/>
          <w:bCs/>
          <w:lang w:val="en-US"/>
        </w:rPr>
        <w:t xml:space="preserve">, considers the entire distribution of our data, not just averages. </w:t>
      </w:r>
      <w:r w:rsidR="0082139C" w:rsidRPr="0082139C">
        <w:rPr>
          <w:rFonts w:ascii="NimbusRomNo9L" w:hAnsi="NimbusRomNo9L"/>
          <w:bCs/>
          <w:lang w:val="en-US"/>
        </w:rPr>
        <w:t>The SIVQR aims to provide an overall view of a distribution (Fernandes et al., 2021) that performs appropriate approximations in calculations and inferences (He et al., 2021) and offers more precise estimation with bootstrap refinement (Kaplan &amp; Sun, 2017).</w:t>
      </w:r>
      <w:r w:rsidR="0082139C">
        <w:rPr>
          <w:rFonts w:ascii="NimbusRomNo9L" w:hAnsi="NimbusRomNo9L"/>
          <w:bCs/>
          <w:lang w:val="en-US"/>
        </w:rPr>
        <w:t xml:space="preserve"> </w:t>
      </w:r>
      <w:r w:rsidRPr="0082139C">
        <w:rPr>
          <w:rFonts w:ascii="NimbusRomNo9L" w:hAnsi="NimbusRomNo9L"/>
          <w:bCs/>
          <w:lang w:val="en-US"/>
        </w:rPr>
        <w:t>In our analysis, we use Bayesian bootstrapping with 1,000 repetitions to calculate error margins.</w:t>
      </w:r>
    </w:p>
    <w:p w14:paraId="1D07CBEF" w14:textId="1BCEE302" w:rsidR="003355DB" w:rsidRDefault="003355DB" w:rsidP="003355DB">
      <w:pPr>
        <w:ind w:firstLine="567"/>
        <w:jc w:val="both"/>
        <w:rPr>
          <w:rFonts w:ascii="NimbusRomNo9L" w:hAnsi="NimbusRomNo9L"/>
          <w:lang w:val="en-US"/>
        </w:rPr>
      </w:pPr>
      <w:r w:rsidRPr="00166361">
        <w:rPr>
          <w:rFonts w:ascii="NimbusRomNo9L" w:hAnsi="NimbusRomNo9L"/>
          <w:lang w:val="en-US"/>
        </w:rPr>
        <w:t xml:space="preserve">Descriptive statistics of the data are presented in </w:t>
      </w:r>
      <w:r w:rsidRPr="0082139C">
        <w:rPr>
          <w:rFonts w:ascii="NimbusRomNo9L" w:hAnsi="NimbusRomNo9L"/>
          <w:u w:val="single"/>
          <w:lang w:val="en-US"/>
        </w:rPr>
        <w:t>Table 1</w:t>
      </w:r>
      <w:r w:rsidRPr="00166361">
        <w:rPr>
          <w:rFonts w:ascii="NimbusRomNo9L" w:hAnsi="NimbusRomNo9L"/>
          <w:lang w:val="en-US"/>
        </w:rPr>
        <w:t>.</w:t>
      </w:r>
    </w:p>
    <w:p w14:paraId="6453405D" w14:textId="116A5EDC" w:rsidR="003355DB" w:rsidRPr="00455EE0" w:rsidRDefault="003355DB" w:rsidP="003355DB">
      <w:pPr>
        <w:spacing w:before="240" w:after="240"/>
        <w:jc w:val="both"/>
        <w:rPr>
          <w:rFonts w:ascii="NimbusRomNo9L" w:hAnsi="NimbusRomNo9L"/>
          <w:sz w:val="20"/>
          <w:szCs w:val="20"/>
          <w:lang w:val="it-IT"/>
        </w:rPr>
      </w:pPr>
      <w:proofErr w:type="spellStart"/>
      <w:r w:rsidRPr="00455EE0">
        <w:rPr>
          <w:rFonts w:ascii="NimbusRomNo9L" w:hAnsi="NimbusRomNo9L"/>
          <w:sz w:val="20"/>
          <w:szCs w:val="20"/>
          <w:u w:val="single"/>
          <w:lang w:val="it-IT"/>
        </w:rPr>
        <w:t>Table</w:t>
      </w:r>
      <w:proofErr w:type="spellEnd"/>
      <w:r w:rsidRPr="00455EE0">
        <w:rPr>
          <w:rFonts w:ascii="NimbusRomNo9L" w:hAnsi="NimbusRomNo9L"/>
          <w:sz w:val="20"/>
          <w:szCs w:val="20"/>
          <w:u w:val="single"/>
          <w:lang w:val="it-IT"/>
        </w:rPr>
        <w:t xml:space="preserve"> 1</w:t>
      </w:r>
      <w:r w:rsidRPr="00455EE0">
        <w:rPr>
          <w:rFonts w:ascii="NimbusRomNo9L" w:hAnsi="NimbusRomNo9L"/>
          <w:sz w:val="20"/>
          <w:szCs w:val="20"/>
          <w:lang w:val="it-IT"/>
        </w:rPr>
        <w:t xml:space="preserve">: </w:t>
      </w:r>
      <w:proofErr w:type="spellStart"/>
      <w:r w:rsidRPr="00455EE0">
        <w:rPr>
          <w:rFonts w:ascii="NimbusRomNo9L" w:hAnsi="NimbusRomNo9L"/>
          <w:sz w:val="20"/>
          <w:szCs w:val="20"/>
          <w:lang w:val="it-IT"/>
        </w:rPr>
        <w:t>Descriptive</w:t>
      </w:r>
      <w:proofErr w:type="spellEnd"/>
      <w:r w:rsidRPr="00455EE0">
        <w:rPr>
          <w:rFonts w:ascii="NimbusRomNo9L" w:hAnsi="NimbusRomNo9L"/>
          <w:sz w:val="20"/>
          <w:szCs w:val="20"/>
          <w:lang w:val="it-IT"/>
        </w:rPr>
        <w:t xml:space="preserve"> </w:t>
      </w:r>
      <w:proofErr w:type="spellStart"/>
      <w:r w:rsidRPr="00455EE0">
        <w:rPr>
          <w:rFonts w:ascii="NimbusRomNo9L" w:hAnsi="NimbusRomNo9L"/>
          <w:sz w:val="20"/>
          <w:szCs w:val="20"/>
          <w:lang w:val="it-IT"/>
        </w:rPr>
        <w:t>statistics</w:t>
      </w:r>
      <w:proofErr w:type="spellEnd"/>
      <w:r w:rsidRPr="00455EE0">
        <w:rPr>
          <w:rFonts w:ascii="NimbusRomNo9L" w:hAnsi="NimbusRomNo9L"/>
          <w:sz w:val="20"/>
          <w:szCs w:val="20"/>
          <w:lang w:val="it-IT"/>
        </w:rPr>
        <w:t xml:space="preserve"> </w:t>
      </w:r>
    </w:p>
    <w:tbl>
      <w:tblPr>
        <w:tblW w:w="10278" w:type="dxa"/>
        <w:tblInd w:w="-431" w:type="dxa"/>
        <w:tblBorders>
          <w:left w:val="single" w:sz="4" w:space="0" w:color="D0CECE" w:themeColor="background2" w:themeShade="E6"/>
          <w:right w:val="single" w:sz="4" w:space="0" w:color="D0CECE" w:themeColor="background2" w:themeShade="E6"/>
          <w:insideH w:val="single" w:sz="6" w:space="0" w:color="D0CECE" w:themeColor="background2" w:themeShade="E6"/>
          <w:insideV w:val="single" w:sz="6" w:space="0" w:color="D0CECE" w:themeColor="background2" w:themeShade="E6"/>
        </w:tblBorders>
        <w:tblLook w:val="04A0" w:firstRow="1" w:lastRow="0" w:firstColumn="1" w:lastColumn="0" w:noHBand="0" w:noVBand="1"/>
      </w:tblPr>
      <w:tblGrid>
        <w:gridCol w:w="3261"/>
        <w:gridCol w:w="636"/>
        <w:gridCol w:w="924"/>
        <w:gridCol w:w="899"/>
        <w:gridCol w:w="924"/>
        <w:gridCol w:w="924"/>
        <w:gridCol w:w="924"/>
        <w:gridCol w:w="924"/>
        <w:gridCol w:w="1004"/>
      </w:tblGrid>
      <w:tr w:rsidR="003355DB" w:rsidRPr="00166361" w14:paraId="2E3E2E2E" w14:textId="77777777" w:rsidTr="00A55BA5">
        <w:trPr>
          <w:trHeight w:val="292"/>
        </w:trPr>
        <w:tc>
          <w:tcPr>
            <w:tcW w:w="3261" w:type="dxa"/>
            <w:tcBorders>
              <w:top w:val="single" w:sz="4" w:space="0" w:color="D0CECE" w:themeColor="background2" w:themeShade="E6"/>
              <w:bottom w:val="single" w:sz="6" w:space="0" w:color="D0CECE" w:themeColor="background2" w:themeShade="E6"/>
            </w:tcBorders>
            <w:shd w:val="clear" w:color="auto" w:fill="auto"/>
            <w:noWrap/>
            <w:vAlign w:val="bottom"/>
            <w:hideMark/>
          </w:tcPr>
          <w:p w14:paraId="1ABF480B" w14:textId="77777777" w:rsidR="003355DB" w:rsidRPr="00166361" w:rsidRDefault="003355DB" w:rsidP="00267587">
            <w:pPr>
              <w:rPr>
                <w:sz w:val="21"/>
                <w:lang w:val="en-US"/>
              </w:rPr>
            </w:pPr>
            <w:r w:rsidRPr="00166361">
              <w:rPr>
                <w:sz w:val="21"/>
                <w:lang w:val="en-US"/>
              </w:rPr>
              <w:t>Variable</w:t>
            </w:r>
          </w:p>
        </w:tc>
        <w:tc>
          <w:tcPr>
            <w:tcW w:w="494" w:type="dxa"/>
            <w:tcBorders>
              <w:top w:val="single" w:sz="4" w:space="0" w:color="D0CECE" w:themeColor="background2" w:themeShade="E6"/>
              <w:bottom w:val="single" w:sz="6" w:space="0" w:color="D0CECE" w:themeColor="background2" w:themeShade="E6"/>
            </w:tcBorders>
            <w:shd w:val="clear" w:color="auto" w:fill="auto"/>
            <w:noWrap/>
            <w:vAlign w:val="bottom"/>
            <w:hideMark/>
          </w:tcPr>
          <w:p w14:paraId="373B9B2C" w14:textId="77777777" w:rsidR="003355DB" w:rsidRPr="00166361" w:rsidRDefault="003355DB" w:rsidP="00267587">
            <w:pPr>
              <w:rPr>
                <w:sz w:val="21"/>
                <w:lang w:val="en-US"/>
              </w:rPr>
            </w:pPr>
            <w:r w:rsidRPr="00166361">
              <w:rPr>
                <w:sz w:val="21"/>
                <w:lang w:val="en-US"/>
              </w:rPr>
              <w:t>n</w:t>
            </w:r>
          </w:p>
        </w:tc>
        <w:tc>
          <w:tcPr>
            <w:tcW w:w="924" w:type="dxa"/>
            <w:tcBorders>
              <w:top w:val="single" w:sz="4" w:space="0" w:color="D0CECE" w:themeColor="background2" w:themeShade="E6"/>
              <w:bottom w:val="single" w:sz="6" w:space="0" w:color="D0CECE" w:themeColor="background2" w:themeShade="E6"/>
            </w:tcBorders>
            <w:shd w:val="clear" w:color="auto" w:fill="auto"/>
            <w:noWrap/>
            <w:vAlign w:val="bottom"/>
            <w:hideMark/>
          </w:tcPr>
          <w:p w14:paraId="04BCC446" w14:textId="77777777" w:rsidR="003355DB" w:rsidRPr="00166361" w:rsidRDefault="003355DB" w:rsidP="00267587">
            <w:pPr>
              <w:rPr>
                <w:sz w:val="21"/>
                <w:lang w:val="en-US"/>
              </w:rPr>
            </w:pPr>
            <w:r w:rsidRPr="00166361">
              <w:rPr>
                <w:sz w:val="21"/>
                <w:lang w:val="en-US"/>
              </w:rPr>
              <w:t>Mean</w:t>
            </w:r>
          </w:p>
        </w:tc>
        <w:tc>
          <w:tcPr>
            <w:tcW w:w="899" w:type="dxa"/>
            <w:tcBorders>
              <w:top w:val="single" w:sz="4" w:space="0" w:color="D0CECE" w:themeColor="background2" w:themeShade="E6"/>
              <w:bottom w:val="single" w:sz="6" w:space="0" w:color="D0CECE" w:themeColor="background2" w:themeShade="E6"/>
            </w:tcBorders>
            <w:shd w:val="clear" w:color="auto" w:fill="auto"/>
            <w:noWrap/>
            <w:vAlign w:val="bottom"/>
            <w:hideMark/>
          </w:tcPr>
          <w:p w14:paraId="58C26A60" w14:textId="77777777" w:rsidR="003355DB" w:rsidRPr="00166361" w:rsidRDefault="003355DB" w:rsidP="00267587">
            <w:pPr>
              <w:rPr>
                <w:sz w:val="21"/>
                <w:lang w:val="en-US"/>
              </w:rPr>
            </w:pPr>
            <w:r w:rsidRPr="00166361">
              <w:rPr>
                <w:sz w:val="21"/>
                <w:lang w:val="en-US"/>
              </w:rPr>
              <w:t>S.D.</w:t>
            </w:r>
          </w:p>
        </w:tc>
        <w:tc>
          <w:tcPr>
            <w:tcW w:w="924" w:type="dxa"/>
            <w:tcBorders>
              <w:top w:val="single" w:sz="4" w:space="0" w:color="D0CECE" w:themeColor="background2" w:themeShade="E6"/>
              <w:bottom w:val="single" w:sz="6" w:space="0" w:color="D0CECE" w:themeColor="background2" w:themeShade="E6"/>
            </w:tcBorders>
            <w:shd w:val="clear" w:color="auto" w:fill="auto"/>
            <w:noWrap/>
            <w:vAlign w:val="bottom"/>
            <w:hideMark/>
          </w:tcPr>
          <w:p w14:paraId="3577C083" w14:textId="77777777" w:rsidR="003355DB" w:rsidRPr="00166361" w:rsidRDefault="003355DB" w:rsidP="00267587">
            <w:pPr>
              <w:rPr>
                <w:sz w:val="21"/>
                <w:lang w:val="en-US"/>
              </w:rPr>
            </w:pPr>
            <w:r w:rsidRPr="00166361">
              <w:rPr>
                <w:sz w:val="21"/>
                <w:lang w:val="en-US"/>
              </w:rPr>
              <w:t>Min</w:t>
            </w:r>
          </w:p>
        </w:tc>
        <w:tc>
          <w:tcPr>
            <w:tcW w:w="924" w:type="dxa"/>
            <w:tcBorders>
              <w:top w:val="single" w:sz="4" w:space="0" w:color="D0CECE" w:themeColor="background2" w:themeShade="E6"/>
              <w:bottom w:val="single" w:sz="6" w:space="0" w:color="D0CECE" w:themeColor="background2" w:themeShade="E6"/>
            </w:tcBorders>
            <w:shd w:val="clear" w:color="auto" w:fill="auto"/>
            <w:noWrap/>
            <w:vAlign w:val="bottom"/>
            <w:hideMark/>
          </w:tcPr>
          <w:p w14:paraId="4E21410C" w14:textId="77777777" w:rsidR="003355DB" w:rsidRPr="00166361" w:rsidRDefault="003355DB" w:rsidP="00267587">
            <w:pPr>
              <w:rPr>
                <w:sz w:val="21"/>
                <w:lang w:val="en-US"/>
              </w:rPr>
            </w:pPr>
            <w:r w:rsidRPr="00166361">
              <w:rPr>
                <w:sz w:val="21"/>
                <w:lang w:val="en-US"/>
              </w:rPr>
              <w:t>.25</w:t>
            </w:r>
          </w:p>
        </w:tc>
        <w:tc>
          <w:tcPr>
            <w:tcW w:w="924" w:type="dxa"/>
            <w:tcBorders>
              <w:top w:val="single" w:sz="4" w:space="0" w:color="D0CECE" w:themeColor="background2" w:themeShade="E6"/>
              <w:bottom w:val="single" w:sz="6" w:space="0" w:color="D0CECE" w:themeColor="background2" w:themeShade="E6"/>
            </w:tcBorders>
            <w:shd w:val="clear" w:color="auto" w:fill="auto"/>
            <w:noWrap/>
            <w:vAlign w:val="bottom"/>
            <w:hideMark/>
          </w:tcPr>
          <w:p w14:paraId="6CC952EE" w14:textId="77777777" w:rsidR="003355DB" w:rsidRPr="00166361" w:rsidRDefault="003355DB" w:rsidP="00267587">
            <w:pPr>
              <w:rPr>
                <w:sz w:val="21"/>
                <w:lang w:val="en-US"/>
              </w:rPr>
            </w:pPr>
            <w:proofErr w:type="spellStart"/>
            <w:r w:rsidRPr="00166361">
              <w:rPr>
                <w:sz w:val="21"/>
                <w:lang w:val="en-US"/>
              </w:rPr>
              <w:t>Mdn</w:t>
            </w:r>
            <w:proofErr w:type="spellEnd"/>
          </w:p>
        </w:tc>
        <w:tc>
          <w:tcPr>
            <w:tcW w:w="924" w:type="dxa"/>
            <w:tcBorders>
              <w:top w:val="single" w:sz="4" w:space="0" w:color="D0CECE" w:themeColor="background2" w:themeShade="E6"/>
              <w:bottom w:val="single" w:sz="6" w:space="0" w:color="D0CECE" w:themeColor="background2" w:themeShade="E6"/>
            </w:tcBorders>
            <w:shd w:val="clear" w:color="auto" w:fill="auto"/>
            <w:noWrap/>
            <w:vAlign w:val="bottom"/>
            <w:hideMark/>
          </w:tcPr>
          <w:p w14:paraId="027F720B" w14:textId="77777777" w:rsidR="003355DB" w:rsidRPr="00166361" w:rsidRDefault="003355DB" w:rsidP="00267587">
            <w:pPr>
              <w:rPr>
                <w:sz w:val="21"/>
                <w:lang w:val="en-US"/>
              </w:rPr>
            </w:pPr>
            <w:r w:rsidRPr="00166361">
              <w:rPr>
                <w:sz w:val="21"/>
                <w:lang w:val="en-US"/>
              </w:rPr>
              <w:t>.75</w:t>
            </w:r>
          </w:p>
        </w:tc>
        <w:tc>
          <w:tcPr>
            <w:tcW w:w="1004" w:type="dxa"/>
            <w:tcBorders>
              <w:top w:val="single" w:sz="4" w:space="0" w:color="D0CECE" w:themeColor="background2" w:themeShade="E6"/>
              <w:bottom w:val="single" w:sz="6" w:space="0" w:color="D0CECE" w:themeColor="background2" w:themeShade="E6"/>
            </w:tcBorders>
            <w:shd w:val="clear" w:color="auto" w:fill="auto"/>
            <w:noWrap/>
            <w:vAlign w:val="bottom"/>
            <w:hideMark/>
          </w:tcPr>
          <w:p w14:paraId="6E46D3F4" w14:textId="77777777" w:rsidR="003355DB" w:rsidRPr="00166361" w:rsidRDefault="003355DB" w:rsidP="00267587">
            <w:pPr>
              <w:rPr>
                <w:sz w:val="21"/>
                <w:lang w:val="en-US"/>
              </w:rPr>
            </w:pPr>
            <w:r w:rsidRPr="00166361">
              <w:rPr>
                <w:sz w:val="21"/>
                <w:lang w:val="en-US"/>
              </w:rPr>
              <w:t>Max</w:t>
            </w:r>
          </w:p>
        </w:tc>
      </w:tr>
      <w:tr w:rsidR="003355DB" w:rsidRPr="00166361" w14:paraId="266B7D21" w14:textId="77777777" w:rsidTr="00A55BA5">
        <w:trPr>
          <w:trHeight w:val="292"/>
        </w:trPr>
        <w:tc>
          <w:tcPr>
            <w:tcW w:w="3261" w:type="dxa"/>
            <w:tcBorders>
              <w:top w:val="single" w:sz="6" w:space="0" w:color="D0CECE" w:themeColor="background2" w:themeShade="E6"/>
            </w:tcBorders>
            <w:shd w:val="clear" w:color="auto" w:fill="auto"/>
            <w:noWrap/>
            <w:vAlign w:val="bottom"/>
            <w:hideMark/>
          </w:tcPr>
          <w:p w14:paraId="227E72E7" w14:textId="63179C2A" w:rsidR="003355DB" w:rsidRPr="00166361" w:rsidRDefault="003355DB" w:rsidP="00267587">
            <w:pPr>
              <w:rPr>
                <w:sz w:val="21"/>
                <w:lang w:val="en-US"/>
              </w:rPr>
            </w:pPr>
            <w:r w:rsidRPr="00166361">
              <w:rPr>
                <w:sz w:val="21"/>
                <w:lang w:val="en-US"/>
              </w:rPr>
              <w:t>R</w:t>
            </w:r>
            <w:r w:rsidR="004211E0">
              <w:rPr>
                <w:sz w:val="21"/>
                <w:lang w:val="en-US"/>
              </w:rPr>
              <w:t>ate of r</w:t>
            </w:r>
            <w:r w:rsidRPr="00166361">
              <w:rPr>
                <w:sz w:val="21"/>
                <w:lang w:val="en-US"/>
              </w:rPr>
              <w:t xml:space="preserve">ejected cases </w:t>
            </w:r>
          </w:p>
        </w:tc>
        <w:tc>
          <w:tcPr>
            <w:tcW w:w="494" w:type="dxa"/>
            <w:tcBorders>
              <w:top w:val="single" w:sz="6" w:space="0" w:color="D0CECE" w:themeColor="background2" w:themeShade="E6"/>
            </w:tcBorders>
            <w:shd w:val="clear" w:color="auto" w:fill="auto"/>
            <w:noWrap/>
            <w:vAlign w:val="bottom"/>
            <w:hideMark/>
          </w:tcPr>
          <w:p w14:paraId="680AD9BD" w14:textId="4AB38C82" w:rsidR="003355DB" w:rsidRPr="00166361" w:rsidRDefault="001954D8" w:rsidP="00267587">
            <w:pPr>
              <w:jc w:val="right"/>
              <w:rPr>
                <w:sz w:val="21"/>
                <w:lang w:val="en-US"/>
              </w:rPr>
            </w:pPr>
            <w:r>
              <w:rPr>
                <w:sz w:val="21"/>
                <w:lang w:val="en-US"/>
              </w:rPr>
              <w:t>1250</w:t>
            </w:r>
          </w:p>
        </w:tc>
        <w:tc>
          <w:tcPr>
            <w:tcW w:w="924" w:type="dxa"/>
            <w:tcBorders>
              <w:top w:val="single" w:sz="6" w:space="0" w:color="D0CECE" w:themeColor="background2" w:themeShade="E6"/>
            </w:tcBorders>
            <w:shd w:val="clear" w:color="auto" w:fill="auto"/>
            <w:noWrap/>
            <w:vAlign w:val="bottom"/>
            <w:hideMark/>
          </w:tcPr>
          <w:p w14:paraId="03500EFE" w14:textId="77777777" w:rsidR="003355DB" w:rsidRPr="00166361" w:rsidRDefault="003355DB" w:rsidP="00267587">
            <w:pPr>
              <w:rPr>
                <w:sz w:val="21"/>
                <w:lang w:val="en-US"/>
              </w:rPr>
            </w:pPr>
            <w:r w:rsidRPr="00166361">
              <w:rPr>
                <w:sz w:val="21"/>
                <w:lang w:val="en-US"/>
              </w:rPr>
              <w:t>14.67</w:t>
            </w:r>
          </w:p>
        </w:tc>
        <w:tc>
          <w:tcPr>
            <w:tcW w:w="899" w:type="dxa"/>
            <w:tcBorders>
              <w:top w:val="single" w:sz="6" w:space="0" w:color="D0CECE" w:themeColor="background2" w:themeShade="E6"/>
            </w:tcBorders>
            <w:shd w:val="clear" w:color="auto" w:fill="auto"/>
            <w:noWrap/>
            <w:vAlign w:val="bottom"/>
            <w:hideMark/>
          </w:tcPr>
          <w:p w14:paraId="315BC5E5" w14:textId="6E816B29" w:rsidR="003355DB" w:rsidRPr="00166361" w:rsidRDefault="003355DB" w:rsidP="00267587">
            <w:pPr>
              <w:rPr>
                <w:sz w:val="21"/>
                <w:lang w:val="en-US"/>
              </w:rPr>
            </w:pPr>
            <w:r w:rsidRPr="00166361">
              <w:rPr>
                <w:sz w:val="21"/>
                <w:lang w:val="en-US"/>
              </w:rPr>
              <w:t>10.1</w:t>
            </w:r>
            <w:r w:rsidR="001954D8">
              <w:rPr>
                <w:sz w:val="21"/>
                <w:lang w:val="en-US"/>
              </w:rPr>
              <w:t>3</w:t>
            </w:r>
          </w:p>
        </w:tc>
        <w:tc>
          <w:tcPr>
            <w:tcW w:w="924" w:type="dxa"/>
            <w:tcBorders>
              <w:top w:val="single" w:sz="6" w:space="0" w:color="D0CECE" w:themeColor="background2" w:themeShade="E6"/>
            </w:tcBorders>
            <w:shd w:val="clear" w:color="auto" w:fill="auto"/>
            <w:noWrap/>
            <w:vAlign w:val="bottom"/>
            <w:hideMark/>
          </w:tcPr>
          <w:p w14:paraId="28C3AEB3" w14:textId="1D9A72EB" w:rsidR="003355DB" w:rsidRPr="00166361" w:rsidRDefault="001954D8" w:rsidP="00267587">
            <w:pPr>
              <w:rPr>
                <w:sz w:val="21"/>
                <w:lang w:val="en-US"/>
              </w:rPr>
            </w:pPr>
            <w:r>
              <w:rPr>
                <w:sz w:val="21"/>
                <w:lang w:val="en-US"/>
              </w:rPr>
              <w:t>1.67</w:t>
            </w:r>
          </w:p>
        </w:tc>
        <w:tc>
          <w:tcPr>
            <w:tcW w:w="924" w:type="dxa"/>
            <w:tcBorders>
              <w:top w:val="single" w:sz="6" w:space="0" w:color="D0CECE" w:themeColor="background2" w:themeShade="E6"/>
            </w:tcBorders>
            <w:shd w:val="clear" w:color="auto" w:fill="auto"/>
            <w:noWrap/>
            <w:vAlign w:val="bottom"/>
            <w:hideMark/>
          </w:tcPr>
          <w:p w14:paraId="7611BE99" w14:textId="6B8251B5" w:rsidR="003355DB" w:rsidRPr="00166361" w:rsidRDefault="003355DB" w:rsidP="00267587">
            <w:pPr>
              <w:rPr>
                <w:sz w:val="21"/>
                <w:lang w:val="en-US"/>
              </w:rPr>
            </w:pPr>
            <w:r w:rsidRPr="00166361">
              <w:rPr>
                <w:sz w:val="21"/>
                <w:lang w:val="en-US"/>
              </w:rPr>
              <w:t>7.8</w:t>
            </w:r>
            <w:r w:rsidR="001954D8">
              <w:rPr>
                <w:sz w:val="21"/>
                <w:lang w:val="en-US"/>
              </w:rPr>
              <w:t>2</w:t>
            </w:r>
          </w:p>
        </w:tc>
        <w:tc>
          <w:tcPr>
            <w:tcW w:w="924" w:type="dxa"/>
            <w:tcBorders>
              <w:top w:val="single" w:sz="6" w:space="0" w:color="D0CECE" w:themeColor="background2" w:themeShade="E6"/>
            </w:tcBorders>
            <w:shd w:val="clear" w:color="auto" w:fill="auto"/>
            <w:noWrap/>
            <w:vAlign w:val="bottom"/>
            <w:hideMark/>
          </w:tcPr>
          <w:p w14:paraId="21C9EEEB" w14:textId="77777777" w:rsidR="003355DB" w:rsidRPr="00166361" w:rsidRDefault="003355DB" w:rsidP="00267587">
            <w:pPr>
              <w:rPr>
                <w:sz w:val="21"/>
                <w:lang w:val="en-US"/>
              </w:rPr>
            </w:pPr>
            <w:r w:rsidRPr="00166361">
              <w:rPr>
                <w:sz w:val="21"/>
                <w:lang w:val="en-US"/>
              </w:rPr>
              <w:t>10.32</w:t>
            </w:r>
          </w:p>
        </w:tc>
        <w:tc>
          <w:tcPr>
            <w:tcW w:w="924" w:type="dxa"/>
            <w:tcBorders>
              <w:top w:val="single" w:sz="6" w:space="0" w:color="D0CECE" w:themeColor="background2" w:themeShade="E6"/>
            </w:tcBorders>
            <w:shd w:val="clear" w:color="auto" w:fill="auto"/>
            <w:noWrap/>
            <w:vAlign w:val="bottom"/>
            <w:hideMark/>
          </w:tcPr>
          <w:p w14:paraId="5ADF603F" w14:textId="35D318F8" w:rsidR="003355DB" w:rsidRPr="00166361" w:rsidRDefault="003355DB" w:rsidP="00267587">
            <w:pPr>
              <w:rPr>
                <w:sz w:val="21"/>
                <w:lang w:val="en-US"/>
              </w:rPr>
            </w:pPr>
            <w:r w:rsidRPr="00166361">
              <w:rPr>
                <w:sz w:val="21"/>
                <w:lang w:val="en-US"/>
              </w:rPr>
              <w:t>19.</w:t>
            </w:r>
            <w:r w:rsidR="001954D8">
              <w:rPr>
                <w:sz w:val="21"/>
                <w:lang w:val="en-US"/>
              </w:rPr>
              <w:t>66</w:t>
            </w:r>
          </w:p>
        </w:tc>
        <w:tc>
          <w:tcPr>
            <w:tcW w:w="1004" w:type="dxa"/>
            <w:tcBorders>
              <w:top w:val="single" w:sz="6" w:space="0" w:color="D0CECE" w:themeColor="background2" w:themeShade="E6"/>
            </w:tcBorders>
            <w:shd w:val="clear" w:color="auto" w:fill="auto"/>
            <w:noWrap/>
            <w:vAlign w:val="bottom"/>
            <w:hideMark/>
          </w:tcPr>
          <w:p w14:paraId="467C378A" w14:textId="77777777" w:rsidR="003355DB" w:rsidRPr="00166361" w:rsidRDefault="003355DB" w:rsidP="00267587">
            <w:pPr>
              <w:rPr>
                <w:sz w:val="21"/>
                <w:lang w:val="en-US"/>
              </w:rPr>
            </w:pPr>
            <w:r w:rsidRPr="00166361">
              <w:rPr>
                <w:sz w:val="21"/>
                <w:lang w:val="en-US"/>
              </w:rPr>
              <w:t>85.77</w:t>
            </w:r>
          </w:p>
        </w:tc>
      </w:tr>
      <w:tr w:rsidR="003355DB" w:rsidRPr="00166361" w14:paraId="29F4C8ED" w14:textId="77777777" w:rsidTr="00A55BA5">
        <w:trPr>
          <w:trHeight w:val="292"/>
        </w:trPr>
        <w:tc>
          <w:tcPr>
            <w:tcW w:w="3261" w:type="dxa"/>
            <w:shd w:val="clear" w:color="auto" w:fill="auto"/>
            <w:noWrap/>
            <w:vAlign w:val="bottom"/>
            <w:hideMark/>
          </w:tcPr>
          <w:p w14:paraId="4B2D6597" w14:textId="1C8AAE63" w:rsidR="003355DB" w:rsidRPr="00166361" w:rsidRDefault="00DA5FD1" w:rsidP="00267587">
            <w:pPr>
              <w:rPr>
                <w:sz w:val="21"/>
                <w:lang w:val="en-US"/>
              </w:rPr>
            </w:pPr>
            <w:r>
              <w:rPr>
                <w:sz w:val="21"/>
                <w:lang w:val="en-US"/>
              </w:rPr>
              <w:t>Rate o</w:t>
            </w:r>
            <w:r w:rsidR="001D0CFB">
              <w:rPr>
                <w:sz w:val="21"/>
                <w:lang w:val="en-US"/>
              </w:rPr>
              <w:t>f</w:t>
            </w:r>
            <w:r>
              <w:rPr>
                <w:sz w:val="21"/>
                <w:lang w:val="en-US"/>
              </w:rPr>
              <w:t xml:space="preserve"> w</w:t>
            </w:r>
            <w:r w:rsidR="003355DB" w:rsidRPr="00166361">
              <w:rPr>
                <w:sz w:val="21"/>
                <w:lang w:val="en-US"/>
              </w:rPr>
              <w:t>ithdrawn cases</w:t>
            </w:r>
          </w:p>
        </w:tc>
        <w:tc>
          <w:tcPr>
            <w:tcW w:w="494" w:type="dxa"/>
            <w:shd w:val="clear" w:color="auto" w:fill="auto"/>
            <w:noWrap/>
            <w:vAlign w:val="bottom"/>
            <w:hideMark/>
          </w:tcPr>
          <w:p w14:paraId="279F4147" w14:textId="24DF576E" w:rsidR="003355DB" w:rsidRPr="00166361" w:rsidRDefault="00DA5FD1" w:rsidP="00267587">
            <w:pPr>
              <w:jc w:val="right"/>
              <w:rPr>
                <w:sz w:val="21"/>
                <w:lang w:val="en-US"/>
              </w:rPr>
            </w:pPr>
            <w:r>
              <w:rPr>
                <w:sz w:val="21"/>
                <w:lang w:val="en-US"/>
              </w:rPr>
              <w:t>1250</w:t>
            </w:r>
          </w:p>
        </w:tc>
        <w:tc>
          <w:tcPr>
            <w:tcW w:w="924" w:type="dxa"/>
            <w:shd w:val="clear" w:color="auto" w:fill="auto"/>
            <w:noWrap/>
            <w:vAlign w:val="bottom"/>
            <w:hideMark/>
          </w:tcPr>
          <w:p w14:paraId="2397F818" w14:textId="77777777" w:rsidR="003355DB" w:rsidRPr="00166361" w:rsidRDefault="003355DB" w:rsidP="00267587">
            <w:pPr>
              <w:rPr>
                <w:sz w:val="21"/>
                <w:lang w:val="en-US"/>
              </w:rPr>
            </w:pPr>
            <w:r w:rsidRPr="00166361">
              <w:rPr>
                <w:sz w:val="21"/>
                <w:lang w:val="en-US"/>
              </w:rPr>
              <w:t>6.89</w:t>
            </w:r>
          </w:p>
        </w:tc>
        <w:tc>
          <w:tcPr>
            <w:tcW w:w="899" w:type="dxa"/>
            <w:shd w:val="clear" w:color="auto" w:fill="auto"/>
            <w:noWrap/>
            <w:vAlign w:val="bottom"/>
            <w:hideMark/>
          </w:tcPr>
          <w:p w14:paraId="18156625" w14:textId="09703A8D" w:rsidR="003355DB" w:rsidRPr="00166361" w:rsidRDefault="003355DB" w:rsidP="00267587">
            <w:pPr>
              <w:rPr>
                <w:sz w:val="21"/>
                <w:lang w:val="en-US"/>
              </w:rPr>
            </w:pPr>
            <w:r w:rsidRPr="00166361">
              <w:rPr>
                <w:sz w:val="21"/>
                <w:lang w:val="en-US"/>
              </w:rPr>
              <w:t>6.3</w:t>
            </w:r>
            <w:r w:rsidR="00DA5FD1">
              <w:rPr>
                <w:sz w:val="21"/>
                <w:lang w:val="en-US"/>
              </w:rPr>
              <w:t>5</w:t>
            </w:r>
          </w:p>
        </w:tc>
        <w:tc>
          <w:tcPr>
            <w:tcW w:w="924" w:type="dxa"/>
            <w:shd w:val="clear" w:color="auto" w:fill="auto"/>
            <w:noWrap/>
            <w:vAlign w:val="bottom"/>
            <w:hideMark/>
          </w:tcPr>
          <w:p w14:paraId="07FC607A" w14:textId="1AB54F59" w:rsidR="003355DB" w:rsidRPr="00166361" w:rsidRDefault="00DA5FD1" w:rsidP="00267587">
            <w:pPr>
              <w:rPr>
                <w:sz w:val="21"/>
                <w:lang w:val="en-US"/>
              </w:rPr>
            </w:pPr>
            <w:r>
              <w:rPr>
                <w:sz w:val="21"/>
                <w:lang w:val="en-US"/>
              </w:rPr>
              <w:t>0.58</w:t>
            </w:r>
          </w:p>
        </w:tc>
        <w:tc>
          <w:tcPr>
            <w:tcW w:w="924" w:type="dxa"/>
            <w:shd w:val="clear" w:color="auto" w:fill="auto"/>
            <w:noWrap/>
            <w:vAlign w:val="bottom"/>
            <w:hideMark/>
          </w:tcPr>
          <w:p w14:paraId="780DE349" w14:textId="77777777" w:rsidR="003355DB" w:rsidRPr="00166361" w:rsidRDefault="003355DB" w:rsidP="00267587">
            <w:pPr>
              <w:rPr>
                <w:sz w:val="21"/>
                <w:lang w:val="en-US"/>
              </w:rPr>
            </w:pPr>
            <w:r w:rsidRPr="00166361">
              <w:rPr>
                <w:sz w:val="21"/>
                <w:lang w:val="en-US"/>
              </w:rPr>
              <w:t>4.17</w:t>
            </w:r>
          </w:p>
        </w:tc>
        <w:tc>
          <w:tcPr>
            <w:tcW w:w="924" w:type="dxa"/>
            <w:shd w:val="clear" w:color="auto" w:fill="auto"/>
            <w:noWrap/>
            <w:vAlign w:val="bottom"/>
            <w:hideMark/>
          </w:tcPr>
          <w:p w14:paraId="47D565D9" w14:textId="77777777" w:rsidR="003355DB" w:rsidRPr="00166361" w:rsidRDefault="003355DB" w:rsidP="00267587">
            <w:pPr>
              <w:rPr>
                <w:sz w:val="21"/>
                <w:lang w:val="en-US"/>
              </w:rPr>
            </w:pPr>
            <w:r w:rsidRPr="00166361">
              <w:rPr>
                <w:sz w:val="21"/>
                <w:lang w:val="en-US"/>
              </w:rPr>
              <w:t>5.13</w:t>
            </w:r>
          </w:p>
        </w:tc>
        <w:tc>
          <w:tcPr>
            <w:tcW w:w="924" w:type="dxa"/>
            <w:shd w:val="clear" w:color="auto" w:fill="auto"/>
            <w:noWrap/>
            <w:vAlign w:val="bottom"/>
            <w:hideMark/>
          </w:tcPr>
          <w:p w14:paraId="60B11943" w14:textId="18262609" w:rsidR="003355DB" w:rsidRPr="00166361" w:rsidRDefault="003355DB" w:rsidP="00267587">
            <w:pPr>
              <w:rPr>
                <w:sz w:val="21"/>
                <w:lang w:val="en-US"/>
              </w:rPr>
            </w:pPr>
            <w:r w:rsidRPr="00166361">
              <w:rPr>
                <w:sz w:val="21"/>
                <w:lang w:val="en-US"/>
              </w:rPr>
              <w:t>7.0</w:t>
            </w:r>
            <w:r w:rsidR="00DA5FD1">
              <w:rPr>
                <w:sz w:val="21"/>
                <w:lang w:val="en-US"/>
              </w:rPr>
              <w:t>5</w:t>
            </w:r>
          </w:p>
        </w:tc>
        <w:tc>
          <w:tcPr>
            <w:tcW w:w="1004" w:type="dxa"/>
            <w:shd w:val="clear" w:color="auto" w:fill="auto"/>
            <w:noWrap/>
            <w:vAlign w:val="bottom"/>
            <w:hideMark/>
          </w:tcPr>
          <w:p w14:paraId="0522FA9B" w14:textId="77777777" w:rsidR="003355DB" w:rsidRPr="00166361" w:rsidRDefault="003355DB" w:rsidP="00267587">
            <w:pPr>
              <w:rPr>
                <w:sz w:val="21"/>
                <w:lang w:val="en-US"/>
              </w:rPr>
            </w:pPr>
            <w:r w:rsidRPr="00166361">
              <w:rPr>
                <w:sz w:val="21"/>
                <w:lang w:val="en-US"/>
              </w:rPr>
              <w:t>78.71</w:t>
            </w:r>
          </w:p>
        </w:tc>
      </w:tr>
      <w:tr w:rsidR="003355DB" w:rsidRPr="00166361" w14:paraId="69486D02" w14:textId="77777777" w:rsidTr="00A55BA5">
        <w:trPr>
          <w:trHeight w:val="292"/>
        </w:trPr>
        <w:tc>
          <w:tcPr>
            <w:tcW w:w="3261" w:type="dxa"/>
            <w:shd w:val="clear" w:color="auto" w:fill="auto"/>
            <w:noWrap/>
            <w:vAlign w:val="bottom"/>
            <w:hideMark/>
          </w:tcPr>
          <w:p w14:paraId="2ECD03EA" w14:textId="59154D8A" w:rsidR="003355DB" w:rsidRPr="00166361" w:rsidRDefault="00DA5FD1" w:rsidP="00267587">
            <w:pPr>
              <w:rPr>
                <w:sz w:val="21"/>
                <w:lang w:val="en-US"/>
              </w:rPr>
            </w:pPr>
            <w:r>
              <w:rPr>
                <w:sz w:val="21"/>
                <w:lang w:val="en-US"/>
              </w:rPr>
              <w:t>Rate of b</w:t>
            </w:r>
            <w:r w:rsidR="003355DB" w:rsidRPr="00166361">
              <w:rPr>
                <w:sz w:val="21"/>
                <w:lang w:val="en-US"/>
              </w:rPr>
              <w:t>acklogged cases</w:t>
            </w:r>
          </w:p>
        </w:tc>
        <w:tc>
          <w:tcPr>
            <w:tcW w:w="494" w:type="dxa"/>
            <w:shd w:val="clear" w:color="auto" w:fill="auto"/>
            <w:noWrap/>
            <w:vAlign w:val="bottom"/>
            <w:hideMark/>
          </w:tcPr>
          <w:p w14:paraId="0A1BFD5B" w14:textId="457A17BC" w:rsidR="003355DB" w:rsidRPr="00166361" w:rsidRDefault="00DA5FD1" w:rsidP="00267587">
            <w:pPr>
              <w:jc w:val="right"/>
              <w:rPr>
                <w:sz w:val="21"/>
                <w:lang w:val="en-US"/>
              </w:rPr>
            </w:pPr>
            <w:r>
              <w:rPr>
                <w:sz w:val="21"/>
                <w:lang w:val="en-US"/>
              </w:rPr>
              <w:t>1250</w:t>
            </w:r>
          </w:p>
        </w:tc>
        <w:tc>
          <w:tcPr>
            <w:tcW w:w="924" w:type="dxa"/>
            <w:shd w:val="clear" w:color="auto" w:fill="auto"/>
            <w:noWrap/>
            <w:vAlign w:val="bottom"/>
            <w:hideMark/>
          </w:tcPr>
          <w:p w14:paraId="6ED33B43" w14:textId="20C94B49" w:rsidR="003355DB" w:rsidRPr="00166361" w:rsidRDefault="00DA5FD1" w:rsidP="00267587">
            <w:pPr>
              <w:rPr>
                <w:sz w:val="21"/>
                <w:lang w:val="en-US"/>
              </w:rPr>
            </w:pPr>
            <w:r>
              <w:rPr>
                <w:sz w:val="21"/>
                <w:lang w:val="en-US"/>
              </w:rPr>
              <w:t>98.42</w:t>
            </w:r>
          </w:p>
        </w:tc>
        <w:tc>
          <w:tcPr>
            <w:tcW w:w="899" w:type="dxa"/>
            <w:shd w:val="clear" w:color="auto" w:fill="auto"/>
            <w:noWrap/>
            <w:vAlign w:val="bottom"/>
            <w:hideMark/>
          </w:tcPr>
          <w:p w14:paraId="389563D0" w14:textId="33A7CCF1" w:rsidR="003355DB" w:rsidRPr="00166361" w:rsidRDefault="00DA5FD1" w:rsidP="00267587">
            <w:pPr>
              <w:rPr>
                <w:sz w:val="21"/>
                <w:lang w:val="en-US"/>
              </w:rPr>
            </w:pPr>
            <w:r>
              <w:rPr>
                <w:sz w:val="21"/>
                <w:lang w:val="en-US"/>
              </w:rPr>
              <w:t>45.98</w:t>
            </w:r>
          </w:p>
        </w:tc>
        <w:tc>
          <w:tcPr>
            <w:tcW w:w="924" w:type="dxa"/>
            <w:shd w:val="clear" w:color="auto" w:fill="auto"/>
            <w:noWrap/>
            <w:vAlign w:val="bottom"/>
            <w:hideMark/>
          </w:tcPr>
          <w:p w14:paraId="562300BF" w14:textId="77777777" w:rsidR="003355DB" w:rsidRPr="00166361" w:rsidRDefault="003355DB" w:rsidP="00267587">
            <w:pPr>
              <w:rPr>
                <w:sz w:val="21"/>
                <w:lang w:val="en-US"/>
              </w:rPr>
            </w:pPr>
            <w:r w:rsidRPr="00166361">
              <w:rPr>
                <w:sz w:val="21"/>
                <w:lang w:val="en-US"/>
              </w:rPr>
              <w:t>30.59</w:t>
            </w:r>
          </w:p>
        </w:tc>
        <w:tc>
          <w:tcPr>
            <w:tcW w:w="924" w:type="dxa"/>
            <w:shd w:val="clear" w:color="auto" w:fill="auto"/>
            <w:noWrap/>
            <w:vAlign w:val="bottom"/>
            <w:hideMark/>
          </w:tcPr>
          <w:p w14:paraId="17E08597" w14:textId="39BC1323" w:rsidR="003355DB" w:rsidRPr="00166361" w:rsidRDefault="00DA5FD1" w:rsidP="00267587">
            <w:pPr>
              <w:rPr>
                <w:sz w:val="21"/>
                <w:lang w:val="en-US"/>
              </w:rPr>
            </w:pPr>
            <w:r>
              <w:rPr>
                <w:sz w:val="21"/>
                <w:lang w:val="en-US"/>
              </w:rPr>
              <w:t>69.09</w:t>
            </w:r>
          </w:p>
        </w:tc>
        <w:tc>
          <w:tcPr>
            <w:tcW w:w="924" w:type="dxa"/>
            <w:shd w:val="clear" w:color="auto" w:fill="auto"/>
            <w:noWrap/>
            <w:vAlign w:val="bottom"/>
            <w:hideMark/>
          </w:tcPr>
          <w:p w14:paraId="1B71C268" w14:textId="65276E92" w:rsidR="003355DB" w:rsidRPr="00166361" w:rsidRDefault="003355DB" w:rsidP="00267587">
            <w:pPr>
              <w:rPr>
                <w:sz w:val="21"/>
                <w:lang w:val="en-US"/>
              </w:rPr>
            </w:pPr>
            <w:r w:rsidRPr="00166361">
              <w:rPr>
                <w:sz w:val="21"/>
                <w:lang w:val="en-US"/>
              </w:rPr>
              <w:t>83.</w:t>
            </w:r>
            <w:r w:rsidR="00DA5FD1">
              <w:rPr>
                <w:sz w:val="21"/>
                <w:lang w:val="en-US"/>
              </w:rPr>
              <w:t>55</w:t>
            </w:r>
          </w:p>
        </w:tc>
        <w:tc>
          <w:tcPr>
            <w:tcW w:w="924" w:type="dxa"/>
            <w:shd w:val="clear" w:color="auto" w:fill="auto"/>
            <w:noWrap/>
            <w:vAlign w:val="bottom"/>
            <w:hideMark/>
          </w:tcPr>
          <w:p w14:paraId="763BCD5F" w14:textId="0F64939C" w:rsidR="003355DB" w:rsidRPr="00166361" w:rsidRDefault="003355DB" w:rsidP="00267587">
            <w:pPr>
              <w:rPr>
                <w:sz w:val="21"/>
                <w:lang w:val="en-US"/>
              </w:rPr>
            </w:pPr>
            <w:r w:rsidRPr="00166361">
              <w:rPr>
                <w:sz w:val="21"/>
                <w:lang w:val="en-US"/>
              </w:rPr>
              <w:t>109.</w:t>
            </w:r>
            <w:r w:rsidR="00DA5FD1">
              <w:rPr>
                <w:sz w:val="21"/>
                <w:lang w:val="en-US"/>
              </w:rPr>
              <w:t>87</w:t>
            </w:r>
          </w:p>
        </w:tc>
        <w:tc>
          <w:tcPr>
            <w:tcW w:w="1004" w:type="dxa"/>
            <w:shd w:val="clear" w:color="auto" w:fill="auto"/>
            <w:noWrap/>
            <w:vAlign w:val="bottom"/>
            <w:hideMark/>
          </w:tcPr>
          <w:p w14:paraId="6F429B30" w14:textId="77777777" w:rsidR="003355DB" w:rsidRPr="00166361" w:rsidRDefault="003355DB" w:rsidP="00267587">
            <w:pPr>
              <w:rPr>
                <w:sz w:val="21"/>
                <w:lang w:val="en-US"/>
              </w:rPr>
            </w:pPr>
            <w:r w:rsidRPr="00166361">
              <w:rPr>
                <w:sz w:val="21"/>
                <w:lang w:val="en-US"/>
              </w:rPr>
              <w:t>349.82</w:t>
            </w:r>
          </w:p>
        </w:tc>
      </w:tr>
      <w:tr w:rsidR="003355DB" w:rsidRPr="00166361" w14:paraId="002A6EF9" w14:textId="77777777" w:rsidTr="00A55BA5">
        <w:trPr>
          <w:trHeight w:val="292"/>
        </w:trPr>
        <w:tc>
          <w:tcPr>
            <w:tcW w:w="3261" w:type="dxa"/>
            <w:shd w:val="clear" w:color="auto" w:fill="auto"/>
            <w:noWrap/>
            <w:vAlign w:val="bottom"/>
            <w:hideMark/>
          </w:tcPr>
          <w:p w14:paraId="1A8AC736" w14:textId="1991B642" w:rsidR="003355DB" w:rsidRPr="00166361" w:rsidRDefault="00DA5FD1" w:rsidP="00267587">
            <w:pPr>
              <w:rPr>
                <w:sz w:val="21"/>
                <w:lang w:val="en-US"/>
              </w:rPr>
            </w:pPr>
            <w:r w:rsidRPr="00166361">
              <w:rPr>
                <w:sz w:val="21"/>
                <w:lang w:val="en-US"/>
              </w:rPr>
              <w:t>Population density</w:t>
            </w:r>
          </w:p>
        </w:tc>
        <w:tc>
          <w:tcPr>
            <w:tcW w:w="494" w:type="dxa"/>
            <w:shd w:val="clear" w:color="auto" w:fill="auto"/>
            <w:noWrap/>
            <w:vAlign w:val="bottom"/>
            <w:hideMark/>
          </w:tcPr>
          <w:p w14:paraId="59092228" w14:textId="4015809B" w:rsidR="003355DB" w:rsidRPr="00166361" w:rsidRDefault="00DA5FD1" w:rsidP="00267587">
            <w:pPr>
              <w:jc w:val="right"/>
              <w:rPr>
                <w:sz w:val="21"/>
                <w:lang w:val="en-US"/>
              </w:rPr>
            </w:pPr>
            <w:r>
              <w:rPr>
                <w:sz w:val="21"/>
                <w:lang w:val="en-US"/>
              </w:rPr>
              <w:t>1256</w:t>
            </w:r>
          </w:p>
        </w:tc>
        <w:tc>
          <w:tcPr>
            <w:tcW w:w="924" w:type="dxa"/>
            <w:shd w:val="clear" w:color="auto" w:fill="auto"/>
            <w:noWrap/>
            <w:vAlign w:val="bottom"/>
            <w:hideMark/>
          </w:tcPr>
          <w:p w14:paraId="4E703392" w14:textId="7D432E64" w:rsidR="003355DB" w:rsidRPr="00166361" w:rsidRDefault="00DA5FD1" w:rsidP="00267587">
            <w:pPr>
              <w:rPr>
                <w:sz w:val="21"/>
                <w:lang w:val="en-US"/>
              </w:rPr>
            </w:pPr>
            <w:r>
              <w:rPr>
                <w:sz w:val="21"/>
                <w:lang w:val="en-US"/>
              </w:rPr>
              <w:t>417.44</w:t>
            </w:r>
          </w:p>
        </w:tc>
        <w:tc>
          <w:tcPr>
            <w:tcW w:w="899" w:type="dxa"/>
            <w:shd w:val="clear" w:color="auto" w:fill="auto"/>
            <w:noWrap/>
            <w:vAlign w:val="bottom"/>
            <w:hideMark/>
          </w:tcPr>
          <w:p w14:paraId="4177361D" w14:textId="580A6018" w:rsidR="003355DB" w:rsidRPr="00166361" w:rsidRDefault="00DA5FD1" w:rsidP="00267587">
            <w:pPr>
              <w:rPr>
                <w:sz w:val="21"/>
                <w:lang w:val="en-US"/>
              </w:rPr>
            </w:pPr>
            <w:r>
              <w:rPr>
                <w:sz w:val="21"/>
                <w:lang w:val="en-US"/>
              </w:rPr>
              <w:t>1917.17</w:t>
            </w:r>
          </w:p>
        </w:tc>
        <w:tc>
          <w:tcPr>
            <w:tcW w:w="924" w:type="dxa"/>
            <w:shd w:val="clear" w:color="auto" w:fill="auto"/>
            <w:noWrap/>
            <w:vAlign w:val="bottom"/>
            <w:hideMark/>
          </w:tcPr>
          <w:p w14:paraId="1563DAB8" w14:textId="212C89A5" w:rsidR="003355DB" w:rsidRPr="00166361" w:rsidRDefault="00DA5FD1" w:rsidP="00267587">
            <w:pPr>
              <w:rPr>
                <w:sz w:val="21"/>
                <w:lang w:val="en-US"/>
              </w:rPr>
            </w:pPr>
            <w:r>
              <w:rPr>
                <w:sz w:val="21"/>
                <w:lang w:val="en-US"/>
              </w:rPr>
              <w:t>14.77</w:t>
            </w:r>
          </w:p>
        </w:tc>
        <w:tc>
          <w:tcPr>
            <w:tcW w:w="924" w:type="dxa"/>
            <w:shd w:val="clear" w:color="auto" w:fill="auto"/>
            <w:noWrap/>
            <w:vAlign w:val="bottom"/>
            <w:hideMark/>
          </w:tcPr>
          <w:p w14:paraId="32CA72B3" w14:textId="02EADAE5" w:rsidR="003355DB" w:rsidRPr="00166361" w:rsidRDefault="00DA5FD1" w:rsidP="00267587">
            <w:pPr>
              <w:rPr>
                <w:sz w:val="21"/>
                <w:lang w:val="en-US"/>
              </w:rPr>
            </w:pPr>
            <w:r>
              <w:rPr>
                <w:sz w:val="21"/>
                <w:lang w:val="en-US"/>
              </w:rPr>
              <w:t>59.45</w:t>
            </w:r>
          </w:p>
        </w:tc>
        <w:tc>
          <w:tcPr>
            <w:tcW w:w="924" w:type="dxa"/>
            <w:shd w:val="clear" w:color="auto" w:fill="auto"/>
            <w:noWrap/>
            <w:vAlign w:val="bottom"/>
            <w:hideMark/>
          </w:tcPr>
          <w:p w14:paraId="1B9F1D2A" w14:textId="0E917BD9" w:rsidR="003355DB" w:rsidRPr="00166361" w:rsidRDefault="00DA5FD1" w:rsidP="00267587">
            <w:pPr>
              <w:rPr>
                <w:sz w:val="21"/>
                <w:lang w:val="en-US"/>
              </w:rPr>
            </w:pPr>
            <w:r>
              <w:rPr>
                <w:sz w:val="21"/>
                <w:lang w:val="en-US"/>
              </w:rPr>
              <w:t>108.91</w:t>
            </w:r>
          </w:p>
        </w:tc>
        <w:tc>
          <w:tcPr>
            <w:tcW w:w="924" w:type="dxa"/>
            <w:shd w:val="clear" w:color="auto" w:fill="auto"/>
            <w:noWrap/>
            <w:vAlign w:val="bottom"/>
            <w:hideMark/>
          </w:tcPr>
          <w:p w14:paraId="422E8975" w14:textId="5CD14AF1" w:rsidR="003355DB" w:rsidRPr="00166361" w:rsidRDefault="00DA5FD1" w:rsidP="00267587">
            <w:pPr>
              <w:rPr>
                <w:sz w:val="21"/>
                <w:lang w:val="en-US"/>
              </w:rPr>
            </w:pPr>
            <w:r>
              <w:rPr>
                <w:sz w:val="21"/>
                <w:lang w:val="en-US"/>
              </w:rPr>
              <w:t>197.25</w:t>
            </w:r>
          </w:p>
        </w:tc>
        <w:tc>
          <w:tcPr>
            <w:tcW w:w="1004" w:type="dxa"/>
            <w:shd w:val="clear" w:color="auto" w:fill="auto"/>
            <w:noWrap/>
            <w:vAlign w:val="bottom"/>
            <w:hideMark/>
          </w:tcPr>
          <w:p w14:paraId="0E5C25FF" w14:textId="5956DF2E" w:rsidR="003355DB" w:rsidRPr="00166361" w:rsidRDefault="00DA5FD1" w:rsidP="00267587">
            <w:pPr>
              <w:rPr>
                <w:sz w:val="21"/>
                <w:lang w:val="en-US"/>
              </w:rPr>
            </w:pPr>
            <w:r>
              <w:rPr>
                <w:sz w:val="21"/>
                <w:lang w:val="en-US"/>
              </w:rPr>
              <w:t>21258.82</w:t>
            </w:r>
          </w:p>
        </w:tc>
      </w:tr>
      <w:tr w:rsidR="003355DB" w:rsidRPr="00166361" w14:paraId="51B4C4C0" w14:textId="77777777" w:rsidTr="00A55BA5">
        <w:trPr>
          <w:trHeight w:val="292"/>
        </w:trPr>
        <w:tc>
          <w:tcPr>
            <w:tcW w:w="3261" w:type="dxa"/>
            <w:shd w:val="clear" w:color="auto" w:fill="auto"/>
            <w:noWrap/>
            <w:vAlign w:val="bottom"/>
            <w:hideMark/>
          </w:tcPr>
          <w:p w14:paraId="76EFF6EF" w14:textId="17A20A1B" w:rsidR="003355DB" w:rsidRPr="00166361" w:rsidRDefault="00DA5FD1" w:rsidP="00267587">
            <w:pPr>
              <w:rPr>
                <w:sz w:val="21"/>
                <w:lang w:val="en-US"/>
              </w:rPr>
            </w:pPr>
            <w:r>
              <w:rPr>
                <w:sz w:val="21"/>
                <w:lang w:val="en-US"/>
              </w:rPr>
              <w:t>Gap rich/poor (in euro)</w:t>
            </w:r>
          </w:p>
        </w:tc>
        <w:tc>
          <w:tcPr>
            <w:tcW w:w="494" w:type="dxa"/>
            <w:shd w:val="clear" w:color="auto" w:fill="auto"/>
            <w:noWrap/>
            <w:vAlign w:val="bottom"/>
            <w:hideMark/>
          </w:tcPr>
          <w:p w14:paraId="6EE11CAB" w14:textId="564DC589" w:rsidR="003355DB" w:rsidRPr="00166361" w:rsidRDefault="00DA5FD1" w:rsidP="00267587">
            <w:pPr>
              <w:jc w:val="right"/>
              <w:rPr>
                <w:sz w:val="21"/>
                <w:lang w:val="en-US"/>
              </w:rPr>
            </w:pPr>
            <w:r>
              <w:rPr>
                <w:sz w:val="21"/>
                <w:lang w:val="en-US"/>
              </w:rPr>
              <w:t>1256</w:t>
            </w:r>
          </w:p>
        </w:tc>
        <w:tc>
          <w:tcPr>
            <w:tcW w:w="924" w:type="dxa"/>
            <w:shd w:val="clear" w:color="auto" w:fill="auto"/>
            <w:noWrap/>
            <w:vAlign w:val="bottom"/>
            <w:hideMark/>
          </w:tcPr>
          <w:p w14:paraId="4D15BF49" w14:textId="4567FFA3" w:rsidR="003355DB" w:rsidRPr="0094032E" w:rsidRDefault="00D30153" w:rsidP="00267587">
            <w:pPr>
              <w:rPr>
                <w:spacing w:val="-10"/>
                <w:sz w:val="21"/>
                <w:lang w:val="en-US"/>
              </w:rPr>
            </w:pPr>
            <w:r w:rsidRPr="0094032E">
              <w:rPr>
                <w:spacing w:val="-10"/>
                <w:sz w:val="21"/>
                <w:lang w:val="en-US"/>
              </w:rPr>
              <w:t>24799.39</w:t>
            </w:r>
          </w:p>
        </w:tc>
        <w:tc>
          <w:tcPr>
            <w:tcW w:w="899" w:type="dxa"/>
            <w:shd w:val="clear" w:color="auto" w:fill="auto"/>
            <w:noWrap/>
            <w:vAlign w:val="bottom"/>
            <w:hideMark/>
          </w:tcPr>
          <w:p w14:paraId="56583467" w14:textId="7C8679F1" w:rsidR="003355DB" w:rsidRPr="0094032E" w:rsidRDefault="00D30153" w:rsidP="00267587">
            <w:pPr>
              <w:rPr>
                <w:spacing w:val="-10"/>
                <w:sz w:val="21"/>
                <w:lang w:val="en-US"/>
              </w:rPr>
            </w:pPr>
            <w:r w:rsidRPr="0094032E">
              <w:rPr>
                <w:spacing w:val="-10"/>
                <w:sz w:val="21"/>
                <w:lang w:val="en-US"/>
              </w:rPr>
              <w:t>4774.91</w:t>
            </w:r>
          </w:p>
        </w:tc>
        <w:tc>
          <w:tcPr>
            <w:tcW w:w="924" w:type="dxa"/>
            <w:shd w:val="clear" w:color="auto" w:fill="auto"/>
            <w:noWrap/>
            <w:vAlign w:val="bottom"/>
            <w:hideMark/>
          </w:tcPr>
          <w:p w14:paraId="10DF27F1" w14:textId="3DD1BE6B" w:rsidR="003355DB" w:rsidRPr="0094032E" w:rsidRDefault="00D30153" w:rsidP="00267587">
            <w:pPr>
              <w:rPr>
                <w:spacing w:val="-10"/>
                <w:sz w:val="21"/>
                <w:lang w:val="en-US"/>
              </w:rPr>
            </w:pPr>
            <w:r w:rsidRPr="0094032E">
              <w:rPr>
                <w:spacing w:val="-10"/>
                <w:sz w:val="21"/>
                <w:lang w:val="en-US"/>
              </w:rPr>
              <w:t>19149.75</w:t>
            </w:r>
          </w:p>
        </w:tc>
        <w:tc>
          <w:tcPr>
            <w:tcW w:w="924" w:type="dxa"/>
            <w:shd w:val="clear" w:color="auto" w:fill="auto"/>
            <w:noWrap/>
            <w:vAlign w:val="bottom"/>
            <w:hideMark/>
          </w:tcPr>
          <w:p w14:paraId="5C0BF7D4" w14:textId="233D7F51" w:rsidR="003355DB" w:rsidRPr="0094032E" w:rsidRDefault="00D30153" w:rsidP="00267587">
            <w:pPr>
              <w:rPr>
                <w:spacing w:val="-10"/>
                <w:sz w:val="21"/>
                <w:lang w:val="en-US"/>
              </w:rPr>
            </w:pPr>
            <w:r w:rsidRPr="0094032E">
              <w:rPr>
                <w:spacing w:val="-10"/>
                <w:sz w:val="21"/>
                <w:lang w:val="en-US"/>
              </w:rPr>
              <w:t>22006.45</w:t>
            </w:r>
          </w:p>
        </w:tc>
        <w:tc>
          <w:tcPr>
            <w:tcW w:w="924" w:type="dxa"/>
            <w:shd w:val="clear" w:color="auto" w:fill="auto"/>
            <w:noWrap/>
            <w:vAlign w:val="bottom"/>
            <w:hideMark/>
          </w:tcPr>
          <w:p w14:paraId="522F7175" w14:textId="5525AE77" w:rsidR="003355DB" w:rsidRPr="0094032E" w:rsidRDefault="00D30153" w:rsidP="00267587">
            <w:pPr>
              <w:rPr>
                <w:spacing w:val="-10"/>
                <w:sz w:val="21"/>
                <w:lang w:val="en-US"/>
              </w:rPr>
            </w:pPr>
            <w:r w:rsidRPr="0094032E">
              <w:rPr>
                <w:spacing w:val="-10"/>
                <w:sz w:val="21"/>
                <w:lang w:val="en-US"/>
              </w:rPr>
              <w:t>23690.00</w:t>
            </w:r>
          </w:p>
        </w:tc>
        <w:tc>
          <w:tcPr>
            <w:tcW w:w="924" w:type="dxa"/>
            <w:shd w:val="clear" w:color="auto" w:fill="auto"/>
            <w:noWrap/>
            <w:vAlign w:val="bottom"/>
            <w:hideMark/>
          </w:tcPr>
          <w:p w14:paraId="01206F7F" w14:textId="52DB3A52" w:rsidR="003355DB" w:rsidRPr="0094032E" w:rsidRDefault="00D30153" w:rsidP="00267587">
            <w:pPr>
              <w:rPr>
                <w:spacing w:val="-10"/>
                <w:sz w:val="21"/>
                <w:lang w:val="en-US"/>
              </w:rPr>
            </w:pPr>
            <w:r w:rsidRPr="0094032E">
              <w:rPr>
                <w:spacing w:val="-10"/>
                <w:sz w:val="21"/>
                <w:lang w:val="en-US"/>
              </w:rPr>
              <w:t>25918.50</w:t>
            </w:r>
          </w:p>
        </w:tc>
        <w:tc>
          <w:tcPr>
            <w:tcW w:w="1004" w:type="dxa"/>
            <w:shd w:val="clear" w:color="auto" w:fill="auto"/>
            <w:noWrap/>
            <w:vAlign w:val="bottom"/>
            <w:hideMark/>
          </w:tcPr>
          <w:p w14:paraId="54621462" w14:textId="04C58AF7" w:rsidR="00D30153" w:rsidRPr="0094032E" w:rsidRDefault="00D30153" w:rsidP="00267587">
            <w:pPr>
              <w:rPr>
                <w:spacing w:val="-10"/>
                <w:sz w:val="21"/>
                <w:lang w:val="en-US"/>
              </w:rPr>
            </w:pPr>
            <w:r w:rsidRPr="0094032E">
              <w:rPr>
                <w:spacing w:val="-10"/>
                <w:sz w:val="21"/>
                <w:lang w:val="en-US"/>
              </w:rPr>
              <w:t>58170.00</w:t>
            </w:r>
          </w:p>
        </w:tc>
      </w:tr>
      <w:tr w:rsidR="003355DB" w:rsidRPr="00166361" w14:paraId="6713715D" w14:textId="77777777" w:rsidTr="00A55BA5">
        <w:trPr>
          <w:trHeight w:val="292"/>
        </w:trPr>
        <w:tc>
          <w:tcPr>
            <w:tcW w:w="3261" w:type="dxa"/>
            <w:shd w:val="clear" w:color="auto" w:fill="auto"/>
            <w:noWrap/>
            <w:vAlign w:val="bottom"/>
            <w:hideMark/>
          </w:tcPr>
          <w:p w14:paraId="1EECD431" w14:textId="73CE603B" w:rsidR="003355DB" w:rsidRPr="00166361" w:rsidRDefault="00D30153" w:rsidP="00267587">
            <w:pPr>
              <w:rPr>
                <w:sz w:val="21"/>
                <w:lang w:val="en-US"/>
              </w:rPr>
            </w:pPr>
            <w:r>
              <w:rPr>
                <w:sz w:val="21"/>
                <w:lang w:val="en-US"/>
              </w:rPr>
              <w:t>Unemployment rate</w:t>
            </w:r>
          </w:p>
        </w:tc>
        <w:tc>
          <w:tcPr>
            <w:tcW w:w="494" w:type="dxa"/>
            <w:shd w:val="clear" w:color="auto" w:fill="auto"/>
            <w:noWrap/>
            <w:vAlign w:val="bottom"/>
            <w:hideMark/>
          </w:tcPr>
          <w:p w14:paraId="7E95187D" w14:textId="0D31783B" w:rsidR="003355DB" w:rsidRPr="00166361" w:rsidRDefault="00D30153" w:rsidP="00267587">
            <w:pPr>
              <w:jc w:val="right"/>
              <w:rPr>
                <w:sz w:val="21"/>
                <w:lang w:val="en-US"/>
              </w:rPr>
            </w:pPr>
            <w:r>
              <w:rPr>
                <w:sz w:val="21"/>
                <w:lang w:val="en-US"/>
              </w:rPr>
              <w:t>1256</w:t>
            </w:r>
          </w:p>
        </w:tc>
        <w:tc>
          <w:tcPr>
            <w:tcW w:w="924" w:type="dxa"/>
            <w:shd w:val="clear" w:color="auto" w:fill="auto"/>
            <w:noWrap/>
            <w:vAlign w:val="bottom"/>
            <w:hideMark/>
          </w:tcPr>
          <w:p w14:paraId="38D9788F" w14:textId="3F7F723E" w:rsidR="003355DB" w:rsidRPr="00166361" w:rsidRDefault="00D30153" w:rsidP="00267587">
            <w:pPr>
              <w:rPr>
                <w:sz w:val="21"/>
                <w:lang w:val="en-US"/>
              </w:rPr>
            </w:pPr>
            <w:r>
              <w:rPr>
                <w:sz w:val="21"/>
                <w:lang w:val="en-US"/>
              </w:rPr>
              <w:t>9.50</w:t>
            </w:r>
          </w:p>
        </w:tc>
        <w:tc>
          <w:tcPr>
            <w:tcW w:w="899" w:type="dxa"/>
            <w:shd w:val="clear" w:color="auto" w:fill="auto"/>
            <w:noWrap/>
            <w:vAlign w:val="bottom"/>
            <w:hideMark/>
          </w:tcPr>
          <w:p w14:paraId="09F2D740" w14:textId="4C5B45A0" w:rsidR="003355DB" w:rsidRPr="00166361" w:rsidRDefault="00D30153" w:rsidP="00267587">
            <w:pPr>
              <w:rPr>
                <w:sz w:val="21"/>
                <w:lang w:val="en-US"/>
              </w:rPr>
            </w:pPr>
            <w:r>
              <w:rPr>
                <w:sz w:val="21"/>
                <w:lang w:val="en-US"/>
              </w:rPr>
              <w:t>1.85</w:t>
            </w:r>
          </w:p>
        </w:tc>
        <w:tc>
          <w:tcPr>
            <w:tcW w:w="924" w:type="dxa"/>
            <w:shd w:val="clear" w:color="auto" w:fill="auto"/>
            <w:noWrap/>
            <w:vAlign w:val="bottom"/>
            <w:hideMark/>
          </w:tcPr>
          <w:p w14:paraId="443868CC" w14:textId="7E4E6CFC" w:rsidR="003355DB" w:rsidRPr="00166361" w:rsidRDefault="00D30153" w:rsidP="00267587">
            <w:pPr>
              <w:rPr>
                <w:sz w:val="21"/>
                <w:lang w:val="en-US"/>
              </w:rPr>
            </w:pPr>
            <w:r>
              <w:rPr>
                <w:sz w:val="21"/>
                <w:lang w:val="en-US"/>
              </w:rPr>
              <w:t>4.93</w:t>
            </w:r>
          </w:p>
        </w:tc>
        <w:tc>
          <w:tcPr>
            <w:tcW w:w="924" w:type="dxa"/>
            <w:shd w:val="clear" w:color="auto" w:fill="auto"/>
            <w:noWrap/>
            <w:vAlign w:val="bottom"/>
            <w:hideMark/>
          </w:tcPr>
          <w:p w14:paraId="43193CF1" w14:textId="20406959" w:rsidR="003355DB" w:rsidRPr="00166361" w:rsidRDefault="00D30153" w:rsidP="00267587">
            <w:pPr>
              <w:rPr>
                <w:sz w:val="21"/>
                <w:lang w:val="en-US"/>
              </w:rPr>
            </w:pPr>
            <w:r>
              <w:rPr>
                <w:sz w:val="21"/>
                <w:lang w:val="en-US"/>
              </w:rPr>
              <w:t>8.18</w:t>
            </w:r>
          </w:p>
        </w:tc>
        <w:tc>
          <w:tcPr>
            <w:tcW w:w="924" w:type="dxa"/>
            <w:shd w:val="clear" w:color="auto" w:fill="auto"/>
            <w:noWrap/>
            <w:vAlign w:val="bottom"/>
            <w:hideMark/>
          </w:tcPr>
          <w:p w14:paraId="3A43B36E" w14:textId="2CE4000B" w:rsidR="003355DB" w:rsidRPr="00166361" w:rsidRDefault="00D30153" w:rsidP="00267587">
            <w:pPr>
              <w:rPr>
                <w:sz w:val="21"/>
                <w:lang w:val="en-US"/>
              </w:rPr>
            </w:pPr>
            <w:r>
              <w:rPr>
                <w:sz w:val="21"/>
                <w:lang w:val="en-US"/>
              </w:rPr>
              <w:t>9.31</w:t>
            </w:r>
          </w:p>
        </w:tc>
        <w:tc>
          <w:tcPr>
            <w:tcW w:w="924" w:type="dxa"/>
            <w:shd w:val="clear" w:color="auto" w:fill="auto"/>
            <w:noWrap/>
            <w:vAlign w:val="bottom"/>
            <w:hideMark/>
          </w:tcPr>
          <w:p w14:paraId="5247608C" w14:textId="622921A9" w:rsidR="003355DB" w:rsidRPr="00166361" w:rsidRDefault="00D30153" w:rsidP="00267587">
            <w:pPr>
              <w:rPr>
                <w:sz w:val="21"/>
                <w:lang w:val="en-US"/>
              </w:rPr>
            </w:pPr>
            <w:r>
              <w:rPr>
                <w:sz w:val="21"/>
                <w:lang w:val="en-US"/>
              </w:rPr>
              <w:t>10.48</w:t>
            </w:r>
          </w:p>
        </w:tc>
        <w:tc>
          <w:tcPr>
            <w:tcW w:w="1004" w:type="dxa"/>
            <w:shd w:val="clear" w:color="auto" w:fill="auto"/>
            <w:noWrap/>
            <w:vAlign w:val="bottom"/>
            <w:hideMark/>
          </w:tcPr>
          <w:p w14:paraId="174FAFAE" w14:textId="07EF12EE" w:rsidR="003355DB" w:rsidRPr="00166361" w:rsidRDefault="00D30153" w:rsidP="00267587">
            <w:pPr>
              <w:rPr>
                <w:sz w:val="21"/>
                <w:lang w:val="en-US"/>
              </w:rPr>
            </w:pPr>
            <w:r>
              <w:rPr>
                <w:sz w:val="21"/>
                <w:lang w:val="en-US"/>
              </w:rPr>
              <w:t>15.25</w:t>
            </w:r>
          </w:p>
        </w:tc>
      </w:tr>
      <w:tr w:rsidR="003355DB" w:rsidRPr="00166361" w14:paraId="47450F1C" w14:textId="77777777" w:rsidTr="00A55BA5">
        <w:trPr>
          <w:trHeight w:val="292"/>
        </w:trPr>
        <w:tc>
          <w:tcPr>
            <w:tcW w:w="3261" w:type="dxa"/>
            <w:shd w:val="clear" w:color="auto" w:fill="auto"/>
            <w:noWrap/>
            <w:vAlign w:val="bottom"/>
            <w:hideMark/>
          </w:tcPr>
          <w:p w14:paraId="6FF0DDBD" w14:textId="759A27DB" w:rsidR="003355DB" w:rsidRPr="0094032E" w:rsidRDefault="0094032E" w:rsidP="00267587">
            <w:pPr>
              <w:rPr>
                <w:spacing w:val="-10"/>
                <w:sz w:val="21"/>
                <w:lang w:val="en-US"/>
              </w:rPr>
            </w:pPr>
            <w:r w:rsidRPr="0094032E">
              <w:rPr>
                <w:spacing w:val="-10"/>
                <w:sz w:val="21"/>
                <w:lang w:val="en-US"/>
              </w:rPr>
              <w:t>Rate of individuals with no diploma</w:t>
            </w:r>
            <w:r w:rsidR="00D30153" w:rsidRPr="0094032E">
              <w:rPr>
                <w:spacing w:val="-10"/>
                <w:sz w:val="21"/>
                <w:lang w:val="en-US"/>
              </w:rPr>
              <w:t xml:space="preserve"> </w:t>
            </w:r>
          </w:p>
        </w:tc>
        <w:tc>
          <w:tcPr>
            <w:tcW w:w="494" w:type="dxa"/>
            <w:shd w:val="clear" w:color="auto" w:fill="auto"/>
            <w:noWrap/>
            <w:vAlign w:val="bottom"/>
            <w:hideMark/>
          </w:tcPr>
          <w:p w14:paraId="06779D84" w14:textId="2CA3A9C2" w:rsidR="003355DB" w:rsidRPr="00166361" w:rsidRDefault="0094032E" w:rsidP="00267587">
            <w:pPr>
              <w:jc w:val="right"/>
              <w:rPr>
                <w:sz w:val="21"/>
                <w:lang w:val="en-US"/>
              </w:rPr>
            </w:pPr>
            <w:r>
              <w:rPr>
                <w:sz w:val="21"/>
                <w:lang w:val="en-US"/>
              </w:rPr>
              <w:t>1256</w:t>
            </w:r>
          </w:p>
        </w:tc>
        <w:tc>
          <w:tcPr>
            <w:tcW w:w="924" w:type="dxa"/>
            <w:shd w:val="clear" w:color="auto" w:fill="auto"/>
            <w:noWrap/>
            <w:vAlign w:val="bottom"/>
            <w:hideMark/>
          </w:tcPr>
          <w:p w14:paraId="35E27C30" w14:textId="45DDF046" w:rsidR="003355DB" w:rsidRPr="00166361" w:rsidRDefault="0094032E" w:rsidP="00267587">
            <w:pPr>
              <w:rPr>
                <w:sz w:val="21"/>
                <w:lang w:val="en-US"/>
              </w:rPr>
            </w:pPr>
            <w:r>
              <w:rPr>
                <w:sz w:val="21"/>
                <w:lang w:val="en-US"/>
              </w:rPr>
              <w:t>25.78</w:t>
            </w:r>
          </w:p>
        </w:tc>
        <w:tc>
          <w:tcPr>
            <w:tcW w:w="899" w:type="dxa"/>
            <w:shd w:val="clear" w:color="auto" w:fill="auto"/>
            <w:noWrap/>
            <w:vAlign w:val="bottom"/>
            <w:hideMark/>
          </w:tcPr>
          <w:p w14:paraId="4CC30FDC" w14:textId="438F6835" w:rsidR="003355DB" w:rsidRPr="00166361" w:rsidRDefault="00F81D14" w:rsidP="00267587">
            <w:pPr>
              <w:rPr>
                <w:sz w:val="21"/>
                <w:lang w:val="en-US"/>
              </w:rPr>
            </w:pPr>
            <w:r>
              <w:rPr>
                <w:sz w:val="21"/>
                <w:lang w:val="en-US"/>
              </w:rPr>
              <w:t>2.86</w:t>
            </w:r>
          </w:p>
        </w:tc>
        <w:tc>
          <w:tcPr>
            <w:tcW w:w="924" w:type="dxa"/>
            <w:shd w:val="clear" w:color="auto" w:fill="auto"/>
            <w:noWrap/>
            <w:vAlign w:val="bottom"/>
            <w:hideMark/>
          </w:tcPr>
          <w:p w14:paraId="72443D44" w14:textId="6C3E66A7" w:rsidR="003355DB" w:rsidRPr="00166361" w:rsidRDefault="00F81D14" w:rsidP="00267587">
            <w:pPr>
              <w:rPr>
                <w:sz w:val="21"/>
                <w:lang w:val="en-US"/>
              </w:rPr>
            </w:pPr>
            <w:r>
              <w:rPr>
                <w:sz w:val="21"/>
                <w:lang w:val="en-US"/>
              </w:rPr>
              <w:t>18.60</w:t>
            </w:r>
          </w:p>
        </w:tc>
        <w:tc>
          <w:tcPr>
            <w:tcW w:w="924" w:type="dxa"/>
            <w:shd w:val="clear" w:color="auto" w:fill="auto"/>
            <w:noWrap/>
            <w:vAlign w:val="bottom"/>
            <w:hideMark/>
          </w:tcPr>
          <w:p w14:paraId="3EEF4B72" w14:textId="7B4DD4B6" w:rsidR="003355DB" w:rsidRPr="00166361" w:rsidRDefault="00F81D14" w:rsidP="00267587">
            <w:pPr>
              <w:rPr>
                <w:sz w:val="21"/>
                <w:lang w:val="en-US"/>
              </w:rPr>
            </w:pPr>
            <w:r>
              <w:rPr>
                <w:sz w:val="21"/>
                <w:lang w:val="en-US"/>
              </w:rPr>
              <w:t>23.55</w:t>
            </w:r>
          </w:p>
        </w:tc>
        <w:tc>
          <w:tcPr>
            <w:tcW w:w="924" w:type="dxa"/>
            <w:shd w:val="clear" w:color="auto" w:fill="auto"/>
            <w:noWrap/>
            <w:vAlign w:val="bottom"/>
            <w:hideMark/>
          </w:tcPr>
          <w:p w14:paraId="7D2E240F" w14:textId="200A5FF8" w:rsidR="003355DB" w:rsidRPr="00166361" w:rsidRDefault="008A357C" w:rsidP="00267587">
            <w:pPr>
              <w:rPr>
                <w:sz w:val="21"/>
                <w:lang w:val="en-US"/>
              </w:rPr>
            </w:pPr>
            <w:r>
              <w:rPr>
                <w:sz w:val="21"/>
                <w:lang w:val="en-US"/>
              </w:rPr>
              <w:t>25.72</w:t>
            </w:r>
          </w:p>
        </w:tc>
        <w:tc>
          <w:tcPr>
            <w:tcW w:w="924" w:type="dxa"/>
            <w:shd w:val="clear" w:color="auto" w:fill="auto"/>
            <w:noWrap/>
            <w:vAlign w:val="bottom"/>
            <w:hideMark/>
          </w:tcPr>
          <w:p w14:paraId="6E2A56DF" w14:textId="12AED625" w:rsidR="003355DB" w:rsidRPr="00166361" w:rsidRDefault="008A357C" w:rsidP="00267587">
            <w:pPr>
              <w:rPr>
                <w:sz w:val="21"/>
                <w:lang w:val="en-US"/>
              </w:rPr>
            </w:pPr>
            <w:r>
              <w:rPr>
                <w:sz w:val="21"/>
                <w:lang w:val="en-US"/>
              </w:rPr>
              <w:t>27.68</w:t>
            </w:r>
          </w:p>
        </w:tc>
        <w:tc>
          <w:tcPr>
            <w:tcW w:w="1004" w:type="dxa"/>
            <w:shd w:val="clear" w:color="auto" w:fill="auto"/>
            <w:noWrap/>
            <w:vAlign w:val="bottom"/>
            <w:hideMark/>
          </w:tcPr>
          <w:p w14:paraId="695399ED" w14:textId="1F03DF73" w:rsidR="003355DB" w:rsidRPr="00166361" w:rsidRDefault="008A357C" w:rsidP="00267587">
            <w:pPr>
              <w:rPr>
                <w:sz w:val="21"/>
                <w:lang w:val="en-US"/>
              </w:rPr>
            </w:pPr>
            <w:r>
              <w:rPr>
                <w:sz w:val="21"/>
                <w:lang w:val="en-US"/>
              </w:rPr>
              <w:t>32.86</w:t>
            </w:r>
          </w:p>
        </w:tc>
      </w:tr>
      <w:tr w:rsidR="003355DB" w:rsidRPr="00166361" w14:paraId="603DA401" w14:textId="77777777" w:rsidTr="00A55BA5">
        <w:trPr>
          <w:trHeight w:val="292"/>
        </w:trPr>
        <w:tc>
          <w:tcPr>
            <w:tcW w:w="3261" w:type="dxa"/>
            <w:tcBorders>
              <w:bottom w:val="single" w:sz="6" w:space="0" w:color="D0CECE" w:themeColor="background2" w:themeShade="E6"/>
            </w:tcBorders>
            <w:shd w:val="clear" w:color="auto" w:fill="auto"/>
            <w:noWrap/>
            <w:vAlign w:val="bottom"/>
            <w:hideMark/>
          </w:tcPr>
          <w:p w14:paraId="49777D41" w14:textId="29A263E2" w:rsidR="003355DB" w:rsidRPr="00A55BA5" w:rsidRDefault="003355DB" w:rsidP="00267587">
            <w:pPr>
              <w:rPr>
                <w:spacing w:val="-16"/>
                <w:sz w:val="21"/>
                <w:lang w:val="en-US"/>
              </w:rPr>
            </w:pPr>
            <w:r w:rsidRPr="00A55BA5">
              <w:rPr>
                <w:spacing w:val="-16"/>
                <w:sz w:val="21"/>
                <w:lang w:val="en-US"/>
              </w:rPr>
              <w:t>Lawyers</w:t>
            </w:r>
            <w:r w:rsidR="0094032E" w:rsidRPr="00A55BA5">
              <w:rPr>
                <w:spacing w:val="-16"/>
                <w:sz w:val="21"/>
                <w:lang w:val="en-US"/>
              </w:rPr>
              <w:t xml:space="preserve">/100.000 inhabitants </w:t>
            </w:r>
            <w:r w:rsidR="00A55BA5" w:rsidRPr="00A55BA5">
              <w:rPr>
                <w:spacing w:val="-16"/>
                <w:sz w:val="21"/>
                <w:lang w:val="en-US"/>
              </w:rPr>
              <w:t>(2012-2019)</w:t>
            </w:r>
          </w:p>
        </w:tc>
        <w:tc>
          <w:tcPr>
            <w:tcW w:w="494" w:type="dxa"/>
            <w:tcBorders>
              <w:bottom w:val="single" w:sz="6" w:space="0" w:color="D0CECE" w:themeColor="background2" w:themeShade="E6"/>
            </w:tcBorders>
            <w:shd w:val="clear" w:color="auto" w:fill="auto"/>
            <w:noWrap/>
            <w:vAlign w:val="bottom"/>
            <w:hideMark/>
          </w:tcPr>
          <w:p w14:paraId="080CFBE3" w14:textId="052DA838" w:rsidR="003355DB" w:rsidRPr="00166361" w:rsidRDefault="00A55BA5" w:rsidP="00267587">
            <w:pPr>
              <w:jc w:val="right"/>
              <w:rPr>
                <w:sz w:val="21"/>
                <w:lang w:val="en-US"/>
              </w:rPr>
            </w:pPr>
            <w:r>
              <w:rPr>
                <w:sz w:val="21"/>
                <w:lang w:val="en-US"/>
              </w:rPr>
              <w:t>1247</w:t>
            </w:r>
          </w:p>
        </w:tc>
        <w:tc>
          <w:tcPr>
            <w:tcW w:w="924" w:type="dxa"/>
            <w:tcBorders>
              <w:bottom w:val="single" w:sz="6" w:space="0" w:color="D0CECE" w:themeColor="background2" w:themeShade="E6"/>
            </w:tcBorders>
            <w:shd w:val="clear" w:color="auto" w:fill="auto"/>
            <w:noWrap/>
            <w:vAlign w:val="bottom"/>
            <w:hideMark/>
          </w:tcPr>
          <w:p w14:paraId="7527DBB3" w14:textId="5F96E202" w:rsidR="003355DB" w:rsidRPr="00166361" w:rsidRDefault="00A55BA5" w:rsidP="00267587">
            <w:pPr>
              <w:rPr>
                <w:sz w:val="21"/>
                <w:lang w:val="en-US"/>
              </w:rPr>
            </w:pPr>
            <w:r>
              <w:rPr>
                <w:sz w:val="21"/>
                <w:lang w:val="en-US"/>
              </w:rPr>
              <w:t>40.62</w:t>
            </w:r>
          </w:p>
        </w:tc>
        <w:tc>
          <w:tcPr>
            <w:tcW w:w="899" w:type="dxa"/>
            <w:tcBorders>
              <w:bottom w:val="single" w:sz="6" w:space="0" w:color="D0CECE" w:themeColor="background2" w:themeShade="E6"/>
            </w:tcBorders>
            <w:shd w:val="clear" w:color="auto" w:fill="auto"/>
            <w:noWrap/>
            <w:vAlign w:val="bottom"/>
            <w:hideMark/>
          </w:tcPr>
          <w:p w14:paraId="152450A0" w14:textId="02A6181C" w:rsidR="003355DB" w:rsidRPr="00166361" w:rsidRDefault="00A55BA5" w:rsidP="00267587">
            <w:pPr>
              <w:rPr>
                <w:sz w:val="21"/>
                <w:lang w:val="en-US"/>
              </w:rPr>
            </w:pPr>
            <w:r>
              <w:rPr>
                <w:sz w:val="21"/>
                <w:lang w:val="en-US"/>
              </w:rPr>
              <w:t>106.66</w:t>
            </w:r>
          </w:p>
        </w:tc>
        <w:tc>
          <w:tcPr>
            <w:tcW w:w="924" w:type="dxa"/>
            <w:tcBorders>
              <w:bottom w:val="single" w:sz="6" w:space="0" w:color="D0CECE" w:themeColor="background2" w:themeShade="E6"/>
            </w:tcBorders>
            <w:shd w:val="clear" w:color="auto" w:fill="auto"/>
            <w:noWrap/>
            <w:vAlign w:val="bottom"/>
            <w:hideMark/>
          </w:tcPr>
          <w:p w14:paraId="2D35C180" w14:textId="10B6C4AF" w:rsidR="003355DB" w:rsidRPr="00166361" w:rsidRDefault="00A55BA5" w:rsidP="00267587">
            <w:pPr>
              <w:rPr>
                <w:sz w:val="21"/>
                <w:lang w:val="en-US"/>
              </w:rPr>
            </w:pPr>
            <w:r>
              <w:rPr>
                <w:sz w:val="21"/>
                <w:lang w:val="en-US"/>
              </w:rPr>
              <w:t>1.08</w:t>
            </w:r>
          </w:p>
        </w:tc>
        <w:tc>
          <w:tcPr>
            <w:tcW w:w="924" w:type="dxa"/>
            <w:tcBorders>
              <w:bottom w:val="single" w:sz="6" w:space="0" w:color="D0CECE" w:themeColor="background2" w:themeShade="E6"/>
            </w:tcBorders>
            <w:shd w:val="clear" w:color="auto" w:fill="auto"/>
            <w:noWrap/>
            <w:vAlign w:val="bottom"/>
            <w:hideMark/>
          </w:tcPr>
          <w:p w14:paraId="024D07E5" w14:textId="5E02235A" w:rsidR="003355DB" w:rsidRPr="00166361" w:rsidRDefault="00A55BA5" w:rsidP="00267587">
            <w:pPr>
              <w:rPr>
                <w:sz w:val="21"/>
                <w:lang w:val="en-US"/>
              </w:rPr>
            </w:pPr>
            <w:r>
              <w:rPr>
                <w:sz w:val="21"/>
                <w:lang w:val="en-US"/>
              </w:rPr>
              <w:t>8.51</w:t>
            </w:r>
          </w:p>
        </w:tc>
        <w:tc>
          <w:tcPr>
            <w:tcW w:w="924" w:type="dxa"/>
            <w:tcBorders>
              <w:bottom w:val="single" w:sz="6" w:space="0" w:color="D0CECE" w:themeColor="background2" w:themeShade="E6"/>
            </w:tcBorders>
            <w:shd w:val="clear" w:color="auto" w:fill="auto"/>
            <w:noWrap/>
            <w:vAlign w:val="bottom"/>
            <w:hideMark/>
          </w:tcPr>
          <w:p w14:paraId="60349F1A" w14:textId="54C8AF7D" w:rsidR="003355DB" w:rsidRPr="00166361" w:rsidRDefault="00A55BA5" w:rsidP="00267587">
            <w:pPr>
              <w:rPr>
                <w:sz w:val="21"/>
                <w:lang w:val="en-US"/>
              </w:rPr>
            </w:pPr>
            <w:r>
              <w:rPr>
                <w:sz w:val="21"/>
                <w:lang w:val="en-US"/>
              </w:rPr>
              <w:t>19.43</w:t>
            </w:r>
          </w:p>
        </w:tc>
        <w:tc>
          <w:tcPr>
            <w:tcW w:w="924" w:type="dxa"/>
            <w:tcBorders>
              <w:bottom w:val="single" w:sz="6" w:space="0" w:color="D0CECE" w:themeColor="background2" w:themeShade="E6"/>
            </w:tcBorders>
            <w:shd w:val="clear" w:color="auto" w:fill="auto"/>
            <w:noWrap/>
            <w:vAlign w:val="bottom"/>
            <w:hideMark/>
          </w:tcPr>
          <w:p w14:paraId="5DC88A27" w14:textId="52549461" w:rsidR="003355DB" w:rsidRPr="00166361" w:rsidRDefault="00A55BA5" w:rsidP="00267587">
            <w:pPr>
              <w:rPr>
                <w:sz w:val="21"/>
                <w:lang w:val="en-US"/>
              </w:rPr>
            </w:pPr>
            <w:r>
              <w:rPr>
                <w:sz w:val="21"/>
                <w:lang w:val="en-US"/>
              </w:rPr>
              <w:t>38.24</w:t>
            </w:r>
          </w:p>
        </w:tc>
        <w:tc>
          <w:tcPr>
            <w:tcW w:w="1004" w:type="dxa"/>
            <w:tcBorders>
              <w:bottom w:val="single" w:sz="6" w:space="0" w:color="D0CECE" w:themeColor="background2" w:themeShade="E6"/>
            </w:tcBorders>
            <w:shd w:val="clear" w:color="auto" w:fill="auto"/>
            <w:noWrap/>
            <w:vAlign w:val="bottom"/>
            <w:hideMark/>
          </w:tcPr>
          <w:p w14:paraId="7168E59D" w14:textId="09C4460E" w:rsidR="003355DB" w:rsidRPr="00166361" w:rsidRDefault="00A55BA5" w:rsidP="00267587">
            <w:pPr>
              <w:rPr>
                <w:sz w:val="21"/>
                <w:lang w:val="en-US"/>
              </w:rPr>
            </w:pPr>
            <w:r>
              <w:rPr>
                <w:sz w:val="21"/>
                <w:lang w:val="en-US"/>
              </w:rPr>
              <w:t>1340.06</w:t>
            </w:r>
          </w:p>
        </w:tc>
      </w:tr>
      <w:tr w:rsidR="003355DB" w:rsidRPr="00166361" w14:paraId="3D6566FD" w14:textId="77777777" w:rsidTr="00A55BA5">
        <w:trPr>
          <w:trHeight w:val="292"/>
        </w:trPr>
        <w:tc>
          <w:tcPr>
            <w:tcW w:w="3261" w:type="dxa"/>
            <w:tcBorders>
              <w:top w:val="single" w:sz="6" w:space="0" w:color="D0CECE" w:themeColor="background2" w:themeShade="E6"/>
              <w:bottom w:val="single" w:sz="6" w:space="0" w:color="D0CECE" w:themeColor="background2" w:themeShade="E6"/>
            </w:tcBorders>
            <w:shd w:val="clear" w:color="auto" w:fill="auto"/>
            <w:noWrap/>
            <w:vAlign w:val="bottom"/>
            <w:hideMark/>
          </w:tcPr>
          <w:p w14:paraId="37C9B0D3" w14:textId="77777777" w:rsidR="003355DB" w:rsidRPr="00166361" w:rsidRDefault="003355DB" w:rsidP="00267587">
            <w:pPr>
              <w:rPr>
                <w:spacing w:val="-10"/>
                <w:sz w:val="21"/>
                <w:lang w:val="en-US"/>
              </w:rPr>
            </w:pPr>
            <w:r w:rsidRPr="00166361">
              <w:rPr>
                <w:spacing w:val="-10"/>
                <w:sz w:val="21"/>
                <w:lang w:val="en-US"/>
              </w:rPr>
              <w:t>Lawyer/100.000 inhabitants (1865)</w:t>
            </w:r>
          </w:p>
        </w:tc>
        <w:tc>
          <w:tcPr>
            <w:tcW w:w="494" w:type="dxa"/>
            <w:tcBorders>
              <w:top w:val="single" w:sz="6" w:space="0" w:color="D0CECE" w:themeColor="background2" w:themeShade="E6"/>
              <w:bottom w:val="single" w:sz="6" w:space="0" w:color="D0CECE" w:themeColor="background2" w:themeShade="E6"/>
            </w:tcBorders>
            <w:shd w:val="clear" w:color="auto" w:fill="auto"/>
            <w:noWrap/>
            <w:vAlign w:val="bottom"/>
            <w:hideMark/>
          </w:tcPr>
          <w:p w14:paraId="4F916F29" w14:textId="2C0DF360" w:rsidR="003355DB" w:rsidRPr="00166361" w:rsidRDefault="00A55BA5" w:rsidP="00267587">
            <w:pPr>
              <w:jc w:val="right"/>
              <w:rPr>
                <w:sz w:val="21"/>
                <w:lang w:val="en-US"/>
              </w:rPr>
            </w:pPr>
            <w:r>
              <w:rPr>
                <w:sz w:val="21"/>
                <w:lang w:val="en-US"/>
              </w:rPr>
              <w:t>1256</w:t>
            </w:r>
          </w:p>
        </w:tc>
        <w:tc>
          <w:tcPr>
            <w:tcW w:w="924" w:type="dxa"/>
            <w:tcBorders>
              <w:top w:val="single" w:sz="6" w:space="0" w:color="D0CECE" w:themeColor="background2" w:themeShade="E6"/>
              <w:bottom w:val="single" w:sz="6" w:space="0" w:color="D0CECE" w:themeColor="background2" w:themeShade="E6"/>
            </w:tcBorders>
            <w:shd w:val="clear" w:color="auto" w:fill="auto"/>
            <w:noWrap/>
            <w:vAlign w:val="bottom"/>
            <w:hideMark/>
          </w:tcPr>
          <w:p w14:paraId="19624FF0" w14:textId="665341BA" w:rsidR="003355DB" w:rsidRPr="00166361" w:rsidRDefault="00A55BA5" w:rsidP="00267587">
            <w:pPr>
              <w:rPr>
                <w:sz w:val="21"/>
                <w:lang w:val="en-US"/>
              </w:rPr>
            </w:pPr>
            <w:r>
              <w:rPr>
                <w:sz w:val="21"/>
                <w:lang w:val="en-US"/>
              </w:rPr>
              <w:t>10.95</w:t>
            </w:r>
          </w:p>
        </w:tc>
        <w:tc>
          <w:tcPr>
            <w:tcW w:w="899" w:type="dxa"/>
            <w:tcBorders>
              <w:top w:val="single" w:sz="6" w:space="0" w:color="D0CECE" w:themeColor="background2" w:themeShade="E6"/>
              <w:bottom w:val="single" w:sz="6" w:space="0" w:color="D0CECE" w:themeColor="background2" w:themeShade="E6"/>
            </w:tcBorders>
            <w:shd w:val="clear" w:color="auto" w:fill="auto"/>
            <w:noWrap/>
            <w:vAlign w:val="bottom"/>
            <w:hideMark/>
          </w:tcPr>
          <w:p w14:paraId="6BA16E12" w14:textId="43F7C4AA" w:rsidR="003355DB" w:rsidRPr="00166361" w:rsidRDefault="00A55BA5" w:rsidP="00267587">
            <w:pPr>
              <w:rPr>
                <w:sz w:val="21"/>
                <w:lang w:val="en-US"/>
              </w:rPr>
            </w:pPr>
            <w:r>
              <w:rPr>
                <w:sz w:val="21"/>
                <w:lang w:val="en-US"/>
              </w:rPr>
              <w:t>9.05</w:t>
            </w:r>
          </w:p>
        </w:tc>
        <w:tc>
          <w:tcPr>
            <w:tcW w:w="924" w:type="dxa"/>
            <w:tcBorders>
              <w:top w:val="single" w:sz="6" w:space="0" w:color="D0CECE" w:themeColor="background2" w:themeShade="E6"/>
              <w:bottom w:val="single" w:sz="6" w:space="0" w:color="D0CECE" w:themeColor="background2" w:themeShade="E6"/>
            </w:tcBorders>
            <w:shd w:val="clear" w:color="auto" w:fill="auto"/>
            <w:noWrap/>
            <w:vAlign w:val="bottom"/>
            <w:hideMark/>
          </w:tcPr>
          <w:p w14:paraId="2B08981C" w14:textId="77777777" w:rsidR="003355DB" w:rsidRPr="00166361" w:rsidRDefault="003355DB" w:rsidP="00267587">
            <w:pPr>
              <w:rPr>
                <w:sz w:val="21"/>
                <w:lang w:val="en-US"/>
              </w:rPr>
            </w:pPr>
            <w:r w:rsidRPr="00166361">
              <w:rPr>
                <w:sz w:val="21"/>
                <w:lang w:val="en-US"/>
              </w:rPr>
              <w:t>0.00</w:t>
            </w:r>
          </w:p>
        </w:tc>
        <w:tc>
          <w:tcPr>
            <w:tcW w:w="924" w:type="dxa"/>
            <w:tcBorders>
              <w:top w:val="single" w:sz="6" w:space="0" w:color="D0CECE" w:themeColor="background2" w:themeShade="E6"/>
              <w:bottom w:val="single" w:sz="6" w:space="0" w:color="D0CECE" w:themeColor="background2" w:themeShade="E6"/>
            </w:tcBorders>
            <w:shd w:val="clear" w:color="auto" w:fill="auto"/>
            <w:noWrap/>
            <w:vAlign w:val="bottom"/>
            <w:hideMark/>
          </w:tcPr>
          <w:p w14:paraId="03C02F7C" w14:textId="77777777" w:rsidR="003355DB" w:rsidRPr="00166361" w:rsidRDefault="003355DB" w:rsidP="00267587">
            <w:pPr>
              <w:rPr>
                <w:sz w:val="21"/>
                <w:lang w:val="en-US"/>
              </w:rPr>
            </w:pPr>
            <w:r w:rsidRPr="00166361">
              <w:rPr>
                <w:sz w:val="21"/>
                <w:lang w:val="en-US"/>
              </w:rPr>
              <w:t>4.93</w:t>
            </w:r>
          </w:p>
        </w:tc>
        <w:tc>
          <w:tcPr>
            <w:tcW w:w="924" w:type="dxa"/>
            <w:tcBorders>
              <w:top w:val="single" w:sz="6" w:space="0" w:color="D0CECE" w:themeColor="background2" w:themeShade="E6"/>
              <w:bottom w:val="single" w:sz="6" w:space="0" w:color="D0CECE" w:themeColor="background2" w:themeShade="E6"/>
            </w:tcBorders>
            <w:shd w:val="clear" w:color="auto" w:fill="auto"/>
            <w:noWrap/>
            <w:vAlign w:val="bottom"/>
            <w:hideMark/>
          </w:tcPr>
          <w:p w14:paraId="7EEA5C32" w14:textId="7FC84924" w:rsidR="003355DB" w:rsidRPr="00166361" w:rsidRDefault="003355DB" w:rsidP="00267587">
            <w:pPr>
              <w:rPr>
                <w:sz w:val="21"/>
                <w:lang w:val="en-US"/>
              </w:rPr>
            </w:pPr>
            <w:r w:rsidRPr="00166361">
              <w:rPr>
                <w:sz w:val="21"/>
                <w:lang w:val="en-US"/>
              </w:rPr>
              <w:t>8.</w:t>
            </w:r>
            <w:r w:rsidR="00A55BA5">
              <w:rPr>
                <w:sz w:val="21"/>
                <w:lang w:val="en-US"/>
              </w:rPr>
              <w:t>34</w:t>
            </w:r>
          </w:p>
        </w:tc>
        <w:tc>
          <w:tcPr>
            <w:tcW w:w="924" w:type="dxa"/>
            <w:tcBorders>
              <w:top w:val="single" w:sz="6" w:space="0" w:color="D0CECE" w:themeColor="background2" w:themeShade="E6"/>
              <w:bottom w:val="single" w:sz="6" w:space="0" w:color="D0CECE" w:themeColor="background2" w:themeShade="E6"/>
            </w:tcBorders>
            <w:shd w:val="clear" w:color="auto" w:fill="auto"/>
            <w:noWrap/>
            <w:vAlign w:val="bottom"/>
            <w:hideMark/>
          </w:tcPr>
          <w:p w14:paraId="7FDFD42F" w14:textId="56C208B1" w:rsidR="003355DB" w:rsidRPr="00166361" w:rsidRDefault="003355DB" w:rsidP="00267587">
            <w:pPr>
              <w:rPr>
                <w:sz w:val="21"/>
                <w:lang w:val="en-US"/>
              </w:rPr>
            </w:pPr>
            <w:r w:rsidRPr="00166361">
              <w:rPr>
                <w:sz w:val="21"/>
                <w:lang w:val="en-US"/>
              </w:rPr>
              <w:t>14.0</w:t>
            </w:r>
            <w:r w:rsidR="00A55BA5">
              <w:rPr>
                <w:sz w:val="21"/>
                <w:lang w:val="en-US"/>
              </w:rPr>
              <w:t>5</w:t>
            </w:r>
          </w:p>
        </w:tc>
        <w:tc>
          <w:tcPr>
            <w:tcW w:w="1004" w:type="dxa"/>
            <w:tcBorders>
              <w:top w:val="single" w:sz="6" w:space="0" w:color="D0CECE" w:themeColor="background2" w:themeShade="E6"/>
              <w:bottom w:val="single" w:sz="6" w:space="0" w:color="D0CECE" w:themeColor="background2" w:themeShade="E6"/>
            </w:tcBorders>
            <w:shd w:val="clear" w:color="auto" w:fill="auto"/>
            <w:noWrap/>
            <w:vAlign w:val="bottom"/>
            <w:hideMark/>
          </w:tcPr>
          <w:p w14:paraId="48DC102D" w14:textId="7076D445" w:rsidR="00A55BA5" w:rsidRPr="00166361" w:rsidRDefault="003355DB" w:rsidP="00267587">
            <w:pPr>
              <w:rPr>
                <w:sz w:val="21"/>
                <w:lang w:val="en-US"/>
              </w:rPr>
            </w:pPr>
            <w:r w:rsidRPr="00166361">
              <w:rPr>
                <w:sz w:val="21"/>
                <w:lang w:val="en-US"/>
              </w:rPr>
              <w:t>54.02</w:t>
            </w:r>
          </w:p>
        </w:tc>
      </w:tr>
    </w:tbl>
    <w:p w14:paraId="1E835B83" w14:textId="77777777" w:rsidR="003355DB" w:rsidRPr="00166361" w:rsidRDefault="003355DB" w:rsidP="003355DB">
      <w:pPr>
        <w:spacing w:before="240" w:after="240"/>
        <w:jc w:val="both"/>
        <w:rPr>
          <w:spacing w:val="-4"/>
          <w:sz w:val="28"/>
          <w:lang w:val="en-US"/>
        </w:rPr>
      </w:pPr>
      <w:r w:rsidRPr="00166361">
        <w:rPr>
          <w:rFonts w:ascii="NimbusRomNo9L" w:hAnsi="NimbusRomNo9L"/>
          <w:spacing w:val="-4"/>
          <w:sz w:val="18"/>
          <w:szCs w:val="16"/>
          <w:lang w:val="en-US"/>
        </w:rPr>
        <w:t xml:space="preserve">Note: The table provides descriptive statistics of the dataset, composed of a total sample of 141 courts, between 2012 and 2019, based on the data provided by the French Ministry of Justice, the </w:t>
      </w:r>
      <w:proofErr w:type="spellStart"/>
      <w:r w:rsidRPr="00166361">
        <w:rPr>
          <w:rFonts w:ascii="NimbusRomNo9L" w:hAnsi="NimbusRomNo9L"/>
          <w:spacing w:val="-4"/>
          <w:sz w:val="18"/>
          <w:szCs w:val="16"/>
          <w:lang w:val="en-US"/>
        </w:rPr>
        <w:t>Bibliothèque</w:t>
      </w:r>
      <w:proofErr w:type="spellEnd"/>
      <w:r w:rsidRPr="00166361">
        <w:rPr>
          <w:rFonts w:ascii="NimbusRomNo9L" w:hAnsi="NimbusRomNo9L"/>
          <w:spacing w:val="-4"/>
          <w:sz w:val="18"/>
          <w:szCs w:val="16"/>
          <w:lang w:val="en-US"/>
        </w:rPr>
        <w:t xml:space="preserve"> </w:t>
      </w:r>
      <w:proofErr w:type="spellStart"/>
      <w:r w:rsidRPr="00166361">
        <w:rPr>
          <w:rFonts w:ascii="NimbusRomNo9L" w:hAnsi="NimbusRomNo9L"/>
          <w:spacing w:val="-4"/>
          <w:sz w:val="18"/>
          <w:szCs w:val="16"/>
          <w:lang w:val="en-US"/>
        </w:rPr>
        <w:t>nationale</w:t>
      </w:r>
      <w:proofErr w:type="spellEnd"/>
      <w:r w:rsidRPr="00166361">
        <w:rPr>
          <w:rFonts w:ascii="NimbusRomNo9L" w:hAnsi="NimbusRomNo9L"/>
          <w:spacing w:val="-4"/>
          <w:sz w:val="18"/>
          <w:szCs w:val="16"/>
          <w:lang w:val="en-US"/>
        </w:rPr>
        <w:t xml:space="preserve"> de France, and the INSEE. </w:t>
      </w:r>
    </w:p>
    <w:p w14:paraId="143D631C" w14:textId="066DF406" w:rsidR="006E5E41" w:rsidRPr="00166361" w:rsidRDefault="006E5E41" w:rsidP="006E5E41">
      <w:pPr>
        <w:pStyle w:val="Title"/>
        <w:rPr>
          <w:rFonts w:ascii="Times New Roman" w:eastAsia="Times New Roman" w:hAnsi="Times New Roman"/>
          <w:lang w:val="en-US"/>
        </w:rPr>
      </w:pPr>
      <w:r w:rsidRPr="00166361">
        <w:rPr>
          <w:rFonts w:eastAsia="Times New Roman"/>
          <w:lang w:val="en-US"/>
        </w:rPr>
        <w:t xml:space="preserve">2.1. Potential endogeneity bias </w:t>
      </w:r>
    </w:p>
    <w:p w14:paraId="1156061C" w14:textId="355B543E" w:rsidR="00D544CB" w:rsidRPr="00D544CB" w:rsidRDefault="00441270" w:rsidP="00D544CB">
      <w:pPr>
        <w:ind w:firstLine="567"/>
        <w:jc w:val="both"/>
        <w:rPr>
          <w:rFonts w:ascii="NimbusRomNo9L" w:hAnsi="NimbusRomNo9L"/>
          <w:lang w:val="en-US"/>
        </w:rPr>
      </w:pPr>
      <w:r w:rsidRPr="00441270">
        <w:rPr>
          <w:rFonts w:ascii="NimbusRomNo9L" w:hAnsi="NimbusRomNo9L"/>
          <w:lang w:val="en-US"/>
        </w:rPr>
        <w:t>The relationship between the number of lawyers in a region and the rate of litigation has piqued the interest of researchers for some time</w:t>
      </w:r>
      <w:r w:rsidR="00013266">
        <w:rPr>
          <w:rFonts w:ascii="NimbusRomNo9L" w:hAnsi="NimbusRomNo9L"/>
          <w:lang w:val="en-US"/>
        </w:rPr>
        <w:t xml:space="preserve">. </w:t>
      </w:r>
      <w:r w:rsidR="009D354A">
        <w:rPr>
          <w:rFonts w:ascii="NimbusRomNo9L" w:hAnsi="NimbusRomNo9L"/>
          <w:lang w:val="en-US"/>
        </w:rPr>
        <w:t>Most</w:t>
      </w:r>
      <w:r w:rsidR="006E5E41" w:rsidRPr="00166361">
        <w:rPr>
          <w:rFonts w:ascii="NimbusRomNo9L" w:hAnsi="NimbusRomNo9L"/>
          <w:lang w:val="en-US"/>
        </w:rPr>
        <w:t xml:space="preserve"> studies suggest the existence of a relationship </w:t>
      </w:r>
      <w:r w:rsidR="009D354A">
        <w:rPr>
          <w:rFonts w:ascii="NimbusRomNo9L" w:hAnsi="NimbusRomNo9L"/>
          <w:lang w:val="en-US"/>
        </w:rPr>
        <w:t xml:space="preserve">but acknowledge a form of intrinsic </w:t>
      </w:r>
      <w:r w:rsidR="006E5E41" w:rsidRPr="00166361">
        <w:rPr>
          <w:rFonts w:ascii="NimbusRomNo9L" w:hAnsi="NimbusRomNo9L"/>
          <w:lang w:val="en-US"/>
        </w:rPr>
        <w:t xml:space="preserve">endogeneity in </w:t>
      </w:r>
      <w:r w:rsidR="009D354A">
        <w:rPr>
          <w:rFonts w:ascii="NimbusRomNo9L" w:hAnsi="NimbusRomNo9L"/>
          <w:lang w:val="en-US"/>
        </w:rPr>
        <w:t xml:space="preserve">the </w:t>
      </w:r>
      <w:r w:rsidR="006E5E41" w:rsidRPr="00166361">
        <w:rPr>
          <w:rFonts w:ascii="NimbusRomNo9L" w:hAnsi="NimbusRomNo9L"/>
          <w:lang w:val="en-US"/>
        </w:rPr>
        <w:t xml:space="preserve">lawyer concentration </w:t>
      </w:r>
      <w:r w:rsidR="009D354A">
        <w:rPr>
          <w:rFonts w:ascii="NimbusRomNo9L" w:hAnsi="NimbusRomNo9L"/>
          <w:lang w:val="en-US"/>
        </w:rPr>
        <w:t xml:space="preserve">variable </w:t>
      </w:r>
      <w:r w:rsidR="006E5E41" w:rsidRPr="00166361">
        <w:rPr>
          <w:rFonts w:ascii="NimbusRomNo9L" w:hAnsi="NimbusRomNo9L"/>
          <w:lang w:val="en-US"/>
        </w:rPr>
        <w:t>(</w:t>
      </w:r>
      <w:r w:rsidR="009D354A" w:rsidRPr="00166361">
        <w:rPr>
          <w:rFonts w:ascii="NimbusRomNo9L" w:hAnsi="NimbusRomNo9L"/>
          <w:lang w:val="en-US"/>
        </w:rPr>
        <w:t xml:space="preserve">Mora-Sanguinetti &amp; </w:t>
      </w:r>
      <w:proofErr w:type="spellStart"/>
      <w:r w:rsidR="009D354A" w:rsidRPr="00166361">
        <w:rPr>
          <w:rFonts w:ascii="NimbusRomNo9L" w:hAnsi="NimbusRomNo9L"/>
          <w:lang w:val="en-US"/>
        </w:rPr>
        <w:t>Martínez-Matute</w:t>
      </w:r>
      <w:proofErr w:type="spellEnd"/>
      <w:r w:rsidR="009D354A" w:rsidRPr="00166361">
        <w:rPr>
          <w:rFonts w:ascii="NimbusRomNo9L" w:hAnsi="NimbusRomNo9L"/>
          <w:lang w:val="en-US"/>
        </w:rPr>
        <w:t>, 2019</w:t>
      </w:r>
      <w:r w:rsidR="009D354A">
        <w:rPr>
          <w:rFonts w:ascii="NimbusRomNo9L" w:hAnsi="NimbusRomNo9L"/>
          <w:lang w:val="en-US"/>
        </w:rPr>
        <w:t xml:space="preserve">; </w:t>
      </w:r>
      <w:proofErr w:type="spellStart"/>
      <w:r w:rsidR="009D354A">
        <w:rPr>
          <w:rFonts w:ascii="NimbusRomNo9L" w:hAnsi="NimbusRomNo9L"/>
          <w:lang w:val="en-US"/>
        </w:rPr>
        <w:t>D’Agostino</w:t>
      </w:r>
      <w:proofErr w:type="spellEnd"/>
      <w:r w:rsidR="009D354A">
        <w:rPr>
          <w:rFonts w:ascii="NimbusRomNo9L" w:hAnsi="NimbusRomNo9L"/>
          <w:lang w:val="en-US"/>
        </w:rPr>
        <w:t xml:space="preserve"> et al., 2012; </w:t>
      </w:r>
      <w:proofErr w:type="spellStart"/>
      <w:r w:rsidR="006E5E41" w:rsidRPr="00166361">
        <w:rPr>
          <w:rFonts w:ascii="NimbusRomNo9L" w:hAnsi="NimbusRomNo9L"/>
          <w:lang w:val="en-US"/>
        </w:rPr>
        <w:t>Nakazato</w:t>
      </w:r>
      <w:proofErr w:type="spellEnd"/>
      <w:r w:rsidR="006E5E41" w:rsidRPr="00166361">
        <w:rPr>
          <w:rFonts w:ascii="NimbusRomNo9L" w:hAnsi="NimbusRomNo9L"/>
          <w:lang w:val="en-US"/>
        </w:rPr>
        <w:t xml:space="preserve"> et al., 2010), based on simultaneity </w:t>
      </w:r>
      <w:r w:rsidR="00D544CB">
        <w:rPr>
          <w:rFonts w:ascii="NimbusRomNo9L" w:hAnsi="NimbusRomNo9L"/>
          <w:lang w:val="en-US"/>
        </w:rPr>
        <w:t xml:space="preserve">issues </w:t>
      </w:r>
      <w:r w:rsidR="006E5E41" w:rsidRPr="00166361">
        <w:rPr>
          <w:rFonts w:ascii="NimbusRomNo9L" w:hAnsi="NimbusRomNo9L"/>
          <w:lang w:val="en-US"/>
        </w:rPr>
        <w:t xml:space="preserve">(Ginsburg &amp; </w:t>
      </w:r>
      <w:proofErr w:type="spellStart"/>
      <w:r w:rsidR="006E5E41" w:rsidRPr="00166361">
        <w:rPr>
          <w:rFonts w:ascii="NimbusRomNo9L" w:hAnsi="NimbusRomNo9L"/>
          <w:lang w:val="en-US"/>
        </w:rPr>
        <w:t>Hoetker</w:t>
      </w:r>
      <w:proofErr w:type="spellEnd"/>
      <w:r w:rsidR="006E5E41" w:rsidRPr="00166361">
        <w:rPr>
          <w:rFonts w:ascii="NimbusRomNo9L" w:hAnsi="NimbusRomNo9L"/>
          <w:lang w:val="en-US"/>
        </w:rPr>
        <w:t xml:space="preserve">, 2006). </w:t>
      </w:r>
      <w:r w:rsidR="00D544CB" w:rsidRPr="00D544CB">
        <w:rPr>
          <w:rFonts w:ascii="NimbusRomNo9L" w:hAnsi="NimbusRomNo9L"/>
          <w:lang w:val="en-US"/>
        </w:rPr>
        <w:t xml:space="preserve">the presence of more lawyers might encourage </w:t>
      </w:r>
      <w:r w:rsidR="00D544CB">
        <w:rPr>
          <w:rFonts w:ascii="NimbusRomNo9L" w:hAnsi="NimbusRomNo9L"/>
          <w:lang w:val="en-US"/>
        </w:rPr>
        <w:t xml:space="preserve">frivolous </w:t>
      </w:r>
      <w:r w:rsidR="00D544CB" w:rsidRPr="00D544CB">
        <w:rPr>
          <w:rFonts w:ascii="NimbusRomNo9L" w:hAnsi="NimbusRomNo9L"/>
          <w:lang w:val="en-US"/>
        </w:rPr>
        <w:t xml:space="preserve">lawsuits, while simultaneously, </w:t>
      </w:r>
      <w:r w:rsidR="00D544CB" w:rsidRPr="00D544CB">
        <w:rPr>
          <w:rFonts w:ascii="NimbusRomNo9L" w:hAnsi="NimbusRomNo9L"/>
          <w:lang w:val="en-US"/>
        </w:rPr>
        <w:lastRenderedPageBreak/>
        <w:t>higher litigation rates could attract more lawyers to the region. This circularity can create biases in traditional statistical analyses, leading to misleading conclusions.</w:t>
      </w:r>
    </w:p>
    <w:p w14:paraId="205B4665" w14:textId="77777777" w:rsidR="0078585B" w:rsidRPr="0078585B" w:rsidRDefault="0078585B" w:rsidP="0078585B">
      <w:pPr>
        <w:ind w:firstLine="567"/>
        <w:jc w:val="both"/>
        <w:rPr>
          <w:rFonts w:ascii="NimbusRomNo9L" w:hAnsi="NimbusRomNo9L"/>
          <w:lang w:val="en-US"/>
        </w:rPr>
      </w:pPr>
      <w:r w:rsidRPr="0078585B">
        <w:rPr>
          <w:rFonts w:ascii="NimbusRomNo9L" w:hAnsi="NimbusRomNo9L"/>
          <w:lang w:val="en-US"/>
        </w:rPr>
        <w:t xml:space="preserve">One promising strategy involves utilizing historical data as instruments. This builds on the logic that past lawyer concentration levels likely influenced current litigation rates, but wouldn't be directly affected by current litigation levels due to the time lag. Notably, we were able to trace all accredited legal professionals practicing in each imperial court </w:t>
      </w:r>
      <w:r w:rsidRPr="0078585B">
        <w:rPr>
          <w:rFonts w:ascii="NimbusRomNo9L" w:hAnsi="NimbusRomNo9L"/>
          <w:bCs/>
          <w:lang w:val="en-US"/>
        </w:rPr>
        <w:t>found in the 1865 annual report on the judicial system of the Ministry of Justice in France ("</w:t>
      </w:r>
      <w:proofErr w:type="spellStart"/>
      <w:r w:rsidRPr="0078585B">
        <w:rPr>
          <w:rFonts w:ascii="NimbusRomNo9L" w:hAnsi="NimbusRomNo9L"/>
          <w:bCs/>
          <w:lang w:val="en-US"/>
        </w:rPr>
        <w:t>Compte</w:t>
      </w:r>
      <w:proofErr w:type="spellEnd"/>
      <w:r w:rsidRPr="0078585B">
        <w:rPr>
          <w:rFonts w:ascii="NimbusRomNo9L" w:hAnsi="NimbusRomNo9L"/>
          <w:bCs/>
          <w:lang w:val="en-US"/>
        </w:rPr>
        <w:t xml:space="preserve"> </w:t>
      </w:r>
      <w:proofErr w:type="spellStart"/>
      <w:r w:rsidRPr="0078585B">
        <w:rPr>
          <w:rFonts w:ascii="NimbusRomNo9L" w:hAnsi="NimbusRomNo9L"/>
          <w:bCs/>
          <w:lang w:val="en-US"/>
        </w:rPr>
        <w:t>général</w:t>
      </w:r>
      <w:proofErr w:type="spellEnd"/>
      <w:r w:rsidRPr="0078585B">
        <w:rPr>
          <w:rFonts w:ascii="NimbusRomNo9L" w:hAnsi="NimbusRomNo9L"/>
          <w:bCs/>
          <w:lang w:val="en-US"/>
        </w:rPr>
        <w:t xml:space="preserve"> de </w:t>
      </w:r>
      <w:proofErr w:type="spellStart"/>
      <w:r w:rsidRPr="0078585B">
        <w:rPr>
          <w:rFonts w:ascii="NimbusRomNo9L" w:hAnsi="NimbusRomNo9L"/>
          <w:bCs/>
          <w:lang w:val="en-US"/>
        </w:rPr>
        <w:t>l'administration</w:t>
      </w:r>
      <w:proofErr w:type="spellEnd"/>
      <w:r w:rsidRPr="0078585B">
        <w:rPr>
          <w:rFonts w:ascii="NimbusRomNo9L" w:hAnsi="NimbusRomNo9L"/>
          <w:bCs/>
          <w:lang w:val="en-US"/>
        </w:rPr>
        <w:t xml:space="preserve"> de la justice </w:t>
      </w:r>
      <w:proofErr w:type="spellStart"/>
      <w:r w:rsidRPr="0078585B">
        <w:rPr>
          <w:rFonts w:ascii="NimbusRomNo9L" w:hAnsi="NimbusRomNo9L"/>
          <w:bCs/>
          <w:lang w:val="en-US"/>
        </w:rPr>
        <w:t>civile</w:t>
      </w:r>
      <w:proofErr w:type="spellEnd"/>
      <w:r w:rsidRPr="0078585B">
        <w:rPr>
          <w:rFonts w:ascii="NimbusRomNo9L" w:hAnsi="NimbusRomNo9L"/>
          <w:bCs/>
          <w:lang w:val="en-US"/>
        </w:rPr>
        <w:t xml:space="preserve"> et </w:t>
      </w:r>
      <w:proofErr w:type="spellStart"/>
      <w:r w:rsidRPr="0078585B">
        <w:rPr>
          <w:rFonts w:ascii="NimbusRomNo9L" w:hAnsi="NimbusRomNo9L"/>
          <w:bCs/>
          <w:lang w:val="en-US"/>
        </w:rPr>
        <w:t>commerciale</w:t>
      </w:r>
      <w:proofErr w:type="spellEnd"/>
      <w:r w:rsidRPr="0078585B">
        <w:rPr>
          <w:rFonts w:ascii="NimbusRomNo9L" w:hAnsi="NimbusRomNo9L"/>
          <w:bCs/>
          <w:lang w:val="en-US"/>
        </w:rPr>
        <w:t>")</w:t>
      </w:r>
      <w:r w:rsidRPr="0078585B">
        <w:rPr>
          <w:rFonts w:ascii="NimbusRomNo9L" w:hAnsi="NimbusRomNo9L"/>
          <w:lang w:val="en-US"/>
        </w:rPr>
        <w:t xml:space="preserve"> provided by the National Library of France. This data covers the period after the reunification of France with the Duchy of Savoy and the County of Nice, and before the German annexation of Alsace-Lorraine.</w:t>
      </w:r>
    </w:p>
    <w:p w14:paraId="38FEC4A2" w14:textId="77777777" w:rsidR="0078585B" w:rsidRPr="0078585B" w:rsidRDefault="0078585B" w:rsidP="0078585B">
      <w:pPr>
        <w:ind w:firstLine="567"/>
        <w:jc w:val="both"/>
        <w:rPr>
          <w:rFonts w:ascii="NimbusRomNo9L" w:hAnsi="NimbusRomNo9L"/>
          <w:lang w:val="en-US"/>
        </w:rPr>
      </w:pPr>
      <w:r w:rsidRPr="0078585B">
        <w:rPr>
          <w:rFonts w:ascii="NimbusRomNo9L" w:hAnsi="NimbusRomNo9L"/>
          <w:lang w:val="en-US"/>
        </w:rPr>
        <w:t>The long history of lawyers in France (</w:t>
      </w:r>
      <w:proofErr w:type="spellStart"/>
      <w:r w:rsidRPr="0078585B">
        <w:rPr>
          <w:rFonts w:ascii="NimbusRomNo9L" w:hAnsi="NimbusRomNo9L"/>
          <w:lang w:val="en-US"/>
        </w:rPr>
        <w:t>Karpik</w:t>
      </w:r>
      <w:proofErr w:type="spellEnd"/>
      <w:r w:rsidRPr="0078585B">
        <w:rPr>
          <w:rFonts w:ascii="NimbusRomNo9L" w:hAnsi="NimbusRomNo9L"/>
          <w:lang w:val="en-US"/>
        </w:rPr>
        <w:t>, 1999) dates back to the thirteenth century, demonstrating long-standing traditions and stability in the legal profession. While lawyer distribution across departments shows inequality (</w:t>
      </w:r>
      <w:proofErr w:type="spellStart"/>
      <w:r w:rsidRPr="0078585B">
        <w:rPr>
          <w:rFonts w:ascii="NimbusRomNo9L" w:hAnsi="NimbusRomNo9L"/>
          <w:lang w:val="en-US"/>
        </w:rPr>
        <w:t>Boigeol</w:t>
      </w:r>
      <w:proofErr w:type="spellEnd"/>
      <w:r w:rsidRPr="0078585B">
        <w:rPr>
          <w:rFonts w:ascii="NimbusRomNo9L" w:hAnsi="NimbusRomNo9L"/>
          <w:lang w:val="en-US"/>
        </w:rPr>
        <w:t>, 2003), this likely reflects a historical "sedimentation" of institutions and cultural factors (</w:t>
      </w:r>
      <w:proofErr w:type="spellStart"/>
      <w:r w:rsidRPr="0078585B">
        <w:rPr>
          <w:rFonts w:ascii="NimbusRomNo9L" w:hAnsi="NimbusRomNo9L"/>
          <w:lang w:val="en-US"/>
        </w:rPr>
        <w:t>Karpik</w:t>
      </w:r>
      <w:proofErr w:type="spellEnd"/>
      <w:r w:rsidRPr="0078585B">
        <w:rPr>
          <w:rFonts w:ascii="NimbusRomNo9L" w:hAnsi="NimbusRomNo9L"/>
          <w:lang w:val="en-US"/>
        </w:rPr>
        <w:t>, 1988; Cohen-</w:t>
      </w:r>
      <w:proofErr w:type="spellStart"/>
      <w:r w:rsidRPr="0078585B">
        <w:rPr>
          <w:rFonts w:ascii="NimbusRomNo9L" w:hAnsi="NimbusRomNo9L"/>
          <w:lang w:val="en-US"/>
        </w:rPr>
        <w:t>Tanugi</w:t>
      </w:r>
      <w:proofErr w:type="spellEnd"/>
      <w:r w:rsidRPr="0078585B">
        <w:rPr>
          <w:rFonts w:ascii="NimbusRomNo9L" w:hAnsi="NimbusRomNo9L"/>
          <w:lang w:val="en-US"/>
        </w:rPr>
        <w:t>, 1989). France's distinct legal culture developed over centuries (</w:t>
      </w:r>
      <w:proofErr w:type="spellStart"/>
      <w:r w:rsidRPr="0078585B">
        <w:rPr>
          <w:rFonts w:ascii="NimbusRomNo9L" w:hAnsi="NimbusRomNo9L"/>
          <w:lang w:val="en-US"/>
        </w:rPr>
        <w:t>Garapon</w:t>
      </w:r>
      <w:proofErr w:type="spellEnd"/>
      <w:r w:rsidRPr="0078585B">
        <w:rPr>
          <w:rFonts w:ascii="NimbusRomNo9L" w:hAnsi="NimbusRomNo9L"/>
          <w:lang w:val="en-US"/>
        </w:rPr>
        <w:t>, 1995) within a historically stable profession (</w:t>
      </w:r>
      <w:proofErr w:type="spellStart"/>
      <w:r w:rsidRPr="0078585B">
        <w:rPr>
          <w:rFonts w:ascii="NimbusRomNo9L" w:hAnsi="NimbusRomNo9L"/>
          <w:lang w:val="en-US"/>
        </w:rPr>
        <w:t>Osiel</w:t>
      </w:r>
      <w:proofErr w:type="spellEnd"/>
      <w:r w:rsidRPr="0078585B">
        <w:rPr>
          <w:rFonts w:ascii="NimbusRomNo9L" w:hAnsi="NimbusRomNo9L"/>
          <w:lang w:val="en-US"/>
        </w:rPr>
        <w:t>, 1990).</w:t>
      </w:r>
    </w:p>
    <w:p w14:paraId="6E2A734C" w14:textId="7D22A04A" w:rsidR="006E5E41" w:rsidRPr="0080288D" w:rsidRDefault="00B26A2C" w:rsidP="00B26A2C">
      <w:pPr>
        <w:ind w:firstLine="567"/>
        <w:jc w:val="both"/>
        <w:rPr>
          <w:rFonts w:ascii="NimbusRomNo9L" w:hAnsi="NimbusRomNo9L"/>
          <w:lang w:val="en-US"/>
        </w:rPr>
      </w:pPr>
      <w:r w:rsidRPr="00B26A2C">
        <w:rPr>
          <w:rFonts w:ascii="NimbusRomNo9L" w:hAnsi="NimbusRomNo9L"/>
          <w:lang w:val="en-US"/>
        </w:rPr>
        <w:t xml:space="preserve">This historical path dependence suggests a positive link between lawyers registered with imperial courts and current legal professional concentration. </w:t>
      </w:r>
      <w:r w:rsidRPr="0080288D">
        <w:rPr>
          <w:rFonts w:ascii="NimbusRomNo9L" w:hAnsi="NimbusRomNo9L"/>
          <w:lang w:val="en-US"/>
        </w:rPr>
        <w:t>As anticipated, our data demonstrates this connection (</w:t>
      </w:r>
      <w:r w:rsidRPr="0080288D">
        <w:rPr>
          <w:rFonts w:ascii="NimbusRomNo9L" w:hAnsi="NimbusRomNo9L"/>
          <w:u w:val="single"/>
          <w:lang w:val="en-US"/>
        </w:rPr>
        <w:t>Figure 2</w:t>
      </w:r>
      <w:r w:rsidRPr="0080288D">
        <w:rPr>
          <w:rFonts w:ascii="NimbusRomNo9L" w:hAnsi="NimbusRomNo9L"/>
          <w:lang w:val="en-US"/>
        </w:rPr>
        <w:t>).</w:t>
      </w:r>
    </w:p>
    <w:p w14:paraId="6D960A24" w14:textId="77D1D567" w:rsidR="006E5E41" w:rsidRPr="00166361" w:rsidRDefault="006E5E41" w:rsidP="006E5E41">
      <w:pPr>
        <w:spacing w:before="240" w:after="240"/>
        <w:jc w:val="both"/>
        <w:rPr>
          <w:rFonts w:ascii="NimbusRomNo9L" w:hAnsi="NimbusRomNo9L"/>
          <w:sz w:val="20"/>
          <w:lang w:val="en-US"/>
        </w:rPr>
      </w:pPr>
      <w:r w:rsidRPr="00166361">
        <w:rPr>
          <w:rFonts w:ascii="NimbusRomNo9L" w:hAnsi="NimbusRomNo9L"/>
          <w:sz w:val="20"/>
          <w:lang w:val="en-US"/>
        </w:rPr>
        <w:t xml:space="preserve">Figure 2: </w:t>
      </w:r>
      <w:r w:rsidR="00116B17">
        <w:rPr>
          <w:rFonts w:ascii="NimbusRomNo9L" w:hAnsi="NimbusRomNo9L"/>
          <w:sz w:val="20"/>
          <w:lang w:val="en-US"/>
        </w:rPr>
        <w:t>The</w:t>
      </w:r>
      <w:r w:rsidRPr="00166361">
        <w:rPr>
          <w:rFonts w:ascii="NimbusRomNo9L" w:hAnsi="NimbusRomNo9L"/>
          <w:sz w:val="20"/>
          <w:lang w:val="en-US"/>
        </w:rPr>
        <w:t xml:space="preserve"> relationship between </w:t>
      </w:r>
      <w:r w:rsidR="00116B17">
        <w:rPr>
          <w:rFonts w:ascii="NimbusRomNo9L" w:hAnsi="NimbusRomNo9L"/>
          <w:sz w:val="20"/>
          <w:lang w:val="en-US"/>
        </w:rPr>
        <w:t xml:space="preserve">nowadays lawyers </w:t>
      </w:r>
      <w:r w:rsidRPr="00166361">
        <w:rPr>
          <w:rFonts w:ascii="NimbusRomNo9L" w:hAnsi="NimbusRomNo9L"/>
          <w:sz w:val="20"/>
          <w:lang w:val="en-US"/>
        </w:rPr>
        <w:t xml:space="preserve">and imperial-era </w:t>
      </w:r>
      <w:r w:rsidR="00116B17">
        <w:rPr>
          <w:rFonts w:ascii="NimbusRomNo9L" w:hAnsi="NimbusRomNo9L"/>
          <w:sz w:val="20"/>
          <w:lang w:val="en-US"/>
        </w:rPr>
        <w:t xml:space="preserve">attorneys’ </w:t>
      </w:r>
      <w:r w:rsidRPr="00166361">
        <w:rPr>
          <w:rFonts w:ascii="NimbusRomNo9L" w:hAnsi="NimbusRomNo9L"/>
          <w:sz w:val="20"/>
          <w:lang w:val="en-US"/>
        </w:rPr>
        <w:t>concentration.</w:t>
      </w:r>
    </w:p>
    <w:p w14:paraId="7E39E3BA" w14:textId="4A74A8AD" w:rsidR="006E5E41" w:rsidRPr="00166361" w:rsidRDefault="008C50BB" w:rsidP="006E5E41">
      <w:pPr>
        <w:spacing w:before="240" w:after="240"/>
        <w:jc w:val="center"/>
        <w:rPr>
          <w:rFonts w:ascii="NimbusRomNo9L" w:hAnsi="NimbusRomNo9L"/>
          <w:sz w:val="20"/>
          <w:lang w:val="en-US"/>
        </w:rPr>
      </w:pPr>
      <w:r>
        <w:rPr>
          <w:rFonts w:ascii="NimbusRomNo9L" w:hAnsi="NimbusRomNo9L"/>
          <w:noProof/>
          <w:sz w:val="20"/>
          <w:lang w:val="en-GB" w:eastAsia="en-GB"/>
        </w:rPr>
        <w:drawing>
          <wp:inline distT="0" distB="0" distL="0" distR="0" wp14:anchorId="7877DFF4" wp14:editId="5615EE5E">
            <wp:extent cx="3762981" cy="27365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 first sta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83713" cy="2751603"/>
                    </a:xfrm>
                    <a:prstGeom prst="rect">
                      <a:avLst/>
                    </a:prstGeom>
                  </pic:spPr>
                </pic:pic>
              </a:graphicData>
            </a:graphic>
          </wp:inline>
        </w:drawing>
      </w:r>
    </w:p>
    <w:p w14:paraId="300FF7B2" w14:textId="62258C5E" w:rsidR="006E5E41" w:rsidRPr="00166361" w:rsidRDefault="006E5E41" w:rsidP="006E5E41">
      <w:pPr>
        <w:spacing w:before="240" w:after="240"/>
        <w:jc w:val="both"/>
        <w:rPr>
          <w:rFonts w:ascii="NimbusRomNo9L" w:hAnsi="NimbusRomNo9L"/>
          <w:sz w:val="20"/>
          <w:lang w:val="en-US"/>
        </w:rPr>
      </w:pPr>
      <w:r w:rsidRPr="00166361">
        <w:rPr>
          <w:rFonts w:ascii="NimbusRomNo9L" w:hAnsi="NimbusRomNo9L"/>
          <w:sz w:val="20"/>
          <w:lang w:val="en-US"/>
        </w:rPr>
        <w:t>Note: The figure represents the relationship between lawyers per 100,000 inhabitants registered by the French Ministry of Justice during the imperial era and the current number of attorneys (in logarithm).</w:t>
      </w:r>
    </w:p>
    <w:p w14:paraId="6A70CB8E" w14:textId="77777777" w:rsidR="00B26A2C" w:rsidRPr="00B26A2C" w:rsidRDefault="00B26A2C" w:rsidP="00B26A2C">
      <w:pPr>
        <w:ind w:firstLine="567"/>
        <w:jc w:val="both"/>
        <w:rPr>
          <w:rFonts w:ascii="NimbusRomNo9L" w:hAnsi="NimbusRomNo9L"/>
          <w:lang w:val="en-US"/>
        </w:rPr>
      </w:pPr>
      <w:r w:rsidRPr="00B26A2C">
        <w:rPr>
          <w:rFonts w:ascii="NimbusRomNo9L" w:hAnsi="NimbusRomNo9L"/>
          <w:lang w:val="en-US"/>
        </w:rPr>
        <w:t xml:space="preserve">This positive correlation, however, isn't enough to directly use historical lawyer concentration as an instrument. While examining lagged observations could help explain current lawyer distribution (Reed, 2015), several conditions must be met. Key among them is </w:t>
      </w:r>
      <w:r w:rsidRPr="00B26A2C">
        <w:rPr>
          <w:rFonts w:ascii="NimbusRomNo9L" w:hAnsi="NimbusRomNo9L"/>
          <w:bCs/>
          <w:lang w:val="en-US"/>
        </w:rPr>
        <w:t>meeting the exclusion restriction</w:t>
      </w:r>
      <w:r w:rsidRPr="00B26A2C">
        <w:rPr>
          <w:rFonts w:ascii="NimbusRomNo9L" w:hAnsi="NimbusRomNo9L"/>
          <w:lang w:val="en-US"/>
        </w:rPr>
        <w:t>, which means the instrument should not directly affect the dependent variable (rejection rate) in our model.</w:t>
      </w:r>
    </w:p>
    <w:p w14:paraId="378F9DBA" w14:textId="296B6D09" w:rsidR="00B26A2C" w:rsidRPr="00B26A2C" w:rsidRDefault="00B26A2C" w:rsidP="00A74963">
      <w:pPr>
        <w:ind w:firstLine="567"/>
        <w:jc w:val="both"/>
        <w:rPr>
          <w:rFonts w:ascii="NimbusRomNo9L" w:hAnsi="NimbusRomNo9L"/>
          <w:lang w:val="en-US"/>
        </w:rPr>
      </w:pPr>
      <w:r>
        <w:rPr>
          <w:rFonts w:ascii="NimbusRomNo9L" w:hAnsi="NimbusRomNo9L"/>
          <w:lang w:val="en-US"/>
        </w:rPr>
        <w:t>In this regard,</w:t>
      </w:r>
      <w:r w:rsidRPr="00B26A2C">
        <w:rPr>
          <w:rFonts w:ascii="NimbusRomNo9L" w:hAnsi="NimbusRomNo9L"/>
          <w:lang w:val="en-US"/>
        </w:rPr>
        <w:t xml:space="preserve"> we perform the </w:t>
      </w:r>
      <w:proofErr w:type="spellStart"/>
      <w:r w:rsidRPr="00B26A2C">
        <w:rPr>
          <w:rFonts w:ascii="NimbusRomNo9L" w:hAnsi="NimbusRomNo9L"/>
          <w:lang w:val="en-US"/>
        </w:rPr>
        <w:t>D'Haultfoeuille</w:t>
      </w:r>
      <w:proofErr w:type="spellEnd"/>
      <w:r w:rsidRPr="00B26A2C">
        <w:rPr>
          <w:rFonts w:ascii="NimbusRomNo9L" w:hAnsi="NimbusRomNo9L"/>
          <w:lang w:val="en-US"/>
        </w:rPr>
        <w:t xml:space="preserve"> et al. (2021) test for exclusion restrictions with a single instrument. This test acts as a simple check, assessing a small causal impact in small subgroups where the instrument's influence is likely minimal </w:t>
      </w:r>
      <w:r w:rsidRPr="00B26A2C">
        <w:rPr>
          <w:rFonts w:ascii="NimbusRomNo9L" w:hAnsi="NimbusRomNo9L"/>
          <w:lang w:val="en-US"/>
        </w:rPr>
        <w:lastRenderedPageBreak/>
        <w:t>(Acemoglu et al., 2022).</w:t>
      </w:r>
      <w:r w:rsidR="00A74963">
        <w:rPr>
          <w:rFonts w:ascii="NimbusRomNo9L" w:hAnsi="NimbusRomNo9L"/>
          <w:lang w:val="en-US"/>
        </w:rPr>
        <w:t xml:space="preserve"> </w:t>
      </w:r>
      <w:r w:rsidRPr="00B26A2C">
        <w:rPr>
          <w:rFonts w:ascii="NimbusRomNo9L" w:hAnsi="NimbusRomNo9L"/>
          <w:lang w:val="en-US"/>
        </w:rPr>
        <w:t xml:space="preserve">The test, using a large number of simulations, reveals we </w:t>
      </w:r>
      <w:r w:rsidRPr="00B26A2C">
        <w:rPr>
          <w:rFonts w:ascii="NimbusRomNo9L" w:hAnsi="NimbusRomNo9L"/>
          <w:bCs/>
          <w:lang w:val="en-US"/>
        </w:rPr>
        <w:t>cannot reject the null hypothesis</w:t>
      </w:r>
      <w:r w:rsidRPr="00B26A2C">
        <w:rPr>
          <w:rFonts w:ascii="NimbusRomNo9L" w:hAnsi="NimbusRomNo9L"/>
          <w:lang w:val="en-US"/>
        </w:rPr>
        <w:t xml:space="preserve"> at the 1% significance level (KS statistic = </w:t>
      </w:r>
      <w:r w:rsidR="00761A4B" w:rsidRPr="00761A4B">
        <w:rPr>
          <w:rFonts w:ascii="NimbusRomNo9L" w:hAnsi="NimbusRomNo9L"/>
          <w:lang w:val="en-US"/>
        </w:rPr>
        <w:t>29.832</w:t>
      </w:r>
      <w:r w:rsidRPr="00B26A2C">
        <w:rPr>
          <w:rFonts w:ascii="NimbusRomNo9L" w:hAnsi="NimbusRomNo9L"/>
          <w:lang w:val="en-US"/>
        </w:rPr>
        <w:t xml:space="preserve">). This </w:t>
      </w:r>
      <w:r w:rsidR="00A74963">
        <w:rPr>
          <w:rFonts w:ascii="NimbusRomNo9L" w:hAnsi="NimbusRomNo9L"/>
          <w:lang w:val="en-US"/>
        </w:rPr>
        <w:t>signal</w:t>
      </w:r>
      <w:r w:rsidRPr="00B26A2C">
        <w:rPr>
          <w:rFonts w:ascii="NimbusRomNo9L" w:hAnsi="NimbusRomNo9L"/>
          <w:lang w:val="en-US"/>
        </w:rPr>
        <w:t xml:space="preserve"> that the</w:t>
      </w:r>
      <w:r w:rsidR="00A74963">
        <w:rPr>
          <w:rFonts w:ascii="NimbusRomNo9L" w:hAnsi="NimbusRomNo9L"/>
          <w:lang w:val="en-US"/>
        </w:rPr>
        <w:t>re is ground to consider that</w:t>
      </w:r>
      <w:r w:rsidRPr="00B26A2C">
        <w:rPr>
          <w:rFonts w:ascii="NimbusRomNo9L" w:hAnsi="NimbusRomNo9L"/>
          <w:lang w:val="en-US"/>
        </w:rPr>
        <w:t xml:space="preserve"> exclusion restrictions are met.</w:t>
      </w:r>
    </w:p>
    <w:p w14:paraId="304CFA7C" w14:textId="738975C5" w:rsidR="00A74963" w:rsidRPr="00A74963" w:rsidRDefault="00A74963" w:rsidP="00A74963">
      <w:pPr>
        <w:ind w:firstLine="567"/>
        <w:jc w:val="both"/>
        <w:rPr>
          <w:rFonts w:ascii="NimbusRomNo9L" w:hAnsi="NimbusRomNo9L"/>
          <w:lang w:val="en-US"/>
        </w:rPr>
      </w:pPr>
      <w:r w:rsidRPr="00A74963">
        <w:rPr>
          <w:rFonts w:ascii="NimbusRomNo9L" w:hAnsi="NimbusRomNo9L"/>
          <w:lang w:val="en-US"/>
        </w:rPr>
        <w:t xml:space="preserve">After establishing the theoretical rationale for our instrumental variable (IV), the next crucial step is to rigorously evaluate its strength using various diagnostic tests. These tests help us identify potential weaknesses and </w:t>
      </w:r>
      <w:proofErr w:type="spellStart"/>
      <w:r w:rsidRPr="00A74963">
        <w:rPr>
          <w:rFonts w:ascii="NimbusRomNo9L" w:hAnsi="NimbusRomNo9L"/>
          <w:lang w:val="en-US"/>
        </w:rPr>
        <w:t>underidentification</w:t>
      </w:r>
      <w:proofErr w:type="spellEnd"/>
      <w:r w:rsidRPr="00A74963">
        <w:rPr>
          <w:rFonts w:ascii="NimbusRomNo9L" w:hAnsi="NimbusRomNo9L"/>
          <w:lang w:val="en-US"/>
        </w:rPr>
        <w:t xml:space="preserve"> issues that could compromise the validity of our results. Assessing the IV's strength is essential to ensure it credibly fulfills its role as an unbiased instrument that isolates </w:t>
      </w:r>
      <w:r w:rsidR="00D50323">
        <w:rPr>
          <w:rFonts w:ascii="NimbusRomNo9L" w:hAnsi="NimbusRomNo9L"/>
          <w:lang w:val="en-US"/>
        </w:rPr>
        <w:t xml:space="preserve">any </w:t>
      </w:r>
      <w:r w:rsidRPr="00A74963">
        <w:rPr>
          <w:rFonts w:ascii="NimbusRomNo9L" w:hAnsi="NimbusRomNo9L"/>
          <w:lang w:val="en-US"/>
        </w:rPr>
        <w:t>true causal effect.</w:t>
      </w:r>
    </w:p>
    <w:p w14:paraId="3E53D7EB" w14:textId="48067A0F" w:rsidR="006E5E41" w:rsidRPr="00166361" w:rsidRDefault="006E5E41" w:rsidP="006E5E41">
      <w:pPr>
        <w:pStyle w:val="Title"/>
        <w:rPr>
          <w:rFonts w:eastAsia="Times New Roman"/>
          <w:lang w:val="en-US"/>
        </w:rPr>
      </w:pPr>
      <w:r w:rsidRPr="00166361">
        <w:rPr>
          <w:rFonts w:eastAsia="Times New Roman"/>
          <w:lang w:val="en-US"/>
        </w:rPr>
        <w:t>3. Empirical Results</w:t>
      </w:r>
    </w:p>
    <w:p w14:paraId="7C82F081" w14:textId="77777777" w:rsidR="009A6E32" w:rsidRDefault="00F003EF" w:rsidP="009A6E32">
      <w:pPr>
        <w:ind w:firstLine="567"/>
        <w:jc w:val="both"/>
        <w:rPr>
          <w:rFonts w:ascii="NimbusRomNo9L" w:hAnsi="NimbusRomNo9L"/>
          <w:lang w:val="en-US"/>
        </w:rPr>
      </w:pPr>
      <w:r>
        <w:rPr>
          <w:rFonts w:ascii="NimbusRomNo9L" w:hAnsi="NimbusRomNo9L"/>
          <w:lang w:val="en-US"/>
        </w:rPr>
        <w:t>T</w:t>
      </w:r>
      <w:r w:rsidRPr="00F003EF">
        <w:rPr>
          <w:rFonts w:ascii="NimbusRomNo9L" w:hAnsi="NimbusRomNo9L"/>
          <w:lang w:val="en-US"/>
        </w:rPr>
        <w:t xml:space="preserve">he </w:t>
      </w:r>
      <w:r w:rsidR="00D50323">
        <w:rPr>
          <w:rFonts w:ascii="NimbusRomNo9L" w:hAnsi="NimbusRomNo9L"/>
          <w:lang w:val="en-US"/>
        </w:rPr>
        <w:t xml:space="preserve">first stage of the </w:t>
      </w:r>
      <w:r w:rsidR="00E2623D">
        <w:rPr>
          <w:rFonts w:ascii="NimbusRomNo9L" w:hAnsi="NimbusRomNo9L"/>
          <w:lang w:val="en-US"/>
        </w:rPr>
        <w:t xml:space="preserve">2SLS regressions is reported in </w:t>
      </w:r>
      <w:r w:rsidR="00E2623D" w:rsidRPr="00A573FE">
        <w:rPr>
          <w:rFonts w:ascii="NimbusRomNo9L" w:hAnsi="NimbusRomNo9L"/>
          <w:u w:val="single"/>
          <w:lang w:val="en-US"/>
        </w:rPr>
        <w:t>Table 2</w:t>
      </w:r>
      <w:r w:rsidR="00E2623D">
        <w:rPr>
          <w:rFonts w:ascii="NimbusRomNo9L" w:hAnsi="NimbusRomNo9L"/>
          <w:lang w:val="en-US"/>
        </w:rPr>
        <w:t>.</w:t>
      </w:r>
      <w:r w:rsidR="00C13503">
        <w:rPr>
          <w:rFonts w:ascii="NimbusRomNo9L" w:hAnsi="NimbusRomNo9L"/>
          <w:lang w:val="en-US"/>
        </w:rPr>
        <w:t xml:space="preserve"> </w:t>
      </w:r>
      <w:r w:rsidR="00A573FE" w:rsidRPr="00A573FE">
        <w:rPr>
          <w:rFonts w:ascii="NimbusRomNo9L" w:hAnsi="NimbusRomNo9L"/>
          <w:lang w:val="en-US"/>
        </w:rPr>
        <w:t>The table presents the results of three regressions with different exclusion criteria for courts. Overall, the coefficient for the main variable of interest, "Lawyers/inhabitants (1865)", remains positive and significant across all three models, suggesting a positive relationship between historical lawyer concentration and current lawyer concentration. However, the magnitude and significance of other coefficients vary depending on the excluded courts.</w:t>
      </w:r>
      <w:r w:rsidR="009A6E32">
        <w:rPr>
          <w:rFonts w:ascii="NimbusRomNo9L" w:hAnsi="NimbusRomNo9L"/>
          <w:lang w:val="en-US"/>
        </w:rPr>
        <w:t xml:space="preserve"> In effect, the </w:t>
      </w:r>
      <w:r w:rsidR="009A6E32" w:rsidRPr="009A6E32">
        <w:rPr>
          <w:rFonts w:ascii="NimbusRomNo9L" w:hAnsi="NimbusRomNo9L"/>
          <w:lang w:val="en-US"/>
        </w:rPr>
        <w:t xml:space="preserve">coefficient magnitude decreases slightly when excluding new/merged courts and then more substantially when excluding </w:t>
      </w:r>
      <w:r w:rsidR="009A6E32">
        <w:rPr>
          <w:rFonts w:ascii="NimbusRomNo9L" w:hAnsi="NimbusRomNo9L"/>
          <w:lang w:val="en-US"/>
        </w:rPr>
        <w:t xml:space="preserve">tribunals having </w:t>
      </w:r>
      <w:r w:rsidR="009A6E32" w:rsidRPr="009A6E32">
        <w:rPr>
          <w:rFonts w:ascii="NimbusRomNo9L" w:hAnsi="NimbusRomNo9L"/>
          <w:lang w:val="en-US"/>
        </w:rPr>
        <w:t xml:space="preserve">big </w:t>
      </w:r>
      <w:r w:rsidR="009A6E32">
        <w:rPr>
          <w:rFonts w:ascii="NimbusRomNo9L" w:hAnsi="NimbusRomNo9L"/>
          <w:lang w:val="en-US"/>
        </w:rPr>
        <w:t xml:space="preserve">attorneys’ </w:t>
      </w:r>
      <w:r w:rsidR="009A6E32" w:rsidRPr="009A6E32">
        <w:rPr>
          <w:rFonts w:ascii="NimbusRomNo9L" w:hAnsi="NimbusRomNo9L"/>
          <w:lang w:val="en-US"/>
        </w:rPr>
        <w:t>bars. This suggests that these excluded courts might have higher historical lawyer concentration,</w:t>
      </w:r>
      <w:r w:rsidR="009A6E32">
        <w:rPr>
          <w:rFonts w:ascii="NimbusRomNo9L" w:hAnsi="NimbusRomNo9L"/>
          <w:lang w:val="en-US"/>
        </w:rPr>
        <w:t xml:space="preserve"> </w:t>
      </w:r>
      <w:r w:rsidR="009A6E32" w:rsidRPr="009A6E32">
        <w:rPr>
          <w:rFonts w:ascii="NimbusRomNo9L" w:hAnsi="NimbusRomNo9L"/>
          <w:lang w:val="en-US"/>
        </w:rPr>
        <w:t>influencing the overall relationship</w:t>
      </w:r>
      <w:r w:rsidR="009A6E32">
        <w:rPr>
          <w:rFonts w:ascii="NimbusRomNo9L" w:hAnsi="NimbusRomNo9L"/>
          <w:lang w:val="en-US"/>
        </w:rPr>
        <w:t xml:space="preserve">. </w:t>
      </w:r>
    </w:p>
    <w:p w14:paraId="08F5E4D6" w14:textId="2C4B6947" w:rsidR="00C13503" w:rsidRPr="00A77833" w:rsidRDefault="00A77833" w:rsidP="00A77833">
      <w:pPr>
        <w:spacing w:before="240" w:after="240"/>
        <w:jc w:val="both"/>
        <w:rPr>
          <w:rFonts w:ascii="NimbusRomNo9L" w:hAnsi="NimbusRomNo9L"/>
          <w:sz w:val="20"/>
          <w:szCs w:val="20"/>
          <w:lang w:val="en-US"/>
        </w:rPr>
      </w:pPr>
      <w:r w:rsidRPr="00166361">
        <w:rPr>
          <w:rFonts w:ascii="NimbusRomNo9L" w:hAnsi="NimbusRomNo9L"/>
          <w:sz w:val="20"/>
          <w:szCs w:val="20"/>
          <w:u w:val="single"/>
          <w:lang w:val="en-US"/>
        </w:rPr>
        <w:t>Table 2</w:t>
      </w:r>
      <w:r w:rsidRPr="00166361">
        <w:rPr>
          <w:rFonts w:ascii="NimbusRomNo9L" w:hAnsi="NimbusRomNo9L"/>
          <w:sz w:val="20"/>
          <w:szCs w:val="20"/>
          <w:lang w:val="en-US"/>
        </w:rPr>
        <w:t xml:space="preserve">: </w:t>
      </w:r>
      <w:r>
        <w:rPr>
          <w:rFonts w:ascii="NimbusRomNo9L" w:hAnsi="NimbusRomNo9L"/>
          <w:sz w:val="20"/>
          <w:szCs w:val="20"/>
          <w:lang w:val="en-US"/>
        </w:rPr>
        <w:t>First stage of the t</w:t>
      </w:r>
      <w:r w:rsidRPr="00166361">
        <w:rPr>
          <w:rFonts w:ascii="NimbusRomNo9L" w:hAnsi="NimbusRomNo9L"/>
          <w:sz w:val="20"/>
          <w:szCs w:val="20"/>
          <w:lang w:val="en-US"/>
        </w:rPr>
        <w:t xml:space="preserve">wo stage least squared </w:t>
      </w:r>
      <w:r>
        <w:rPr>
          <w:rFonts w:ascii="NimbusRomNo9L" w:hAnsi="NimbusRomNo9L"/>
          <w:sz w:val="20"/>
          <w:szCs w:val="20"/>
          <w:lang w:val="en-US"/>
        </w:rPr>
        <w:t>regressions (2SLS)</w:t>
      </w:r>
    </w:p>
    <w:tbl>
      <w:tblPr>
        <w:tblW w:w="0" w:type="auto"/>
        <w:jc w:val="center"/>
        <w:tblLayout w:type="fixed"/>
        <w:tblCellMar>
          <w:left w:w="75" w:type="dxa"/>
          <w:right w:w="75" w:type="dxa"/>
        </w:tblCellMar>
        <w:tblLook w:val="0000" w:firstRow="0" w:lastRow="0" w:firstColumn="0" w:lastColumn="0" w:noHBand="0" w:noVBand="0"/>
      </w:tblPr>
      <w:tblGrid>
        <w:gridCol w:w="3402"/>
        <w:gridCol w:w="1843"/>
        <w:gridCol w:w="1843"/>
        <w:gridCol w:w="1771"/>
      </w:tblGrid>
      <w:tr w:rsidR="00E2623D" w14:paraId="35CB5AEE" w14:textId="77777777" w:rsidTr="00202E88">
        <w:trPr>
          <w:jc w:val="center"/>
        </w:trPr>
        <w:tc>
          <w:tcPr>
            <w:tcW w:w="3402" w:type="dxa"/>
            <w:tcBorders>
              <w:top w:val="single" w:sz="6" w:space="0" w:color="auto"/>
              <w:left w:val="nil"/>
              <w:bottom w:val="nil"/>
              <w:right w:val="nil"/>
            </w:tcBorders>
          </w:tcPr>
          <w:p w14:paraId="2F08FC3D" w14:textId="77777777" w:rsidR="00E2623D" w:rsidRPr="00E2623D" w:rsidRDefault="00E2623D" w:rsidP="00DF2E5C">
            <w:pPr>
              <w:widowControl w:val="0"/>
              <w:autoSpaceDE w:val="0"/>
              <w:autoSpaceDN w:val="0"/>
              <w:adjustRightInd w:val="0"/>
              <w:rPr>
                <w:rFonts w:ascii="NimbusRomNo9L" w:hAnsi="NimbusRomNo9L"/>
                <w:spacing w:val="-20"/>
                <w:sz w:val="22"/>
                <w:lang w:val="en-US"/>
              </w:rPr>
            </w:pPr>
          </w:p>
        </w:tc>
        <w:tc>
          <w:tcPr>
            <w:tcW w:w="1843" w:type="dxa"/>
            <w:tcBorders>
              <w:top w:val="single" w:sz="6" w:space="0" w:color="auto"/>
              <w:left w:val="nil"/>
              <w:bottom w:val="nil"/>
              <w:right w:val="nil"/>
            </w:tcBorders>
          </w:tcPr>
          <w:p w14:paraId="06C17D31" w14:textId="77777777" w:rsidR="00E2623D" w:rsidRPr="00E2623D" w:rsidRDefault="00E2623D" w:rsidP="00DF2E5C">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(1)</w:t>
            </w:r>
          </w:p>
        </w:tc>
        <w:tc>
          <w:tcPr>
            <w:tcW w:w="1843" w:type="dxa"/>
            <w:tcBorders>
              <w:top w:val="single" w:sz="6" w:space="0" w:color="auto"/>
              <w:left w:val="nil"/>
              <w:bottom w:val="nil"/>
              <w:right w:val="nil"/>
            </w:tcBorders>
          </w:tcPr>
          <w:p w14:paraId="47EC69C9" w14:textId="77777777" w:rsidR="00E2623D" w:rsidRPr="00E2623D" w:rsidRDefault="00E2623D" w:rsidP="00DF2E5C">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(2)</w:t>
            </w:r>
          </w:p>
        </w:tc>
        <w:tc>
          <w:tcPr>
            <w:tcW w:w="1771" w:type="dxa"/>
            <w:tcBorders>
              <w:top w:val="single" w:sz="6" w:space="0" w:color="auto"/>
              <w:left w:val="nil"/>
              <w:bottom w:val="nil"/>
              <w:right w:val="nil"/>
            </w:tcBorders>
          </w:tcPr>
          <w:p w14:paraId="53A32B92" w14:textId="77777777" w:rsidR="00E2623D" w:rsidRPr="00E2623D" w:rsidRDefault="00E2623D" w:rsidP="00DF2E5C">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(3)</w:t>
            </w:r>
          </w:p>
        </w:tc>
      </w:tr>
      <w:tr w:rsidR="00202E88" w14:paraId="2E250EFF" w14:textId="77777777" w:rsidTr="00202E88">
        <w:trPr>
          <w:jc w:val="center"/>
        </w:trPr>
        <w:tc>
          <w:tcPr>
            <w:tcW w:w="3402" w:type="dxa"/>
            <w:tcBorders>
              <w:top w:val="nil"/>
              <w:left w:val="nil"/>
              <w:bottom w:val="single" w:sz="6" w:space="0" w:color="auto"/>
              <w:right w:val="nil"/>
            </w:tcBorders>
          </w:tcPr>
          <w:p w14:paraId="556C1C99" w14:textId="77777777" w:rsidR="00202E88" w:rsidRPr="00E2623D" w:rsidRDefault="00202E88" w:rsidP="00202E88">
            <w:pPr>
              <w:widowControl w:val="0"/>
              <w:autoSpaceDE w:val="0"/>
              <w:autoSpaceDN w:val="0"/>
              <w:adjustRightInd w:val="0"/>
              <w:rPr>
                <w:rFonts w:ascii="NimbusRomNo9L" w:hAnsi="NimbusRomNo9L"/>
                <w:spacing w:val="-20"/>
                <w:sz w:val="22"/>
                <w:lang w:val="en-US"/>
              </w:rPr>
            </w:pPr>
            <w:r w:rsidRPr="00E2623D">
              <w:rPr>
                <w:rFonts w:ascii="NimbusRomNo9L" w:hAnsi="NimbusRomNo9L"/>
                <w:spacing w:val="-20"/>
                <w:sz w:val="22"/>
                <w:lang w:val="en-US"/>
              </w:rPr>
              <w:t>VARIABLES</w:t>
            </w:r>
          </w:p>
        </w:tc>
        <w:tc>
          <w:tcPr>
            <w:tcW w:w="1843" w:type="dxa"/>
            <w:tcBorders>
              <w:top w:val="nil"/>
              <w:left w:val="nil"/>
              <w:bottom w:val="single" w:sz="6" w:space="0" w:color="auto"/>
              <w:right w:val="nil"/>
            </w:tcBorders>
          </w:tcPr>
          <w:p w14:paraId="2F920601" w14:textId="3F6EC727" w:rsidR="00202E88" w:rsidRPr="00E2623D" w:rsidRDefault="00202E88" w:rsidP="00202E88">
            <w:pPr>
              <w:widowControl w:val="0"/>
              <w:autoSpaceDE w:val="0"/>
              <w:autoSpaceDN w:val="0"/>
              <w:adjustRightInd w:val="0"/>
              <w:jc w:val="center"/>
              <w:rPr>
                <w:rFonts w:ascii="NimbusRomNo9L" w:hAnsi="NimbusRomNo9L"/>
                <w:spacing w:val="-20"/>
                <w:sz w:val="22"/>
                <w:lang w:val="en-US"/>
              </w:rPr>
            </w:pPr>
            <w:r>
              <w:rPr>
                <w:rFonts w:ascii="NimbusRomNo9L" w:hAnsi="NimbusRomNo9L"/>
                <w:spacing w:val="-20"/>
                <w:sz w:val="22"/>
                <w:lang w:val="en-US"/>
              </w:rPr>
              <w:t>Lawyers/inhabitants</w:t>
            </w:r>
          </w:p>
        </w:tc>
        <w:tc>
          <w:tcPr>
            <w:tcW w:w="1843" w:type="dxa"/>
            <w:tcBorders>
              <w:top w:val="nil"/>
              <w:left w:val="nil"/>
              <w:bottom w:val="single" w:sz="6" w:space="0" w:color="auto"/>
              <w:right w:val="nil"/>
            </w:tcBorders>
          </w:tcPr>
          <w:p w14:paraId="0FFD27D6" w14:textId="6A7B9596" w:rsidR="00202E88" w:rsidRPr="00E2623D" w:rsidRDefault="00202E88" w:rsidP="00202E88">
            <w:pPr>
              <w:widowControl w:val="0"/>
              <w:autoSpaceDE w:val="0"/>
              <w:autoSpaceDN w:val="0"/>
              <w:adjustRightInd w:val="0"/>
              <w:jc w:val="center"/>
              <w:rPr>
                <w:rFonts w:ascii="NimbusRomNo9L" w:hAnsi="NimbusRomNo9L"/>
                <w:spacing w:val="-20"/>
                <w:sz w:val="22"/>
                <w:lang w:val="en-US"/>
              </w:rPr>
            </w:pPr>
            <w:r>
              <w:rPr>
                <w:rFonts w:ascii="NimbusRomNo9L" w:hAnsi="NimbusRomNo9L"/>
                <w:spacing w:val="-20"/>
                <w:sz w:val="22"/>
                <w:lang w:val="en-US"/>
              </w:rPr>
              <w:t>Lawyers/inhabitants</w:t>
            </w:r>
          </w:p>
        </w:tc>
        <w:tc>
          <w:tcPr>
            <w:tcW w:w="1771" w:type="dxa"/>
            <w:tcBorders>
              <w:top w:val="nil"/>
              <w:left w:val="nil"/>
              <w:bottom w:val="single" w:sz="6" w:space="0" w:color="auto"/>
              <w:right w:val="nil"/>
            </w:tcBorders>
          </w:tcPr>
          <w:p w14:paraId="7DEDFD8D" w14:textId="4DA48ACA" w:rsidR="00202E88" w:rsidRPr="00E2623D" w:rsidRDefault="00202E88" w:rsidP="00202E88">
            <w:pPr>
              <w:widowControl w:val="0"/>
              <w:autoSpaceDE w:val="0"/>
              <w:autoSpaceDN w:val="0"/>
              <w:adjustRightInd w:val="0"/>
              <w:jc w:val="center"/>
              <w:rPr>
                <w:rFonts w:ascii="NimbusRomNo9L" w:hAnsi="NimbusRomNo9L"/>
                <w:spacing w:val="-20"/>
                <w:sz w:val="22"/>
                <w:lang w:val="en-US"/>
              </w:rPr>
            </w:pPr>
            <w:r>
              <w:rPr>
                <w:rFonts w:ascii="NimbusRomNo9L" w:hAnsi="NimbusRomNo9L"/>
                <w:spacing w:val="-20"/>
                <w:sz w:val="22"/>
                <w:lang w:val="en-US"/>
              </w:rPr>
              <w:t>Lawyers/inhabitants</w:t>
            </w:r>
          </w:p>
        </w:tc>
      </w:tr>
      <w:tr w:rsidR="00E2623D" w14:paraId="65AE3DEB" w14:textId="77777777" w:rsidTr="00202E88">
        <w:trPr>
          <w:jc w:val="center"/>
        </w:trPr>
        <w:tc>
          <w:tcPr>
            <w:tcW w:w="3402" w:type="dxa"/>
            <w:tcBorders>
              <w:top w:val="nil"/>
              <w:left w:val="nil"/>
              <w:bottom w:val="nil"/>
              <w:right w:val="nil"/>
            </w:tcBorders>
            <w:vAlign w:val="bottom"/>
          </w:tcPr>
          <w:p w14:paraId="607C664F" w14:textId="03A7C471" w:rsidR="00E2623D" w:rsidRPr="00E2623D" w:rsidRDefault="00202E88" w:rsidP="00E2623D">
            <w:pPr>
              <w:widowControl w:val="0"/>
              <w:autoSpaceDE w:val="0"/>
              <w:autoSpaceDN w:val="0"/>
              <w:adjustRightInd w:val="0"/>
              <w:rPr>
                <w:rFonts w:ascii="NimbusRomNo9L" w:hAnsi="NimbusRomNo9L"/>
                <w:spacing w:val="-20"/>
                <w:sz w:val="22"/>
                <w:lang w:val="en-US"/>
              </w:rPr>
            </w:pPr>
            <w:r>
              <w:rPr>
                <w:rFonts w:ascii="NimbusRomNo9L" w:hAnsi="NimbusRomNo9L"/>
                <w:spacing w:val="-20"/>
                <w:sz w:val="22"/>
                <w:lang w:val="en-US"/>
              </w:rPr>
              <w:t>Lawyers/inhabitants</w:t>
            </w:r>
            <w:r w:rsidRPr="00E2623D">
              <w:rPr>
                <w:rFonts w:ascii="NimbusRomNo9L" w:hAnsi="NimbusRomNo9L"/>
                <w:spacing w:val="-20"/>
                <w:sz w:val="22"/>
                <w:lang w:val="en-US"/>
              </w:rPr>
              <w:t xml:space="preserve"> </w:t>
            </w:r>
            <w:r>
              <w:rPr>
                <w:rFonts w:ascii="NimbusRomNo9L" w:hAnsi="NimbusRomNo9L"/>
                <w:spacing w:val="-20"/>
                <w:sz w:val="22"/>
                <w:lang w:val="en-US"/>
              </w:rPr>
              <w:t>(</w:t>
            </w:r>
            <w:r w:rsidR="00E2623D" w:rsidRPr="00E2623D">
              <w:rPr>
                <w:rFonts w:ascii="NimbusRomNo9L" w:hAnsi="NimbusRomNo9L"/>
                <w:spacing w:val="-20"/>
                <w:sz w:val="22"/>
                <w:lang w:val="en-US"/>
              </w:rPr>
              <w:t>1865</w:t>
            </w:r>
            <w:r>
              <w:rPr>
                <w:rFonts w:ascii="NimbusRomNo9L" w:hAnsi="NimbusRomNo9L"/>
                <w:spacing w:val="-20"/>
                <w:sz w:val="22"/>
                <w:lang w:val="en-US"/>
              </w:rPr>
              <w:t>)</w:t>
            </w:r>
          </w:p>
        </w:tc>
        <w:tc>
          <w:tcPr>
            <w:tcW w:w="1843" w:type="dxa"/>
            <w:tcBorders>
              <w:top w:val="nil"/>
              <w:left w:val="nil"/>
              <w:bottom w:val="nil"/>
              <w:right w:val="nil"/>
            </w:tcBorders>
          </w:tcPr>
          <w:p w14:paraId="1F6DDFA9" w14:textId="77777777" w:rsidR="00E2623D" w:rsidRPr="00E2623D" w:rsidRDefault="00E2623D" w:rsidP="00E2623D">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1.593***</w:t>
            </w:r>
          </w:p>
        </w:tc>
        <w:tc>
          <w:tcPr>
            <w:tcW w:w="1843" w:type="dxa"/>
            <w:tcBorders>
              <w:top w:val="nil"/>
              <w:left w:val="nil"/>
              <w:bottom w:val="nil"/>
              <w:right w:val="nil"/>
            </w:tcBorders>
          </w:tcPr>
          <w:p w14:paraId="552A0CA4" w14:textId="77777777" w:rsidR="00E2623D" w:rsidRPr="00E2623D" w:rsidRDefault="00E2623D" w:rsidP="00E2623D">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1.170***</w:t>
            </w:r>
          </w:p>
        </w:tc>
        <w:tc>
          <w:tcPr>
            <w:tcW w:w="1771" w:type="dxa"/>
            <w:tcBorders>
              <w:top w:val="nil"/>
              <w:left w:val="nil"/>
              <w:bottom w:val="nil"/>
              <w:right w:val="nil"/>
            </w:tcBorders>
          </w:tcPr>
          <w:p w14:paraId="4933DCE6" w14:textId="77777777" w:rsidR="00E2623D" w:rsidRPr="00E2623D" w:rsidRDefault="00E2623D" w:rsidP="00E2623D">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1.411***</w:t>
            </w:r>
          </w:p>
        </w:tc>
      </w:tr>
      <w:tr w:rsidR="00E2623D" w14:paraId="4F32CBDA" w14:textId="77777777" w:rsidTr="00202E88">
        <w:trPr>
          <w:jc w:val="center"/>
        </w:trPr>
        <w:tc>
          <w:tcPr>
            <w:tcW w:w="3402" w:type="dxa"/>
            <w:tcBorders>
              <w:top w:val="nil"/>
              <w:left w:val="nil"/>
              <w:bottom w:val="nil"/>
              <w:right w:val="nil"/>
            </w:tcBorders>
          </w:tcPr>
          <w:p w14:paraId="688A3C75" w14:textId="77777777" w:rsidR="00E2623D" w:rsidRPr="00E2623D" w:rsidRDefault="00E2623D" w:rsidP="00DF2E5C">
            <w:pPr>
              <w:widowControl w:val="0"/>
              <w:autoSpaceDE w:val="0"/>
              <w:autoSpaceDN w:val="0"/>
              <w:adjustRightInd w:val="0"/>
              <w:rPr>
                <w:rFonts w:ascii="NimbusRomNo9L" w:hAnsi="NimbusRomNo9L"/>
                <w:spacing w:val="-20"/>
                <w:sz w:val="22"/>
                <w:lang w:val="en-US"/>
              </w:rPr>
            </w:pPr>
          </w:p>
        </w:tc>
        <w:tc>
          <w:tcPr>
            <w:tcW w:w="1843" w:type="dxa"/>
            <w:tcBorders>
              <w:top w:val="nil"/>
              <w:left w:val="nil"/>
              <w:bottom w:val="nil"/>
              <w:right w:val="nil"/>
            </w:tcBorders>
          </w:tcPr>
          <w:p w14:paraId="1A3E3769" w14:textId="77777777" w:rsidR="00E2623D" w:rsidRPr="00E2623D" w:rsidRDefault="00E2623D" w:rsidP="00DF2E5C">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(0.257)</w:t>
            </w:r>
          </w:p>
        </w:tc>
        <w:tc>
          <w:tcPr>
            <w:tcW w:w="1843" w:type="dxa"/>
            <w:tcBorders>
              <w:top w:val="nil"/>
              <w:left w:val="nil"/>
              <w:bottom w:val="nil"/>
              <w:right w:val="nil"/>
            </w:tcBorders>
          </w:tcPr>
          <w:p w14:paraId="5FE087FE" w14:textId="77777777" w:rsidR="00E2623D" w:rsidRPr="00E2623D" w:rsidRDefault="00E2623D" w:rsidP="00DF2E5C">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(0.201)</w:t>
            </w:r>
          </w:p>
        </w:tc>
        <w:tc>
          <w:tcPr>
            <w:tcW w:w="1771" w:type="dxa"/>
            <w:tcBorders>
              <w:top w:val="nil"/>
              <w:left w:val="nil"/>
              <w:bottom w:val="nil"/>
              <w:right w:val="nil"/>
            </w:tcBorders>
          </w:tcPr>
          <w:p w14:paraId="43CDF4BD" w14:textId="77777777" w:rsidR="00E2623D" w:rsidRPr="00E2623D" w:rsidRDefault="00E2623D" w:rsidP="00DF2E5C">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(0.114)</w:t>
            </w:r>
          </w:p>
        </w:tc>
      </w:tr>
      <w:tr w:rsidR="00E2623D" w14:paraId="2EC0C74F" w14:textId="77777777" w:rsidTr="00202E88">
        <w:trPr>
          <w:jc w:val="center"/>
        </w:trPr>
        <w:tc>
          <w:tcPr>
            <w:tcW w:w="3402" w:type="dxa"/>
            <w:tcBorders>
              <w:top w:val="nil"/>
              <w:left w:val="nil"/>
              <w:bottom w:val="nil"/>
              <w:right w:val="nil"/>
            </w:tcBorders>
            <w:vAlign w:val="bottom"/>
          </w:tcPr>
          <w:p w14:paraId="6AC35830" w14:textId="1834AF91" w:rsidR="00E2623D" w:rsidRPr="00E2623D" w:rsidRDefault="00E2623D" w:rsidP="00E2623D">
            <w:pPr>
              <w:widowControl w:val="0"/>
              <w:autoSpaceDE w:val="0"/>
              <w:autoSpaceDN w:val="0"/>
              <w:adjustRightInd w:val="0"/>
              <w:rPr>
                <w:rFonts w:ascii="NimbusRomNo9L" w:hAnsi="NimbusRomNo9L"/>
                <w:spacing w:val="-20"/>
                <w:sz w:val="22"/>
                <w:lang w:val="en-US"/>
              </w:rPr>
            </w:pPr>
            <w:r w:rsidRPr="00E2623D">
              <w:rPr>
                <w:rFonts w:ascii="NimbusRomNo9L" w:hAnsi="NimbusRomNo9L"/>
                <w:spacing w:val="-20"/>
                <w:sz w:val="22"/>
                <w:lang w:val="en-US"/>
              </w:rPr>
              <w:t>Backlogs rate</w:t>
            </w:r>
          </w:p>
        </w:tc>
        <w:tc>
          <w:tcPr>
            <w:tcW w:w="1843" w:type="dxa"/>
            <w:tcBorders>
              <w:top w:val="nil"/>
              <w:left w:val="nil"/>
              <w:bottom w:val="nil"/>
              <w:right w:val="nil"/>
            </w:tcBorders>
          </w:tcPr>
          <w:p w14:paraId="631B1C27" w14:textId="77777777" w:rsidR="00E2623D" w:rsidRPr="00E2623D" w:rsidRDefault="00E2623D" w:rsidP="00E2623D">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-0.000132</w:t>
            </w:r>
          </w:p>
        </w:tc>
        <w:tc>
          <w:tcPr>
            <w:tcW w:w="1843" w:type="dxa"/>
            <w:tcBorders>
              <w:top w:val="nil"/>
              <w:left w:val="nil"/>
              <w:bottom w:val="nil"/>
              <w:right w:val="nil"/>
            </w:tcBorders>
          </w:tcPr>
          <w:p w14:paraId="2213E188" w14:textId="77777777" w:rsidR="00E2623D" w:rsidRPr="00E2623D" w:rsidRDefault="00E2623D" w:rsidP="00E2623D">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0.0370</w:t>
            </w:r>
          </w:p>
        </w:tc>
        <w:tc>
          <w:tcPr>
            <w:tcW w:w="1771" w:type="dxa"/>
            <w:tcBorders>
              <w:top w:val="nil"/>
              <w:left w:val="nil"/>
              <w:bottom w:val="nil"/>
              <w:right w:val="nil"/>
            </w:tcBorders>
          </w:tcPr>
          <w:p w14:paraId="6FBFDE51" w14:textId="77777777" w:rsidR="00E2623D" w:rsidRPr="00E2623D" w:rsidRDefault="00E2623D" w:rsidP="00E2623D">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-0.0676***</w:t>
            </w:r>
          </w:p>
        </w:tc>
      </w:tr>
      <w:tr w:rsidR="00E2623D" w14:paraId="61F4C0F4" w14:textId="77777777" w:rsidTr="00202E88">
        <w:trPr>
          <w:jc w:val="center"/>
        </w:trPr>
        <w:tc>
          <w:tcPr>
            <w:tcW w:w="3402" w:type="dxa"/>
            <w:tcBorders>
              <w:top w:val="nil"/>
              <w:left w:val="nil"/>
              <w:bottom w:val="nil"/>
              <w:right w:val="nil"/>
            </w:tcBorders>
          </w:tcPr>
          <w:p w14:paraId="34AADB2C" w14:textId="77777777" w:rsidR="00E2623D" w:rsidRPr="00E2623D" w:rsidRDefault="00E2623D" w:rsidP="00DF2E5C">
            <w:pPr>
              <w:widowControl w:val="0"/>
              <w:autoSpaceDE w:val="0"/>
              <w:autoSpaceDN w:val="0"/>
              <w:adjustRightInd w:val="0"/>
              <w:rPr>
                <w:rFonts w:ascii="NimbusRomNo9L" w:hAnsi="NimbusRomNo9L"/>
                <w:spacing w:val="-20"/>
                <w:sz w:val="22"/>
                <w:lang w:val="en-US"/>
              </w:rPr>
            </w:pPr>
          </w:p>
        </w:tc>
        <w:tc>
          <w:tcPr>
            <w:tcW w:w="1843" w:type="dxa"/>
            <w:tcBorders>
              <w:top w:val="nil"/>
              <w:left w:val="nil"/>
              <w:bottom w:val="nil"/>
              <w:right w:val="nil"/>
            </w:tcBorders>
          </w:tcPr>
          <w:p w14:paraId="19A6E6AD" w14:textId="77777777" w:rsidR="00E2623D" w:rsidRPr="00E2623D" w:rsidRDefault="00E2623D" w:rsidP="00DF2E5C">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(0.0659)</w:t>
            </w:r>
          </w:p>
        </w:tc>
        <w:tc>
          <w:tcPr>
            <w:tcW w:w="1843" w:type="dxa"/>
            <w:tcBorders>
              <w:top w:val="nil"/>
              <w:left w:val="nil"/>
              <w:bottom w:val="nil"/>
              <w:right w:val="nil"/>
            </w:tcBorders>
          </w:tcPr>
          <w:p w14:paraId="32EC3D76" w14:textId="77777777" w:rsidR="00E2623D" w:rsidRPr="00E2623D" w:rsidRDefault="00E2623D" w:rsidP="00DF2E5C">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(0.0670)</w:t>
            </w:r>
          </w:p>
        </w:tc>
        <w:tc>
          <w:tcPr>
            <w:tcW w:w="1771" w:type="dxa"/>
            <w:tcBorders>
              <w:top w:val="nil"/>
              <w:left w:val="nil"/>
              <w:bottom w:val="nil"/>
              <w:right w:val="nil"/>
            </w:tcBorders>
          </w:tcPr>
          <w:p w14:paraId="2BFE9DB4" w14:textId="77777777" w:rsidR="00E2623D" w:rsidRPr="00E2623D" w:rsidRDefault="00E2623D" w:rsidP="00DF2E5C">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(0.0233)</w:t>
            </w:r>
          </w:p>
        </w:tc>
      </w:tr>
      <w:tr w:rsidR="00E2623D" w14:paraId="187A09AF" w14:textId="77777777" w:rsidTr="00202E88">
        <w:trPr>
          <w:jc w:val="center"/>
        </w:trPr>
        <w:tc>
          <w:tcPr>
            <w:tcW w:w="3402" w:type="dxa"/>
            <w:tcBorders>
              <w:top w:val="nil"/>
              <w:left w:val="nil"/>
              <w:bottom w:val="nil"/>
              <w:right w:val="nil"/>
            </w:tcBorders>
            <w:vAlign w:val="bottom"/>
          </w:tcPr>
          <w:p w14:paraId="059B442F" w14:textId="3C59DA5C" w:rsidR="00E2623D" w:rsidRPr="00E2623D" w:rsidRDefault="00E2623D" w:rsidP="00E2623D">
            <w:pPr>
              <w:widowControl w:val="0"/>
              <w:autoSpaceDE w:val="0"/>
              <w:autoSpaceDN w:val="0"/>
              <w:adjustRightInd w:val="0"/>
              <w:rPr>
                <w:rFonts w:ascii="NimbusRomNo9L" w:hAnsi="NimbusRomNo9L"/>
                <w:spacing w:val="-20"/>
                <w:sz w:val="22"/>
                <w:lang w:val="en-US"/>
              </w:rPr>
            </w:pPr>
            <w:r w:rsidRPr="00E2623D">
              <w:rPr>
                <w:rFonts w:ascii="NimbusRomNo9L" w:hAnsi="NimbusRomNo9L"/>
                <w:spacing w:val="-20"/>
                <w:sz w:val="22"/>
                <w:lang w:val="en-US"/>
              </w:rPr>
              <w:t>Withdrawal rate</w:t>
            </w:r>
          </w:p>
        </w:tc>
        <w:tc>
          <w:tcPr>
            <w:tcW w:w="1843" w:type="dxa"/>
            <w:tcBorders>
              <w:top w:val="nil"/>
              <w:left w:val="nil"/>
              <w:bottom w:val="nil"/>
              <w:right w:val="nil"/>
            </w:tcBorders>
          </w:tcPr>
          <w:p w14:paraId="309375FF" w14:textId="77777777" w:rsidR="00E2623D" w:rsidRPr="00E2623D" w:rsidRDefault="00E2623D" w:rsidP="00E2623D">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-0.140</w:t>
            </w:r>
          </w:p>
        </w:tc>
        <w:tc>
          <w:tcPr>
            <w:tcW w:w="1843" w:type="dxa"/>
            <w:tcBorders>
              <w:top w:val="nil"/>
              <w:left w:val="nil"/>
              <w:bottom w:val="nil"/>
              <w:right w:val="nil"/>
            </w:tcBorders>
          </w:tcPr>
          <w:p w14:paraId="242296F3" w14:textId="77777777" w:rsidR="00E2623D" w:rsidRPr="00E2623D" w:rsidRDefault="00E2623D" w:rsidP="00E2623D">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-0.147</w:t>
            </w:r>
          </w:p>
        </w:tc>
        <w:tc>
          <w:tcPr>
            <w:tcW w:w="1771" w:type="dxa"/>
            <w:tcBorders>
              <w:top w:val="nil"/>
              <w:left w:val="nil"/>
              <w:bottom w:val="nil"/>
              <w:right w:val="nil"/>
            </w:tcBorders>
          </w:tcPr>
          <w:p w14:paraId="5E059D8D" w14:textId="77777777" w:rsidR="00E2623D" w:rsidRPr="00E2623D" w:rsidRDefault="00E2623D" w:rsidP="00E2623D">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-0.166**</w:t>
            </w:r>
          </w:p>
        </w:tc>
      </w:tr>
      <w:tr w:rsidR="00E2623D" w14:paraId="2A2311CD" w14:textId="77777777" w:rsidTr="00202E88">
        <w:trPr>
          <w:jc w:val="center"/>
        </w:trPr>
        <w:tc>
          <w:tcPr>
            <w:tcW w:w="3402" w:type="dxa"/>
            <w:tcBorders>
              <w:top w:val="nil"/>
              <w:left w:val="nil"/>
              <w:bottom w:val="nil"/>
              <w:right w:val="nil"/>
            </w:tcBorders>
          </w:tcPr>
          <w:p w14:paraId="1CD241CA" w14:textId="77777777" w:rsidR="00E2623D" w:rsidRPr="00E2623D" w:rsidRDefault="00E2623D" w:rsidP="00DF2E5C">
            <w:pPr>
              <w:widowControl w:val="0"/>
              <w:autoSpaceDE w:val="0"/>
              <w:autoSpaceDN w:val="0"/>
              <w:adjustRightInd w:val="0"/>
              <w:rPr>
                <w:rFonts w:ascii="NimbusRomNo9L" w:hAnsi="NimbusRomNo9L"/>
                <w:spacing w:val="-20"/>
                <w:sz w:val="22"/>
                <w:lang w:val="en-US"/>
              </w:rPr>
            </w:pPr>
          </w:p>
        </w:tc>
        <w:tc>
          <w:tcPr>
            <w:tcW w:w="1843" w:type="dxa"/>
            <w:tcBorders>
              <w:top w:val="nil"/>
              <w:left w:val="nil"/>
              <w:bottom w:val="nil"/>
              <w:right w:val="nil"/>
            </w:tcBorders>
          </w:tcPr>
          <w:p w14:paraId="4932933C" w14:textId="77777777" w:rsidR="00E2623D" w:rsidRPr="00E2623D" w:rsidRDefault="00E2623D" w:rsidP="00DF2E5C">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(0.148)</w:t>
            </w:r>
          </w:p>
        </w:tc>
        <w:tc>
          <w:tcPr>
            <w:tcW w:w="1843" w:type="dxa"/>
            <w:tcBorders>
              <w:top w:val="nil"/>
              <w:left w:val="nil"/>
              <w:bottom w:val="nil"/>
              <w:right w:val="nil"/>
            </w:tcBorders>
          </w:tcPr>
          <w:p w14:paraId="34474F1F" w14:textId="77777777" w:rsidR="00E2623D" w:rsidRPr="00E2623D" w:rsidRDefault="00E2623D" w:rsidP="00DF2E5C">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(0.147)</w:t>
            </w:r>
          </w:p>
        </w:tc>
        <w:tc>
          <w:tcPr>
            <w:tcW w:w="1771" w:type="dxa"/>
            <w:tcBorders>
              <w:top w:val="nil"/>
              <w:left w:val="nil"/>
              <w:bottom w:val="nil"/>
              <w:right w:val="nil"/>
            </w:tcBorders>
          </w:tcPr>
          <w:p w14:paraId="2EB32870" w14:textId="77777777" w:rsidR="00E2623D" w:rsidRPr="00E2623D" w:rsidRDefault="00E2623D" w:rsidP="00DF2E5C">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(0.0778)</w:t>
            </w:r>
          </w:p>
        </w:tc>
      </w:tr>
      <w:tr w:rsidR="00E2623D" w14:paraId="0E1538DD" w14:textId="77777777" w:rsidTr="00202E88">
        <w:trPr>
          <w:jc w:val="center"/>
        </w:trPr>
        <w:tc>
          <w:tcPr>
            <w:tcW w:w="3402" w:type="dxa"/>
            <w:tcBorders>
              <w:top w:val="nil"/>
              <w:left w:val="nil"/>
              <w:bottom w:val="nil"/>
              <w:right w:val="nil"/>
            </w:tcBorders>
            <w:vAlign w:val="bottom"/>
          </w:tcPr>
          <w:p w14:paraId="1E6EB965" w14:textId="49550108" w:rsidR="00E2623D" w:rsidRPr="00E2623D" w:rsidRDefault="00E2623D" w:rsidP="00E2623D">
            <w:pPr>
              <w:widowControl w:val="0"/>
              <w:autoSpaceDE w:val="0"/>
              <w:autoSpaceDN w:val="0"/>
              <w:adjustRightInd w:val="0"/>
              <w:rPr>
                <w:rFonts w:ascii="NimbusRomNo9L" w:hAnsi="NimbusRomNo9L"/>
                <w:spacing w:val="-20"/>
                <w:sz w:val="22"/>
                <w:lang w:val="en-US"/>
              </w:rPr>
            </w:pPr>
            <w:r w:rsidRPr="00E2623D">
              <w:rPr>
                <w:rFonts w:ascii="NimbusRomNo9L" w:hAnsi="NimbusRomNo9L"/>
                <w:spacing w:val="-20"/>
                <w:sz w:val="22"/>
                <w:lang w:val="en-US"/>
              </w:rPr>
              <w:t>Duration of cases (in months)</w:t>
            </w:r>
          </w:p>
        </w:tc>
        <w:tc>
          <w:tcPr>
            <w:tcW w:w="1843" w:type="dxa"/>
            <w:tcBorders>
              <w:top w:val="nil"/>
              <w:left w:val="nil"/>
              <w:bottom w:val="nil"/>
              <w:right w:val="nil"/>
            </w:tcBorders>
          </w:tcPr>
          <w:p w14:paraId="18CB1BF4" w14:textId="77777777" w:rsidR="00E2623D" w:rsidRPr="00E2623D" w:rsidRDefault="00E2623D" w:rsidP="00E2623D">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1.056</w:t>
            </w:r>
          </w:p>
        </w:tc>
        <w:tc>
          <w:tcPr>
            <w:tcW w:w="1843" w:type="dxa"/>
            <w:tcBorders>
              <w:top w:val="nil"/>
              <w:left w:val="nil"/>
              <w:bottom w:val="nil"/>
              <w:right w:val="nil"/>
            </w:tcBorders>
          </w:tcPr>
          <w:p w14:paraId="42FC2553" w14:textId="77777777" w:rsidR="00E2623D" w:rsidRPr="00E2623D" w:rsidRDefault="00E2623D" w:rsidP="00E2623D">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1.555</w:t>
            </w:r>
          </w:p>
        </w:tc>
        <w:tc>
          <w:tcPr>
            <w:tcW w:w="1771" w:type="dxa"/>
            <w:tcBorders>
              <w:top w:val="nil"/>
              <w:left w:val="nil"/>
              <w:bottom w:val="nil"/>
              <w:right w:val="nil"/>
            </w:tcBorders>
          </w:tcPr>
          <w:p w14:paraId="5E30B824" w14:textId="77777777" w:rsidR="00E2623D" w:rsidRPr="00E2623D" w:rsidRDefault="00E2623D" w:rsidP="00E2623D">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2.478***</w:t>
            </w:r>
          </w:p>
        </w:tc>
      </w:tr>
      <w:tr w:rsidR="00E2623D" w14:paraId="3F65252E" w14:textId="77777777" w:rsidTr="00202E88">
        <w:trPr>
          <w:jc w:val="center"/>
        </w:trPr>
        <w:tc>
          <w:tcPr>
            <w:tcW w:w="3402" w:type="dxa"/>
            <w:tcBorders>
              <w:top w:val="nil"/>
              <w:left w:val="nil"/>
              <w:bottom w:val="nil"/>
              <w:right w:val="nil"/>
            </w:tcBorders>
          </w:tcPr>
          <w:p w14:paraId="5F332C75" w14:textId="77777777" w:rsidR="00E2623D" w:rsidRPr="00E2623D" w:rsidRDefault="00E2623D" w:rsidP="00DF2E5C">
            <w:pPr>
              <w:widowControl w:val="0"/>
              <w:autoSpaceDE w:val="0"/>
              <w:autoSpaceDN w:val="0"/>
              <w:adjustRightInd w:val="0"/>
              <w:rPr>
                <w:rFonts w:ascii="NimbusRomNo9L" w:hAnsi="NimbusRomNo9L"/>
                <w:spacing w:val="-20"/>
                <w:sz w:val="22"/>
                <w:lang w:val="en-US"/>
              </w:rPr>
            </w:pPr>
          </w:p>
        </w:tc>
        <w:tc>
          <w:tcPr>
            <w:tcW w:w="1843" w:type="dxa"/>
            <w:tcBorders>
              <w:top w:val="nil"/>
              <w:left w:val="nil"/>
              <w:bottom w:val="nil"/>
              <w:right w:val="nil"/>
            </w:tcBorders>
          </w:tcPr>
          <w:p w14:paraId="493D6ADB" w14:textId="77777777" w:rsidR="00E2623D" w:rsidRPr="00E2623D" w:rsidRDefault="00E2623D" w:rsidP="00DF2E5C">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(0.934)</w:t>
            </w:r>
          </w:p>
        </w:tc>
        <w:tc>
          <w:tcPr>
            <w:tcW w:w="1843" w:type="dxa"/>
            <w:tcBorders>
              <w:top w:val="nil"/>
              <w:left w:val="nil"/>
              <w:bottom w:val="nil"/>
              <w:right w:val="nil"/>
            </w:tcBorders>
          </w:tcPr>
          <w:p w14:paraId="5439320B" w14:textId="77777777" w:rsidR="00E2623D" w:rsidRPr="00E2623D" w:rsidRDefault="00E2623D" w:rsidP="00DF2E5C">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(0.951)</w:t>
            </w:r>
          </w:p>
        </w:tc>
        <w:tc>
          <w:tcPr>
            <w:tcW w:w="1771" w:type="dxa"/>
            <w:tcBorders>
              <w:top w:val="nil"/>
              <w:left w:val="nil"/>
              <w:bottom w:val="nil"/>
              <w:right w:val="nil"/>
            </w:tcBorders>
          </w:tcPr>
          <w:p w14:paraId="3141ABB6" w14:textId="77777777" w:rsidR="00E2623D" w:rsidRPr="00E2623D" w:rsidRDefault="00E2623D" w:rsidP="00DF2E5C">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(0.444)</w:t>
            </w:r>
          </w:p>
        </w:tc>
      </w:tr>
      <w:tr w:rsidR="00E2623D" w14:paraId="1E6F4202" w14:textId="77777777" w:rsidTr="00202E88">
        <w:trPr>
          <w:jc w:val="center"/>
        </w:trPr>
        <w:tc>
          <w:tcPr>
            <w:tcW w:w="3402" w:type="dxa"/>
            <w:tcBorders>
              <w:top w:val="nil"/>
              <w:left w:val="nil"/>
              <w:bottom w:val="nil"/>
              <w:right w:val="nil"/>
            </w:tcBorders>
          </w:tcPr>
          <w:p w14:paraId="26503B2A" w14:textId="17669A90" w:rsidR="00E2623D" w:rsidRPr="00E2623D" w:rsidRDefault="00E2623D" w:rsidP="00DF2E5C">
            <w:pPr>
              <w:widowControl w:val="0"/>
              <w:autoSpaceDE w:val="0"/>
              <w:autoSpaceDN w:val="0"/>
              <w:adjustRightInd w:val="0"/>
              <w:rPr>
                <w:rFonts w:ascii="NimbusRomNo9L" w:hAnsi="NimbusRomNo9L"/>
                <w:spacing w:val="-20"/>
                <w:sz w:val="22"/>
                <w:lang w:val="en-US"/>
              </w:rPr>
            </w:pPr>
            <w:r w:rsidRPr="00E2623D">
              <w:rPr>
                <w:rFonts w:ascii="NimbusRomNo9L" w:hAnsi="NimbusRomNo9L"/>
                <w:spacing w:val="-20"/>
                <w:sz w:val="22"/>
                <w:lang w:val="en-US"/>
              </w:rPr>
              <w:t>Population density</w:t>
            </w:r>
          </w:p>
        </w:tc>
        <w:tc>
          <w:tcPr>
            <w:tcW w:w="1843" w:type="dxa"/>
            <w:tcBorders>
              <w:top w:val="nil"/>
              <w:left w:val="nil"/>
              <w:bottom w:val="nil"/>
              <w:right w:val="nil"/>
            </w:tcBorders>
          </w:tcPr>
          <w:p w14:paraId="6EFA91D9" w14:textId="77777777" w:rsidR="00E2623D" w:rsidRPr="00E2623D" w:rsidRDefault="00E2623D" w:rsidP="00DF2E5C">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0.0433***</w:t>
            </w:r>
          </w:p>
        </w:tc>
        <w:tc>
          <w:tcPr>
            <w:tcW w:w="1843" w:type="dxa"/>
            <w:tcBorders>
              <w:top w:val="nil"/>
              <w:left w:val="nil"/>
              <w:bottom w:val="nil"/>
              <w:right w:val="nil"/>
            </w:tcBorders>
          </w:tcPr>
          <w:p w14:paraId="1DBA18A3" w14:textId="77777777" w:rsidR="00E2623D" w:rsidRPr="00E2623D" w:rsidRDefault="00E2623D" w:rsidP="00DF2E5C">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0.0437***</w:t>
            </w:r>
          </w:p>
        </w:tc>
        <w:tc>
          <w:tcPr>
            <w:tcW w:w="1771" w:type="dxa"/>
            <w:tcBorders>
              <w:top w:val="nil"/>
              <w:left w:val="nil"/>
              <w:bottom w:val="nil"/>
              <w:right w:val="nil"/>
            </w:tcBorders>
          </w:tcPr>
          <w:p w14:paraId="074FE0C9" w14:textId="77777777" w:rsidR="00E2623D" w:rsidRPr="00E2623D" w:rsidRDefault="00E2623D" w:rsidP="00DF2E5C">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0.00816***</w:t>
            </w:r>
          </w:p>
        </w:tc>
      </w:tr>
      <w:tr w:rsidR="00E2623D" w14:paraId="4F651236" w14:textId="77777777" w:rsidTr="00202E88">
        <w:trPr>
          <w:jc w:val="center"/>
        </w:trPr>
        <w:tc>
          <w:tcPr>
            <w:tcW w:w="3402" w:type="dxa"/>
            <w:tcBorders>
              <w:top w:val="nil"/>
              <w:left w:val="nil"/>
              <w:bottom w:val="nil"/>
              <w:right w:val="nil"/>
            </w:tcBorders>
          </w:tcPr>
          <w:p w14:paraId="2D44090A" w14:textId="77777777" w:rsidR="00E2623D" w:rsidRPr="00E2623D" w:rsidRDefault="00E2623D" w:rsidP="00DF2E5C">
            <w:pPr>
              <w:widowControl w:val="0"/>
              <w:autoSpaceDE w:val="0"/>
              <w:autoSpaceDN w:val="0"/>
              <w:adjustRightInd w:val="0"/>
              <w:rPr>
                <w:rFonts w:ascii="NimbusRomNo9L" w:hAnsi="NimbusRomNo9L"/>
                <w:spacing w:val="-20"/>
                <w:sz w:val="22"/>
                <w:lang w:val="en-US"/>
              </w:rPr>
            </w:pPr>
          </w:p>
        </w:tc>
        <w:tc>
          <w:tcPr>
            <w:tcW w:w="1843" w:type="dxa"/>
            <w:tcBorders>
              <w:top w:val="nil"/>
              <w:left w:val="nil"/>
              <w:bottom w:val="nil"/>
              <w:right w:val="nil"/>
            </w:tcBorders>
          </w:tcPr>
          <w:p w14:paraId="261B94F5" w14:textId="77777777" w:rsidR="00E2623D" w:rsidRPr="00E2623D" w:rsidRDefault="00E2623D" w:rsidP="00DF2E5C">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(0.00383)</w:t>
            </w:r>
          </w:p>
        </w:tc>
        <w:tc>
          <w:tcPr>
            <w:tcW w:w="1843" w:type="dxa"/>
            <w:tcBorders>
              <w:top w:val="nil"/>
              <w:left w:val="nil"/>
              <w:bottom w:val="nil"/>
              <w:right w:val="nil"/>
            </w:tcBorders>
          </w:tcPr>
          <w:p w14:paraId="0B2E4A0F" w14:textId="77777777" w:rsidR="00E2623D" w:rsidRPr="00E2623D" w:rsidRDefault="00E2623D" w:rsidP="00DF2E5C">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(0.00374)</w:t>
            </w:r>
          </w:p>
        </w:tc>
        <w:tc>
          <w:tcPr>
            <w:tcW w:w="1771" w:type="dxa"/>
            <w:tcBorders>
              <w:top w:val="nil"/>
              <w:left w:val="nil"/>
              <w:bottom w:val="nil"/>
              <w:right w:val="nil"/>
            </w:tcBorders>
          </w:tcPr>
          <w:p w14:paraId="09DBC6C4" w14:textId="77777777" w:rsidR="00E2623D" w:rsidRPr="00E2623D" w:rsidRDefault="00E2623D" w:rsidP="00DF2E5C">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(0.000425)</w:t>
            </w:r>
          </w:p>
        </w:tc>
      </w:tr>
      <w:tr w:rsidR="00E2623D" w14:paraId="4A63CFF5" w14:textId="77777777" w:rsidTr="00202E88">
        <w:trPr>
          <w:jc w:val="center"/>
        </w:trPr>
        <w:tc>
          <w:tcPr>
            <w:tcW w:w="3402" w:type="dxa"/>
            <w:tcBorders>
              <w:top w:val="nil"/>
              <w:left w:val="nil"/>
              <w:bottom w:val="nil"/>
              <w:right w:val="nil"/>
            </w:tcBorders>
          </w:tcPr>
          <w:p w14:paraId="7378869E" w14:textId="21AA9AF9" w:rsidR="00E2623D" w:rsidRPr="00E2623D" w:rsidRDefault="00E2623D" w:rsidP="00DF2E5C">
            <w:pPr>
              <w:widowControl w:val="0"/>
              <w:autoSpaceDE w:val="0"/>
              <w:autoSpaceDN w:val="0"/>
              <w:adjustRightInd w:val="0"/>
              <w:rPr>
                <w:rFonts w:ascii="NimbusRomNo9L" w:hAnsi="NimbusRomNo9L"/>
                <w:spacing w:val="-20"/>
                <w:sz w:val="22"/>
                <w:lang w:val="en-US"/>
              </w:rPr>
            </w:pPr>
            <w:proofErr w:type="spellStart"/>
            <w:r>
              <w:rPr>
                <w:rFonts w:ascii="NimbusRomNo9L" w:hAnsi="NimbusRomNo9L"/>
                <w:spacing w:val="-20"/>
                <w:sz w:val="22"/>
                <w:lang w:val="en-US"/>
              </w:rPr>
              <w:t>Un</w:t>
            </w:r>
            <w:r w:rsidRPr="00E2623D">
              <w:rPr>
                <w:rFonts w:ascii="NimbusRomNo9L" w:hAnsi="NimbusRomNo9L"/>
                <w:spacing w:val="-20"/>
                <w:sz w:val="22"/>
                <w:lang w:val="en-US"/>
              </w:rPr>
              <w:t>ep</w:t>
            </w:r>
            <w:r>
              <w:rPr>
                <w:rFonts w:ascii="NimbusRomNo9L" w:hAnsi="NimbusRomNo9L"/>
                <w:spacing w:val="-20"/>
                <w:sz w:val="22"/>
                <w:lang w:val="en-US"/>
              </w:rPr>
              <w:t>loyment</w:t>
            </w:r>
            <w:proofErr w:type="spellEnd"/>
            <w:r>
              <w:rPr>
                <w:rFonts w:ascii="NimbusRomNo9L" w:hAnsi="NimbusRomNo9L"/>
                <w:spacing w:val="-20"/>
                <w:sz w:val="22"/>
                <w:lang w:val="en-US"/>
              </w:rPr>
              <w:t xml:space="preserve"> rate</w:t>
            </w:r>
          </w:p>
        </w:tc>
        <w:tc>
          <w:tcPr>
            <w:tcW w:w="1843" w:type="dxa"/>
            <w:tcBorders>
              <w:top w:val="nil"/>
              <w:left w:val="nil"/>
              <w:bottom w:val="nil"/>
              <w:right w:val="nil"/>
            </w:tcBorders>
          </w:tcPr>
          <w:p w14:paraId="71D155E7" w14:textId="77777777" w:rsidR="00E2623D" w:rsidRPr="00E2623D" w:rsidRDefault="00E2623D" w:rsidP="00DF2E5C">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1.303</w:t>
            </w:r>
          </w:p>
        </w:tc>
        <w:tc>
          <w:tcPr>
            <w:tcW w:w="1843" w:type="dxa"/>
            <w:tcBorders>
              <w:top w:val="nil"/>
              <w:left w:val="nil"/>
              <w:bottom w:val="nil"/>
              <w:right w:val="nil"/>
            </w:tcBorders>
          </w:tcPr>
          <w:p w14:paraId="06D97E86" w14:textId="77777777" w:rsidR="00E2623D" w:rsidRPr="00E2623D" w:rsidRDefault="00E2623D" w:rsidP="00DF2E5C">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-0.331</w:t>
            </w:r>
          </w:p>
        </w:tc>
        <w:tc>
          <w:tcPr>
            <w:tcW w:w="1771" w:type="dxa"/>
            <w:tcBorders>
              <w:top w:val="nil"/>
              <w:left w:val="nil"/>
              <w:bottom w:val="nil"/>
              <w:right w:val="nil"/>
            </w:tcBorders>
          </w:tcPr>
          <w:p w14:paraId="60D79B0B" w14:textId="77777777" w:rsidR="00E2623D" w:rsidRPr="00E2623D" w:rsidRDefault="00E2623D" w:rsidP="00DF2E5C">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-1.251***</w:t>
            </w:r>
          </w:p>
        </w:tc>
      </w:tr>
      <w:tr w:rsidR="00E2623D" w14:paraId="311984DF" w14:textId="77777777" w:rsidTr="00202E88">
        <w:trPr>
          <w:jc w:val="center"/>
        </w:trPr>
        <w:tc>
          <w:tcPr>
            <w:tcW w:w="3402" w:type="dxa"/>
            <w:tcBorders>
              <w:top w:val="nil"/>
              <w:left w:val="nil"/>
              <w:bottom w:val="nil"/>
              <w:right w:val="nil"/>
            </w:tcBorders>
          </w:tcPr>
          <w:p w14:paraId="722DD779" w14:textId="77777777" w:rsidR="00E2623D" w:rsidRPr="00E2623D" w:rsidRDefault="00E2623D" w:rsidP="00DF2E5C">
            <w:pPr>
              <w:widowControl w:val="0"/>
              <w:autoSpaceDE w:val="0"/>
              <w:autoSpaceDN w:val="0"/>
              <w:adjustRightInd w:val="0"/>
              <w:rPr>
                <w:rFonts w:ascii="NimbusRomNo9L" w:hAnsi="NimbusRomNo9L"/>
                <w:spacing w:val="-20"/>
                <w:sz w:val="22"/>
                <w:lang w:val="en-US"/>
              </w:rPr>
            </w:pPr>
          </w:p>
        </w:tc>
        <w:tc>
          <w:tcPr>
            <w:tcW w:w="1843" w:type="dxa"/>
            <w:tcBorders>
              <w:top w:val="nil"/>
              <w:left w:val="nil"/>
              <w:bottom w:val="nil"/>
              <w:right w:val="nil"/>
            </w:tcBorders>
          </w:tcPr>
          <w:p w14:paraId="63B02541" w14:textId="77777777" w:rsidR="00E2623D" w:rsidRPr="00E2623D" w:rsidRDefault="00E2623D" w:rsidP="00DF2E5C">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(0.928)</w:t>
            </w:r>
          </w:p>
        </w:tc>
        <w:tc>
          <w:tcPr>
            <w:tcW w:w="1843" w:type="dxa"/>
            <w:tcBorders>
              <w:top w:val="nil"/>
              <w:left w:val="nil"/>
              <w:bottom w:val="nil"/>
              <w:right w:val="nil"/>
            </w:tcBorders>
          </w:tcPr>
          <w:p w14:paraId="779228D1" w14:textId="77777777" w:rsidR="00E2623D" w:rsidRPr="00E2623D" w:rsidRDefault="00E2623D" w:rsidP="00DF2E5C">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(0.701)</w:t>
            </w:r>
          </w:p>
        </w:tc>
        <w:tc>
          <w:tcPr>
            <w:tcW w:w="1771" w:type="dxa"/>
            <w:tcBorders>
              <w:top w:val="nil"/>
              <w:left w:val="nil"/>
              <w:bottom w:val="nil"/>
              <w:right w:val="nil"/>
            </w:tcBorders>
          </w:tcPr>
          <w:p w14:paraId="3D34E3F2" w14:textId="77777777" w:rsidR="00E2623D" w:rsidRPr="00E2623D" w:rsidRDefault="00E2623D" w:rsidP="00DF2E5C">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(0.366)</w:t>
            </w:r>
          </w:p>
        </w:tc>
      </w:tr>
      <w:tr w:rsidR="00E2623D" w14:paraId="42C6FF84" w14:textId="77777777" w:rsidTr="00202E88">
        <w:trPr>
          <w:jc w:val="center"/>
        </w:trPr>
        <w:tc>
          <w:tcPr>
            <w:tcW w:w="3402" w:type="dxa"/>
            <w:tcBorders>
              <w:top w:val="nil"/>
              <w:left w:val="nil"/>
              <w:bottom w:val="nil"/>
              <w:right w:val="nil"/>
            </w:tcBorders>
          </w:tcPr>
          <w:p w14:paraId="3B0B1D34" w14:textId="56356F23" w:rsidR="00E2623D" w:rsidRPr="00E2623D" w:rsidRDefault="00E2623D" w:rsidP="00DF2E5C">
            <w:pPr>
              <w:widowControl w:val="0"/>
              <w:autoSpaceDE w:val="0"/>
              <w:autoSpaceDN w:val="0"/>
              <w:adjustRightInd w:val="0"/>
              <w:rPr>
                <w:rFonts w:ascii="NimbusRomNo9L" w:hAnsi="NimbusRomNo9L"/>
                <w:spacing w:val="-20"/>
                <w:sz w:val="22"/>
                <w:lang w:val="en-US"/>
              </w:rPr>
            </w:pPr>
            <w:r>
              <w:rPr>
                <w:rFonts w:ascii="NimbusRomNo9L" w:hAnsi="NimbusRomNo9L"/>
                <w:spacing w:val="-20"/>
                <w:sz w:val="22"/>
                <w:lang w:val="en-US"/>
              </w:rPr>
              <w:t>G</w:t>
            </w:r>
            <w:r w:rsidRPr="00E2623D">
              <w:rPr>
                <w:rFonts w:ascii="NimbusRomNo9L" w:hAnsi="NimbusRomNo9L"/>
                <w:spacing w:val="-20"/>
                <w:sz w:val="22"/>
                <w:lang w:val="en-US"/>
              </w:rPr>
              <w:t>ap</w:t>
            </w:r>
            <w:r>
              <w:rPr>
                <w:rFonts w:ascii="NimbusRomNo9L" w:hAnsi="NimbusRomNo9L"/>
                <w:spacing w:val="-20"/>
                <w:sz w:val="22"/>
                <w:lang w:val="en-US"/>
              </w:rPr>
              <w:t xml:space="preserve"> </w:t>
            </w:r>
            <w:r w:rsidRPr="00E2623D">
              <w:rPr>
                <w:rFonts w:ascii="NimbusRomNo9L" w:hAnsi="NimbusRomNo9L"/>
                <w:spacing w:val="-20"/>
                <w:sz w:val="22"/>
                <w:lang w:val="en-US"/>
              </w:rPr>
              <w:t>rich</w:t>
            </w:r>
            <w:r>
              <w:rPr>
                <w:rFonts w:ascii="NimbusRomNo9L" w:hAnsi="NimbusRomNo9L"/>
                <w:spacing w:val="-20"/>
                <w:sz w:val="22"/>
                <w:lang w:val="en-US"/>
              </w:rPr>
              <w:t xml:space="preserve"> and </w:t>
            </w:r>
            <w:r w:rsidRPr="00E2623D">
              <w:rPr>
                <w:rFonts w:ascii="NimbusRomNo9L" w:hAnsi="NimbusRomNo9L"/>
                <w:spacing w:val="-20"/>
                <w:sz w:val="22"/>
                <w:lang w:val="en-US"/>
              </w:rPr>
              <w:t>poor</w:t>
            </w:r>
            <w:r>
              <w:rPr>
                <w:rFonts w:ascii="NimbusRomNo9L" w:hAnsi="NimbusRomNo9L"/>
                <w:spacing w:val="-20"/>
                <w:sz w:val="22"/>
                <w:lang w:val="en-US"/>
              </w:rPr>
              <w:t xml:space="preserve"> revenues</w:t>
            </w:r>
          </w:p>
        </w:tc>
        <w:tc>
          <w:tcPr>
            <w:tcW w:w="1843" w:type="dxa"/>
            <w:tcBorders>
              <w:top w:val="nil"/>
              <w:left w:val="nil"/>
              <w:bottom w:val="nil"/>
              <w:right w:val="nil"/>
            </w:tcBorders>
          </w:tcPr>
          <w:p w14:paraId="346C2497" w14:textId="77777777" w:rsidR="00E2623D" w:rsidRPr="00E2623D" w:rsidRDefault="00E2623D" w:rsidP="00DF2E5C">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-0.000245</w:t>
            </w:r>
          </w:p>
        </w:tc>
        <w:tc>
          <w:tcPr>
            <w:tcW w:w="1843" w:type="dxa"/>
            <w:tcBorders>
              <w:top w:val="nil"/>
              <w:left w:val="nil"/>
              <w:bottom w:val="nil"/>
              <w:right w:val="nil"/>
            </w:tcBorders>
          </w:tcPr>
          <w:p w14:paraId="33C48062" w14:textId="77777777" w:rsidR="00E2623D" w:rsidRPr="00E2623D" w:rsidRDefault="00E2623D" w:rsidP="00DF2E5C">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0.000103</w:t>
            </w:r>
          </w:p>
        </w:tc>
        <w:tc>
          <w:tcPr>
            <w:tcW w:w="1771" w:type="dxa"/>
            <w:tcBorders>
              <w:top w:val="nil"/>
              <w:left w:val="nil"/>
              <w:bottom w:val="nil"/>
              <w:right w:val="nil"/>
            </w:tcBorders>
          </w:tcPr>
          <w:p w14:paraId="147E0D0A" w14:textId="77777777" w:rsidR="00E2623D" w:rsidRPr="00E2623D" w:rsidRDefault="00E2623D" w:rsidP="00DF2E5C">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-0.000753***</w:t>
            </w:r>
          </w:p>
        </w:tc>
      </w:tr>
      <w:tr w:rsidR="00E2623D" w14:paraId="1B66CBB2" w14:textId="77777777" w:rsidTr="00202E88">
        <w:trPr>
          <w:jc w:val="center"/>
        </w:trPr>
        <w:tc>
          <w:tcPr>
            <w:tcW w:w="3402" w:type="dxa"/>
            <w:tcBorders>
              <w:top w:val="nil"/>
              <w:left w:val="nil"/>
              <w:bottom w:val="nil"/>
              <w:right w:val="nil"/>
            </w:tcBorders>
          </w:tcPr>
          <w:p w14:paraId="67453E59" w14:textId="77777777" w:rsidR="00E2623D" w:rsidRPr="00E2623D" w:rsidRDefault="00E2623D" w:rsidP="00DF2E5C">
            <w:pPr>
              <w:widowControl w:val="0"/>
              <w:autoSpaceDE w:val="0"/>
              <w:autoSpaceDN w:val="0"/>
              <w:adjustRightInd w:val="0"/>
              <w:rPr>
                <w:rFonts w:ascii="NimbusRomNo9L" w:hAnsi="NimbusRomNo9L"/>
                <w:spacing w:val="-20"/>
                <w:sz w:val="22"/>
                <w:lang w:val="en-US"/>
              </w:rPr>
            </w:pPr>
          </w:p>
        </w:tc>
        <w:tc>
          <w:tcPr>
            <w:tcW w:w="1843" w:type="dxa"/>
            <w:tcBorders>
              <w:top w:val="nil"/>
              <w:left w:val="nil"/>
              <w:bottom w:val="nil"/>
              <w:right w:val="nil"/>
            </w:tcBorders>
          </w:tcPr>
          <w:p w14:paraId="6675BC8A" w14:textId="77777777" w:rsidR="00E2623D" w:rsidRPr="00E2623D" w:rsidRDefault="00E2623D" w:rsidP="00DF2E5C">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(0.000634)</w:t>
            </w:r>
          </w:p>
        </w:tc>
        <w:tc>
          <w:tcPr>
            <w:tcW w:w="1843" w:type="dxa"/>
            <w:tcBorders>
              <w:top w:val="nil"/>
              <w:left w:val="nil"/>
              <w:bottom w:val="nil"/>
              <w:right w:val="nil"/>
            </w:tcBorders>
          </w:tcPr>
          <w:p w14:paraId="4DCEDCAA" w14:textId="77777777" w:rsidR="00E2623D" w:rsidRPr="00E2623D" w:rsidRDefault="00E2623D" w:rsidP="00DF2E5C">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(0.000618)</w:t>
            </w:r>
          </w:p>
        </w:tc>
        <w:tc>
          <w:tcPr>
            <w:tcW w:w="1771" w:type="dxa"/>
            <w:tcBorders>
              <w:top w:val="nil"/>
              <w:left w:val="nil"/>
              <w:bottom w:val="nil"/>
              <w:right w:val="nil"/>
            </w:tcBorders>
          </w:tcPr>
          <w:p w14:paraId="13F43A21" w14:textId="77777777" w:rsidR="00E2623D" w:rsidRPr="00E2623D" w:rsidRDefault="00E2623D" w:rsidP="00DF2E5C">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(0.000194)</w:t>
            </w:r>
          </w:p>
        </w:tc>
      </w:tr>
      <w:tr w:rsidR="00E2623D" w14:paraId="6FEBC2E9" w14:textId="77777777" w:rsidTr="00202E88">
        <w:trPr>
          <w:jc w:val="center"/>
        </w:trPr>
        <w:tc>
          <w:tcPr>
            <w:tcW w:w="3402" w:type="dxa"/>
            <w:tcBorders>
              <w:top w:val="nil"/>
              <w:left w:val="nil"/>
              <w:bottom w:val="nil"/>
              <w:right w:val="nil"/>
            </w:tcBorders>
          </w:tcPr>
          <w:p w14:paraId="51A13EFC" w14:textId="027379E0" w:rsidR="00E2623D" w:rsidRPr="00E2623D" w:rsidRDefault="00E2623D" w:rsidP="00DF2E5C">
            <w:pPr>
              <w:widowControl w:val="0"/>
              <w:autoSpaceDE w:val="0"/>
              <w:autoSpaceDN w:val="0"/>
              <w:adjustRightInd w:val="0"/>
              <w:rPr>
                <w:rFonts w:ascii="NimbusRomNo9L" w:hAnsi="NimbusRomNo9L"/>
                <w:spacing w:val="-20"/>
                <w:sz w:val="22"/>
                <w:lang w:val="en-US"/>
              </w:rPr>
            </w:pPr>
            <w:r>
              <w:rPr>
                <w:rFonts w:ascii="NimbusRomNo9L" w:hAnsi="NimbusRomNo9L"/>
                <w:spacing w:val="-20"/>
                <w:sz w:val="22"/>
                <w:lang w:val="en-US"/>
              </w:rPr>
              <w:t xml:space="preserve">Rate of individuals without diploma </w:t>
            </w:r>
          </w:p>
        </w:tc>
        <w:tc>
          <w:tcPr>
            <w:tcW w:w="1843" w:type="dxa"/>
            <w:tcBorders>
              <w:top w:val="nil"/>
              <w:left w:val="nil"/>
              <w:bottom w:val="nil"/>
              <w:right w:val="nil"/>
            </w:tcBorders>
          </w:tcPr>
          <w:p w14:paraId="31FA22CA" w14:textId="77777777" w:rsidR="00E2623D" w:rsidRPr="00E2623D" w:rsidRDefault="00E2623D" w:rsidP="00DF2E5C">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-5.609***</w:t>
            </w:r>
          </w:p>
        </w:tc>
        <w:tc>
          <w:tcPr>
            <w:tcW w:w="1843" w:type="dxa"/>
            <w:tcBorders>
              <w:top w:val="nil"/>
              <w:left w:val="nil"/>
              <w:bottom w:val="nil"/>
              <w:right w:val="nil"/>
            </w:tcBorders>
          </w:tcPr>
          <w:p w14:paraId="64155FAB" w14:textId="77777777" w:rsidR="00E2623D" w:rsidRPr="00E2623D" w:rsidRDefault="00E2623D" w:rsidP="00DF2E5C">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-6.145***</w:t>
            </w:r>
          </w:p>
        </w:tc>
        <w:tc>
          <w:tcPr>
            <w:tcW w:w="1771" w:type="dxa"/>
            <w:tcBorders>
              <w:top w:val="nil"/>
              <w:left w:val="nil"/>
              <w:bottom w:val="nil"/>
              <w:right w:val="nil"/>
            </w:tcBorders>
          </w:tcPr>
          <w:p w14:paraId="23041D7B" w14:textId="77777777" w:rsidR="00E2623D" w:rsidRPr="00E2623D" w:rsidRDefault="00E2623D" w:rsidP="00DF2E5C">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-0.632**</w:t>
            </w:r>
          </w:p>
        </w:tc>
      </w:tr>
      <w:tr w:rsidR="00E2623D" w14:paraId="7506AF81" w14:textId="77777777" w:rsidTr="00202E88">
        <w:trPr>
          <w:jc w:val="center"/>
        </w:trPr>
        <w:tc>
          <w:tcPr>
            <w:tcW w:w="3402" w:type="dxa"/>
            <w:tcBorders>
              <w:top w:val="nil"/>
              <w:left w:val="nil"/>
              <w:bottom w:val="nil"/>
              <w:right w:val="nil"/>
            </w:tcBorders>
          </w:tcPr>
          <w:p w14:paraId="42A14C92" w14:textId="77777777" w:rsidR="00E2623D" w:rsidRPr="00E2623D" w:rsidRDefault="00E2623D" w:rsidP="00DF2E5C">
            <w:pPr>
              <w:widowControl w:val="0"/>
              <w:autoSpaceDE w:val="0"/>
              <w:autoSpaceDN w:val="0"/>
              <w:adjustRightInd w:val="0"/>
              <w:rPr>
                <w:rFonts w:ascii="NimbusRomNo9L" w:hAnsi="NimbusRomNo9L"/>
                <w:spacing w:val="-20"/>
                <w:sz w:val="22"/>
                <w:lang w:val="en-US"/>
              </w:rPr>
            </w:pPr>
          </w:p>
        </w:tc>
        <w:tc>
          <w:tcPr>
            <w:tcW w:w="1843" w:type="dxa"/>
            <w:tcBorders>
              <w:top w:val="nil"/>
              <w:left w:val="nil"/>
              <w:bottom w:val="nil"/>
              <w:right w:val="nil"/>
            </w:tcBorders>
          </w:tcPr>
          <w:p w14:paraId="4103547B" w14:textId="77777777" w:rsidR="00E2623D" w:rsidRPr="00E2623D" w:rsidRDefault="00E2623D" w:rsidP="00DF2E5C">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(0.928)</w:t>
            </w:r>
          </w:p>
        </w:tc>
        <w:tc>
          <w:tcPr>
            <w:tcW w:w="1843" w:type="dxa"/>
            <w:tcBorders>
              <w:top w:val="nil"/>
              <w:left w:val="nil"/>
              <w:bottom w:val="nil"/>
              <w:right w:val="nil"/>
            </w:tcBorders>
          </w:tcPr>
          <w:p w14:paraId="37CCCB8D" w14:textId="77777777" w:rsidR="00E2623D" w:rsidRPr="00E2623D" w:rsidRDefault="00E2623D" w:rsidP="00DF2E5C">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(0.951)</w:t>
            </w:r>
          </w:p>
        </w:tc>
        <w:tc>
          <w:tcPr>
            <w:tcW w:w="1771" w:type="dxa"/>
            <w:tcBorders>
              <w:top w:val="nil"/>
              <w:left w:val="nil"/>
              <w:bottom w:val="nil"/>
              <w:right w:val="nil"/>
            </w:tcBorders>
          </w:tcPr>
          <w:p w14:paraId="46A9A408" w14:textId="77777777" w:rsidR="00E2623D" w:rsidRPr="00E2623D" w:rsidRDefault="00E2623D" w:rsidP="00DF2E5C">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(0.258)</w:t>
            </w:r>
          </w:p>
        </w:tc>
      </w:tr>
      <w:tr w:rsidR="00C13503" w14:paraId="6C80B76A" w14:textId="77777777" w:rsidTr="00202E88">
        <w:trPr>
          <w:jc w:val="center"/>
        </w:trPr>
        <w:tc>
          <w:tcPr>
            <w:tcW w:w="3402" w:type="dxa"/>
            <w:tcBorders>
              <w:top w:val="nil"/>
              <w:left w:val="nil"/>
              <w:bottom w:val="nil"/>
              <w:right w:val="nil"/>
            </w:tcBorders>
          </w:tcPr>
          <w:p w14:paraId="6ECEEADF" w14:textId="54B12A3C" w:rsidR="00C13503" w:rsidRDefault="00C13503" w:rsidP="00C13503">
            <w:pPr>
              <w:widowControl w:val="0"/>
              <w:autoSpaceDE w:val="0"/>
              <w:autoSpaceDN w:val="0"/>
              <w:adjustRightInd w:val="0"/>
              <w:rPr>
                <w:rFonts w:ascii="NimbusRomNo9L" w:hAnsi="NimbusRomNo9L"/>
                <w:spacing w:val="-20"/>
                <w:sz w:val="22"/>
                <w:lang w:val="en-US"/>
              </w:rPr>
            </w:pPr>
            <w:proofErr w:type="spellStart"/>
            <w:r w:rsidRPr="00C13503">
              <w:rPr>
                <w:rFonts w:ascii="NimbusRomNo9L" w:hAnsi="NimbusRomNo9L"/>
                <w:spacing w:val="-20"/>
                <w:sz w:val="22"/>
                <w:lang w:val="en-US"/>
              </w:rPr>
              <w:t>Kleibergen-Paap</w:t>
            </w:r>
            <w:proofErr w:type="spellEnd"/>
            <w:r w:rsidRPr="00C13503">
              <w:rPr>
                <w:rFonts w:ascii="NimbusRomNo9L" w:hAnsi="NimbusRomNo9L"/>
                <w:spacing w:val="-20"/>
                <w:sz w:val="22"/>
                <w:lang w:val="en-US"/>
              </w:rPr>
              <w:t xml:space="preserve"> Wald F stat.</w:t>
            </w:r>
          </w:p>
        </w:tc>
        <w:tc>
          <w:tcPr>
            <w:tcW w:w="1843" w:type="dxa"/>
            <w:tcBorders>
              <w:top w:val="nil"/>
              <w:left w:val="nil"/>
              <w:bottom w:val="nil"/>
              <w:right w:val="nil"/>
            </w:tcBorders>
          </w:tcPr>
          <w:p w14:paraId="13155E62" w14:textId="2BAE19B6" w:rsidR="00C13503" w:rsidRDefault="00C13503" w:rsidP="00C13503">
            <w:pPr>
              <w:widowControl w:val="0"/>
              <w:autoSpaceDE w:val="0"/>
              <w:autoSpaceDN w:val="0"/>
              <w:adjustRightInd w:val="0"/>
              <w:jc w:val="center"/>
              <w:rPr>
                <w:rFonts w:ascii="NimbusRomNo9L" w:hAnsi="NimbusRomNo9L"/>
                <w:spacing w:val="-20"/>
                <w:sz w:val="22"/>
                <w:lang w:val="en-US"/>
              </w:rPr>
            </w:pPr>
            <w:r w:rsidRPr="00C13503">
              <w:rPr>
                <w:rFonts w:ascii="NimbusRomNo9L" w:hAnsi="NimbusRomNo9L"/>
                <w:spacing w:val="-20"/>
                <w:sz w:val="22"/>
                <w:lang w:val="en-US"/>
              </w:rPr>
              <w:t>38.41</w:t>
            </w:r>
          </w:p>
        </w:tc>
        <w:tc>
          <w:tcPr>
            <w:tcW w:w="1843" w:type="dxa"/>
            <w:tcBorders>
              <w:top w:val="nil"/>
              <w:left w:val="nil"/>
              <w:bottom w:val="nil"/>
              <w:right w:val="nil"/>
            </w:tcBorders>
          </w:tcPr>
          <w:p w14:paraId="35D28256" w14:textId="377C39D7" w:rsidR="00C13503" w:rsidRDefault="00C13503" w:rsidP="00C13503">
            <w:pPr>
              <w:widowControl w:val="0"/>
              <w:autoSpaceDE w:val="0"/>
              <w:autoSpaceDN w:val="0"/>
              <w:adjustRightInd w:val="0"/>
              <w:jc w:val="center"/>
              <w:rPr>
                <w:rFonts w:ascii="NimbusRomNo9L" w:hAnsi="NimbusRomNo9L"/>
                <w:spacing w:val="-20"/>
                <w:sz w:val="22"/>
                <w:lang w:val="en-US"/>
              </w:rPr>
            </w:pPr>
            <w:r w:rsidRPr="00C13503">
              <w:rPr>
                <w:rFonts w:ascii="NimbusRomNo9L" w:hAnsi="NimbusRomNo9L"/>
                <w:spacing w:val="-20"/>
                <w:sz w:val="22"/>
                <w:lang w:val="en-US"/>
              </w:rPr>
              <w:t>34.04</w:t>
            </w:r>
          </w:p>
        </w:tc>
        <w:tc>
          <w:tcPr>
            <w:tcW w:w="1771" w:type="dxa"/>
            <w:tcBorders>
              <w:top w:val="nil"/>
              <w:left w:val="nil"/>
              <w:bottom w:val="nil"/>
              <w:right w:val="nil"/>
            </w:tcBorders>
          </w:tcPr>
          <w:p w14:paraId="67DEE193" w14:textId="5CE978E3" w:rsidR="00C13503" w:rsidRDefault="00C13503" w:rsidP="00C13503">
            <w:pPr>
              <w:widowControl w:val="0"/>
              <w:autoSpaceDE w:val="0"/>
              <w:autoSpaceDN w:val="0"/>
              <w:adjustRightInd w:val="0"/>
              <w:jc w:val="center"/>
              <w:rPr>
                <w:rFonts w:ascii="NimbusRomNo9L" w:hAnsi="NimbusRomNo9L"/>
                <w:spacing w:val="-20"/>
                <w:sz w:val="22"/>
                <w:lang w:val="en-US"/>
              </w:rPr>
            </w:pPr>
            <w:r w:rsidRPr="00C13503">
              <w:rPr>
                <w:rFonts w:ascii="NimbusRomNo9L" w:hAnsi="NimbusRomNo9L"/>
                <w:spacing w:val="-20"/>
                <w:sz w:val="22"/>
                <w:lang w:val="en-US"/>
              </w:rPr>
              <w:t>153.2</w:t>
            </w:r>
          </w:p>
        </w:tc>
      </w:tr>
      <w:tr w:rsidR="00C13503" w14:paraId="1D9E2D1E" w14:textId="77777777" w:rsidTr="00202E88">
        <w:trPr>
          <w:jc w:val="center"/>
        </w:trPr>
        <w:tc>
          <w:tcPr>
            <w:tcW w:w="3402" w:type="dxa"/>
            <w:tcBorders>
              <w:top w:val="nil"/>
              <w:left w:val="nil"/>
              <w:bottom w:val="nil"/>
              <w:right w:val="nil"/>
            </w:tcBorders>
          </w:tcPr>
          <w:p w14:paraId="210956BE" w14:textId="511D33C2" w:rsidR="00C13503" w:rsidRDefault="00C13503" w:rsidP="00C13503">
            <w:pPr>
              <w:widowControl w:val="0"/>
              <w:autoSpaceDE w:val="0"/>
              <w:autoSpaceDN w:val="0"/>
              <w:adjustRightInd w:val="0"/>
              <w:rPr>
                <w:rFonts w:ascii="NimbusRomNo9L" w:hAnsi="NimbusRomNo9L"/>
                <w:spacing w:val="-20"/>
                <w:sz w:val="22"/>
                <w:lang w:val="en-US"/>
              </w:rPr>
            </w:pPr>
            <w:r w:rsidRPr="00C13503">
              <w:rPr>
                <w:rFonts w:ascii="NimbusRomNo9L" w:hAnsi="NimbusRomNo9L"/>
                <w:spacing w:val="-20"/>
                <w:sz w:val="22"/>
                <w:lang w:val="en-US"/>
              </w:rPr>
              <w:t>Cragg-Donald Wald F stat.</w:t>
            </w:r>
          </w:p>
        </w:tc>
        <w:tc>
          <w:tcPr>
            <w:tcW w:w="1843" w:type="dxa"/>
            <w:tcBorders>
              <w:top w:val="nil"/>
              <w:left w:val="nil"/>
              <w:bottom w:val="nil"/>
              <w:right w:val="nil"/>
            </w:tcBorders>
          </w:tcPr>
          <w:p w14:paraId="7E518CF6" w14:textId="68576EBE" w:rsidR="00C13503" w:rsidRDefault="00C13503" w:rsidP="00C13503">
            <w:pPr>
              <w:widowControl w:val="0"/>
              <w:autoSpaceDE w:val="0"/>
              <w:autoSpaceDN w:val="0"/>
              <w:adjustRightInd w:val="0"/>
              <w:jc w:val="center"/>
              <w:rPr>
                <w:rFonts w:ascii="NimbusRomNo9L" w:hAnsi="NimbusRomNo9L"/>
                <w:spacing w:val="-20"/>
                <w:sz w:val="22"/>
                <w:lang w:val="en-US"/>
              </w:rPr>
            </w:pPr>
            <w:r w:rsidRPr="00C13503">
              <w:rPr>
                <w:rFonts w:ascii="NimbusRomNo9L" w:hAnsi="NimbusRomNo9L"/>
                <w:spacing w:val="-20"/>
                <w:sz w:val="22"/>
                <w:lang w:val="en-US"/>
              </w:rPr>
              <w:t>50.93</w:t>
            </w:r>
          </w:p>
        </w:tc>
        <w:tc>
          <w:tcPr>
            <w:tcW w:w="1843" w:type="dxa"/>
            <w:tcBorders>
              <w:top w:val="nil"/>
              <w:left w:val="nil"/>
              <w:bottom w:val="nil"/>
              <w:right w:val="nil"/>
            </w:tcBorders>
          </w:tcPr>
          <w:p w14:paraId="1999C6AF" w14:textId="4117597C" w:rsidR="00C13503" w:rsidRDefault="00C13503" w:rsidP="00C13503">
            <w:pPr>
              <w:widowControl w:val="0"/>
              <w:autoSpaceDE w:val="0"/>
              <w:autoSpaceDN w:val="0"/>
              <w:adjustRightInd w:val="0"/>
              <w:jc w:val="center"/>
              <w:rPr>
                <w:rFonts w:ascii="NimbusRomNo9L" w:hAnsi="NimbusRomNo9L"/>
                <w:spacing w:val="-20"/>
                <w:sz w:val="22"/>
                <w:lang w:val="en-US"/>
              </w:rPr>
            </w:pPr>
            <w:r w:rsidRPr="00C13503">
              <w:rPr>
                <w:rFonts w:ascii="NimbusRomNo9L" w:hAnsi="NimbusRomNo9L"/>
                <w:spacing w:val="-20"/>
                <w:sz w:val="22"/>
                <w:lang w:val="en-US"/>
              </w:rPr>
              <w:t xml:space="preserve">  35.28  </w:t>
            </w:r>
          </w:p>
        </w:tc>
        <w:tc>
          <w:tcPr>
            <w:tcW w:w="1771" w:type="dxa"/>
            <w:tcBorders>
              <w:top w:val="nil"/>
              <w:left w:val="nil"/>
              <w:bottom w:val="nil"/>
              <w:right w:val="nil"/>
            </w:tcBorders>
          </w:tcPr>
          <w:p w14:paraId="3B67F13B" w14:textId="7575E0DD" w:rsidR="00C13503" w:rsidRDefault="00C13503" w:rsidP="00C13503">
            <w:pPr>
              <w:widowControl w:val="0"/>
              <w:autoSpaceDE w:val="0"/>
              <w:autoSpaceDN w:val="0"/>
              <w:adjustRightInd w:val="0"/>
              <w:jc w:val="center"/>
              <w:rPr>
                <w:rFonts w:ascii="NimbusRomNo9L" w:hAnsi="NimbusRomNo9L"/>
                <w:spacing w:val="-20"/>
                <w:sz w:val="22"/>
                <w:lang w:val="en-US"/>
              </w:rPr>
            </w:pPr>
            <w:r w:rsidRPr="00C13503">
              <w:rPr>
                <w:rFonts w:ascii="NimbusRomNo9L" w:hAnsi="NimbusRomNo9L"/>
                <w:spacing w:val="-20"/>
                <w:sz w:val="22"/>
                <w:lang w:val="en-US"/>
              </w:rPr>
              <w:t>341.9</w:t>
            </w:r>
          </w:p>
        </w:tc>
      </w:tr>
      <w:tr w:rsidR="00A166CF" w14:paraId="7AA8BF8D" w14:textId="77777777" w:rsidTr="00202E88">
        <w:trPr>
          <w:jc w:val="center"/>
        </w:trPr>
        <w:tc>
          <w:tcPr>
            <w:tcW w:w="3402" w:type="dxa"/>
            <w:tcBorders>
              <w:top w:val="nil"/>
              <w:left w:val="nil"/>
              <w:bottom w:val="nil"/>
              <w:right w:val="nil"/>
            </w:tcBorders>
          </w:tcPr>
          <w:p w14:paraId="2439556A" w14:textId="6571AFDE" w:rsidR="00A166CF" w:rsidRDefault="00A166CF" w:rsidP="00A166CF">
            <w:pPr>
              <w:widowControl w:val="0"/>
              <w:autoSpaceDE w:val="0"/>
              <w:autoSpaceDN w:val="0"/>
              <w:adjustRightInd w:val="0"/>
              <w:rPr>
                <w:rFonts w:ascii="NimbusRomNo9L" w:hAnsi="NimbusRomNo9L"/>
                <w:spacing w:val="-20"/>
                <w:sz w:val="22"/>
                <w:lang w:val="en-US"/>
              </w:rPr>
            </w:pPr>
            <w:r w:rsidRPr="00A166CF">
              <w:rPr>
                <w:rFonts w:ascii="NimbusRomNo9L" w:hAnsi="NimbusRomNo9L"/>
                <w:spacing w:val="-20"/>
                <w:sz w:val="22"/>
                <w:lang w:val="en-US"/>
              </w:rPr>
              <w:t xml:space="preserve">Montiel-Pflueger </w:t>
            </w:r>
            <w:r>
              <w:rPr>
                <w:rFonts w:ascii="NimbusRomNo9L" w:hAnsi="NimbusRomNo9L"/>
                <w:spacing w:val="-20"/>
                <w:sz w:val="22"/>
                <w:lang w:val="en-US"/>
              </w:rPr>
              <w:t>e</w:t>
            </w:r>
            <w:r w:rsidRPr="00A166CF">
              <w:rPr>
                <w:rFonts w:ascii="NimbusRomNo9L" w:hAnsi="NimbusRomNo9L"/>
                <w:spacing w:val="-20"/>
                <w:sz w:val="22"/>
                <w:lang w:val="en-US"/>
              </w:rPr>
              <w:t>ffective F statistic:</w:t>
            </w:r>
          </w:p>
        </w:tc>
        <w:tc>
          <w:tcPr>
            <w:tcW w:w="1843" w:type="dxa"/>
            <w:tcBorders>
              <w:top w:val="nil"/>
              <w:left w:val="nil"/>
              <w:bottom w:val="nil"/>
              <w:right w:val="nil"/>
            </w:tcBorders>
          </w:tcPr>
          <w:p w14:paraId="468E7D47" w14:textId="31F1D184" w:rsidR="00A166CF" w:rsidRDefault="00A166CF" w:rsidP="00A166CF">
            <w:pPr>
              <w:widowControl w:val="0"/>
              <w:autoSpaceDE w:val="0"/>
              <w:autoSpaceDN w:val="0"/>
              <w:adjustRightInd w:val="0"/>
              <w:jc w:val="center"/>
              <w:rPr>
                <w:rFonts w:ascii="NimbusRomNo9L" w:hAnsi="NimbusRomNo9L"/>
                <w:spacing w:val="-20"/>
                <w:sz w:val="22"/>
                <w:lang w:val="en-US"/>
              </w:rPr>
            </w:pPr>
            <w:r w:rsidRPr="00C13503">
              <w:rPr>
                <w:rFonts w:ascii="NimbusRomNo9L" w:hAnsi="NimbusRomNo9L"/>
                <w:spacing w:val="-20"/>
                <w:sz w:val="22"/>
                <w:lang w:val="en-US"/>
              </w:rPr>
              <w:t>38.41</w:t>
            </w:r>
            <w:r>
              <w:rPr>
                <w:rFonts w:ascii="NimbusRomNo9L" w:hAnsi="NimbusRomNo9L"/>
                <w:spacing w:val="-20"/>
                <w:sz w:val="22"/>
                <w:lang w:val="en-US"/>
              </w:rPr>
              <w:t>***</w:t>
            </w:r>
          </w:p>
        </w:tc>
        <w:tc>
          <w:tcPr>
            <w:tcW w:w="1843" w:type="dxa"/>
            <w:tcBorders>
              <w:top w:val="nil"/>
              <w:left w:val="nil"/>
              <w:bottom w:val="nil"/>
              <w:right w:val="nil"/>
            </w:tcBorders>
          </w:tcPr>
          <w:p w14:paraId="6368E85A" w14:textId="0ABDDBD3" w:rsidR="00A166CF" w:rsidRDefault="00A166CF" w:rsidP="00A166CF">
            <w:pPr>
              <w:widowControl w:val="0"/>
              <w:autoSpaceDE w:val="0"/>
              <w:autoSpaceDN w:val="0"/>
              <w:adjustRightInd w:val="0"/>
              <w:jc w:val="center"/>
              <w:rPr>
                <w:rFonts w:ascii="NimbusRomNo9L" w:hAnsi="NimbusRomNo9L"/>
                <w:spacing w:val="-20"/>
                <w:sz w:val="22"/>
                <w:lang w:val="en-US"/>
              </w:rPr>
            </w:pPr>
            <w:r w:rsidRPr="00C13503">
              <w:rPr>
                <w:rFonts w:ascii="NimbusRomNo9L" w:hAnsi="NimbusRomNo9L"/>
                <w:spacing w:val="-20"/>
                <w:sz w:val="22"/>
                <w:lang w:val="en-US"/>
              </w:rPr>
              <w:t>34.04</w:t>
            </w:r>
            <w:r>
              <w:rPr>
                <w:rFonts w:ascii="NimbusRomNo9L" w:hAnsi="NimbusRomNo9L"/>
                <w:spacing w:val="-20"/>
                <w:sz w:val="22"/>
                <w:lang w:val="en-US"/>
              </w:rPr>
              <w:t>***</w:t>
            </w:r>
          </w:p>
        </w:tc>
        <w:tc>
          <w:tcPr>
            <w:tcW w:w="1771" w:type="dxa"/>
            <w:tcBorders>
              <w:top w:val="nil"/>
              <w:left w:val="nil"/>
              <w:bottom w:val="nil"/>
              <w:right w:val="nil"/>
            </w:tcBorders>
          </w:tcPr>
          <w:p w14:paraId="4AA6C38C" w14:textId="328DD58C" w:rsidR="00A166CF" w:rsidRDefault="00A166CF" w:rsidP="00A166CF">
            <w:pPr>
              <w:widowControl w:val="0"/>
              <w:autoSpaceDE w:val="0"/>
              <w:autoSpaceDN w:val="0"/>
              <w:adjustRightInd w:val="0"/>
              <w:jc w:val="center"/>
              <w:rPr>
                <w:rFonts w:ascii="NimbusRomNo9L" w:hAnsi="NimbusRomNo9L"/>
                <w:spacing w:val="-20"/>
                <w:sz w:val="22"/>
                <w:lang w:val="en-US"/>
              </w:rPr>
            </w:pPr>
            <w:r w:rsidRPr="00C13503">
              <w:rPr>
                <w:rFonts w:ascii="NimbusRomNo9L" w:hAnsi="NimbusRomNo9L"/>
                <w:spacing w:val="-20"/>
                <w:sz w:val="22"/>
                <w:lang w:val="en-US"/>
              </w:rPr>
              <w:t>153.2</w:t>
            </w:r>
            <w:r>
              <w:rPr>
                <w:rFonts w:ascii="NimbusRomNo9L" w:hAnsi="NimbusRomNo9L"/>
                <w:spacing w:val="-20"/>
                <w:sz w:val="22"/>
                <w:lang w:val="en-US"/>
              </w:rPr>
              <w:t>***</w:t>
            </w:r>
          </w:p>
        </w:tc>
      </w:tr>
      <w:tr w:rsidR="00A166CF" w14:paraId="0D5AD69B" w14:textId="77777777" w:rsidTr="00202E88">
        <w:trPr>
          <w:jc w:val="center"/>
        </w:trPr>
        <w:tc>
          <w:tcPr>
            <w:tcW w:w="3402" w:type="dxa"/>
            <w:tcBorders>
              <w:top w:val="nil"/>
              <w:left w:val="nil"/>
              <w:bottom w:val="nil"/>
              <w:right w:val="nil"/>
            </w:tcBorders>
          </w:tcPr>
          <w:p w14:paraId="1C87D795" w14:textId="3E3C010B" w:rsidR="00A166CF" w:rsidRPr="00E2623D" w:rsidRDefault="00A166CF" w:rsidP="00A166CF">
            <w:pPr>
              <w:widowControl w:val="0"/>
              <w:autoSpaceDE w:val="0"/>
              <w:autoSpaceDN w:val="0"/>
              <w:adjustRightInd w:val="0"/>
              <w:rPr>
                <w:rFonts w:ascii="NimbusRomNo9L" w:hAnsi="NimbusRomNo9L"/>
                <w:spacing w:val="-20"/>
                <w:sz w:val="22"/>
                <w:lang w:val="en-US"/>
              </w:rPr>
            </w:pPr>
            <w:r>
              <w:rPr>
                <w:rFonts w:ascii="NimbusRomNo9L" w:hAnsi="NimbusRomNo9L"/>
                <w:spacing w:val="-20"/>
                <w:sz w:val="22"/>
                <w:lang w:val="en-US"/>
              </w:rPr>
              <w:t>Excluded new and merged courts</w:t>
            </w:r>
          </w:p>
        </w:tc>
        <w:tc>
          <w:tcPr>
            <w:tcW w:w="1843" w:type="dxa"/>
            <w:tcBorders>
              <w:top w:val="nil"/>
              <w:left w:val="nil"/>
              <w:bottom w:val="nil"/>
              <w:right w:val="nil"/>
            </w:tcBorders>
          </w:tcPr>
          <w:p w14:paraId="22664260" w14:textId="249B1E09" w:rsidR="00A166CF" w:rsidRPr="00E2623D" w:rsidRDefault="00A166CF" w:rsidP="00A166CF">
            <w:pPr>
              <w:widowControl w:val="0"/>
              <w:autoSpaceDE w:val="0"/>
              <w:autoSpaceDN w:val="0"/>
              <w:adjustRightInd w:val="0"/>
              <w:jc w:val="center"/>
              <w:rPr>
                <w:rFonts w:ascii="NimbusRomNo9L" w:hAnsi="NimbusRomNo9L"/>
                <w:spacing w:val="-20"/>
                <w:sz w:val="22"/>
                <w:lang w:val="en-US"/>
              </w:rPr>
            </w:pPr>
            <w:r>
              <w:rPr>
                <w:rFonts w:ascii="NimbusRomNo9L" w:hAnsi="NimbusRomNo9L"/>
                <w:spacing w:val="-20"/>
                <w:sz w:val="22"/>
                <w:lang w:val="en-US"/>
              </w:rPr>
              <w:t>No</w:t>
            </w:r>
          </w:p>
        </w:tc>
        <w:tc>
          <w:tcPr>
            <w:tcW w:w="1843" w:type="dxa"/>
            <w:tcBorders>
              <w:top w:val="nil"/>
              <w:left w:val="nil"/>
              <w:bottom w:val="nil"/>
              <w:right w:val="nil"/>
            </w:tcBorders>
          </w:tcPr>
          <w:p w14:paraId="480D2F25" w14:textId="387FCD89" w:rsidR="00A166CF" w:rsidRPr="00E2623D" w:rsidRDefault="00A166CF" w:rsidP="00A166CF">
            <w:pPr>
              <w:widowControl w:val="0"/>
              <w:autoSpaceDE w:val="0"/>
              <w:autoSpaceDN w:val="0"/>
              <w:adjustRightInd w:val="0"/>
              <w:jc w:val="center"/>
              <w:rPr>
                <w:rFonts w:ascii="NimbusRomNo9L" w:hAnsi="NimbusRomNo9L"/>
                <w:spacing w:val="-20"/>
                <w:sz w:val="22"/>
                <w:lang w:val="en-US"/>
              </w:rPr>
            </w:pPr>
            <w:r>
              <w:rPr>
                <w:rFonts w:ascii="NimbusRomNo9L" w:hAnsi="NimbusRomNo9L"/>
                <w:spacing w:val="-20"/>
                <w:sz w:val="22"/>
                <w:lang w:val="en-US"/>
              </w:rPr>
              <w:t>Yes</w:t>
            </w:r>
          </w:p>
        </w:tc>
        <w:tc>
          <w:tcPr>
            <w:tcW w:w="1771" w:type="dxa"/>
            <w:tcBorders>
              <w:top w:val="nil"/>
              <w:left w:val="nil"/>
              <w:bottom w:val="nil"/>
              <w:right w:val="nil"/>
            </w:tcBorders>
          </w:tcPr>
          <w:p w14:paraId="3CD68937" w14:textId="781C92D2" w:rsidR="00A166CF" w:rsidRPr="00E2623D" w:rsidRDefault="00A166CF" w:rsidP="00A166CF">
            <w:pPr>
              <w:widowControl w:val="0"/>
              <w:autoSpaceDE w:val="0"/>
              <w:autoSpaceDN w:val="0"/>
              <w:adjustRightInd w:val="0"/>
              <w:jc w:val="center"/>
              <w:rPr>
                <w:rFonts w:ascii="NimbusRomNo9L" w:hAnsi="NimbusRomNo9L"/>
                <w:spacing w:val="-20"/>
                <w:sz w:val="22"/>
                <w:lang w:val="en-US"/>
              </w:rPr>
            </w:pPr>
            <w:r>
              <w:rPr>
                <w:rFonts w:ascii="NimbusRomNo9L" w:hAnsi="NimbusRomNo9L"/>
                <w:spacing w:val="-20"/>
                <w:sz w:val="22"/>
                <w:lang w:val="en-US"/>
              </w:rPr>
              <w:t>Yes</w:t>
            </w:r>
          </w:p>
        </w:tc>
      </w:tr>
      <w:tr w:rsidR="00A166CF" w14:paraId="40C5C96E" w14:textId="77777777" w:rsidTr="00202E88">
        <w:trPr>
          <w:jc w:val="center"/>
        </w:trPr>
        <w:tc>
          <w:tcPr>
            <w:tcW w:w="3402" w:type="dxa"/>
            <w:tcBorders>
              <w:top w:val="nil"/>
              <w:left w:val="nil"/>
              <w:bottom w:val="nil"/>
              <w:right w:val="nil"/>
            </w:tcBorders>
          </w:tcPr>
          <w:p w14:paraId="70E7A0B1" w14:textId="05554F32" w:rsidR="00A166CF" w:rsidRPr="00E2623D" w:rsidRDefault="00A166CF" w:rsidP="00A166CF">
            <w:pPr>
              <w:widowControl w:val="0"/>
              <w:autoSpaceDE w:val="0"/>
              <w:autoSpaceDN w:val="0"/>
              <w:adjustRightInd w:val="0"/>
              <w:rPr>
                <w:rFonts w:ascii="NimbusRomNo9L" w:hAnsi="NimbusRomNo9L"/>
                <w:spacing w:val="-20"/>
                <w:sz w:val="22"/>
                <w:lang w:val="en-US"/>
              </w:rPr>
            </w:pPr>
            <w:r>
              <w:rPr>
                <w:rFonts w:ascii="NimbusRomNo9L" w:hAnsi="NimbusRomNo9L"/>
                <w:spacing w:val="-20"/>
                <w:sz w:val="22"/>
                <w:lang w:val="en-US"/>
              </w:rPr>
              <w:t>Excluded big bars (&gt;500/100k inhabitants)</w:t>
            </w:r>
          </w:p>
        </w:tc>
        <w:tc>
          <w:tcPr>
            <w:tcW w:w="1843" w:type="dxa"/>
            <w:tcBorders>
              <w:top w:val="nil"/>
              <w:left w:val="nil"/>
              <w:bottom w:val="nil"/>
              <w:right w:val="nil"/>
            </w:tcBorders>
          </w:tcPr>
          <w:p w14:paraId="010CA2D6" w14:textId="137A5417" w:rsidR="00A166CF" w:rsidRPr="00E2623D" w:rsidRDefault="00A166CF" w:rsidP="00A166CF">
            <w:pPr>
              <w:widowControl w:val="0"/>
              <w:autoSpaceDE w:val="0"/>
              <w:autoSpaceDN w:val="0"/>
              <w:adjustRightInd w:val="0"/>
              <w:jc w:val="center"/>
              <w:rPr>
                <w:rFonts w:ascii="NimbusRomNo9L" w:hAnsi="NimbusRomNo9L"/>
                <w:spacing w:val="-20"/>
                <w:sz w:val="22"/>
                <w:lang w:val="en-US"/>
              </w:rPr>
            </w:pPr>
            <w:r>
              <w:rPr>
                <w:rFonts w:ascii="NimbusRomNo9L" w:hAnsi="NimbusRomNo9L"/>
                <w:spacing w:val="-20"/>
                <w:sz w:val="22"/>
                <w:lang w:val="en-US"/>
              </w:rPr>
              <w:t>No</w:t>
            </w:r>
          </w:p>
        </w:tc>
        <w:tc>
          <w:tcPr>
            <w:tcW w:w="1843" w:type="dxa"/>
            <w:tcBorders>
              <w:top w:val="nil"/>
              <w:left w:val="nil"/>
              <w:bottom w:val="nil"/>
              <w:right w:val="nil"/>
            </w:tcBorders>
          </w:tcPr>
          <w:p w14:paraId="5CCF9B05" w14:textId="6068C218" w:rsidR="00A166CF" w:rsidRPr="00E2623D" w:rsidRDefault="00A166CF" w:rsidP="00A166CF">
            <w:pPr>
              <w:widowControl w:val="0"/>
              <w:autoSpaceDE w:val="0"/>
              <w:autoSpaceDN w:val="0"/>
              <w:adjustRightInd w:val="0"/>
              <w:jc w:val="center"/>
              <w:rPr>
                <w:rFonts w:ascii="NimbusRomNo9L" w:hAnsi="NimbusRomNo9L"/>
                <w:spacing w:val="-20"/>
                <w:sz w:val="22"/>
                <w:lang w:val="en-US"/>
              </w:rPr>
            </w:pPr>
            <w:r>
              <w:rPr>
                <w:rFonts w:ascii="NimbusRomNo9L" w:hAnsi="NimbusRomNo9L"/>
                <w:spacing w:val="-20"/>
                <w:sz w:val="22"/>
                <w:lang w:val="en-US"/>
              </w:rPr>
              <w:t>No</w:t>
            </w:r>
          </w:p>
        </w:tc>
        <w:tc>
          <w:tcPr>
            <w:tcW w:w="1771" w:type="dxa"/>
            <w:tcBorders>
              <w:top w:val="nil"/>
              <w:left w:val="nil"/>
              <w:bottom w:val="nil"/>
              <w:right w:val="nil"/>
            </w:tcBorders>
          </w:tcPr>
          <w:p w14:paraId="237B0043" w14:textId="7DB7A47F" w:rsidR="00A166CF" w:rsidRPr="00E2623D" w:rsidRDefault="00A166CF" w:rsidP="00A166CF">
            <w:pPr>
              <w:widowControl w:val="0"/>
              <w:autoSpaceDE w:val="0"/>
              <w:autoSpaceDN w:val="0"/>
              <w:adjustRightInd w:val="0"/>
              <w:jc w:val="center"/>
              <w:rPr>
                <w:rFonts w:ascii="NimbusRomNo9L" w:hAnsi="NimbusRomNo9L"/>
                <w:spacing w:val="-20"/>
                <w:sz w:val="22"/>
                <w:lang w:val="en-US"/>
              </w:rPr>
            </w:pPr>
            <w:r>
              <w:rPr>
                <w:rFonts w:ascii="NimbusRomNo9L" w:hAnsi="NimbusRomNo9L"/>
                <w:spacing w:val="-20"/>
                <w:sz w:val="22"/>
                <w:lang w:val="en-US"/>
              </w:rPr>
              <w:t>Yes</w:t>
            </w:r>
          </w:p>
        </w:tc>
      </w:tr>
      <w:tr w:rsidR="00A166CF" w14:paraId="76CAADFD" w14:textId="77777777" w:rsidTr="00202E88">
        <w:trPr>
          <w:jc w:val="center"/>
        </w:trPr>
        <w:tc>
          <w:tcPr>
            <w:tcW w:w="3402" w:type="dxa"/>
            <w:tcBorders>
              <w:top w:val="nil"/>
              <w:left w:val="nil"/>
              <w:bottom w:val="nil"/>
              <w:right w:val="nil"/>
            </w:tcBorders>
          </w:tcPr>
          <w:p w14:paraId="7ECD588C" w14:textId="39998C0E" w:rsidR="00A166CF" w:rsidRPr="00E2623D" w:rsidRDefault="00A166CF" w:rsidP="00A166CF">
            <w:pPr>
              <w:widowControl w:val="0"/>
              <w:autoSpaceDE w:val="0"/>
              <w:autoSpaceDN w:val="0"/>
              <w:adjustRightInd w:val="0"/>
              <w:rPr>
                <w:rFonts w:ascii="NimbusRomNo9L" w:hAnsi="NimbusRomNo9L"/>
                <w:spacing w:val="-20"/>
                <w:sz w:val="22"/>
                <w:lang w:val="en-US"/>
              </w:rPr>
            </w:pPr>
            <w:r>
              <w:rPr>
                <w:rFonts w:ascii="NimbusRomNo9L" w:hAnsi="NimbusRomNo9L"/>
                <w:spacing w:val="-20"/>
                <w:sz w:val="22"/>
                <w:lang w:val="en-US"/>
              </w:rPr>
              <w:t>Yearly FE</w:t>
            </w:r>
          </w:p>
        </w:tc>
        <w:tc>
          <w:tcPr>
            <w:tcW w:w="1843" w:type="dxa"/>
            <w:tcBorders>
              <w:top w:val="nil"/>
              <w:left w:val="nil"/>
              <w:bottom w:val="nil"/>
              <w:right w:val="nil"/>
            </w:tcBorders>
          </w:tcPr>
          <w:p w14:paraId="26CB0007" w14:textId="06DEE477" w:rsidR="00A166CF" w:rsidRPr="00E2623D" w:rsidRDefault="00A166CF" w:rsidP="00A166CF">
            <w:pPr>
              <w:widowControl w:val="0"/>
              <w:autoSpaceDE w:val="0"/>
              <w:autoSpaceDN w:val="0"/>
              <w:adjustRightInd w:val="0"/>
              <w:jc w:val="center"/>
              <w:rPr>
                <w:rFonts w:ascii="NimbusRomNo9L" w:hAnsi="NimbusRomNo9L"/>
                <w:spacing w:val="-20"/>
                <w:sz w:val="22"/>
                <w:lang w:val="en-US"/>
              </w:rPr>
            </w:pPr>
            <w:r>
              <w:rPr>
                <w:rFonts w:ascii="NimbusRomNo9L" w:hAnsi="NimbusRomNo9L"/>
                <w:spacing w:val="-20"/>
                <w:sz w:val="22"/>
                <w:lang w:val="en-US"/>
              </w:rPr>
              <w:t>Yes</w:t>
            </w:r>
          </w:p>
        </w:tc>
        <w:tc>
          <w:tcPr>
            <w:tcW w:w="1843" w:type="dxa"/>
            <w:tcBorders>
              <w:top w:val="nil"/>
              <w:left w:val="nil"/>
              <w:bottom w:val="nil"/>
              <w:right w:val="nil"/>
            </w:tcBorders>
          </w:tcPr>
          <w:p w14:paraId="54CCC81C" w14:textId="27B523B1" w:rsidR="00A166CF" w:rsidRPr="00E2623D" w:rsidRDefault="00A166CF" w:rsidP="00A166CF">
            <w:pPr>
              <w:widowControl w:val="0"/>
              <w:autoSpaceDE w:val="0"/>
              <w:autoSpaceDN w:val="0"/>
              <w:adjustRightInd w:val="0"/>
              <w:jc w:val="center"/>
              <w:rPr>
                <w:rFonts w:ascii="NimbusRomNo9L" w:hAnsi="NimbusRomNo9L"/>
                <w:spacing w:val="-20"/>
                <w:sz w:val="22"/>
                <w:lang w:val="en-US"/>
              </w:rPr>
            </w:pPr>
            <w:r>
              <w:rPr>
                <w:rFonts w:ascii="NimbusRomNo9L" w:hAnsi="NimbusRomNo9L"/>
                <w:spacing w:val="-20"/>
                <w:sz w:val="22"/>
                <w:lang w:val="en-US"/>
              </w:rPr>
              <w:t>Yes</w:t>
            </w:r>
          </w:p>
        </w:tc>
        <w:tc>
          <w:tcPr>
            <w:tcW w:w="1771" w:type="dxa"/>
            <w:tcBorders>
              <w:top w:val="nil"/>
              <w:left w:val="nil"/>
              <w:bottom w:val="nil"/>
              <w:right w:val="nil"/>
            </w:tcBorders>
          </w:tcPr>
          <w:p w14:paraId="4F25C385" w14:textId="615A933F" w:rsidR="00A166CF" w:rsidRPr="00E2623D" w:rsidRDefault="00A166CF" w:rsidP="00A166CF">
            <w:pPr>
              <w:widowControl w:val="0"/>
              <w:autoSpaceDE w:val="0"/>
              <w:autoSpaceDN w:val="0"/>
              <w:adjustRightInd w:val="0"/>
              <w:jc w:val="center"/>
              <w:rPr>
                <w:rFonts w:ascii="NimbusRomNo9L" w:hAnsi="NimbusRomNo9L"/>
                <w:spacing w:val="-20"/>
                <w:sz w:val="22"/>
                <w:lang w:val="en-US"/>
              </w:rPr>
            </w:pPr>
            <w:r>
              <w:rPr>
                <w:rFonts w:ascii="NimbusRomNo9L" w:hAnsi="NimbusRomNo9L"/>
                <w:spacing w:val="-20"/>
                <w:sz w:val="22"/>
                <w:lang w:val="en-US"/>
              </w:rPr>
              <w:t>Yes</w:t>
            </w:r>
          </w:p>
        </w:tc>
      </w:tr>
      <w:tr w:rsidR="00A166CF" w14:paraId="6AF75AE4" w14:textId="77777777" w:rsidTr="00202E88">
        <w:trPr>
          <w:jc w:val="center"/>
        </w:trPr>
        <w:tc>
          <w:tcPr>
            <w:tcW w:w="3402" w:type="dxa"/>
            <w:tcBorders>
              <w:top w:val="nil"/>
              <w:left w:val="nil"/>
              <w:bottom w:val="nil"/>
              <w:right w:val="nil"/>
            </w:tcBorders>
          </w:tcPr>
          <w:p w14:paraId="13177428" w14:textId="77777777" w:rsidR="00A166CF" w:rsidRPr="00E2623D" w:rsidRDefault="00A166CF" w:rsidP="00A166CF">
            <w:pPr>
              <w:widowControl w:val="0"/>
              <w:autoSpaceDE w:val="0"/>
              <w:autoSpaceDN w:val="0"/>
              <w:adjustRightInd w:val="0"/>
              <w:rPr>
                <w:rFonts w:ascii="NimbusRomNo9L" w:hAnsi="NimbusRomNo9L"/>
                <w:spacing w:val="-20"/>
                <w:sz w:val="22"/>
                <w:lang w:val="en-US"/>
              </w:rPr>
            </w:pPr>
            <w:r w:rsidRPr="00E2623D">
              <w:rPr>
                <w:rFonts w:ascii="NimbusRomNo9L" w:hAnsi="NimbusRomNo9L"/>
                <w:spacing w:val="-20"/>
                <w:sz w:val="22"/>
                <w:lang w:val="en-US"/>
              </w:rPr>
              <w:t>Observations</w:t>
            </w:r>
          </w:p>
        </w:tc>
        <w:tc>
          <w:tcPr>
            <w:tcW w:w="1843" w:type="dxa"/>
            <w:tcBorders>
              <w:top w:val="nil"/>
              <w:left w:val="nil"/>
              <w:bottom w:val="nil"/>
              <w:right w:val="nil"/>
            </w:tcBorders>
          </w:tcPr>
          <w:p w14:paraId="05CFE24D" w14:textId="77777777" w:rsidR="00A166CF" w:rsidRPr="00E2623D" w:rsidRDefault="00A166CF" w:rsidP="00A166CF">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1,247</w:t>
            </w:r>
          </w:p>
        </w:tc>
        <w:tc>
          <w:tcPr>
            <w:tcW w:w="1843" w:type="dxa"/>
            <w:tcBorders>
              <w:top w:val="nil"/>
              <w:left w:val="nil"/>
              <w:bottom w:val="nil"/>
              <w:right w:val="nil"/>
            </w:tcBorders>
          </w:tcPr>
          <w:p w14:paraId="13294731" w14:textId="77777777" w:rsidR="00A166CF" w:rsidRPr="00E2623D" w:rsidRDefault="00A166CF" w:rsidP="00A166CF">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1,184</w:t>
            </w:r>
          </w:p>
        </w:tc>
        <w:tc>
          <w:tcPr>
            <w:tcW w:w="1771" w:type="dxa"/>
            <w:tcBorders>
              <w:top w:val="nil"/>
              <w:left w:val="nil"/>
              <w:bottom w:val="nil"/>
              <w:right w:val="nil"/>
            </w:tcBorders>
          </w:tcPr>
          <w:p w14:paraId="319CE484" w14:textId="77777777" w:rsidR="00A166CF" w:rsidRPr="00E2623D" w:rsidRDefault="00A166CF" w:rsidP="00A166CF">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1,160</w:t>
            </w:r>
          </w:p>
        </w:tc>
      </w:tr>
      <w:tr w:rsidR="00A166CF" w14:paraId="35D392BB" w14:textId="77777777" w:rsidTr="00202E88">
        <w:tblPrEx>
          <w:tblBorders>
            <w:bottom w:val="single" w:sz="6" w:space="0" w:color="auto"/>
          </w:tblBorders>
        </w:tblPrEx>
        <w:trPr>
          <w:jc w:val="center"/>
        </w:trPr>
        <w:tc>
          <w:tcPr>
            <w:tcW w:w="3402" w:type="dxa"/>
            <w:tcBorders>
              <w:top w:val="nil"/>
              <w:left w:val="nil"/>
              <w:bottom w:val="single" w:sz="6" w:space="0" w:color="auto"/>
              <w:right w:val="nil"/>
            </w:tcBorders>
          </w:tcPr>
          <w:p w14:paraId="2E66CCD9" w14:textId="77777777" w:rsidR="00A166CF" w:rsidRPr="00E2623D" w:rsidRDefault="00A166CF" w:rsidP="00A166CF">
            <w:pPr>
              <w:widowControl w:val="0"/>
              <w:autoSpaceDE w:val="0"/>
              <w:autoSpaceDN w:val="0"/>
              <w:adjustRightInd w:val="0"/>
              <w:rPr>
                <w:rFonts w:ascii="NimbusRomNo9L" w:hAnsi="NimbusRomNo9L"/>
                <w:spacing w:val="-20"/>
                <w:sz w:val="22"/>
                <w:lang w:val="en-US"/>
              </w:rPr>
            </w:pPr>
            <w:r w:rsidRPr="00E2623D">
              <w:rPr>
                <w:rFonts w:ascii="NimbusRomNo9L" w:hAnsi="NimbusRomNo9L"/>
                <w:spacing w:val="-20"/>
                <w:sz w:val="22"/>
                <w:lang w:val="en-US"/>
              </w:rPr>
              <w:t>Adjusted R-squared</w:t>
            </w:r>
          </w:p>
        </w:tc>
        <w:tc>
          <w:tcPr>
            <w:tcW w:w="1843" w:type="dxa"/>
            <w:tcBorders>
              <w:top w:val="nil"/>
              <w:left w:val="nil"/>
              <w:bottom w:val="single" w:sz="6" w:space="0" w:color="auto"/>
              <w:right w:val="nil"/>
            </w:tcBorders>
          </w:tcPr>
          <w:p w14:paraId="38CD6997" w14:textId="77777777" w:rsidR="00A166CF" w:rsidRPr="00E2623D" w:rsidRDefault="00A166CF" w:rsidP="00A166CF">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0.639</w:t>
            </w:r>
          </w:p>
        </w:tc>
        <w:tc>
          <w:tcPr>
            <w:tcW w:w="1843" w:type="dxa"/>
            <w:tcBorders>
              <w:top w:val="nil"/>
              <w:left w:val="nil"/>
              <w:bottom w:val="single" w:sz="6" w:space="0" w:color="auto"/>
              <w:right w:val="nil"/>
            </w:tcBorders>
          </w:tcPr>
          <w:p w14:paraId="3B5887A5" w14:textId="77777777" w:rsidR="00A166CF" w:rsidRPr="00E2623D" w:rsidRDefault="00A166CF" w:rsidP="00A166CF">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0.714</w:t>
            </w:r>
          </w:p>
        </w:tc>
        <w:tc>
          <w:tcPr>
            <w:tcW w:w="1771" w:type="dxa"/>
            <w:tcBorders>
              <w:top w:val="nil"/>
              <w:left w:val="nil"/>
              <w:bottom w:val="single" w:sz="6" w:space="0" w:color="auto"/>
              <w:right w:val="nil"/>
            </w:tcBorders>
          </w:tcPr>
          <w:p w14:paraId="4E588AD9" w14:textId="77777777" w:rsidR="00A166CF" w:rsidRPr="00E2623D" w:rsidRDefault="00A166CF" w:rsidP="00A166CF">
            <w:pPr>
              <w:widowControl w:val="0"/>
              <w:autoSpaceDE w:val="0"/>
              <w:autoSpaceDN w:val="0"/>
              <w:adjustRightInd w:val="0"/>
              <w:jc w:val="center"/>
              <w:rPr>
                <w:rFonts w:ascii="NimbusRomNo9L" w:hAnsi="NimbusRomNo9L"/>
                <w:spacing w:val="-20"/>
                <w:sz w:val="22"/>
                <w:lang w:val="en-US"/>
              </w:rPr>
            </w:pPr>
            <w:r w:rsidRPr="00E2623D">
              <w:rPr>
                <w:rFonts w:ascii="NimbusRomNo9L" w:hAnsi="NimbusRomNo9L"/>
                <w:spacing w:val="-20"/>
                <w:sz w:val="22"/>
                <w:lang w:val="en-US"/>
              </w:rPr>
              <w:t>0.357</w:t>
            </w:r>
          </w:p>
        </w:tc>
      </w:tr>
    </w:tbl>
    <w:p w14:paraId="3BFE1897" w14:textId="77777777" w:rsidR="009E6692" w:rsidRPr="009E6692" w:rsidRDefault="009E6692" w:rsidP="009E6692">
      <w:pPr>
        <w:widowControl w:val="0"/>
        <w:autoSpaceDE w:val="0"/>
        <w:autoSpaceDN w:val="0"/>
        <w:adjustRightInd w:val="0"/>
        <w:jc w:val="center"/>
        <w:rPr>
          <w:sz w:val="21"/>
          <w:lang w:val="en-US"/>
        </w:rPr>
      </w:pPr>
      <w:r w:rsidRPr="009E6692">
        <w:rPr>
          <w:sz w:val="21"/>
          <w:lang w:val="en-US"/>
        </w:rPr>
        <w:t>Bootstrapped – adjusted clustering at id and year level- errors in parentheses</w:t>
      </w:r>
    </w:p>
    <w:p w14:paraId="1E023565" w14:textId="77777777" w:rsidR="009E6692" w:rsidRPr="009E6692" w:rsidRDefault="009E6692" w:rsidP="009E6692">
      <w:pPr>
        <w:widowControl w:val="0"/>
        <w:autoSpaceDE w:val="0"/>
        <w:autoSpaceDN w:val="0"/>
        <w:adjustRightInd w:val="0"/>
        <w:jc w:val="center"/>
        <w:rPr>
          <w:sz w:val="21"/>
          <w:lang w:val="en-US"/>
        </w:rPr>
      </w:pPr>
      <w:r w:rsidRPr="009E6692">
        <w:rPr>
          <w:sz w:val="21"/>
          <w:lang w:val="en-US"/>
        </w:rPr>
        <w:t>*** p&lt;0.01, ** p&lt;0.05, * p&lt;0.1</w:t>
      </w:r>
    </w:p>
    <w:p w14:paraId="137C9FBE" w14:textId="77777777" w:rsidR="00E2623D" w:rsidRDefault="00E2623D" w:rsidP="006E5E41">
      <w:pPr>
        <w:ind w:firstLine="567"/>
        <w:jc w:val="both"/>
        <w:rPr>
          <w:rFonts w:ascii="NimbusRomNo9L" w:hAnsi="NimbusRomNo9L"/>
          <w:lang w:val="en-US"/>
        </w:rPr>
      </w:pPr>
    </w:p>
    <w:p w14:paraId="25A76811" w14:textId="3976491F" w:rsidR="00263163" w:rsidRDefault="00263163" w:rsidP="00263163">
      <w:pPr>
        <w:ind w:firstLine="567"/>
        <w:jc w:val="both"/>
        <w:rPr>
          <w:rFonts w:ascii="NimbusRomNo9L" w:hAnsi="NimbusRomNo9L"/>
          <w:lang w:val="en-US"/>
        </w:rPr>
      </w:pPr>
      <w:r w:rsidRPr="00A77833">
        <w:rPr>
          <w:rFonts w:ascii="NimbusRomNo9L" w:hAnsi="NimbusRomNo9L"/>
          <w:lang w:val="en-US"/>
        </w:rPr>
        <w:t xml:space="preserve">The table shows strong F-statistics according to both the </w:t>
      </w:r>
      <w:proofErr w:type="spellStart"/>
      <w:r w:rsidRPr="00A77833">
        <w:rPr>
          <w:rFonts w:ascii="NimbusRomNo9L" w:hAnsi="NimbusRomNo9L"/>
          <w:lang w:val="en-US"/>
        </w:rPr>
        <w:t>Kleibergen-Paap</w:t>
      </w:r>
      <w:proofErr w:type="spellEnd"/>
      <w:r w:rsidRPr="00A77833">
        <w:rPr>
          <w:rFonts w:ascii="NimbusRomNo9L" w:hAnsi="NimbusRomNo9L"/>
          <w:lang w:val="en-US"/>
        </w:rPr>
        <w:t xml:space="preserve"> and </w:t>
      </w:r>
      <w:proofErr w:type="spellStart"/>
      <w:r w:rsidRPr="00A77833">
        <w:rPr>
          <w:rFonts w:ascii="NimbusRomNo9L" w:hAnsi="NimbusRomNo9L"/>
          <w:lang w:val="en-US"/>
        </w:rPr>
        <w:t>Cragg</w:t>
      </w:r>
      <w:proofErr w:type="spellEnd"/>
      <w:r w:rsidRPr="00A77833">
        <w:rPr>
          <w:rFonts w:ascii="NimbusRomNo9L" w:hAnsi="NimbusRomNo9L"/>
          <w:lang w:val="en-US"/>
        </w:rPr>
        <w:t>-Donald tests across all three models. These statistics help assess the weakness of the instrumental variable ("Lawyers/inhabitants (1865)"). Generally, an F-statistic above 10 is considered acceptable</w:t>
      </w:r>
      <w:r w:rsidR="0022252C">
        <w:rPr>
          <w:rFonts w:ascii="NimbusRomNo9L" w:hAnsi="NimbusRomNo9L"/>
          <w:lang w:val="en-US"/>
        </w:rPr>
        <w:t xml:space="preserve"> </w:t>
      </w:r>
      <w:r w:rsidR="0022252C" w:rsidRPr="00F003EF">
        <w:rPr>
          <w:rFonts w:ascii="NimbusRomNo9L" w:hAnsi="NimbusRomNo9L"/>
          <w:lang w:val="en-US"/>
        </w:rPr>
        <w:t>(</w:t>
      </w:r>
      <w:proofErr w:type="spellStart"/>
      <w:r w:rsidR="0022252C" w:rsidRPr="00F003EF">
        <w:rPr>
          <w:rFonts w:ascii="NimbusRomNo9L" w:hAnsi="NimbusRomNo9L"/>
          <w:lang w:val="en-US"/>
        </w:rPr>
        <w:t>Staiger</w:t>
      </w:r>
      <w:proofErr w:type="spellEnd"/>
      <w:r w:rsidR="0022252C" w:rsidRPr="00F003EF">
        <w:rPr>
          <w:rFonts w:ascii="NimbusRomNo9L" w:hAnsi="NimbusRomNo9L"/>
          <w:lang w:val="en-US"/>
        </w:rPr>
        <w:t xml:space="preserve"> &amp; Stock, 1997)</w:t>
      </w:r>
      <w:r w:rsidRPr="00A77833">
        <w:rPr>
          <w:rFonts w:ascii="NimbusRomNo9L" w:hAnsi="NimbusRomNo9L"/>
          <w:lang w:val="en-US"/>
        </w:rPr>
        <w:t xml:space="preserve">, and higher values </w:t>
      </w:r>
      <w:r w:rsidR="0022252C">
        <w:rPr>
          <w:rFonts w:ascii="NimbusRomNo9L" w:hAnsi="NimbusRomNo9L"/>
          <w:lang w:val="en-US"/>
        </w:rPr>
        <w:t xml:space="preserve">are needed </w:t>
      </w:r>
      <w:r w:rsidR="0022252C" w:rsidRPr="00F003EF">
        <w:rPr>
          <w:rFonts w:ascii="NimbusRomNo9L" w:hAnsi="NimbusRomNo9L"/>
          <w:lang w:val="en-US"/>
        </w:rPr>
        <w:t xml:space="preserve">(Bun &amp; De </w:t>
      </w:r>
      <w:proofErr w:type="spellStart"/>
      <w:r w:rsidR="0022252C" w:rsidRPr="00F003EF">
        <w:rPr>
          <w:rFonts w:ascii="NimbusRomNo9L" w:hAnsi="NimbusRomNo9L"/>
          <w:lang w:val="en-US"/>
        </w:rPr>
        <w:t>Haan</w:t>
      </w:r>
      <w:proofErr w:type="spellEnd"/>
      <w:r w:rsidR="0022252C" w:rsidRPr="00F003EF">
        <w:rPr>
          <w:rFonts w:ascii="NimbusRomNo9L" w:hAnsi="NimbusRomNo9L"/>
          <w:lang w:val="en-US"/>
        </w:rPr>
        <w:t>, 2010)</w:t>
      </w:r>
      <w:r w:rsidRPr="00A77833">
        <w:rPr>
          <w:rFonts w:ascii="NimbusRomNo9L" w:hAnsi="NimbusRomNo9L"/>
          <w:lang w:val="en-US"/>
        </w:rPr>
        <w:t xml:space="preserve"> </w:t>
      </w:r>
      <w:r w:rsidR="0022252C">
        <w:rPr>
          <w:rFonts w:ascii="NimbusRomNo9L" w:hAnsi="NimbusRomNo9L"/>
          <w:lang w:val="en-US"/>
        </w:rPr>
        <w:t xml:space="preserve">for </w:t>
      </w:r>
      <w:r w:rsidRPr="00A77833">
        <w:rPr>
          <w:rFonts w:ascii="NimbusRomNo9L" w:hAnsi="NimbusRomNo9L"/>
          <w:lang w:val="en-US"/>
        </w:rPr>
        <w:t>a</w:t>
      </w:r>
      <w:r w:rsidR="0022252C">
        <w:rPr>
          <w:rFonts w:ascii="NimbusRomNo9L" w:hAnsi="NimbusRomNo9L"/>
          <w:lang w:val="en-US"/>
        </w:rPr>
        <w:t xml:space="preserve">n </w:t>
      </w:r>
      <w:r w:rsidRPr="00A77833">
        <w:rPr>
          <w:rFonts w:ascii="NimbusRomNo9L" w:hAnsi="NimbusRomNo9L"/>
          <w:lang w:val="en-US"/>
        </w:rPr>
        <w:t>instrument</w:t>
      </w:r>
      <w:r w:rsidR="0022252C">
        <w:rPr>
          <w:rFonts w:ascii="NimbusRomNo9L" w:hAnsi="NimbusRomNo9L"/>
          <w:lang w:val="en-US"/>
        </w:rPr>
        <w:t xml:space="preserve"> </w:t>
      </w:r>
      <w:r w:rsidR="0022252C" w:rsidRPr="00F003EF">
        <w:rPr>
          <w:rFonts w:ascii="NimbusRomNo9L" w:hAnsi="NimbusRomNo9L"/>
          <w:lang w:val="en-US"/>
        </w:rPr>
        <w:t xml:space="preserve">valid in terms of bias size (Sanderson &amp; </w:t>
      </w:r>
      <w:proofErr w:type="spellStart"/>
      <w:r w:rsidR="0022252C" w:rsidRPr="00F003EF">
        <w:rPr>
          <w:rFonts w:ascii="NimbusRomNo9L" w:hAnsi="NimbusRomNo9L"/>
          <w:lang w:val="en-US"/>
        </w:rPr>
        <w:t>Windmeijer</w:t>
      </w:r>
      <w:proofErr w:type="spellEnd"/>
      <w:r w:rsidR="0022252C" w:rsidRPr="00F003EF">
        <w:rPr>
          <w:rFonts w:ascii="NimbusRomNo9L" w:hAnsi="NimbusRomNo9L"/>
          <w:lang w:val="en-US"/>
        </w:rPr>
        <w:t>, 2016).</w:t>
      </w:r>
      <w:r w:rsidRPr="00A77833">
        <w:rPr>
          <w:rFonts w:ascii="NimbusRomNo9L" w:hAnsi="NimbusRomNo9L"/>
          <w:lang w:val="en-US"/>
        </w:rPr>
        <w:t xml:space="preserve"> In your case, all models exceed this threshold comfortably, ranging from 34.04 to 341.9. This suggests that the instrument is not likely to suffer from weak instrument bias, which can lead to unreliable estimates.</w:t>
      </w:r>
      <w:r>
        <w:rPr>
          <w:rFonts w:ascii="NimbusRomNo9L" w:hAnsi="NimbusRomNo9L"/>
          <w:lang w:val="en-US"/>
        </w:rPr>
        <w:t xml:space="preserve"> Furthermore, the </w:t>
      </w:r>
      <w:r w:rsidRPr="00A166CF">
        <w:rPr>
          <w:rFonts w:ascii="NimbusRomNo9L" w:hAnsi="NimbusRomNo9L"/>
          <w:lang w:val="en-US"/>
        </w:rPr>
        <w:t>Montiel-Pflueger robust weak instrument test</w:t>
      </w:r>
      <w:r>
        <w:rPr>
          <w:rFonts w:ascii="NimbusRomNo9L" w:hAnsi="NimbusRomNo9L"/>
          <w:lang w:val="en-US"/>
        </w:rPr>
        <w:t xml:space="preserve"> (</w:t>
      </w:r>
      <w:r w:rsidRPr="004F0D29">
        <w:rPr>
          <w:rFonts w:ascii="NimbusRomNo9L" w:hAnsi="NimbusRomNo9L"/>
          <w:lang w:val="en-US"/>
        </w:rPr>
        <w:t>Olea</w:t>
      </w:r>
      <w:r>
        <w:rPr>
          <w:rFonts w:ascii="NimbusRomNo9L" w:hAnsi="NimbusRomNo9L"/>
          <w:lang w:val="en-US"/>
        </w:rPr>
        <w:t xml:space="preserve"> </w:t>
      </w:r>
      <w:r w:rsidRPr="004F0D29">
        <w:rPr>
          <w:rFonts w:ascii="NimbusRomNo9L" w:hAnsi="NimbusRomNo9L"/>
          <w:lang w:val="en-US"/>
        </w:rPr>
        <w:t>&amp; Pflueger, 2013</w:t>
      </w:r>
      <w:r>
        <w:rPr>
          <w:rFonts w:ascii="NimbusRomNo9L" w:hAnsi="NimbusRomNo9L"/>
          <w:lang w:val="en-US"/>
        </w:rPr>
        <w:t>) suggest, with a confidence level alpha of 1%, that the maximum worst-case bias is confined to 10% (the critical value is 30.12).</w:t>
      </w:r>
    </w:p>
    <w:p w14:paraId="225007F4" w14:textId="77777777" w:rsidR="00263163" w:rsidRPr="00A77833" w:rsidRDefault="00263163" w:rsidP="00263163">
      <w:pPr>
        <w:ind w:firstLine="567"/>
        <w:jc w:val="both"/>
        <w:rPr>
          <w:rFonts w:ascii="NimbusRomNo9L" w:hAnsi="NimbusRomNo9L"/>
          <w:lang w:val="en-US"/>
        </w:rPr>
      </w:pPr>
      <w:r w:rsidRPr="00A77833">
        <w:rPr>
          <w:rFonts w:ascii="NimbusRomNo9L" w:hAnsi="NimbusRomNo9L"/>
          <w:lang w:val="en-US"/>
        </w:rPr>
        <w:t>A notable difference across the models is the adjusted R-squared, which indicates the proportion of explained variance. Excluding newly introduced and merged courts leads to a slight increase in R-squared (0.639 to 0.714), while excluding big bars shows a more substantial jump (0.357 to 0.714). This suggests that both exclusions capture relevant factors impacting lawyer concentration.</w:t>
      </w:r>
    </w:p>
    <w:p w14:paraId="6911201B" w14:textId="649C0D87" w:rsidR="00263163" w:rsidRPr="00DF2E5C" w:rsidRDefault="00263163" w:rsidP="00DF2E5C">
      <w:pPr>
        <w:ind w:firstLine="567"/>
        <w:jc w:val="both"/>
        <w:rPr>
          <w:rFonts w:ascii="NimbusRomNo9L" w:hAnsi="NimbusRomNo9L"/>
          <w:lang w:val="en-US"/>
        </w:rPr>
      </w:pPr>
      <w:r w:rsidRPr="00263163">
        <w:rPr>
          <w:rFonts w:ascii="NimbusRomNo9L" w:hAnsi="NimbusRomNo9L"/>
          <w:lang w:val="en-US"/>
        </w:rPr>
        <w:t xml:space="preserve">The second-stage coefficients for </w:t>
      </w:r>
      <w:r w:rsidR="00DF2E5C">
        <w:rPr>
          <w:rFonts w:ascii="NimbusRomNo9L" w:hAnsi="NimbusRomNo9L"/>
          <w:lang w:val="en-US"/>
        </w:rPr>
        <w:t>the 2SLS</w:t>
      </w:r>
      <w:r w:rsidRPr="00263163">
        <w:rPr>
          <w:rFonts w:ascii="NimbusRomNo9L" w:hAnsi="NimbusRomNo9L"/>
          <w:lang w:val="en-US"/>
        </w:rPr>
        <w:t xml:space="preserve"> </w:t>
      </w:r>
      <w:r w:rsidR="00DF2E5C">
        <w:rPr>
          <w:rFonts w:ascii="NimbusRomNo9L" w:hAnsi="NimbusRomNo9L"/>
          <w:lang w:val="en-US"/>
        </w:rPr>
        <w:t xml:space="preserve">and SIVQR </w:t>
      </w:r>
      <w:r w:rsidRPr="00263163">
        <w:rPr>
          <w:rFonts w:ascii="NimbusRomNo9L" w:hAnsi="NimbusRomNo9L"/>
          <w:lang w:val="en-US"/>
        </w:rPr>
        <w:t>regressions are presented across three different specifications to assess the robustness of the findings</w:t>
      </w:r>
      <w:r w:rsidR="00DF2E5C">
        <w:rPr>
          <w:rFonts w:ascii="NimbusRomNo9L" w:hAnsi="NimbusRomNo9L"/>
          <w:lang w:val="en-US"/>
        </w:rPr>
        <w:t xml:space="preserve">. </w:t>
      </w:r>
      <w:r w:rsidRPr="00DF2E5C">
        <w:rPr>
          <w:rFonts w:ascii="NimbusRomNo9L" w:hAnsi="NimbusRomNo9L"/>
          <w:bCs/>
          <w:u w:val="single"/>
          <w:lang w:val="en-US"/>
        </w:rPr>
        <w:t>Table</w:t>
      </w:r>
      <w:r w:rsidRPr="00DF2E5C">
        <w:rPr>
          <w:rFonts w:ascii="NimbusRomNo9L" w:hAnsi="NimbusRomNo9L"/>
          <w:b/>
          <w:bCs/>
          <w:u w:val="single"/>
          <w:lang w:val="en-US"/>
        </w:rPr>
        <w:t xml:space="preserve"> </w:t>
      </w:r>
      <w:r w:rsidRPr="00DF2E5C">
        <w:rPr>
          <w:rFonts w:ascii="NimbusRomNo9L" w:hAnsi="NimbusRomNo9L"/>
          <w:bCs/>
          <w:u w:val="single"/>
          <w:lang w:val="en-US"/>
        </w:rPr>
        <w:t>3</w:t>
      </w:r>
      <w:r w:rsidRPr="00263163">
        <w:rPr>
          <w:rFonts w:ascii="NimbusRomNo9L" w:hAnsi="NimbusRomNo9L"/>
          <w:lang w:val="en-US"/>
        </w:rPr>
        <w:t xml:space="preserve"> reports the results for the complete dataset, providing insights into the overall relationship across all observed courts.</w:t>
      </w:r>
      <w:r w:rsidR="00DF2E5C">
        <w:rPr>
          <w:rFonts w:ascii="NimbusRomNo9L" w:hAnsi="NimbusRomNo9L"/>
          <w:lang w:val="en-US"/>
        </w:rPr>
        <w:t xml:space="preserve"> </w:t>
      </w:r>
      <w:r w:rsidR="00A306FB">
        <w:rPr>
          <w:rFonts w:ascii="NimbusRomNo9L" w:hAnsi="NimbusRomNo9L"/>
          <w:lang w:val="en-US"/>
        </w:rPr>
        <w:t>As a measure of placebo population test (Eggers et al., 2023)</w:t>
      </w:r>
      <w:r w:rsidRPr="00DF2E5C">
        <w:rPr>
          <w:rFonts w:ascii="NimbusRomNo9L" w:hAnsi="NimbusRomNo9L"/>
          <w:lang w:val="en-US"/>
        </w:rPr>
        <w:t>, </w:t>
      </w:r>
      <w:r w:rsidRPr="00DF2E5C">
        <w:rPr>
          <w:rFonts w:ascii="NimbusRomNo9L" w:hAnsi="NimbusRomNo9L"/>
          <w:u w:val="single"/>
          <w:lang w:val="en-US"/>
        </w:rPr>
        <w:t>Table 4</w:t>
      </w:r>
      <w:r w:rsidRPr="00DF2E5C">
        <w:rPr>
          <w:rFonts w:ascii="NimbusRomNo9L" w:hAnsi="NimbusRomNo9L"/>
          <w:lang w:val="en-US"/>
        </w:rPr>
        <w:t xml:space="preserve"> </w:t>
      </w:r>
      <w:r w:rsidR="00A306FB">
        <w:rPr>
          <w:rFonts w:ascii="NimbusRomNo9L" w:hAnsi="NimbusRomNo9L"/>
          <w:lang w:val="en-US"/>
        </w:rPr>
        <w:t xml:space="preserve">and </w:t>
      </w:r>
      <w:r w:rsidR="00A306FB" w:rsidRPr="00DF2E5C">
        <w:rPr>
          <w:rFonts w:ascii="NimbusRomNo9L" w:hAnsi="NimbusRomNo9L"/>
          <w:u w:val="single"/>
          <w:lang w:val="en-US"/>
        </w:rPr>
        <w:t>Table 5</w:t>
      </w:r>
      <w:r w:rsidR="00A306FB" w:rsidRPr="00A306FB">
        <w:rPr>
          <w:rFonts w:ascii="NimbusRomNo9L" w:hAnsi="NimbusRomNo9L"/>
          <w:lang w:val="en-US"/>
        </w:rPr>
        <w:t xml:space="preserve"> exclude </w:t>
      </w:r>
      <w:r w:rsidR="00A306FB">
        <w:rPr>
          <w:rFonts w:ascii="NimbusRomNo9L" w:hAnsi="NimbusRomNo9L"/>
          <w:lang w:val="en-US"/>
        </w:rPr>
        <w:t xml:space="preserve">some courts from the dataset. </w:t>
      </w:r>
      <w:r w:rsidR="00A306FB" w:rsidRPr="00DF2E5C">
        <w:rPr>
          <w:rFonts w:ascii="NimbusRomNo9L" w:hAnsi="NimbusRomNo9L"/>
          <w:u w:val="single"/>
          <w:lang w:val="en-US"/>
        </w:rPr>
        <w:t>Table 4</w:t>
      </w:r>
      <w:r w:rsidR="00A306FB" w:rsidRPr="00DF2E5C">
        <w:rPr>
          <w:rFonts w:ascii="NimbusRomNo9L" w:hAnsi="NimbusRomNo9L"/>
          <w:lang w:val="en-US"/>
        </w:rPr>
        <w:t xml:space="preserve"> </w:t>
      </w:r>
      <w:r w:rsidR="00A306FB">
        <w:rPr>
          <w:rFonts w:ascii="NimbusRomNo9L" w:hAnsi="NimbusRomNo9L"/>
          <w:lang w:val="en-US"/>
        </w:rPr>
        <w:t>does not account for</w:t>
      </w:r>
      <w:r w:rsidRPr="00DF2E5C">
        <w:rPr>
          <w:rFonts w:ascii="NimbusRomNo9L" w:hAnsi="NimbusRomNo9L"/>
          <w:lang w:val="en-US"/>
        </w:rPr>
        <w:t xml:space="preserve"> newly introduced, suppressed, and detached tribunals. This allows for a comparison with potentially more established and stable court structures.</w:t>
      </w:r>
      <w:r w:rsidR="00DF2E5C">
        <w:rPr>
          <w:rFonts w:ascii="NimbusRomNo9L" w:hAnsi="NimbusRomNo9L"/>
          <w:lang w:val="en-US"/>
        </w:rPr>
        <w:t xml:space="preserve"> Finally, </w:t>
      </w:r>
      <w:r w:rsidRPr="00DF2E5C">
        <w:rPr>
          <w:rFonts w:ascii="NimbusRomNo9L" w:hAnsi="NimbusRomNo9L"/>
          <w:u w:val="single"/>
          <w:lang w:val="en-US"/>
        </w:rPr>
        <w:t>Table 5</w:t>
      </w:r>
      <w:r w:rsidRPr="00DF2E5C">
        <w:rPr>
          <w:rFonts w:ascii="NimbusRomNo9L" w:hAnsi="NimbusRomNo9L"/>
          <w:lang w:val="en-US"/>
        </w:rPr>
        <w:t xml:space="preserve"> </w:t>
      </w:r>
      <w:r w:rsidR="00A306FB" w:rsidRPr="00DF2E5C">
        <w:rPr>
          <w:rFonts w:ascii="NimbusRomNo9L" w:hAnsi="NimbusRomNo9L"/>
          <w:lang w:val="en-US"/>
        </w:rPr>
        <w:t>ignores</w:t>
      </w:r>
      <w:r w:rsidRPr="00DF2E5C">
        <w:rPr>
          <w:rFonts w:ascii="NimbusRomNo9L" w:hAnsi="NimbusRomNo9L"/>
          <w:lang w:val="en-US"/>
        </w:rPr>
        <w:t xml:space="preserve"> the courts of Paris, Lyon, Strasbourg, and Toulouse. This focuses the analysis on courts with more similar lawyer densities, potentially reducing the influence of outliers.</w:t>
      </w:r>
    </w:p>
    <w:p w14:paraId="7BD7EEDF" w14:textId="0748201C" w:rsidR="006E5E41" w:rsidRPr="00166361" w:rsidRDefault="006E5E41" w:rsidP="006E5E41">
      <w:pPr>
        <w:spacing w:before="240" w:after="240"/>
        <w:jc w:val="both"/>
        <w:rPr>
          <w:rFonts w:ascii="NimbusRomNo9L" w:hAnsi="NimbusRomNo9L"/>
          <w:sz w:val="20"/>
          <w:szCs w:val="20"/>
          <w:lang w:val="en-US"/>
        </w:rPr>
      </w:pPr>
      <w:r w:rsidRPr="00166361">
        <w:rPr>
          <w:rFonts w:ascii="NimbusRomNo9L" w:hAnsi="NimbusRomNo9L"/>
          <w:sz w:val="20"/>
          <w:szCs w:val="20"/>
          <w:u w:val="single"/>
          <w:lang w:val="en-US"/>
        </w:rPr>
        <w:t xml:space="preserve">Table </w:t>
      </w:r>
      <w:r w:rsidR="00DF2E5C">
        <w:rPr>
          <w:rFonts w:ascii="NimbusRomNo9L" w:hAnsi="NimbusRomNo9L"/>
          <w:sz w:val="20"/>
          <w:szCs w:val="20"/>
          <w:u w:val="single"/>
          <w:lang w:val="en-US"/>
        </w:rPr>
        <w:t>3</w:t>
      </w:r>
      <w:r w:rsidRPr="00166361">
        <w:rPr>
          <w:rFonts w:ascii="NimbusRomNo9L" w:hAnsi="NimbusRomNo9L"/>
          <w:sz w:val="20"/>
          <w:szCs w:val="20"/>
          <w:lang w:val="en-US"/>
        </w:rPr>
        <w:t xml:space="preserve">: Two stage least squared and smoothed IV regressions </w:t>
      </w:r>
      <w:r w:rsidR="00267587" w:rsidRPr="00166361">
        <w:rPr>
          <w:rFonts w:ascii="NimbusRomNo9L" w:hAnsi="NimbusRomNo9L"/>
          <w:sz w:val="20"/>
          <w:szCs w:val="20"/>
          <w:lang w:val="en-US"/>
        </w:rPr>
        <w:t>(entire dataset)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71"/>
        <w:gridCol w:w="1080"/>
        <w:gridCol w:w="1081"/>
        <w:gridCol w:w="1081"/>
        <w:gridCol w:w="1081"/>
        <w:gridCol w:w="1081"/>
        <w:gridCol w:w="1075"/>
      </w:tblGrid>
      <w:tr w:rsidR="00DF2E5C" w:rsidRPr="00166361" w14:paraId="56F00076" w14:textId="77777777" w:rsidTr="00032D13">
        <w:trPr>
          <w:trHeight w:val="258"/>
        </w:trPr>
        <w:tc>
          <w:tcPr>
            <w:tcW w:w="1420" w:type="pct"/>
            <w:shd w:val="clear" w:color="auto" w:fill="auto"/>
            <w:noWrap/>
            <w:vAlign w:val="bottom"/>
          </w:tcPr>
          <w:p w14:paraId="25F3E8B5" w14:textId="77777777" w:rsidR="00DF2E5C" w:rsidRPr="00166361" w:rsidRDefault="00DF2E5C" w:rsidP="00267587">
            <w:pPr>
              <w:rPr>
                <w:rFonts w:ascii="NimbusRomNo9L" w:hAnsi="NimbusRomNo9L"/>
                <w:spacing w:val="-20"/>
                <w:sz w:val="20"/>
                <w:lang w:val="en-US"/>
              </w:rPr>
            </w:pPr>
          </w:p>
        </w:tc>
        <w:tc>
          <w:tcPr>
            <w:tcW w:w="597" w:type="pct"/>
            <w:shd w:val="clear" w:color="auto" w:fill="auto"/>
            <w:noWrap/>
            <w:vAlign w:val="bottom"/>
          </w:tcPr>
          <w:p w14:paraId="5E2338FE" w14:textId="77777777" w:rsidR="00DF2E5C" w:rsidRPr="00166361" w:rsidRDefault="00DF2E5C" w:rsidP="00267587">
            <w:pPr>
              <w:rPr>
                <w:rFonts w:ascii="NimbusRomNo9L" w:hAnsi="NimbusRomNo9L"/>
                <w:spacing w:val="-30"/>
                <w:sz w:val="20"/>
                <w:lang w:val="en-US"/>
              </w:rPr>
            </w:pPr>
            <w:r w:rsidRPr="00166361">
              <w:rPr>
                <w:rFonts w:ascii="NimbusRomNo9L" w:hAnsi="NimbusRomNo9L"/>
                <w:spacing w:val="-30"/>
                <w:sz w:val="20"/>
                <w:lang w:val="en-US"/>
              </w:rPr>
              <w:t>2</w:t>
            </w:r>
            <w:r w:rsidRPr="00166361">
              <w:rPr>
                <w:rFonts w:ascii="NimbusRomNo9L" w:hAnsi="NimbusRomNo9L"/>
                <w:spacing w:val="-30"/>
                <w:sz w:val="20"/>
                <w:vertAlign w:val="superscript"/>
                <w:lang w:val="en-US"/>
              </w:rPr>
              <w:t>nd</w:t>
            </w:r>
            <w:r w:rsidRPr="00166361">
              <w:rPr>
                <w:rFonts w:ascii="NimbusRomNo9L" w:hAnsi="NimbusRomNo9L"/>
                <w:spacing w:val="-30"/>
                <w:sz w:val="20"/>
                <w:lang w:val="en-US"/>
              </w:rPr>
              <w:t xml:space="preserve"> stage 2SLS</w:t>
            </w:r>
          </w:p>
        </w:tc>
        <w:tc>
          <w:tcPr>
            <w:tcW w:w="597" w:type="pct"/>
            <w:shd w:val="clear" w:color="auto" w:fill="auto"/>
            <w:noWrap/>
            <w:vAlign w:val="bottom"/>
          </w:tcPr>
          <w:p w14:paraId="084E57D8" w14:textId="77777777" w:rsidR="00DF2E5C" w:rsidRPr="00166361" w:rsidRDefault="00DF2E5C" w:rsidP="00267587">
            <w:pPr>
              <w:jc w:val="center"/>
              <w:rPr>
                <w:rFonts w:ascii="NimbusRomNo9L" w:hAnsi="NimbusRomNo9L"/>
                <w:spacing w:val="-20"/>
                <w:sz w:val="20"/>
                <w:lang w:val="en-US"/>
              </w:rPr>
            </w:pPr>
            <w:r w:rsidRPr="00166361">
              <w:rPr>
                <w:rFonts w:ascii="NimbusRomNo9L" w:hAnsi="NimbusRomNo9L"/>
                <w:spacing w:val="-20"/>
                <w:sz w:val="20"/>
                <w:lang w:val="en-US"/>
              </w:rPr>
              <w:t>SIVQR</w:t>
            </w:r>
          </w:p>
        </w:tc>
        <w:tc>
          <w:tcPr>
            <w:tcW w:w="597" w:type="pct"/>
            <w:shd w:val="clear" w:color="auto" w:fill="auto"/>
            <w:noWrap/>
            <w:vAlign w:val="bottom"/>
          </w:tcPr>
          <w:p w14:paraId="408CBEB4" w14:textId="77777777" w:rsidR="00DF2E5C" w:rsidRPr="00166361" w:rsidRDefault="00DF2E5C" w:rsidP="00267587">
            <w:pPr>
              <w:jc w:val="center"/>
              <w:rPr>
                <w:rFonts w:ascii="NimbusRomNo9L" w:hAnsi="NimbusRomNo9L"/>
                <w:spacing w:val="-20"/>
                <w:sz w:val="20"/>
                <w:lang w:val="en-US"/>
              </w:rPr>
            </w:pPr>
            <w:r w:rsidRPr="00166361">
              <w:rPr>
                <w:rFonts w:ascii="NimbusRomNo9L" w:hAnsi="NimbusRomNo9L"/>
                <w:spacing w:val="-20"/>
                <w:sz w:val="20"/>
                <w:lang w:val="en-US"/>
              </w:rPr>
              <w:t>SIVQR</w:t>
            </w:r>
          </w:p>
        </w:tc>
        <w:tc>
          <w:tcPr>
            <w:tcW w:w="597" w:type="pct"/>
            <w:shd w:val="clear" w:color="auto" w:fill="auto"/>
            <w:noWrap/>
            <w:vAlign w:val="bottom"/>
          </w:tcPr>
          <w:p w14:paraId="727CD2EF" w14:textId="77777777" w:rsidR="00DF2E5C" w:rsidRPr="00166361" w:rsidRDefault="00DF2E5C" w:rsidP="00267587">
            <w:pPr>
              <w:jc w:val="center"/>
              <w:rPr>
                <w:rFonts w:ascii="NimbusRomNo9L" w:hAnsi="NimbusRomNo9L"/>
                <w:spacing w:val="-20"/>
                <w:sz w:val="20"/>
                <w:lang w:val="en-US"/>
              </w:rPr>
            </w:pPr>
            <w:r w:rsidRPr="00166361">
              <w:rPr>
                <w:rFonts w:ascii="NimbusRomNo9L" w:hAnsi="NimbusRomNo9L"/>
                <w:spacing w:val="-20"/>
                <w:sz w:val="20"/>
                <w:lang w:val="en-US"/>
              </w:rPr>
              <w:t>SIVQR</w:t>
            </w:r>
          </w:p>
        </w:tc>
        <w:tc>
          <w:tcPr>
            <w:tcW w:w="597" w:type="pct"/>
            <w:shd w:val="clear" w:color="auto" w:fill="auto"/>
            <w:noWrap/>
            <w:vAlign w:val="bottom"/>
          </w:tcPr>
          <w:p w14:paraId="39B508F8" w14:textId="77777777" w:rsidR="00DF2E5C" w:rsidRPr="00166361" w:rsidRDefault="00DF2E5C" w:rsidP="00267587">
            <w:pPr>
              <w:jc w:val="center"/>
              <w:rPr>
                <w:rFonts w:ascii="NimbusRomNo9L" w:hAnsi="NimbusRomNo9L"/>
                <w:spacing w:val="-20"/>
                <w:sz w:val="20"/>
                <w:lang w:val="en-US"/>
              </w:rPr>
            </w:pPr>
            <w:r w:rsidRPr="00166361">
              <w:rPr>
                <w:rFonts w:ascii="NimbusRomNo9L" w:hAnsi="NimbusRomNo9L"/>
                <w:spacing w:val="-20"/>
                <w:sz w:val="20"/>
                <w:lang w:val="en-US"/>
              </w:rPr>
              <w:t>SIVQR</w:t>
            </w:r>
          </w:p>
        </w:tc>
        <w:tc>
          <w:tcPr>
            <w:tcW w:w="594" w:type="pct"/>
            <w:shd w:val="clear" w:color="auto" w:fill="auto"/>
            <w:noWrap/>
            <w:vAlign w:val="bottom"/>
          </w:tcPr>
          <w:p w14:paraId="7125EC88" w14:textId="77777777" w:rsidR="00DF2E5C" w:rsidRPr="00166361" w:rsidRDefault="00DF2E5C" w:rsidP="00267587">
            <w:pPr>
              <w:jc w:val="center"/>
              <w:rPr>
                <w:rFonts w:ascii="NimbusRomNo9L" w:hAnsi="NimbusRomNo9L"/>
                <w:spacing w:val="-20"/>
                <w:sz w:val="20"/>
                <w:lang w:val="en-US"/>
              </w:rPr>
            </w:pPr>
            <w:r w:rsidRPr="00166361">
              <w:rPr>
                <w:rFonts w:ascii="NimbusRomNo9L" w:hAnsi="NimbusRomNo9L"/>
                <w:spacing w:val="-20"/>
                <w:sz w:val="20"/>
                <w:lang w:val="en-US"/>
              </w:rPr>
              <w:t>SIVQR</w:t>
            </w:r>
          </w:p>
        </w:tc>
      </w:tr>
      <w:tr w:rsidR="00DF2E5C" w:rsidRPr="00166361" w14:paraId="2D3357C8" w14:textId="77777777" w:rsidTr="00032D13">
        <w:trPr>
          <w:trHeight w:val="258"/>
        </w:trPr>
        <w:tc>
          <w:tcPr>
            <w:tcW w:w="1420" w:type="pct"/>
            <w:shd w:val="clear" w:color="auto" w:fill="auto"/>
            <w:noWrap/>
            <w:vAlign w:val="bottom"/>
            <w:hideMark/>
          </w:tcPr>
          <w:p w14:paraId="504E8DCD" w14:textId="77777777" w:rsidR="00DF2E5C" w:rsidRPr="00166361" w:rsidRDefault="00DF2E5C" w:rsidP="00267587">
            <w:pPr>
              <w:rPr>
                <w:rFonts w:ascii="NimbusRomNo9L" w:hAnsi="NimbusRomNo9L"/>
                <w:spacing w:val="-20"/>
                <w:sz w:val="20"/>
                <w:lang w:val="en-US"/>
              </w:rPr>
            </w:pPr>
            <w:r w:rsidRPr="00166361">
              <w:rPr>
                <w:rFonts w:ascii="NimbusRomNo9L" w:hAnsi="NimbusRomNo9L"/>
                <w:spacing w:val="-20"/>
                <w:sz w:val="20"/>
                <w:lang w:val="en-US"/>
              </w:rPr>
              <w:t>VARIABLES</w:t>
            </w:r>
          </w:p>
          <w:p w14:paraId="70A2D0A1" w14:textId="77777777" w:rsidR="00DF2E5C" w:rsidRPr="00166361" w:rsidRDefault="00DF2E5C" w:rsidP="00267587">
            <w:pPr>
              <w:rPr>
                <w:rFonts w:ascii="NimbusRomNo9L" w:hAnsi="NimbusRomNo9L"/>
                <w:spacing w:val="-20"/>
                <w:sz w:val="20"/>
                <w:lang w:val="en-US"/>
              </w:rPr>
            </w:pPr>
          </w:p>
        </w:tc>
        <w:tc>
          <w:tcPr>
            <w:tcW w:w="597" w:type="pct"/>
            <w:shd w:val="clear" w:color="auto" w:fill="auto"/>
            <w:noWrap/>
            <w:vAlign w:val="bottom"/>
            <w:hideMark/>
          </w:tcPr>
          <w:p w14:paraId="4BF79CFF" w14:textId="77777777" w:rsidR="00DF2E5C" w:rsidRPr="00166361" w:rsidRDefault="00DF2E5C" w:rsidP="00267587">
            <w:pPr>
              <w:rPr>
                <w:rFonts w:ascii="NimbusRomNo9L" w:hAnsi="NimbusRomNo9L"/>
                <w:spacing w:val="-20"/>
                <w:sz w:val="20"/>
                <w:lang w:val="en-US"/>
              </w:rPr>
            </w:pPr>
            <w:r w:rsidRPr="00166361">
              <w:rPr>
                <w:rFonts w:ascii="NimbusRomNo9L" w:hAnsi="NimbusRomNo9L"/>
                <w:spacing w:val="-20"/>
                <w:sz w:val="20"/>
                <w:lang w:val="en-US"/>
              </w:rPr>
              <w:t>Rejections</w:t>
            </w:r>
          </w:p>
        </w:tc>
        <w:tc>
          <w:tcPr>
            <w:tcW w:w="597" w:type="pct"/>
            <w:shd w:val="clear" w:color="auto" w:fill="auto"/>
            <w:noWrap/>
            <w:vAlign w:val="bottom"/>
            <w:hideMark/>
          </w:tcPr>
          <w:p w14:paraId="754ED26D" w14:textId="77777777" w:rsidR="00DF2E5C" w:rsidRPr="00166361" w:rsidRDefault="00DF2E5C" w:rsidP="00267587">
            <w:pPr>
              <w:rPr>
                <w:rFonts w:ascii="NimbusRomNo9L" w:hAnsi="NimbusRomNo9L"/>
                <w:spacing w:val="-20"/>
                <w:sz w:val="20"/>
                <w:lang w:val="en-US"/>
              </w:rPr>
            </w:pPr>
            <w:r w:rsidRPr="00166361">
              <w:rPr>
                <w:rFonts w:ascii="NimbusRomNo9L" w:hAnsi="NimbusRomNo9L"/>
                <w:spacing w:val="-20"/>
                <w:sz w:val="20"/>
                <w:lang w:val="en-US"/>
              </w:rPr>
              <w:t>Rejections</w:t>
            </w:r>
          </w:p>
        </w:tc>
        <w:tc>
          <w:tcPr>
            <w:tcW w:w="597" w:type="pct"/>
            <w:shd w:val="clear" w:color="auto" w:fill="auto"/>
            <w:noWrap/>
            <w:vAlign w:val="bottom"/>
            <w:hideMark/>
          </w:tcPr>
          <w:p w14:paraId="6BEBA019" w14:textId="77777777" w:rsidR="00DF2E5C" w:rsidRPr="00166361" w:rsidRDefault="00DF2E5C" w:rsidP="00267587">
            <w:pPr>
              <w:rPr>
                <w:rFonts w:ascii="NimbusRomNo9L" w:hAnsi="NimbusRomNo9L"/>
                <w:spacing w:val="-20"/>
                <w:sz w:val="20"/>
                <w:lang w:val="en-US"/>
              </w:rPr>
            </w:pPr>
            <w:r w:rsidRPr="00166361">
              <w:rPr>
                <w:rFonts w:ascii="NimbusRomNo9L" w:hAnsi="NimbusRomNo9L"/>
                <w:spacing w:val="-20"/>
                <w:sz w:val="20"/>
                <w:lang w:val="en-US"/>
              </w:rPr>
              <w:t>Rejections</w:t>
            </w:r>
          </w:p>
        </w:tc>
        <w:tc>
          <w:tcPr>
            <w:tcW w:w="597" w:type="pct"/>
            <w:shd w:val="clear" w:color="auto" w:fill="auto"/>
            <w:noWrap/>
            <w:vAlign w:val="bottom"/>
            <w:hideMark/>
          </w:tcPr>
          <w:p w14:paraId="4969CCB4" w14:textId="77777777" w:rsidR="00DF2E5C" w:rsidRPr="00166361" w:rsidRDefault="00DF2E5C" w:rsidP="00267587">
            <w:pPr>
              <w:rPr>
                <w:rFonts w:ascii="NimbusRomNo9L" w:hAnsi="NimbusRomNo9L"/>
                <w:spacing w:val="-20"/>
                <w:sz w:val="20"/>
                <w:lang w:val="en-US"/>
              </w:rPr>
            </w:pPr>
            <w:r w:rsidRPr="00166361">
              <w:rPr>
                <w:rFonts w:ascii="NimbusRomNo9L" w:hAnsi="NimbusRomNo9L"/>
                <w:spacing w:val="-20"/>
                <w:sz w:val="20"/>
                <w:lang w:val="en-US"/>
              </w:rPr>
              <w:t>Rejections</w:t>
            </w:r>
          </w:p>
        </w:tc>
        <w:tc>
          <w:tcPr>
            <w:tcW w:w="597" w:type="pct"/>
            <w:shd w:val="clear" w:color="auto" w:fill="auto"/>
            <w:noWrap/>
            <w:vAlign w:val="bottom"/>
            <w:hideMark/>
          </w:tcPr>
          <w:p w14:paraId="7ADEE556" w14:textId="77777777" w:rsidR="00DF2E5C" w:rsidRPr="00166361" w:rsidRDefault="00DF2E5C" w:rsidP="00267587">
            <w:pPr>
              <w:rPr>
                <w:rFonts w:ascii="NimbusRomNo9L" w:hAnsi="NimbusRomNo9L"/>
                <w:spacing w:val="-20"/>
                <w:sz w:val="20"/>
                <w:lang w:val="en-US"/>
              </w:rPr>
            </w:pPr>
            <w:r w:rsidRPr="00166361">
              <w:rPr>
                <w:rFonts w:ascii="NimbusRomNo9L" w:hAnsi="NimbusRomNo9L"/>
                <w:spacing w:val="-20"/>
                <w:sz w:val="20"/>
                <w:lang w:val="en-US"/>
              </w:rPr>
              <w:t>Rejections</w:t>
            </w:r>
          </w:p>
        </w:tc>
        <w:tc>
          <w:tcPr>
            <w:tcW w:w="594" w:type="pct"/>
            <w:shd w:val="clear" w:color="auto" w:fill="auto"/>
            <w:noWrap/>
            <w:vAlign w:val="bottom"/>
            <w:hideMark/>
          </w:tcPr>
          <w:p w14:paraId="54110D2D" w14:textId="77777777" w:rsidR="00DF2E5C" w:rsidRPr="00166361" w:rsidRDefault="00DF2E5C" w:rsidP="00267587">
            <w:pPr>
              <w:rPr>
                <w:rFonts w:ascii="NimbusRomNo9L" w:hAnsi="NimbusRomNo9L"/>
                <w:spacing w:val="-20"/>
                <w:sz w:val="20"/>
                <w:lang w:val="en-US"/>
              </w:rPr>
            </w:pPr>
            <w:r w:rsidRPr="00166361">
              <w:rPr>
                <w:rFonts w:ascii="NimbusRomNo9L" w:hAnsi="NimbusRomNo9L"/>
                <w:spacing w:val="-20"/>
                <w:sz w:val="20"/>
                <w:lang w:val="en-US"/>
              </w:rPr>
              <w:t>Rejections</w:t>
            </w:r>
          </w:p>
        </w:tc>
      </w:tr>
      <w:tr w:rsidR="00032D13" w:rsidRPr="00166361" w14:paraId="61A863D9" w14:textId="77777777" w:rsidTr="00032D13">
        <w:trPr>
          <w:trHeight w:val="258"/>
        </w:trPr>
        <w:tc>
          <w:tcPr>
            <w:tcW w:w="1420" w:type="pct"/>
            <w:shd w:val="clear" w:color="auto" w:fill="auto"/>
            <w:noWrap/>
            <w:vAlign w:val="bottom"/>
            <w:hideMark/>
          </w:tcPr>
          <w:p w14:paraId="55615999" w14:textId="365AD18D" w:rsidR="00032D13" w:rsidRPr="00166361" w:rsidRDefault="00032D13" w:rsidP="00032D13">
            <w:pPr>
              <w:rPr>
                <w:rFonts w:ascii="NimbusRomNo9L" w:hAnsi="NimbusRomNo9L"/>
                <w:spacing w:val="-20"/>
                <w:sz w:val="20"/>
                <w:lang w:val="en-US"/>
              </w:rPr>
            </w:pPr>
            <w:r w:rsidRPr="00032D13">
              <w:rPr>
                <w:rFonts w:ascii="NimbusRomNo9L" w:hAnsi="NimbusRomNo9L"/>
                <w:spacing w:val="-20"/>
                <w:sz w:val="20"/>
                <w:lang w:val="en-US"/>
              </w:rPr>
              <w:t>Lawyers/</w:t>
            </w:r>
            <w:r>
              <w:rPr>
                <w:rFonts w:ascii="NimbusRomNo9L" w:hAnsi="NimbusRomNo9L"/>
                <w:spacing w:val="-20"/>
                <w:sz w:val="20"/>
                <w:lang w:val="en-US"/>
              </w:rPr>
              <w:t xml:space="preserve">100.000 </w:t>
            </w:r>
            <w:r w:rsidRPr="00032D13">
              <w:rPr>
                <w:rFonts w:ascii="NimbusRomNo9L" w:hAnsi="NimbusRomNo9L"/>
                <w:spacing w:val="-20"/>
                <w:sz w:val="20"/>
                <w:lang w:val="en-US"/>
              </w:rPr>
              <w:t xml:space="preserve">inhabitants </w:t>
            </w:r>
          </w:p>
        </w:tc>
        <w:tc>
          <w:tcPr>
            <w:tcW w:w="597" w:type="pct"/>
            <w:shd w:val="clear" w:color="auto" w:fill="auto"/>
            <w:noWrap/>
            <w:hideMark/>
          </w:tcPr>
          <w:p w14:paraId="158AEFC1" w14:textId="29A33836"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0.0295***</w:t>
            </w:r>
          </w:p>
        </w:tc>
        <w:tc>
          <w:tcPr>
            <w:tcW w:w="597" w:type="pct"/>
            <w:shd w:val="clear" w:color="auto" w:fill="auto"/>
            <w:noWrap/>
            <w:hideMark/>
          </w:tcPr>
          <w:p w14:paraId="0E1C8014" w14:textId="05021612"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0.0291***</w:t>
            </w:r>
          </w:p>
        </w:tc>
        <w:tc>
          <w:tcPr>
            <w:tcW w:w="597" w:type="pct"/>
            <w:shd w:val="clear" w:color="auto" w:fill="auto"/>
            <w:noWrap/>
            <w:hideMark/>
          </w:tcPr>
          <w:p w14:paraId="766A453F" w14:textId="1BB07EDE"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0.0296***</w:t>
            </w:r>
          </w:p>
        </w:tc>
        <w:tc>
          <w:tcPr>
            <w:tcW w:w="597" w:type="pct"/>
            <w:shd w:val="clear" w:color="auto" w:fill="auto"/>
            <w:noWrap/>
            <w:hideMark/>
          </w:tcPr>
          <w:p w14:paraId="65EF74C0" w14:textId="5E9FF015"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0.0348***</w:t>
            </w:r>
          </w:p>
        </w:tc>
        <w:tc>
          <w:tcPr>
            <w:tcW w:w="597" w:type="pct"/>
            <w:shd w:val="clear" w:color="auto" w:fill="auto"/>
            <w:noWrap/>
            <w:hideMark/>
          </w:tcPr>
          <w:p w14:paraId="2E5ED520" w14:textId="42210285"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0.0295*</w:t>
            </w:r>
          </w:p>
        </w:tc>
        <w:tc>
          <w:tcPr>
            <w:tcW w:w="594" w:type="pct"/>
            <w:shd w:val="clear" w:color="auto" w:fill="auto"/>
            <w:noWrap/>
            <w:hideMark/>
          </w:tcPr>
          <w:p w14:paraId="0722EB45" w14:textId="1DADF795"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0.0485***</w:t>
            </w:r>
          </w:p>
        </w:tc>
      </w:tr>
      <w:tr w:rsidR="00032D13" w:rsidRPr="00166361" w14:paraId="49431B4E" w14:textId="77777777" w:rsidTr="00032D13">
        <w:trPr>
          <w:trHeight w:val="258"/>
        </w:trPr>
        <w:tc>
          <w:tcPr>
            <w:tcW w:w="1420" w:type="pct"/>
            <w:shd w:val="clear" w:color="auto" w:fill="auto"/>
            <w:noWrap/>
            <w:hideMark/>
          </w:tcPr>
          <w:p w14:paraId="140B5500" w14:textId="77777777" w:rsidR="00032D13" w:rsidRPr="00166361" w:rsidRDefault="00032D13" w:rsidP="00032D13">
            <w:pPr>
              <w:rPr>
                <w:rFonts w:ascii="NimbusRomNo9L" w:hAnsi="NimbusRomNo9L"/>
                <w:spacing w:val="-20"/>
                <w:sz w:val="20"/>
                <w:lang w:val="en-US"/>
              </w:rPr>
            </w:pPr>
          </w:p>
        </w:tc>
        <w:tc>
          <w:tcPr>
            <w:tcW w:w="597" w:type="pct"/>
            <w:shd w:val="clear" w:color="auto" w:fill="auto"/>
            <w:noWrap/>
            <w:hideMark/>
          </w:tcPr>
          <w:p w14:paraId="57D513E7" w14:textId="32D62395"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(0.00986)</w:t>
            </w:r>
          </w:p>
        </w:tc>
        <w:tc>
          <w:tcPr>
            <w:tcW w:w="597" w:type="pct"/>
            <w:shd w:val="clear" w:color="auto" w:fill="auto"/>
            <w:noWrap/>
            <w:hideMark/>
          </w:tcPr>
          <w:p w14:paraId="24697623" w14:textId="4B417690"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(0.00629)</w:t>
            </w:r>
          </w:p>
        </w:tc>
        <w:tc>
          <w:tcPr>
            <w:tcW w:w="597" w:type="pct"/>
            <w:shd w:val="clear" w:color="auto" w:fill="auto"/>
            <w:noWrap/>
            <w:hideMark/>
          </w:tcPr>
          <w:p w14:paraId="7CE5E1CC" w14:textId="08A8779E"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(0.00793)</w:t>
            </w:r>
          </w:p>
        </w:tc>
        <w:tc>
          <w:tcPr>
            <w:tcW w:w="597" w:type="pct"/>
            <w:shd w:val="clear" w:color="auto" w:fill="auto"/>
            <w:noWrap/>
            <w:hideMark/>
          </w:tcPr>
          <w:p w14:paraId="1A143B15" w14:textId="53C2A6AA"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(0.0101)</w:t>
            </w:r>
          </w:p>
        </w:tc>
        <w:tc>
          <w:tcPr>
            <w:tcW w:w="597" w:type="pct"/>
            <w:shd w:val="clear" w:color="auto" w:fill="auto"/>
            <w:noWrap/>
            <w:hideMark/>
          </w:tcPr>
          <w:p w14:paraId="152B64BB" w14:textId="7DD7D8D1"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(0.0152)</w:t>
            </w:r>
          </w:p>
        </w:tc>
        <w:tc>
          <w:tcPr>
            <w:tcW w:w="594" w:type="pct"/>
            <w:shd w:val="clear" w:color="auto" w:fill="auto"/>
            <w:noWrap/>
            <w:hideMark/>
          </w:tcPr>
          <w:p w14:paraId="3CC41414" w14:textId="5CB8C338"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(0.0155)</w:t>
            </w:r>
          </w:p>
        </w:tc>
      </w:tr>
      <w:tr w:rsidR="00032D13" w:rsidRPr="00166361" w14:paraId="07F96774" w14:textId="77777777" w:rsidTr="00032D13">
        <w:trPr>
          <w:trHeight w:val="258"/>
        </w:trPr>
        <w:tc>
          <w:tcPr>
            <w:tcW w:w="1420" w:type="pct"/>
            <w:shd w:val="clear" w:color="auto" w:fill="F2F2F2" w:themeFill="background1" w:themeFillShade="F2"/>
            <w:noWrap/>
            <w:vAlign w:val="bottom"/>
            <w:hideMark/>
          </w:tcPr>
          <w:p w14:paraId="2E7B6996" w14:textId="3B7D1F51" w:rsidR="00032D13" w:rsidRPr="00166361" w:rsidRDefault="00032D13" w:rsidP="00032D13">
            <w:pPr>
              <w:rPr>
                <w:rFonts w:ascii="NimbusRomNo9L" w:hAnsi="NimbusRomNo9L"/>
                <w:spacing w:val="-20"/>
                <w:sz w:val="20"/>
                <w:lang w:val="en-US"/>
              </w:rPr>
            </w:pPr>
            <w:r w:rsidRPr="00032D13">
              <w:rPr>
                <w:rFonts w:ascii="NimbusRomNo9L" w:hAnsi="NimbusRomNo9L"/>
                <w:spacing w:val="-20"/>
                <w:sz w:val="20"/>
                <w:lang w:val="en-US"/>
              </w:rPr>
              <w:t>Backlogs rate</w:t>
            </w:r>
          </w:p>
        </w:tc>
        <w:tc>
          <w:tcPr>
            <w:tcW w:w="597" w:type="pct"/>
            <w:shd w:val="clear" w:color="auto" w:fill="F2F2F2" w:themeFill="background1" w:themeFillShade="F2"/>
            <w:noWrap/>
            <w:hideMark/>
          </w:tcPr>
          <w:p w14:paraId="25536043" w14:textId="32439242"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-0.0294***</w:t>
            </w:r>
          </w:p>
        </w:tc>
        <w:tc>
          <w:tcPr>
            <w:tcW w:w="597" w:type="pct"/>
            <w:shd w:val="clear" w:color="auto" w:fill="F2F2F2" w:themeFill="background1" w:themeFillShade="F2"/>
            <w:noWrap/>
            <w:hideMark/>
          </w:tcPr>
          <w:p w14:paraId="0AA0BDE3" w14:textId="1788BA4E"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-0.0200***</w:t>
            </w:r>
          </w:p>
        </w:tc>
        <w:tc>
          <w:tcPr>
            <w:tcW w:w="597" w:type="pct"/>
            <w:shd w:val="clear" w:color="auto" w:fill="F2F2F2" w:themeFill="background1" w:themeFillShade="F2"/>
            <w:noWrap/>
            <w:hideMark/>
          </w:tcPr>
          <w:p w14:paraId="53A1753F" w14:textId="44155658"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-0.0212***</w:t>
            </w:r>
          </w:p>
        </w:tc>
        <w:tc>
          <w:tcPr>
            <w:tcW w:w="597" w:type="pct"/>
            <w:shd w:val="clear" w:color="auto" w:fill="F2F2F2" w:themeFill="background1" w:themeFillShade="F2"/>
            <w:noWrap/>
            <w:hideMark/>
          </w:tcPr>
          <w:p w14:paraId="741BCC2C" w14:textId="32B984E7"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-0.0166**</w:t>
            </w:r>
          </w:p>
        </w:tc>
        <w:tc>
          <w:tcPr>
            <w:tcW w:w="597" w:type="pct"/>
            <w:shd w:val="clear" w:color="auto" w:fill="F2F2F2" w:themeFill="background1" w:themeFillShade="F2"/>
            <w:noWrap/>
            <w:hideMark/>
          </w:tcPr>
          <w:p w14:paraId="6974AF77" w14:textId="4CC19390"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-0.0269***</w:t>
            </w:r>
          </w:p>
        </w:tc>
        <w:tc>
          <w:tcPr>
            <w:tcW w:w="594" w:type="pct"/>
            <w:shd w:val="clear" w:color="auto" w:fill="F2F2F2" w:themeFill="background1" w:themeFillShade="F2"/>
            <w:noWrap/>
            <w:hideMark/>
          </w:tcPr>
          <w:p w14:paraId="3C7C4F42" w14:textId="70057CF0"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-0.0269***</w:t>
            </w:r>
          </w:p>
        </w:tc>
      </w:tr>
      <w:tr w:rsidR="00032D13" w:rsidRPr="00166361" w14:paraId="2A4EAB4D" w14:textId="77777777" w:rsidTr="00032D13">
        <w:trPr>
          <w:trHeight w:val="258"/>
        </w:trPr>
        <w:tc>
          <w:tcPr>
            <w:tcW w:w="1420" w:type="pct"/>
            <w:shd w:val="clear" w:color="auto" w:fill="F2F2F2" w:themeFill="background1" w:themeFillShade="F2"/>
            <w:noWrap/>
            <w:hideMark/>
          </w:tcPr>
          <w:p w14:paraId="060283C4" w14:textId="77777777" w:rsidR="00032D13" w:rsidRPr="00166361" w:rsidRDefault="00032D13" w:rsidP="00032D13">
            <w:pPr>
              <w:rPr>
                <w:rFonts w:ascii="NimbusRomNo9L" w:hAnsi="NimbusRomNo9L"/>
                <w:spacing w:val="-20"/>
                <w:sz w:val="20"/>
                <w:lang w:val="en-US"/>
              </w:rPr>
            </w:pPr>
          </w:p>
        </w:tc>
        <w:tc>
          <w:tcPr>
            <w:tcW w:w="597" w:type="pct"/>
            <w:shd w:val="clear" w:color="auto" w:fill="F2F2F2" w:themeFill="background1" w:themeFillShade="F2"/>
            <w:noWrap/>
            <w:hideMark/>
          </w:tcPr>
          <w:p w14:paraId="0A2F8E57" w14:textId="40E09953"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(0.00729)</w:t>
            </w:r>
          </w:p>
        </w:tc>
        <w:tc>
          <w:tcPr>
            <w:tcW w:w="597" w:type="pct"/>
            <w:shd w:val="clear" w:color="auto" w:fill="F2F2F2" w:themeFill="background1" w:themeFillShade="F2"/>
            <w:noWrap/>
            <w:hideMark/>
          </w:tcPr>
          <w:p w14:paraId="5D745733" w14:textId="1A0A4487"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(0.00701)</w:t>
            </w:r>
          </w:p>
        </w:tc>
        <w:tc>
          <w:tcPr>
            <w:tcW w:w="597" w:type="pct"/>
            <w:shd w:val="clear" w:color="auto" w:fill="F2F2F2" w:themeFill="background1" w:themeFillShade="F2"/>
            <w:noWrap/>
            <w:hideMark/>
          </w:tcPr>
          <w:p w14:paraId="53423730" w14:textId="1FDEC9C1"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(0.00664)</w:t>
            </w:r>
          </w:p>
        </w:tc>
        <w:tc>
          <w:tcPr>
            <w:tcW w:w="597" w:type="pct"/>
            <w:shd w:val="clear" w:color="auto" w:fill="F2F2F2" w:themeFill="background1" w:themeFillShade="F2"/>
            <w:noWrap/>
            <w:hideMark/>
          </w:tcPr>
          <w:p w14:paraId="2E4C095A" w14:textId="1DB72BD5"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(0.00842)</w:t>
            </w:r>
          </w:p>
        </w:tc>
        <w:tc>
          <w:tcPr>
            <w:tcW w:w="597" w:type="pct"/>
            <w:shd w:val="clear" w:color="auto" w:fill="F2F2F2" w:themeFill="background1" w:themeFillShade="F2"/>
            <w:noWrap/>
            <w:hideMark/>
          </w:tcPr>
          <w:p w14:paraId="360F7E2A" w14:textId="40A8923C"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(0.00907)</w:t>
            </w:r>
          </w:p>
        </w:tc>
        <w:tc>
          <w:tcPr>
            <w:tcW w:w="594" w:type="pct"/>
            <w:shd w:val="clear" w:color="auto" w:fill="F2F2F2" w:themeFill="background1" w:themeFillShade="F2"/>
            <w:noWrap/>
            <w:hideMark/>
          </w:tcPr>
          <w:p w14:paraId="0B67DB24" w14:textId="586A81A2"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(0.00889)</w:t>
            </w:r>
          </w:p>
        </w:tc>
      </w:tr>
      <w:tr w:rsidR="00032D13" w:rsidRPr="00166361" w14:paraId="1756EA99" w14:textId="77777777" w:rsidTr="00032D13">
        <w:trPr>
          <w:trHeight w:val="258"/>
        </w:trPr>
        <w:tc>
          <w:tcPr>
            <w:tcW w:w="1420" w:type="pct"/>
            <w:shd w:val="clear" w:color="auto" w:fill="auto"/>
            <w:noWrap/>
            <w:vAlign w:val="bottom"/>
            <w:hideMark/>
          </w:tcPr>
          <w:p w14:paraId="270E7DCB" w14:textId="5BD4052A" w:rsidR="00032D13" w:rsidRPr="00166361" w:rsidRDefault="00032D13" w:rsidP="00032D13">
            <w:pPr>
              <w:rPr>
                <w:rFonts w:ascii="NimbusRomNo9L" w:hAnsi="NimbusRomNo9L"/>
                <w:spacing w:val="-20"/>
                <w:sz w:val="20"/>
                <w:lang w:val="en-US"/>
              </w:rPr>
            </w:pPr>
            <w:r w:rsidRPr="00032D13">
              <w:rPr>
                <w:rFonts w:ascii="NimbusRomNo9L" w:hAnsi="NimbusRomNo9L"/>
                <w:spacing w:val="-20"/>
                <w:sz w:val="20"/>
                <w:lang w:val="en-US"/>
              </w:rPr>
              <w:t>Withdrawal rate</w:t>
            </w:r>
          </w:p>
        </w:tc>
        <w:tc>
          <w:tcPr>
            <w:tcW w:w="597" w:type="pct"/>
            <w:shd w:val="clear" w:color="auto" w:fill="auto"/>
            <w:noWrap/>
            <w:hideMark/>
          </w:tcPr>
          <w:p w14:paraId="038F1B84" w14:textId="78E79AE9"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0.507***</w:t>
            </w:r>
          </w:p>
        </w:tc>
        <w:tc>
          <w:tcPr>
            <w:tcW w:w="597" w:type="pct"/>
            <w:shd w:val="clear" w:color="auto" w:fill="auto"/>
            <w:noWrap/>
            <w:hideMark/>
          </w:tcPr>
          <w:p w14:paraId="241F4C3B" w14:textId="69681C2A"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0.388***</w:t>
            </w:r>
          </w:p>
        </w:tc>
        <w:tc>
          <w:tcPr>
            <w:tcW w:w="597" w:type="pct"/>
            <w:shd w:val="clear" w:color="auto" w:fill="auto"/>
            <w:noWrap/>
            <w:hideMark/>
          </w:tcPr>
          <w:p w14:paraId="5FBC2C87" w14:textId="50176DC6"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0.404***</w:t>
            </w:r>
          </w:p>
        </w:tc>
        <w:tc>
          <w:tcPr>
            <w:tcW w:w="597" w:type="pct"/>
            <w:shd w:val="clear" w:color="auto" w:fill="auto"/>
            <w:noWrap/>
            <w:hideMark/>
          </w:tcPr>
          <w:p w14:paraId="5105209E" w14:textId="4AFE9450"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0.453***</w:t>
            </w:r>
          </w:p>
        </w:tc>
        <w:tc>
          <w:tcPr>
            <w:tcW w:w="597" w:type="pct"/>
            <w:shd w:val="clear" w:color="auto" w:fill="auto"/>
            <w:noWrap/>
            <w:hideMark/>
          </w:tcPr>
          <w:p w14:paraId="4CC1249D" w14:textId="676F5B70"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0.495***</w:t>
            </w:r>
          </w:p>
        </w:tc>
        <w:tc>
          <w:tcPr>
            <w:tcW w:w="594" w:type="pct"/>
            <w:shd w:val="clear" w:color="auto" w:fill="auto"/>
            <w:noWrap/>
            <w:hideMark/>
          </w:tcPr>
          <w:p w14:paraId="28A6855C" w14:textId="2E4625EE"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0.593***</w:t>
            </w:r>
          </w:p>
        </w:tc>
      </w:tr>
      <w:tr w:rsidR="00032D13" w:rsidRPr="00166361" w14:paraId="3EFA5810" w14:textId="77777777" w:rsidTr="00032D13">
        <w:trPr>
          <w:trHeight w:val="258"/>
        </w:trPr>
        <w:tc>
          <w:tcPr>
            <w:tcW w:w="1420" w:type="pct"/>
            <w:shd w:val="clear" w:color="auto" w:fill="auto"/>
            <w:noWrap/>
            <w:hideMark/>
          </w:tcPr>
          <w:p w14:paraId="7C72B0B1" w14:textId="77777777" w:rsidR="00032D13" w:rsidRPr="00166361" w:rsidRDefault="00032D13" w:rsidP="00032D13">
            <w:pPr>
              <w:rPr>
                <w:rFonts w:ascii="NimbusRomNo9L" w:hAnsi="NimbusRomNo9L"/>
                <w:spacing w:val="-20"/>
                <w:sz w:val="20"/>
                <w:lang w:val="en-US"/>
              </w:rPr>
            </w:pPr>
          </w:p>
        </w:tc>
        <w:tc>
          <w:tcPr>
            <w:tcW w:w="597" w:type="pct"/>
            <w:shd w:val="clear" w:color="auto" w:fill="auto"/>
            <w:noWrap/>
            <w:hideMark/>
          </w:tcPr>
          <w:p w14:paraId="0778EEC1" w14:textId="66221A42"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(0.0571)</w:t>
            </w:r>
          </w:p>
        </w:tc>
        <w:tc>
          <w:tcPr>
            <w:tcW w:w="597" w:type="pct"/>
            <w:shd w:val="clear" w:color="auto" w:fill="auto"/>
            <w:noWrap/>
            <w:hideMark/>
          </w:tcPr>
          <w:p w14:paraId="456C27CC" w14:textId="19D66FAC"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(0.0488)</w:t>
            </w:r>
          </w:p>
        </w:tc>
        <w:tc>
          <w:tcPr>
            <w:tcW w:w="597" w:type="pct"/>
            <w:shd w:val="clear" w:color="auto" w:fill="auto"/>
            <w:noWrap/>
            <w:hideMark/>
          </w:tcPr>
          <w:p w14:paraId="613F9419" w14:textId="1C34BFB8"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(0.0375)</w:t>
            </w:r>
          </w:p>
        </w:tc>
        <w:tc>
          <w:tcPr>
            <w:tcW w:w="597" w:type="pct"/>
            <w:shd w:val="clear" w:color="auto" w:fill="auto"/>
            <w:noWrap/>
            <w:hideMark/>
          </w:tcPr>
          <w:p w14:paraId="5F217EDD" w14:textId="0A8E6056"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(0.0398)</w:t>
            </w:r>
          </w:p>
        </w:tc>
        <w:tc>
          <w:tcPr>
            <w:tcW w:w="597" w:type="pct"/>
            <w:shd w:val="clear" w:color="auto" w:fill="auto"/>
            <w:noWrap/>
            <w:hideMark/>
          </w:tcPr>
          <w:p w14:paraId="230CC0D3" w14:textId="45B1EA68"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(0.0880)</w:t>
            </w:r>
          </w:p>
        </w:tc>
        <w:tc>
          <w:tcPr>
            <w:tcW w:w="594" w:type="pct"/>
            <w:shd w:val="clear" w:color="auto" w:fill="auto"/>
            <w:noWrap/>
            <w:hideMark/>
          </w:tcPr>
          <w:p w14:paraId="3B4E1EA4" w14:textId="52C230D3"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(0.0992)</w:t>
            </w:r>
          </w:p>
        </w:tc>
      </w:tr>
      <w:tr w:rsidR="00032D13" w:rsidRPr="00166361" w14:paraId="37F51D66" w14:textId="77777777" w:rsidTr="00032D13">
        <w:trPr>
          <w:trHeight w:val="258"/>
        </w:trPr>
        <w:tc>
          <w:tcPr>
            <w:tcW w:w="1420" w:type="pct"/>
            <w:shd w:val="clear" w:color="auto" w:fill="F2F2F2" w:themeFill="background1" w:themeFillShade="F2"/>
            <w:noWrap/>
            <w:vAlign w:val="bottom"/>
            <w:hideMark/>
          </w:tcPr>
          <w:p w14:paraId="25113987" w14:textId="24025663" w:rsidR="00032D13" w:rsidRPr="00166361" w:rsidRDefault="00032D13" w:rsidP="00032D13">
            <w:pPr>
              <w:rPr>
                <w:rFonts w:ascii="NimbusRomNo9L" w:hAnsi="NimbusRomNo9L"/>
                <w:spacing w:val="-20"/>
                <w:sz w:val="20"/>
                <w:lang w:val="en-US"/>
              </w:rPr>
            </w:pPr>
            <w:r w:rsidRPr="00032D13">
              <w:rPr>
                <w:rFonts w:ascii="NimbusRomNo9L" w:hAnsi="NimbusRomNo9L"/>
                <w:spacing w:val="-20"/>
                <w:sz w:val="20"/>
                <w:lang w:val="en-US"/>
              </w:rPr>
              <w:t>Duration of cases (in months)</w:t>
            </w:r>
          </w:p>
        </w:tc>
        <w:tc>
          <w:tcPr>
            <w:tcW w:w="597" w:type="pct"/>
            <w:shd w:val="clear" w:color="auto" w:fill="F2F2F2" w:themeFill="background1" w:themeFillShade="F2"/>
            <w:noWrap/>
            <w:hideMark/>
          </w:tcPr>
          <w:p w14:paraId="33E8E143" w14:textId="0E5D5E10"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0.261**</w:t>
            </w:r>
          </w:p>
        </w:tc>
        <w:tc>
          <w:tcPr>
            <w:tcW w:w="597" w:type="pct"/>
            <w:shd w:val="clear" w:color="auto" w:fill="F2F2F2" w:themeFill="background1" w:themeFillShade="F2"/>
            <w:noWrap/>
            <w:hideMark/>
          </w:tcPr>
          <w:p w14:paraId="08169EEF" w14:textId="08743ABB"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0.187*</w:t>
            </w:r>
          </w:p>
        </w:tc>
        <w:tc>
          <w:tcPr>
            <w:tcW w:w="597" w:type="pct"/>
            <w:shd w:val="clear" w:color="auto" w:fill="F2F2F2" w:themeFill="background1" w:themeFillShade="F2"/>
            <w:noWrap/>
            <w:hideMark/>
          </w:tcPr>
          <w:p w14:paraId="66DBF743" w14:textId="3A85C2EF"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0.170*</w:t>
            </w:r>
          </w:p>
        </w:tc>
        <w:tc>
          <w:tcPr>
            <w:tcW w:w="597" w:type="pct"/>
            <w:shd w:val="clear" w:color="auto" w:fill="F2F2F2" w:themeFill="background1" w:themeFillShade="F2"/>
            <w:noWrap/>
            <w:hideMark/>
          </w:tcPr>
          <w:p w14:paraId="1FA9A746" w14:textId="22A089DA"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0.131</w:t>
            </w:r>
          </w:p>
        </w:tc>
        <w:tc>
          <w:tcPr>
            <w:tcW w:w="597" w:type="pct"/>
            <w:shd w:val="clear" w:color="auto" w:fill="F2F2F2" w:themeFill="background1" w:themeFillShade="F2"/>
            <w:noWrap/>
            <w:hideMark/>
          </w:tcPr>
          <w:p w14:paraId="4A82EB6A" w14:textId="240E006A"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0.248**</w:t>
            </w:r>
          </w:p>
        </w:tc>
        <w:tc>
          <w:tcPr>
            <w:tcW w:w="594" w:type="pct"/>
            <w:shd w:val="clear" w:color="auto" w:fill="F2F2F2" w:themeFill="background1" w:themeFillShade="F2"/>
            <w:noWrap/>
            <w:hideMark/>
          </w:tcPr>
          <w:p w14:paraId="1B8E2A2F" w14:textId="5BF50513"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0.0688</w:t>
            </w:r>
          </w:p>
        </w:tc>
      </w:tr>
      <w:tr w:rsidR="00032D13" w:rsidRPr="00166361" w14:paraId="3B73B46E" w14:textId="77777777" w:rsidTr="00032D13">
        <w:trPr>
          <w:trHeight w:val="258"/>
        </w:trPr>
        <w:tc>
          <w:tcPr>
            <w:tcW w:w="1420" w:type="pct"/>
            <w:shd w:val="clear" w:color="auto" w:fill="F2F2F2" w:themeFill="background1" w:themeFillShade="F2"/>
            <w:noWrap/>
            <w:hideMark/>
          </w:tcPr>
          <w:p w14:paraId="5175A11A" w14:textId="77777777" w:rsidR="00032D13" w:rsidRPr="00166361" w:rsidRDefault="00032D13" w:rsidP="00032D13">
            <w:pPr>
              <w:rPr>
                <w:rFonts w:ascii="NimbusRomNo9L" w:hAnsi="NimbusRomNo9L"/>
                <w:spacing w:val="-20"/>
                <w:sz w:val="20"/>
                <w:lang w:val="en-US"/>
              </w:rPr>
            </w:pPr>
          </w:p>
        </w:tc>
        <w:tc>
          <w:tcPr>
            <w:tcW w:w="597" w:type="pct"/>
            <w:shd w:val="clear" w:color="auto" w:fill="F2F2F2" w:themeFill="background1" w:themeFillShade="F2"/>
            <w:noWrap/>
            <w:hideMark/>
          </w:tcPr>
          <w:p w14:paraId="5C60046B" w14:textId="18521693"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(0.110)</w:t>
            </w:r>
          </w:p>
        </w:tc>
        <w:tc>
          <w:tcPr>
            <w:tcW w:w="597" w:type="pct"/>
            <w:shd w:val="clear" w:color="auto" w:fill="F2F2F2" w:themeFill="background1" w:themeFillShade="F2"/>
            <w:noWrap/>
            <w:hideMark/>
          </w:tcPr>
          <w:p w14:paraId="6A9661DF" w14:textId="3F692FC0"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(0.0999)</w:t>
            </w:r>
          </w:p>
        </w:tc>
        <w:tc>
          <w:tcPr>
            <w:tcW w:w="597" w:type="pct"/>
            <w:shd w:val="clear" w:color="auto" w:fill="F2F2F2" w:themeFill="background1" w:themeFillShade="F2"/>
            <w:noWrap/>
            <w:hideMark/>
          </w:tcPr>
          <w:p w14:paraId="2635A285" w14:textId="27A3EDDC"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(0.0871)</w:t>
            </w:r>
          </w:p>
        </w:tc>
        <w:tc>
          <w:tcPr>
            <w:tcW w:w="597" w:type="pct"/>
            <w:shd w:val="clear" w:color="auto" w:fill="F2F2F2" w:themeFill="background1" w:themeFillShade="F2"/>
            <w:noWrap/>
            <w:hideMark/>
          </w:tcPr>
          <w:p w14:paraId="72A8A17A" w14:textId="3CF6B561"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(0.112)</w:t>
            </w:r>
          </w:p>
        </w:tc>
        <w:tc>
          <w:tcPr>
            <w:tcW w:w="597" w:type="pct"/>
            <w:shd w:val="clear" w:color="auto" w:fill="F2F2F2" w:themeFill="background1" w:themeFillShade="F2"/>
            <w:noWrap/>
            <w:hideMark/>
          </w:tcPr>
          <w:p w14:paraId="4A47CB5E" w14:textId="10A82956"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(0.122)</w:t>
            </w:r>
          </w:p>
        </w:tc>
        <w:tc>
          <w:tcPr>
            <w:tcW w:w="594" w:type="pct"/>
            <w:shd w:val="clear" w:color="auto" w:fill="F2F2F2" w:themeFill="background1" w:themeFillShade="F2"/>
            <w:noWrap/>
            <w:hideMark/>
          </w:tcPr>
          <w:p w14:paraId="3F51AD57" w14:textId="14B3E91A"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(0.117)</w:t>
            </w:r>
          </w:p>
        </w:tc>
      </w:tr>
      <w:tr w:rsidR="00032D13" w:rsidRPr="00166361" w14:paraId="4458E1AC" w14:textId="77777777" w:rsidTr="00032D13">
        <w:trPr>
          <w:trHeight w:val="258"/>
        </w:trPr>
        <w:tc>
          <w:tcPr>
            <w:tcW w:w="1420" w:type="pct"/>
            <w:shd w:val="clear" w:color="auto" w:fill="auto"/>
            <w:noWrap/>
            <w:hideMark/>
          </w:tcPr>
          <w:p w14:paraId="60DDA0EC" w14:textId="35AAF5FF" w:rsidR="00032D13" w:rsidRPr="00166361" w:rsidRDefault="00032D13" w:rsidP="00032D13">
            <w:pPr>
              <w:rPr>
                <w:rFonts w:ascii="NimbusRomNo9L" w:hAnsi="NimbusRomNo9L"/>
                <w:spacing w:val="-20"/>
                <w:sz w:val="20"/>
                <w:lang w:val="en-US"/>
              </w:rPr>
            </w:pPr>
            <w:r w:rsidRPr="00032D13">
              <w:rPr>
                <w:rFonts w:ascii="NimbusRomNo9L" w:hAnsi="NimbusRomNo9L"/>
                <w:spacing w:val="-20"/>
                <w:sz w:val="20"/>
                <w:lang w:val="en-US"/>
              </w:rPr>
              <w:t>Population density</w:t>
            </w:r>
          </w:p>
        </w:tc>
        <w:tc>
          <w:tcPr>
            <w:tcW w:w="597" w:type="pct"/>
            <w:shd w:val="clear" w:color="auto" w:fill="auto"/>
            <w:noWrap/>
            <w:hideMark/>
          </w:tcPr>
          <w:p w14:paraId="33B97422" w14:textId="398D57A9"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-0.00117***</w:t>
            </w:r>
          </w:p>
        </w:tc>
        <w:tc>
          <w:tcPr>
            <w:tcW w:w="597" w:type="pct"/>
            <w:shd w:val="clear" w:color="auto" w:fill="auto"/>
            <w:noWrap/>
            <w:hideMark/>
          </w:tcPr>
          <w:p w14:paraId="6CA90148" w14:textId="15FBAA48"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-0.00128***</w:t>
            </w:r>
          </w:p>
        </w:tc>
        <w:tc>
          <w:tcPr>
            <w:tcW w:w="597" w:type="pct"/>
            <w:shd w:val="clear" w:color="auto" w:fill="auto"/>
            <w:noWrap/>
            <w:hideMark/>
          </w:tcPr>
          <w:p w14:paraId="2AA32B8E" w14:textId="5483F974"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-0.00124***</w:t>
            </w:r>
          </w:p>
        </w:tc>
        <w:tc>
          <w:tcPr>
            <w:tcW w:w="597" w:type="pct"/>
            <w:shd w:val="clear" w:color="auto" w:fill="auto"/>
            <w:noWrap/>
            <w:hideMark/>
          </w:tcPr>
          <w:p w14:paraId="50CABEED" w14:textId="04F5CCC1"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-0.000508</w:t>
            </w:r>
          </w:p>
        </w:tc>
        <w:tc>
          <w:tcPr>
            <w:tcW w:w="597" w:type="pct"/>
            <w:shd w:val="clear" w:color="auto" w:fill="auto"/>
            <w:noWrap/>
            <w:hideMark/>
          </w:tcPr>
          <w:p w14:paraId="0D0B69DC" w14:textId="372AA4E4"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-0.000609**</w:t>
            </w:r>
          </w:p>
        </w:tc>
        <w:tc>
          <w:tcPr>
            <w:tcW w:w="594" w:type="pct"/>
            <w:shd w:val="clear" w:color="auto" w:fill="auto"/>
            <w:noWrap/>
            <w:hideMark/>
          </w:tcPr>
          <w:p w14:paraId="09E8D5A5" w14:textId="1C1FB848"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-0.000834**</w:t>
            </w:r>
          </w:p>
        </w:tc>
      </w:tr>
      <w:tr w:rsidR="00032D13" w:rsidRPr="00166361" w14:paraId="3FC95780" w14:textId="77777777" w:rsidTr="00032D13">
        <w:trPr>
          <w:trHeight w:val="258"/>
        </w:trPr>
        <w:tc>
          <w:tcPr>
            <w:tcW w:w="1420" w:type="pct"/>
            <w:shd w:val="clear" w:color="auto" w:fill="auto"/>
            <w:noWrap/>
            <w:hideMark/>
          </w:tcPr>
          <w:p w14:paraId="20D66F4F" w14:textId="77777777" w:rsidR="00032D13" w:rsidRPr="00166361" w:rsidRDefault="00032D13" w:rsidP="00032D13">
            <w:pPr>
              <w:rPr>
                <w:rFonts w:ascii="NimbusRomNo9L" w:hAnsi="NimbusRomNo9L"/>
                <w:spacing w:val="-20"/>
                <w:sz w:val="20"/>
                <w:lang w:val="en-US"/>
              </w:rPr>
            </w:pPr>
          </w:p>
        </w:tc>
        <w:tc>
          <w:tcPr>
            <w:tcW w:w="597" w:type="pct"/>
            <w:shd w:val="clear" w:color="auto" w:fill="auto"/>
            <w:noWrap/>
            <w:hideMark/>
          </w:tcPr>
          <w:p w14:paraId="02FA5FCE" w14:textId="371D77F9"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(0.000447)</w:t>
            </w:r>
          </w:p>
        </w:tc>
        <w:tc>
          <w:tcPr>
            <w:tcW w:w="597" w:type="pct"/>
            <w:shd w:val="clear" w:color="auto" w:fill="auto"/>
            <w:noWrap/>
            <w:hideMark/>
          </w:tcPr>
          <w:p w14:paraId="5A3A16E2" w14:textId="3CD03A33"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(0.000401)</w:t>
            </w:r>
          </w:p>
        </w:tc>
        <w:tc>
          <w:tcPr>
            <w:tcW w:w="597" w:type="pct"/>
            <w:shd w:val="clear" w:color="auto" w:fill="auto"/>
            <w:noWrap/>
            <w:hideMark/>
          </w:tcPr>
          <w:p w14:paraId="018CCD06" w14:textId="39DE6253"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(0.000475)</w:t>
            </w:r>
          </w:p>
        </w:tc>
        <w:tc>
          <w:tcPr>
            <w:tcW w:w="597" w:type="pct"/>
            <w:shd w:val="clear" w:color="auto" w:fill="auto"/>
            <w:noWrap/>
            <w:hideMark/>
          </w:tcPr>
          <w:p w14:paraId="11A21F65" w14:textId="6DA6960B"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(0.000646)</w:t>
            </w:r>
          </w:p>
        </w:tc>
        <w:tc>
          <w:tcPr>
            <w:tcW w:w="597" w:type="pct"/>
            <w:shd w:val="clear" w:color="auto" w:fill="auto"/>
            <w:noWrap/>
            <w:hideMark/>
          </w:tcPr>
          <w:p w14:paraId="139B32B9" w14:textId="15BDA1F1"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(0.000275)</w:t>
            </w:r>
          </w:p>
        </w:tc>
        <w:tc>
          <w:tcPr>
            <w:tcW w:w="594" w:type="pct"/>
            <w:shd w:val="clear" w:color="auto" w:fill="auto"/>
            <w:noWrap/>
            <w:hideMark/>
          </w:tcPr>
          <w:p w14:paraId="43F597B2" w14:textId="6D36C134"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(0.000333)</w:t>
            </w:r>
          </w:p>
        </w:tc>
      </w:tr>
      <w:tr w:rsidR="00032D13" w:rsidRPr="00166361" w14:paraId="7054F44C" w14:textId="77777777" w:rsidTr="00032D13">
        <w:trPr>
          <w:trHeight w:val="258"/>
        </w:trPr>
        <w:tc>
          <w:tcPr>
            <w:tcW w:w="1420" w:type="pct"/>
            <w:shd w:val="clear" w:color="auto" w:fill="F2F2F2" w:themeFill="background1" w:themeFillShade="F2"/>
            <w:noWrap/>
            <w:hideMark/>
          </w:tcPr>
          <w:p w14:paraId="2A2EA4C4" w14:textId="3156771A" w:rsidR="00032D13" w:rsidRPr="00166361" w:rsidRDefault="00DB41F7" w:rsidP="00032D13">
            <w:pPr>
              <w:rPr>
                <w:rFonts w:ascii="NimbusRomNo9L" w:hAnsi="NimbusRomNo9L"/>
                <w:spacing w:val="-20"/>
                <w:sz w:val="20"/>
                <w:lang w:val="en-US"/>
              </w:rPr>
            </w:pPr>
            <w:r w:rsidRPr="00032D13">
              <w:rPr>
                <w:rFonts w:ascii="NimbusRomNo9L" w:hAnsi="NimbusRomNo9L"/>
                <w:spacing w:val="-20"/>
                <w:sz w:val="20"/>
                <w:lang w:val="en-US"/>
              </w:rPr>
              <w:t>Unemployment</w:t>
            </w:r>
            <w:r w:rsidR="00032D13" w:rsidRPr="00032D13">
              <w:rPr>
                <w:rFonts w:ascii="NimbusRomNo9L" w:hAnsi="NimbusRomNo9L"/>
                <w:spacing w:val="-20"/>
                <w:sz w:val="20"/>
                <w:lang w:val="en-US"/>
              </w:rPr>
              <w:t xml:space="preserve"> rate</w:t>
            </w:r>
          </w:p>
        </w:tc>
        <w:tc>
          <w:tcPr>
            <w:tcW w:w="597" w:type="pct"/>
            <w:shd w:val="clear" w:color="auto" w:fill="F2F2F2" w:themeFill="background1" w:themeFillShade="F2"/>
            <w:noWrap/>
            <w:hideMark/>
          </w:tcPr>
          <w:p w14:paraId="232CE31B" w14:textId="26DDC0BC"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0.160**</w:t>
            </w:r>
          </w:p>
        </w:tc>
        <w:tc>
          <w:tcPr>
            <w:tcW w:w="597" w:type="pct"/>
            <w:shd w:val="clear" w:color="auto" w:fill="F2F2F2" w:themeFill="background1" w:themeFillShade="F2"/>
            <w:noWrap/>
            <w:hideMark/>
          </w:tcPr>
          <w:p w14:paraId="0C115828" w14:textId="070D08AE"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0.176***</w:t>
            </w:r>
          </w:p>
        </w:tc>
        <w:tc>
          <w:tcPr>
            <w:tcW w:w="597" w:type="pct"/>
            <w:shd w:val="clear" w:color="auto" w:fill="F2F2F2" w:themeFill="background1" w:themeFillShade="F2"/>
            <w:noWrap/>
            <w:hideMark/>
          </w:tcPr>
          <w:p w14:paraId="106FA5BD" w14:textId="5A6DFFFA"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0.214***</w:t>
            </w:r>
          </w:p>
        </w:tc>
        <w:tc>
          <w:tcPr>
            <w:tcW w:w="597" w:type="pct"/>
            <w:shd w:val="clear" w:color="auto" w:fill="F2F2F2" w:themeFill="background1" w:themeFillShade="F2"/>
            <w:noWrap/>
            <w:hideMark/>
          </w:tcPr>
          <w:p w14:paraId="263607C6" w14:textId="6EAAA100"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0.245***</w:t>
            </w:r>
          </w:p>
        </w:tc>
        <w:tc>
          <w:tcPr>
            <w:tcW w:w="597" w:type="pct"/>
            <w:shd w:val="clear" w:color="auto" w:fill="F2F2F2" w:themeFill="background1" w:themeFillShade="F2"/>
            <w:noWrap/>
            <w:hideMark/>
          </w:tcPr>
          <w:p w14:paraId="01D4EEAE" w14:textId="54225992"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0.169**</w:t>
            </w:r>
          </w:p>
        </w:tc>
        <w:tc>
          <w:tcPr>
            <w:tcW w:w="594" w:type="pct"/>
            <w:shd w:val="clear" w:color="auto" w:fill="F2F2F2" w:themeFill="background1" w:themeFillShade="F2"/>
            <w:noWrap/>
            <w:hideMark/>
          </w:tcPr>
          <w:p w14:paraId="60D54214" w14:textId="728A8016"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0.221**</w:t>
            </w:r>
          </w:p>
        </w:tc>
      </w:tr>
      <w:tr w:rsidR="00032D13" w:rsidRPr="00166361" w14:paraId="130CDB67" w14:textId="77777777" w:rsidTr="00032D13">
        <w:trPr>
          <w:trHeight w:val="258"/>
        </w:trPr>
        <w:tc>
          <w:tcPr>
            <w:tcW w:w="1420" w:type="pct"/>
            <w:shd w:val="clear" w:color="auto" w:fill="F2F2F2" w:themeFill="background1" w:themeFillShade="F2"/>
            <w:noWrap/>
            <w:hideMark/>
          </w:tcPr>
          <w:p w14:paraId="062D0232" w14:textId="77777777" w:rsidR="00032D13" w:rsidRPr="00166361" w:rsidRDefault="00032D13" w:rsidP="00032D13">
            <w:pPr>
              <w:rPr>
                <w:rFonts w:ascii="NimbusRomNo9L" w:hAnsi="NimbusRomNo9L"/>
                <w:spacing w:val="-20"/>
                <w:sz w:val="20"/>
                <w:lang w:val="en-US"/>
              </w:rPr>
            </w:pPr>
          </w:p>
        </w:tc>
        <w:tc>
          <w:tcPr>
            <w:tcW w:w="597" w:type="pct"/>
            <w:shd w:val="clear" w:color="auto" w:fill="F2F2F2" w:themeFill="background1" w:themeFillShade="F2"/>
            <w:noWrap/>
            <w:hideMark/>
          </w:tcPr>
          <w:p w14:paraId="03833964" w14:textId="076FEF67"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(0.0749)</w:t>
            </w:r>
          </w:p>
        </w:tc>
        <w:tc>
          <w:tcPr>
            <w:tcW w:w="597" w:type="pct"/>
            <w:shd w:val="clear" w:color="auto" w:fill="F2F2F2" w:themeFill="background1" w:themeFillShade="F2"/>
            <w:noWrap/>
            <w:hideMark/>
          </w:tcPr>
          <w:p w14:paraId="5C3D6374" w14:textId="6FD420D0"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(0.0578)</w:t>
            </w:r>
          </w:p>
        </w:tc>
        <w:tc>
          <w:tcPr>
            <w:tcW w:w="597" w:type="pct"/>
            <w:shd w:val="clear" w:color="auto" w:fill="F2F2F2" w:themeFill="background1" w:themeFillShade="F2"/>
            <w:noWrap/>
            <w:hideMark/>
          </w:tcPr>
          <w:p w14:paraId="3A1D46D6" w14:textId="5112B7F8"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(0.0533)</w:t>
            </w:r>
          </w:p>
        </w:tc>
        <w:tc>
          <w:tcPr>
            <w:tcW w:w="597" w:type="pct"/>
            <w:shd w:val="clear" w:color="auto" w:fill="F2F2F2" w:themeFill="background1" w:themeFillShade="F2"/>
            <w:noWrap/>
            <w:hideMark/>
          </w:tcPr>
          <w:p w14:paraId="10335696" w14:textId="69A053BF"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(0.0554)</w:t>
            </w:r>
          </w:p>
        </w:tc>
        <w:tc>
          <w:tcPr>
            <w:tcW w:w="597" w:type="pct"/>
            <w:shd w:val="clear" w:color="auto" w:fill="F2F2F2" w:themeFill="background1" w:themeFillShade="F2"/>
            <w:noWrap/>
            <w:hideMark/>
          </w:tcPr>
          <w:p w14:paraId="1C8D7FFA" w14:textId="5C302CA0"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(0.0793)</w:t>
            </w:r>
          </w:p>
        </w:tc>
        <w:tc>
          <w:tcPr>
            <w:tcW w:w="594" w:type="pct"/>
            <w:shd w:val="clear" w:color="auto" w:fill="F2F2F2" w:themeFill="background1" w:themeFillShade="F2"/>
            <w:noWrap/>
            <w:hideMark/>
          </w:tcPr>
          <w:p w14:paraId="7B73583B" w14:textId="38C23F68"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(0.0961)</w:t>
            </w:r>
          </w:p>
        </w:tc>
      </w:tr>
      <w:tr w:rsidR="00032D13" w:rsidRPr="00166361" w14:paraId="4ADE4987" w14:textId="77777777" w:rsidTr="00032D13">
        <w:trPr>
          <w:trHeight w:val="258"/>
        </w:trPr>
        <w:tc>
          <w:tcPr>
            <w:tcW w:w="1420" w:type="pct"/>
            <w:shd w:val="clear" w:color="auto" w:fill="auto"/>
            <w:noWrap/>
            <w:hideMark/>
          </w:tcPr>
          <w:p w14:paraId="6F49BD94" w14:textId="65CD7CE6" w:rsidR="00032D13" w:rsidRPr="00166361" w:rsidRDefault="00032D13" w:rsidP="00032D13">
            <w:pPr>
              <w:rPr>
                <w:rFonts w:ascii="NimbusRomNo9L" w:hAnsi="NimbusRomNo9L"/>
                <w:spacing w:val="-20"/>
                <w:sz w:val="20"/>
                <w:lang w:val="en-US"/>
              </w:rPr>
            </w:pPr>
            <w:r w:rsidRPr="00032D13">
              <w:rPr>
                <w:rFonts w:ascii="NimbusRomNo9L" w:hAnsi="NimbusRomNo9L"/>
                <w:spacing w:val="-20"/>
                <w:sz w:val="20"/>
                <w:lang w:val="en-US"/>
              </w:rPr>
              <w:t>Gap rich and poor revenues</w:t>
            </w:r>
          </w:p>
        </w:tc>
        <w:tc>
          <w:tcPr>
            <w:tcW w:w="597" w:type="pct"/>
            <w:shd w:val="clear" w:color="auto" w:fill="auto"/>
            <w:noWrap/>
            <w:hideMark/>
          </w:tcPr>
          <w:p w14:paraId="04CAD1C6" w14:textId="7A14BA03"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0.000257***</w:t>
            </w:r>
          </w:p>
        </w:tc>
        <w:tc>
          <w:tcPr>
            <w:tcW w:w="597" w:type="pct"/>
            <w:shd w:val="clear" w:color="auto" w:fill="auto"/>
            <w:noWrap/>
            <w:hideMark/>
          </w:tcPr>
          <w:p w14:paraId="73DE3C85" w14:textId="59B39671"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0.000186***</w:t>
            </w:r>
          </w:p>
        </w:tc>
        <w:tc>
          <w:tcPr>
            <w:tcW w:w="597" w:type="pct"/>
            <w:shd w:val="clear" w:color="auto" w:fill="auto"/>
            <w:noWrap/>
            <w:hideMark/>
          </w:tcPr>
          <w:p w14:paraId="2FC49EDF" w14:textId="4E108EC4"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0.000181***</w:t>
            </w:r>
          </w:p>
        </w:tc>
        <w:tc>
          <w:tcPr>
            <w:tcW w:w="597" w:type="pct"/>
            <w:shd w:val="clear" w:color="auto" w:fill="auto"/>
            <w:noWrap/>
            <w:hideMark/>
          </w:tcPr>
          <w:p w14:paraId="250FA1DC" w14:textId="36C1675D"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0.000202***</w:t>
            </w:r>
          </w:p>
        </w:tc>
        <w:tc>
          <w:tcPr>
            <w:tcW w:w="597" w:type="pct"/>
            <w:shd w:val="clear" w:color="auto" w:fill="auto"/>
            <w:noWrap/>
            <w:hideMark/>
          </w:tcPr>
          <w:p w14:paraId="63C14E62" w14:textId="0BAC460B"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0.000262***</w:t>
            </w:r>
          </w:p>
        </w:tc>
        <w:tc>
          <w:tcPr>
            <w:tcW w:w="594" w:type="pct"/>
            <w:shd w:val="clear" w:color="auto" w:fill="auto"/>
            <w:noWrap/>
            <w:hideMark/>
          </w:tcPr>
          <w:p w14:paraId="09E90129" w14:textId="27285FDA"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0.000335***</w:t>
            </w:r>
          </w:p>
        </w:tc>
      </w:tr>
      <w:tr w:rsidR="00032D13" w:rsidRPr="00166361" w14:paraId="5399A7F2" w14:textId="77777777" w:rsidTr="00032D13">
        <w:trPr>
          <w:trHeight w:val="258"/>
        </w:trPr>
        <w:tc>
          <w:tcPr>
            <w:tcW w:w="1420" w:type="pct"/>
            <w:shd w:val="clear" w:color="auto" w:fill="auto"/>
            <w:noWrap/>
            <w:hideMark/>
          </w:tcPr>
          <w:p w14:paraId="4CB78C65" w14:textId="77777777" w:rsidR="00032D13" w:rsidRPr="00166361" w:rsidRDefault="00032D13" w:rsidP="00032D13">
            <w:pPr>
              <w:rPr>
                <w:rFonts w:ascii="NimbusRomNo9L" w:hAnsi="NimbusRomNo9L"/>
                <w:spacing w:val="-20"/>
                <w:sz w:val="20"/>
                <w:lang w:val="en-US"/>
              </w:rPr>
            </w:pPr>
          </w:p>
        </w:tc>
        <w:tc>
          <w:tcPr>
            <w:tcW w:w="597" w:type="pct"/>
            <w:shd w:val="clear" w:color="auto" w:fill="auto"/>
            <w:noWrap/>
            <w:hideMark/>
          </w:tcPr>
          <w:p w14:paraId="4EB3C500" w14:textId="26D83939"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(4.18e-05)</w:t>
            </w:r>
          </w:p>
        </w:tc>
        <w:tc>
          <w:tcPr>
            <w:tcW w:w="597" w:type="pct"/>
            <w:shd w:val="clear" w:color="auto" w:fill="auto"/>
            <w:noWrap/>
            <w:hideMark/>
          </w:tcPr>
          <w:p w14:paraId="61996884" w14:textId="465CAFC2"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(3.10e-05)</w:t>
            </w:r>
          </w:p>
        </w:tc>
        <w:tc>
          <w:tcPr>
            <w:tcW w:w="597" w:type="pct"/>
            <w:shd w:val="clear" w:color="auto" w:fill="auto"/>
            <w:noWrap/>
            <w:hideMark/>
          </w:tcPr>
          <w:p w14:paraId="554B6FC9" w14:textId="6E34A507"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(3.17e-05)</w:t>
            </w:r>
          </w:p>
        </w:tc>
        <w:tc>
          <w:tcPr>
            <w:tcW w:w="597" w:type="pct"/>
            <w:shd w:val="clear" w:color="auto" w:fill="auto"/>
            <w:noWrap/>
            <w:hideMark/>
          </w:tcPr>
          <w:p w14:paraId="4A0C5812" w14:textId="03AB6BBA"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(2.83e-05)</w:t>
            </w:r>
          </w:p>
        </w:tc>
        <w:tc>
          <w:tcPr>
            <w:tcW w:w="597" w:type="pct"/>
            <w:shd w:val="clear" w:color="auto" w:fill="auto"/>
            <w:noWrap/>
            <w:hideMark/>
          </w:tcPr>
          <w:p w14:paraId="569B9383" w14:textId="41F21684"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(6.05e-05)</w:t>
            </w:r>
          </w:p>
        </w:tc>
        <w:tc>
          <w:tcPr>
            <w:tcW w:w="594" w:type="pct"/>
            <w:shd w:val="clear" w:color="auto" w:fill="auto"/>
            <w:noWrap/>
            <w:hideMark/>
          </w:tcPr>
          <w:p w14:paraId="2976F4CA" w14:textId="3959BF20"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(8.85e-05)</w:t>
            </w:r>
          </w:p>
        </w:tc>
      </w:tr>
      <w:tr w:rsidR="00032D13" w:rsidRPr="00166361" w14:paraId="556999D4" w14:textId="77777777" w:rsidTr="00032D13">
        <w:trPr>
          <w:trHeight w:val="258"/>
        </w:trPr>
        <w:tc>
          <w:tcPr>
            <w:tcW w:w="1420" w:type="pct"/>
            <w:shd w:val="clear" w:color="auto" w:fill="F2F2F2" w:themeFill="background1" w:themeFillShade="F2"/>
            <w:noWrap/>
            <w:hideMark/>
          </w:tcPr>
          <w:p w14:paraId="48CCE274" w14:textId="2A6DE3C2" w:rsidR="00032D13" w:rsidRPr="00166361" w:rsidRDefault="00032D13" w:rsidP="00032D13">
            <w:pPr>
              <w:rPr>
                <w:rFonts w:ascii="NimbusRomNo9L" w:hAnsi="NimbusRomNo9L"/>
                <w:spacing w:val="-20"/>
                <w:sz w:val="20"/>
                <w:lang w:val="en-US"/>
              </w:rPr>
            </w:pPr>
            <w:r w:rsidRPr="00032D13">
              <w:rPr>
                <w:rFonts w:ascii="NimbusRomNo9L" w:hAnsi="NimbusRomNo9L"/>
                <w:spacing w:val="-20"/>
                <w:sz w:val="20"/>
                <w:lang w:val="en-US"/>
              </w:rPr>
              <w:t xml:space="preserve">Rate of individuals without diploma </w:t>
            </w:r>
          </w:p>
        </w:tc>
        <w:tc>
          <w:tcPr>
            <w:tcW w:w="597" w:type="pct"/>
            <w:shd w:val="clear" w:color="auto" w:fill="F2F2F2" w:themeFill="background1" w:themeFillShade="F2"/>
            <w:noWrap/>
            <w:hideMark/>
          </w:tcPr>
          <w:p w14:paraId="7C2B89E7" w14:textId="58DF9500"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0.156*</w:t>
            </w:r>
          </w:p>
        </w:tc>
        <w:tc>
          <w:tcPr>
            <w:tcW w:w="597" w:type="pct"/>
            <w:shd w:val="clear" w:color="auto" w:fill="F2F2F2" w:themeFill="background1" w:themeFillShade="F2"/>
            <w:noWrap/>
            <w:hideMark/>
          </w:tcPr>
          <w:p w14:paraId="2D5664EC" w14:textId="5E77AF4A"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0.0741</w:t>
            </w:r>
          </w:p>
        </w:tc>
        <w:tc>
          <w:tcPr>
            <w:tcW w:w="597" w:type="pct"/>
            <w:shd w:val="clear" w:color="auto" w:fill="F2F2F2" w:themeFill="background1" w:themeFillShade="F2"/>
            <w:noWrap/>
            <w:hideMark/>
          </w:tcPr>
          <w:p w14:paraId="666A6AE7" w14:textId="19D9DF8E"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0.0793**</w:t>
            </w:r>
          </w:p>
        </w:tc>
        <w:tc>
          <w:tcPr>
            <w:tcW w:w="597" w:type="pct"/>
            <w:shd w:val="clear" w:color="auto" w:fill="F2F2F2" w:themeFill="background1" w:themeFillShade="F2"/>
            <w:noWrap/>
            <w:hideMark/>
          </w:tcPr>
          <w:p w14:paraId="1B941076" w14:textId="08ACF9DE"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0.0166</w:t>
            </w:r>
          </w:p>
        </w:tc>
        <w:tc>
          <w:tcPr>
            <w:tcW w:w="597" w:type="pct"/>
            <w:shd w:val="clear" w:color="auto" w:fill="F2F2F2" w:themeFill="background1" w:themeFillShade="F2"/>
            <w:noWrap/>
            <w:hideMark/>
          </w:tcPr>
          <w:p w14:paraId="1A4851F7" w14:textId="181C7798"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-0.0164</w:t>
            </w:r>
          </w:p>
        </w:tc>
        <w:tc>
          <w:tcPr>
            <w:tcW w:w="594" w:type="pct"/>
            <w:shd w:val="clear" w:color="auto" w:fill="F2F2F2" w:themeFill="background1" w:themeFillShade="F2"/>
            <w:noWrap/>
            <w:hideMark/>
          </w:tcPr>
          <w:p w14:paraId="637D3510" w14:textId="76B73B32" w:rsidR="00032D13" w:rsidRPr="00166361" w:rsidRDefault="00032D13" w:rsidP="00B06468">
            <w:pPr>
              <w:jc w:val="center"/>
              <w:rPr>
                <w:rFonts w:ascii="NimbusRomNo9L" w:hAnsi="NimbusRomNo9L"/>
                <w:spacing w:val="-20"/>
                <w:sz w:val="20"/>
                <w:lang w:val="en-US"/>
              </w:rPr>
            </w:pPr>
            <w:r w:rsidRPr="00DF2E5C">
              <w:rPr>
                <w:rFonts w:ascii="NimbusRomNo9L" w:hAnsi="NimbusRomNo9L"/>
                <w:spacing w:val="-20"/>
                <w:sz w:val="20"/>
                <w:lang w:val="en-US"/>
              </w:rPr>
              <w:t>0.00427</w:t>
            </w:r>
          </w:p>
        </w:tc>
      </w:tr>
      <w:tr w:rsidR="00DF2E5C" w:rsidRPr="00166361" w14:paraId="4AEEADF5" w14:textId="77777777" w:rsidTr="00032D13">
        <w:trPr>
          <w:trHeight w:val="258"/>
        </w:trPr>
        <w:tc>
          <w:tcPr>
            <w:tcW w:w="1420" w:type="pct"/>
            <w:shd w:val="clear" w:color="auto" w:fill="F2F2F2" w:themeFill="background1" w:themeFillShade="F2"/>
            <w:noWrap/>
            <w:hideMark/>
          </w:tcPr>
          <w:p w14:paraId="4F3F2CE3" w14:textId="77777777" w:rsidR="00DF2E5C" w:rsidRPr="00166361" w:rsidRDefault="00DF2E5C" w:rsidP="00DF2E5C">
            <w:pPr>
              <w:rPr>
                <w:rFonts w:ascii="NimbusRomNo9L" w:hAnsi="NimbusRomNo9L"/>
                <w:spacing w:val="-20"/>
                <w:sz w:val="20"/>
                <w:lang w:val="en-US"/>
              </w:rPr>
            </w:pPr>
          </w:p>
        </w:tc>
        <w:tc>
          <w:tcPr>
            <w:tcW w:w="597" w:type="pct"/>
            <w:shd w:val="clear" w:color="auto" w:fill="F2F2F2" w:themeFill="background1" w:themeFillShade="F2"/>
            <w:noWrap/>
            <w:hideMark/>
          </w:tcPr>
          <w:p w14:paraId="1F8D7AFE" w14:textId="7B17DEA3" w:rsidR="00DF2E5C" w:rsidRPr="00166361" w:rsidRDefault="00DF2E5C" w:rsidP="00B06468">
            <w:pPr>
              <w:jc w:val="center"/>
              <w:rPr>
                <w:rFonts w:ascii="NimbusRomNo9L" w:hAnsi="NimbusRomNo9L"/>
                <w:spacing w:val="-20"/>
                <w:sz w:val="20"/>
                <w:lang w:val="en-US"/>
              </w:rPr>
            </w:pPr>
            <w:r w:rsidRPr="00DF2E5C">
              <w:rPr>
                <w:rFonts w:ascii="NimbusRomNo9L" w:hAnsi="NimbusRomNo9L"/>
                <w:spacing w:val="-20"/>
                <w:sz w:val="20"/>
                <w:lang w:val="en-US"/>
              </w:rPr>
              <w:t>(0.0819)</w:t>
            </w:r>
          </w:p>
        </w:tc>
        <w:tc>
          <w:tcPr>
            <w:tcW w:w="597" w:type="pct"/>
            <w:shd w:val="clear" w:color="auto" w:fill="F2F2F2" w:themeFill="background1" w:themeFillShade="F2"/>
            <w:noWrap/>
            <w:hideMark/>
          </w:tcPr>
          <w:p w14:paraId="11B43406" w14:textId="6BD489A2" w:rsidR="00DF2E5C" w:rsidRPr="00166361" w:rsidRDefault="00DF2E5C" w:rsidP="00B06468">
            <w:pPr>
              <w:jc w:val="center"/>
              <w:rPr>
                <w:rFonts w:ascii="NimbusRomNo9L" w:hAnsi="NimbusRomNo9L"/>
                <w:spacing w:val="-20"/>
                <w:sz w:val="20"/>
                <w:lang w:val="en-US"/>
              </w:rPr>
            </w:pPr>
            <w:r w:rsidRPr="00DF2E5C">
              <w:rPr>
                <w:rFonts w:ascii="NimbusRomNo9L" w:hAnsi="NimbusRomNo9L"/>
                <w:spacing w:val="-20"/>
                <w:sz w:val="20"/>
                <w:lang w:val="en-US"/>
              </w:rPr>
              <w:t>(0.0474)</w:t>
            </w:r>
          </w:p>
        </w:tc>
        <w:tc>
          <w:tcPr>
            <w:tcW w:w="597" w:type="pct"/>
            <w:shd w:val="clear" w:color="auto" w:fill="F2F2F2" w:themeFill="background1" w:themeFillShade="F2"/>
            <w:noWrap/>
            <w:hideMark/>
          </w:tcPr>
          <w:p w14:paraId="493C842D" w14:textId="492E3202" w:rsidR="00DF2E5C" w:rsidRPr="00166361" w:rsidRDefault="00DF2E5C" w:rsidP="00B06468">
            <w:pPr>
              <w:jc w:val="center"/>
              <w:rPr>
                <w:rFonts w:ascii="NimbusRomNo9L" w:hAnsi="NimbusRomNo9L"/>
                <w:spacing w:val="-20"/>
                <w:sz w:val="20"/>
                <w:lang w:val="en-US"/>
              </w:rPr>
            </w:pPr>
            <w:r w:rsidRPr="00DF2E5C">
              <w:rPr>
                <w:rFonts w:ascii="NimbusRomNo9L" w:hAnsi="NimbusRomNo9L"/>
                <w:spacing w:val="-20"/>
                <w:sz w:val="20"/>
                <w:lang w:val="en-US"/>
              </w:rPr>
              <w:t>(0.0400)</w:t>
            </w:r>
          </w:p>
        </w:tc>
        <w:tc>
          <w:tcPr>
            <w:tcW w:w="597" w:type="pct"/>
            <w:shd w:val="clear" w:color="auto" w:fill="F2F2F2" w:themeFill="background1" w:themeFillShade="F2"/>
            <w:noWrap/>
            <w:hideMark/>
          </w:tcPr>
          <w:p w14:paraId="31A77C74" w14:textId="42A8263C" w:rsidR="00DF2E5C" w:rsidRPr="00166361" w:rsidRDefault="00DF2E5C" w:rsidP="00B06468">
            <w:pPr>
              <w:jc w:val="center"/>
              <w:rPr>
                <w:rFonts w:ascii="NimbusRomNo9L" w:hAnsi="NimbusRomNo9L"/>
                <w:spacing w:val="-20"/>
                <w:sz w:val="20"/>
                <w:lang w:val="en-US"/>
              </w:rPr>
            </w:pPr>
            <w:r w:rsidRPr="00DF2E5C">
              <w:rPr>
                <w:rFonts w:ascii="NimbusRomNo9L" w:hAnsi="NimbusRomNo9L"/>
                <w:spacing w:val="-20"/>
                <w:sz w:val="20"/>
                <w:lang w:val="en-US"/>
              </w:rPr>
              <w:t>(0.0557)</w:t>
            </w:r>
          </w:p>
        </w:tc>
        <w:tc>
          <w:tcPr>
            <w:tcW w:w="597" w:type="pct"/>
            <w:shd w:val="clear" w:color="auto" w:fill="F2F2F2" w:themeFill="background1" w:themeFillShade="F2"/>
            <w:noWrap/>
            <w:hideMark/>
          </w:tcPr>
          <w:p w14:paraId="015E3A46" w14:textId="01E1A91C" w:rsidR="00DF2E5C" w:rsidRPr="00166361" w:rsidRDefault="00DF2E5C" w:rsidP="00B06468">
            <w:pPr>
              <w:jc w:val="center"/>
              <w:rPr>
                <w:rFonts w:ascii="NimbusRomNo9L" w:hAnsi="NimbusRomNo9L"/>
                <w:spacing w:val="-20"/>
                <w:sz w:val="20"/>
                <w:lang w:val="en-US"/>
              </w:rPr>
            </w:pPr>
            <w:r w:rsidRPr="00DF2E5C">
              <w:rPr>
                <w:rFonts w:ascii="NimbusRomNo9L" w:hAnsi="NimbusRomNo9L"/>
                <w:spacing w:val="-20"/>
                <w:sz w:val="20"/>
                <w:lang w:val="en-US"/>
              </w:rPr>
              <w:t>(0.0983)</w:t>
            </w:r>
          </w:p>
        </w:tc>
        <w:tc>
          <w:tcPr>
            <w:tcW w:w="594" w:type="pct"/>
            <w:shd w:val="clear" w:color="auto" w:fill="F2F2F2" w:themeFill="background1" w:themeFillShade="F2"/>
            <w:noWrap/>
            <w:hideMark/>
          </w:tcPr>
          <w:p w14:paraId="16EE3186" w14:textId="1CDAB840" w:rsidR="00DF2E5C" w:rsidRPr="00166361" w:rsidRDefault="00DF2E5C" w:rsidP="00B06468">
            <w:pPr>
              <w:jc w:val="center"/>
              <w:rPr>
                <w:rFonts w:ascii="NimbusRomNo9L" w:hAnsi="NimbusRomNo9L"/>
                <w:spacing w:val="-20"/>
                <w:sz w:val="20"/>
                <w:lang w:val="en-US"/>
              </w:rPr>
            </w:pPr>
            <w:r w:rsidRPr="00DF2E5C">
              <w:rPr>
                <w:rFonts w:ascii="NimbusRomNo9L" w:hAnsi="NimbusRomNo9L"/>
                <w:spacing w:val="-20"/>
                <w:sz w:val="20"/>
                <w:lang w:val="en-US"/>
              </w:rPr>
              <w:t>(0.0831)</w:t>
            </w:r>
          </w:p>
        </w:tc>
      </w:tr>
      <w:tr w:rsidR="00032D13" w:rsidRPr="00166361" w14:paraId="00DEF902" w14:textId="77777777" w:rsidTr="00120D51">
        <w:trPr>
          <w:trHeight w:val="258"/>
        </w:trPr>
        <w:tc>
          <w:tcPr>
            <w:tcW w:w="1420" w:type="pct"/>
            <w:shd w:val="clear" w:color="auto" w:fill="auto"/>
            <w:noWrap/>
            <w:vAlign w:val="bottom"/>
            <w:hideMark/>
          </w:tcPr>
          <w:p w14:paraId="0BD1A7E7" w14:textId="77777777" w:rsidR="00032D13" w:rsidRPr="00166361" w:rsidRDefault="00032D13" w:rsidP="00032D13">
            <w:pPr>
              <w:rPr>
                <w:rFonts w:ascii="NimbusRomNo9L" w:hAnsi="NimbusRomNo9L"/>
                <w:spacing w:val="-20"/>
                <w:sz w:val="20"/>
                <w:lang w:val="en-US"/>
              </w:rPr>
            </w:pPr>
            <w:r w:rsidRPr="00166361">
              <w:rPr>
                <w:rFonts w:ascii="NimbusRomNo9L" w:hAnsi="NimbusRomNo9L"/>
                <w:spacing w:val="-20"/>
                <w:sz w:val="20"/>
                <w:lang w:val="en-US"/>
              </w:rPr>
              <w:t>Observations</w:t>
            </w:r>
          </w:p>
        </w:tc>
        <w:tc>
          <w:tcPr>
            <w:tcW w:w="597" w:type="pct"/>
            <w:shd w:val="clear" w:color="auto" w:fill="auto"/>
            <w:noWrap/>
            <w:hideMark/>
          </w:tcPr>
          <w:p w14:paraId="2D195F42" w14:textId="20C275E3" w:rsidR="00032D13" w:rsidRPr="00166361" w:rsidRDefault="00032D13" w:rsidP="00B06468">
            <w:pPr>
              <w:jc w:val="center"/>
              <w:rPr>
                <w:rFonts w:ascii="NimbusRomNo9L" w:hAnsi="NimbusRomNo9L"/>
                <w:spacing w:val="-20"/>
                <w:sz w:val="20"/>
                <w:lang w:val="en-US"/>
              </w:rPr>
            </w:pPr>
            <w:r w:rsidRPr="00B06468">
              <w:rPr>
                <w:rFonts w:ascii="NimbusRomNo9L" w:hAnsi="NimbusRomNo9L"/>
                <w:spacing w:val="-20"/>
                <w:sz w:val="20"/>
                <w:lang w:val="en-US"/>
              </w:rPr>
              <w:t>1,247</w:t>
            </w:r>
          </w:p>
        </w:tc>
        <w:tc>
          <w:tcPr>
            <w:tcW w:w="597" w:type="pct"/>
            <w:shd w:val="clear" w:color="auto" w:fill="auto"/>
            <w:noWrap/>
            <w:hideMark/>
          </w:tcPr>
          <w:p w14:paraId="41682D2F" w14:textId="0136A6A3" w:rsidR="00032D13" w:rsidRPr="00166361" w:rsidRDefault="00032D13" w:rsidP="00B06468">
            <w:pPr>
              <w:jc w:val="center"/>
              <w:rPr>
                <w:rFonts w:ascii="NimbusRomNo9L" w:hAnsi="NimbusRomNo9L"/>
                <w:spacing w:val="-20"/>
                <w:sz w:val="20"/>
                <w:lang w:val="en-US"/>
              </w:rPr>
            </w:pPr>
            <w:r w:rsidRPr="00B06468">
              <w:rPr>
                <w:rFonts w:ascii="NimbusRomNo9L" w:hAnsi="NimbusRomNo9L"/>
                <w:spacing w:val="-20"/>
                <w:sz w:val="20"/>
                <w:lang w:val="en-US"/>
              </w:rPr>
              <w:t>1,247</w:t>
            </w:r>
          </w:p>
        </w:tc>
        <w:tc>
          <w:tcPr>
            <w:tcW w:w="597" w:type="pct"/>
            <w:shd w:val="clear" w:color="auto" w:fill="auto"/>
            <w:noWrap/>
            <w:hideMark/>
          </w:tcPr>
          <w:p w14:paraId="549A457B" w14:textId="20619368" w:rsidR="00032D13" w:rsidRPr="00166361" w:rsidRDefault="00032D13" w:rsidP="00B06468">
            <w:pPr>
              <w:jc w:val="center"/>
              <w:rPr>
                <w:rFonts w:ascii="NimbusRomNo9L" w:hAnsi="NimbusRomNo9L"/>
                <w:spacing w:val="-20"/>
                <w:sz w:val="20"/>
                <w:lang w:val="en-US"/>
              </w:rPr>
            </w:pPr>
            <w:r w:rsidRPr="00B06468">
              <w:rPr>
                <w:rFonts w:ascii="NimbusRomNo9L" w:hAnsi="NimbusRomNo9L"/>
                <w:spacing w:val="-20"/>
                <w:sz w:val="20"/>
                <w:lang w:val="en-US"/>
              </w:rPr>
              <w:t>1,247</w:t>
            </w:r>
          </w:p>
        </w:tc>
        <w:tc>
          <w:tcPr>
            <w:tcW w:w="597" w:type="pct"/>
            <w:shd w:val="clear" w:color="auto" w:fill="auto"/>
            <w:noWrap/>
            <w:hideMark/>
          </w:tcPr>
          <w:p w14:paraId="3D685E9E" w14:textId="4EEFC0B0" w:rsidR="00032D13" w:rsidRPr="00166361" w:rsidRDefault="00032D13" w:rsidP="00B06468">
            <w:pPr>
              <w:jc w:val="center"/>
              <w:rPr>
                <w:rFonts w:ascii="NimbusRomNo9L" w:hAnsi="NimbusRomNo9L"/>
                <w:spacing w:val="-20"/>
                <w:sz w:val="20"/>
                <w:lang w:val="en-US"/>
              </w:rPr>
            </w:pPr>
            <w:r w:rsidRPr="00B06468">
              <w:rPr>
                <w:rFonts w:ascii="NimbusRomNo9L" w:hAnsi="NimbusRomNo9L"/>
                <w:spacing w:val="-20"/>
                <w:sz w:val="20"/>
                <w:lang w:val="en-US"/>
              </w:rPr>
              <w:t>1,247</w:t>
            </w:r>
          </w:p>
        </w:tc>
        <w:tc>
          <w:tcPr>
            <w:tcW w:w="597" w:type="pct"/>
            <w:shd w:val="clear" w:color="auto" w:fill="auto"/>
            <w:noWrap/>
            <w:hideMark/>
          </w:tcPr>
          <w:p w14:paraId="6802B28E" w14:textId="08BB17FE" w:rsidR="00032D13" w:rsidRPr="00166361" w:rsidRDefault="00032D13" w:rsidP="00B06468">
            <w:pPr>
              <w:jc w:val="center"/>
              <w:rPr>
                <w:rFonts w:ascii="NimbusRomNo9L" w:hAnsi="NimbusRomNo9L"/>
                <w:spacing w:val="-20"/>
                <w:sz w:val="20"/>
                <w:lang w:val="en-US"/>
              </w:rPr>
            </w:pPr>
            <w:r w:rsidRPr="00B06468">
              <w:rPr>
                <w:rFonts w:ascii="NimbusRomNo9L" w:hAnsi="NimbusRomNo9L"/>
                <w:spacing w:val="-20"/>
                <w:sz w:val="20"/>
                <w:lang w:val="en-US"/>
              </w:rPr>
              <w:t>1,247</w:t>
            </w:r>
          </w:p>
        </w:tc>
        <w:tc>
          <w:tcPr>
            <w:tcW w:w="594" w:type="pct"/>
            <w:shd w:val="clear" w:color="auto" w:fill="auto"/>
            <w:noWrap/>
            <w:hideMark/>
          </w:tcPr>
          <w:p w14:paraId="4A88E5A6" w14:textId="27197832" w:rsidR="00032D13" w:rsidRPr="00166361" w:rsidRDefault="00032D13" w:rsidP="00B06468">
            <w:pPr>
              <w:jc w:val="center"/>
              <w:rPr>
                <w:rFonts w:ascii="NimbusRomNo9L" w:hAnsi="NimbusRomNo9L"/>
                <w:spacing w:val="-20"/>
                <w:sz w:val="20"/>
                <w:lang w:val="en-US"/>
              </w:rPr>
            </w:pPr>
            <w:r w:rsidRPr="00B06468">
              <w:rPr>
                <w:rFonts w:ascii="NimbusRomNo9L" w:hAnsi="NimbusRomNo9L"/>
                <w:spacing w:val="-20"/>
                <w:sz w:val="20"/>
                <w:lang w:val="en-US"/>
              </w:rPr>
              <w:t>1,247</w:t>
            </w:r>
          </w:p>
        </w:tc>
      </w:tr>
      <w:tr w:rsidR="00DF2E5C" w:rsidRPr="00166361" w14:paraId="321C54E0" w14:textId="77777777" w:rsidTr="00032D13">
        <w:trPr>
          <w:trHeight w:val="258"/>
        </w:trPr>
        <w:tc>
          <w:tcPr>
            <w:tcW w:w="1420" w:type="pct"/>
            <w:shd w:val="clear" w:color="auto" w:fill="auto"/>
            <w:noWrap/>
            <w:vAlign w:val="bottom"/>
          </w:tcPr>
          <w:p w14:paraId="05038431" w14:textId="77777777" w:rsidR="00DF2E5C" w:rsidRPr="00166361" w:rsidRDefault="00DF2E5C" w:rsidP="00267587">
            <w:pPr>
              <w:rPr>
                <w:rFonts w:ascii="NimbusRomNo9L" w:hAnsi="NimbusRomNo9L"/>
                <w:spacing w:val="-20"/>
                <w:sz w:val="20"/>
                <w:lang w:val="en-US"/>
              </w:rPr>
            </w:pPr>
            <w:r w:rsidRPr="00166361">
              <w:rPr>
                <w:rFonts w:ascii="NimbusRomNo9L" w:hAnsi="NimbusRomNo9L"/>
                <w:spacing w:val="-20"/>
                <w:sz w:val="20"/>
                <w:lang w:val="en-US"/>
              </w:rPr>
              <w:t>Year indicators</w:t>
            </w:r>
          </w:p>
        </w:tc>
        <w:tc>
          <w:tcPr>
            <w:tcW w:w="597" w:type="pct"/>
            <w:shd w:val="clear" w:color="auto" w:fill="auto"/>
            <w:noWrap/>
            <w:vAlign w:val="bottom"/>
          </w:tcPr>
          <w:p w14:paraId="6FE1BC54" w14:textId="77777777" w:rsidR="00DF2E5C" w:rsidRPr="00166361" w:rsidRDefault="00DF2E5C" w:rsidP="00B06468">
            <w:pPr>
              <w:jc w:val="center"/>
              <w:rPr>
                <w:rFonts w:ascii="NimbusRomNo9L" w:hAnsi="NimbusRomNo9L"/>
                <w:spacing w:val="-20"/>
                <w:sz w:val="20"/>
                <w:lang w:val="en-US"/>
              </w:rPr>
            </w:pPr>
            <w:r w:rsidRPr="00166361">
              <w:rPr>
                <w:rFonts w:ascii="NimbusRomNo9L" w:hAnsi="NimbusRomNo9L"/>
                <w:spacing w:val="-20"/>
                <w:sz w:val="20"/>
                <w:lang w:val="en-US"/>
              </w:rPr>
              <w:t>Yes</w:t>
            </w:r>
          </w:p>
        </w:tc>
        <w:tc>
          <w:tcPr>
            <w:tcW w:w="597" w:type="pct"/>
            <w:shd w:val="clear" w:color="auto" w:fill="auto"/>
            <w:noWrap/>
            <w:vAlign w:val="bottom"/>
          </w:tcPr>
          <w:p w14:paraId="4202DC6D" w14:textId="77777777" w:rsidR="00DF2E5C" w:rsidRPr="00166361" w:rsidRDefault="00DF2E5C" w:rsidP="00B06468">
            <w:pPr>
              <w:jc w:val="center"/>
              <w:rPr>
                <w:rFonts w:ascii="NimbusRomNo9L" w:hAnsi="NimbusRomNo9L"/>
                <w:spacing w:val="-20"/>
                <w:sz w:val="20"/>
                <w:lang w:val="en-US"/>
              </w:rPr>
            </w:pPr>
            <w:r w:rsidRPr="00166361">
              <w:rPr>
                <w:rFonts w:ascii="NimbusRomNo9L" w:hAnsi="NimbusRomNo9L"/>
                <w:spacing w:val="-20"/>
                <w:sz w:val="20"/>
                <w:lang w:val="en-US"/>
              </w:rPr>
              <w:t>Yes</w:t>
            </w:r>
          </w:p>
        </w:tc>
        <w:tc>
          <w:tcPr>
            <w:tcW w:w="597" w:type="pct"/>
            <w:shd w:val="clear" w:color="auto" w:fill="auto"/>
            <w:noWrap/>
            <w:vAlign w:val="bottom"/>
          </w:tcPr>
          <w:p w14:paraId="02CF0975" w14:textId="77777777" w:rsidR="00DF2E5C" w:rsidRPr="00166361" w:rsidRDefault="00DF2E5C" w:rsidP="00B06468">
            <w:pPr>
              <w:jc w:val="center"/>
              <w:rPr>
                <w:rFonts w:ascii="NimbusRomNo9L" w:hAnsi="NimbusRomNo9L"/>
                <w:spacing w:val="-20"/>
                <w:sz w:val="20"/>
                <w:lang w:val="en-US"/>
              </w:rPr>
            </w:pPr>
            <w:r w:rsidRPr="00166361">
              <w:rPr>
                <w:rFonts w:ascii="NimbusRomNo9L" w:hAnsi="NimbusRomNo9L"/>
                <w:spacing w:val="-20"/>
                <w:sz w:val="20"/>
                <w:lang w:val="en-US"/>
              </w:rPr>
              <w:t>Yes</w:t>
            </w:r>
          </w:p>
        </w:tc>
        <w:tc>
          <w:tcPr>
            <w:tcW w:w="597" w:type="pct"/>
            <w:shd w:val="clear" w:color="auto" w:fill="auto"/>
            <w:noWrap/>
            <w:vAlign w:val="bottom"/>
          </w:tcPr>
          <w:p w14:paraId="5BAA8865" w14:textId="77777777" w:rsidR="00DF2E5C" w:rsidRPr="00166361" w:rsidRDefault="00DF2E5C" w:rsidP="00B06468">
            <w:pPr>
              <w:jc w:val="center"/>
              <w:rPr>
                <w:rFonts w:ascii="NimbusRomNo9L" w:hAnsi="NimbusRomNo9L"/>
                <w:spacing w:val="-20"/>
                <w:sz w:val="20"/>
                <w:lang w:val="en-US"/>
              </w:rPr>
            </w:pPr>
            <w:r w:rsidRPr="00166361">
              <w:rPr>
                <w:rFonts w:ascii="NimbusRomNo9L" w:hAnsi="NimbusRomNo9L"/>
                <w:spacing w:val="-20"/>
                <w:sz w:val="20"/>
                <w:lang w:val="en-US"/>
              </w:rPr>
              <w:t>Yes</w:t>
            </w:r>
          </w:p>
        </w:tc>
        <w:tc>
          <w:tcPr>
            <w:tcW w:w="597" w:type="pct"/>
            <w:shd w:val="clear" w:color="auto" w:fill="auto"/>
            <w:noWrap/>
            <w:vAlign w:val="bottom"/>
          </w:tcPr>
          <w:p w14:paraId="383F820E" w14:textId="77777777" w:rsidR="00DF2E5C" w:rsidRPr="00166361" w:rsidRDefault="00DF2E5C" w:rsidP="00B06468">
            <w:pPr>
              <w:jc w:val="center"/>
              <w:rPr>
                <w:rFonts w:ascii="NimbusRomNo9L" w:hAnsi="NimbusRomNo9L"/>
                <w:spacing w:val="-20"/>
                <w:sz w:val="20"/>
                <w:lang w:val="en-US"/>
              </w:rPr>
            </w:pPr>
            <w:r w:rsidRPr="00166361">
              <w:rPr>
                <w:rFonts w:ascii="NimbusRomNo9L" w:hAnsi="NimbusRomNo9L"/>
                <w:spacing w:val="-20"/>
                <w:sz w:val="20"/>
                <w:lang w:val="en-US"/>
              </w:rPr>
              <w:t>Yes</w:t>
            </w:r>
          </w:p>
        </w:tc>
        <w:tc>
          <w:tcPr>
            <w:tcW w:w="594" w:type="pct"/>
            <w:shd w:val="clear" w:color="auto" w:fill="auto"/>
            <w:noWrap/>
            <w:vAlign w:val="bottom"/>
          </w:tcPr>
          <w:p w14:paraId="776D2B20" w14:textId="77777777" w:rsidR="00DF2E5C" w:rsidRPr="00166361" w:rsidRDefault="00DF2E5C" w:rsidP="00B06468">
            <w:pPr>
              <w:jc w:val="center"/>
              <w:rPr>
                <w:rFonts w:ascii="NimbusRomNo9L" w:hAnsi="NimbusRomNo9L"/>
                <w:spacing w:val="-20"/>
                <w:sz w:val="20"/>
                <w:lang w:val="en-US"/>
              </w:rPr>
            </w:pPr>
            <w:r w:rsidRPr="00166361">
              <w:rPr>
                <w:rFonts w:ascii="NimbusRomNo9L" w:hAnsi="NimbusRomNo9L"/>
                <w:spacing w:val="-20"/>
                <w:sz w:val="20"/>
                <w:lang w:val="en-US"/>
              </w:rPr>
              <w:t>Yes</w:t>
            </w:r>
          </w:p>
        </w:tc>
      </w:tr>
      <w:tr w:rsidR="00DF2E5C" w:rsidRPr="00166361" w14:paraId="15B1227F" w14:textId="77777777" w:rsidTr="00032D13">
        <w:trPr>
          <w:trHeight w:val="258"/>
        </w:trPr>
        <w:tc>
          <w:tcPr>
            <w:tcW w:w="1420" w:type="pct"/>
            <w:shd w:val="clear" w:color="auto" w:fill="auto"/>
            <w:noWrap/>
            <w:vAlign w:val="bottom"/>
            <w:hideMark/>
          </w:tcPr>
          <w:p w14:paraId="03F0DEBC" w14:textId="77777777" w:rsidR="00DF2E5C" w:rsidRPr="00166361" w:rsidRDefault="00DF2E5C" w:rsidP="00267587">
            <w:pPr>
              <w:rPr>
                <w:rFonts w:ascii="NimbusRomNo9L" w:hAnsi="NimbusRomNo9L"/>
                <w:spacing w:val="-20"/>
                <w:sz w:val="20"/>
                <w:lang w:val="en-US"/>
              </w:rPr>
            </w:pPr>
            <w:r w:rsidRPr="00166361">
              <w:rPr>
                <w:rFonts w:ascii="NimbusRomNo9L" w:hAnsi="NimbusRomNo9L"/>
                <w:spacing w:val="-20"/>
                <w:sz w:val="20"/>
                <w:lang w:val="en-US"/>
              </w:rPr>
              <w:t>Adjusted R-squared</w:t>
            </w:r>
          </w:p>
        </w:tc>
        <w:tc>
          <w:tcPr>
            <w:tcW w:w="597" w:type="pct"/>
            <w:shd w:val="clear" w:color="auto" w:fill="auto"/>
            <w:noWrap/>
            <w:vAlign w:val="bottom"/>
            <w:hideMark/>
          </w:tcPr>
          <w:p w14:paraId="1721FA1D" w14:textId="64E1531F" w:rsidR="00DF2E5C" w:rsidRPr="00166361" w:rsidRDefault="00DF2E5C" w:rsidP="00B06468">
            <w:pPr>
              <w:jc w:val="center"/>
              <w:rPr>
                <w:rFonts w:ascii="NimbusRomNo9L" w:hAnsi="NimbusRomNo9L"/>
                <w:spacing w:val="-20"/>
                <w:sz w:val="20"/>
                <w:lang w:val="en-US"/>
              </w:rPr>
            </w:pPr>
            <w:r w:rsidRPr="00166361">
              <w:rPr>
                <w:rFonts w:ascii="NimbusRomNo9L" w:hAnsi="NimbusRomNo9L"/>
                <w:spacing w:val="-20"/>
                <w:sz w:val="20"/>
                <w:lang w:val="en-US"/>
              </w:rPr>
              <w:t>0.8</w:t>
            </w:r>
            <w:r w:rsidR="00032D13">
              <w:rPr>
                <w:rFonts w:ascii="NimbusRomNo9L" w:hAnsi="NimbusRomNo9L"/>
                <w:spacing w:val="-20"/>
                <w:sz w:val="20"/>
                <w:lang w:val="en-US"/>
              </w:rPr>
              <w:t>07</w:t>
            </w:r>
          </w:p>
        </w:tc>
        <w:tc>
          <w:tcPr>
            <w:tcW w:w="597" w:type="pct"/>
            <w:shd w:val="clear" w:color="auto" w:fill="auto"/>
            <w:noWrap/>
            <w:vAlign w:val="bottom"/>
            <w:hideMark/>
          </w:tcPr>
          <w:p w14:paraId="0D84F312" w14:textId="77777777" w:rsidR="00DF2E5C" w:rsidRPr="00166361" w:rsidRDefault="00DF2E5C" w:rsidP="00B06468">
            <w:pPr>
              <w:jc w:val="center"/>
              <w:rPr>
                <w:rFonts w:ascii="NimbusRomNo9L" w:hAnsi="NimbusRomNo9L"/>
                <w:spacing w:val="-20"/>
                <w:sz w:val="20"/>
                <w:lang w:val="en-US"/>
              </w:rPr>
            </w:pPr>
            <w:r w:rsidRPr="00166361">
              <w:rPr>
                <w:rFonts w:ascii="NimbusRomNo9L" w:hAnsi="NimbusRomNo9L"/>
                <w:spacing w:val="-20"/>
                <w:sz w:val="20"/>
                <w:lang w:val="en-US"/>
              </w:rPr>
              <w:t>-</w:t>
            </w:r>
          </w:p>
        </w:tc>
        <w:tc>
          <w:tcPr>
            <w:tcW w:w="597" w:type="pct"/>
            <w:shd w:val="clear" w:color="auto" w:fill="auto"/>
            <w:noWrap/>
            <w:vAlign w:val="bottom"/>
            <w:hideMark/>
          </w:tcPr>
          <w:p w14:paraId="406DA66C" w14:textId="77777777" w:rsidR="00DF2E5C" w:rsidRPr="00166361" w:rsidRDefault="00DF2E5C" w:rsidP="00B06468">
            <w:pPr>
              <w:jc w:val="center"/>
              <w:rPr>
                <w:rFonts w:ascii="NimbusRomNo9L" w:hAnsi="NimbusRomNo9L"/>
                <w:spacing w:val="-20"/>
                <w:sz w:val="20"/>
                <w:lang w:val="en-US"/>
              </w:rPr>
            </w:pPr>
            <w:r w:rsidRPr="00166361">
              <w:rPr>
                <w:rFonts w:ascii="NimbusRomNo9L" w:hAnsi="NimbusRomNo9L"/>
                <w:spacing w:val="-20"/>
                <w:sz w:val="20"/>
                <w:lang w:val="en-US"/>
              </w:rPr>
              <w:t>-</w:t>
            </w:r>
          </w:p>
        </w:tc>
        <w:tc>
          <w:tcPr>
            <w:tcW w:w="597" w:type="pct"/>
            <w:shd w:val="clear" w:color="auto" w:fill="auto"/>
            <w:noWrap/>
            <w:vAlign w:val="bottom"/>
            <w:hideMark/>
          </w:tcPr>
          <w:p w14:paraId="49964F81" w14:textId="77777777" w:rsidR="00DF2E5C" w:rsidRPr="00166361" w:rsidRDefault="00DF2E5C" w:rsidP="00B06468">
            <w:pPr>
              <w:jc w:val="center"/>
              <w:rPr>
                <w:rFonts w:ascii="NimbusRomNo9L" w:hAnsi="NimbusRomNo9L"/>
                <w:spacing w:val="-20"/>
                <w:sz w:val="20"/>
                <w:lang w:val="en-US"/>
              </w:rPr>
            </w:pPr>
            <w:r w:rsidRPr="00166361">
              <w:rPr>
                <w:rFonts w:ascii="NimbusRomNo9L" w:hAnsi="NimbusRomNo9L"/>
                <w:spacing w:val="-20"/>
                <w:sz w:val="20"/>
                <w:lang w:val="en-US"/>
              </w:rPr>
              <w:t>-</w:t>
            </w:r>
          </w:p>
        </w:tc>
        <w:tc>
          <w:tcPr>
            <w:tcW w:w="597" w:type="pct"/>
            <w:shd w:val="clear" w:color="auto" w:fill="auto"/>
            <w:noWrap/>
            <w:vAlign w:val="bottom"/>
            <w:hideMark/>
          </w:tcPr>
          <w:p w14:paraId="2674F2A3" w14:textId="77777777" w:rsidR="00DF2E5C" w:rsidRPr="00166361" w:rsidRDefault="00DF2E5C" w:rsidP="00B06468">
            <w:pPr>
              <w:jc w:val="center"/>
              <w:rPr>
                <w:rFonts w:ascii="NimbusRomNo9L" w:hAnsi="NimbusRomNo9L"/>
                <w:spacing w:val="-20"/>
                <w:sz w:val="20"/>
                <w:lang w:val="en-US"/>
              </w:rPr>
            </w:pPr>
            <w:r w:rsidRPr="00166361">
              <w:rPr>
                <w:rFonts w:ascii="NimbusRomNo9L" w:hAnsi="NimbusRomNo9L"/>
                <w:spacing w:val="-20"/>
                <w:sz w:val="20"/>
                <w:lang w:val="en-US"/>
              </w:rPr>
              <w:t>-</w:t>
            </w:r>
          </w:p>
        </w:tc>
        <w:tc>
          <w:tcPr>
            <w:tcW w:w="594" w:type="pct"/>
            <w:shd w:val="clear" w:color="auto" w:fill="auto"/>
            <w:noWrap/>
            <w:vAlign w:val="bottom"/>
            <w:hideMark/>
          </w:tcPr>
          <w:p w14:paraId="6F8D2AD5" w14:textId="77777777" w:rsidR="00DF2E5C" w:rsidRPr="00166361" w:rsidRDefault="00DF2E5C" w:rsidP="00B06468">
            <w:pPr>
              <w:jc w:val="center"/>
              <w:rPr>
                <w:rFonts w:ascii="NimbusRomNo9L" w:hAnsi="NimbusRomNo9L"/>
                <w:spacing w:val="-20"/>
                <w:sz w:val="20"/>
                <w:lang w:val="en-US"/>
              </w:rPr>
            </w:pPr>
            <w:r w:rsidRPr="00166361">
              <w:rPr>
                <w:rFonts w:ascii="NimbusRomNo9L" w:hAnsi="NimbusRomNo9L"/>
                <w:spacing w:val="-20"/>
                <w:sz w:val="20"/>
                <w:lang w:val="en-US"/>
              </w:rPr>
              <w:t>-</w:t>
            </w:r>
          </w:p>
        </w:tc>
      </w:tr>
      <w:tr w:rsidR="00DF2E5C" w:rsidRPr="00166361" w14:paraId="2823BDDE" w14:textId="77777777" w:rsidTr="00032D13">
        <w:trPr>
          <w:trHeight w:val="258"/>
        </w:trPr>
        <w:tc>
          <w:tcPr>
            <w:tcW w:w="1420" w:type="pct"/>
            <w:shd w:val="clear" w:color="auto" w:fill="auto"/>
            <w:noWrap/>
            <w:vAlign w:val="bottom"/>
            <w:hideMark/>
          </w:tcPr>
          <w:p w14:paraId="47851204" w14:textId="77777777" w:rsidR="00DF2E5C" w:rsidRPr="00166361" w:rsidRDefault="00DF2E5C" w:rsidP="00267587">
            <w:pPr>
              <w:rPr>
                <w:rFonts w:ascii="NimbusRomNo9L" w:hAnsi="NimbusRomNo9L"/>
                <w:spacing w:val="-20"/>
                <w:sz w:val="20"/>
                <w:lang w:val="en-US"/>
              </w:rPr>
            </w:pPr>
            <w:r w:rsidRPr="00166361">
              <w:rPr>
                <w:rFonts w:ascii="NimbusRomNo9L" w:hAnsi="NimbusRomNo9L"/>
                <w:spacing w:val="-20"/>
                <w:sz w:val="20"/>
                <w:lang w:val="en-US"/>
              </w:rPr>
              <w:t>Quantile level</w:t>
            </w:r>
          </w:p>
        </w:tc>
        <w:tc>
          <w:tcPr>
            <w:tcW w:w="597" w:type="pct"/>
            <w:shd w:val="clear" w:color="auto" w:fill="auto"/>
            <w:noWrap/>
            <w:vAlign w:val="bottom"/>
            <w:hideMark/>
          </w:tcPr>
          <w:p w14:paraId="42369364" w14:textId="77777777" w:rsidR="00DF2E5C" w:rsidRPr="00166361" w:rsidRDefault="00DF2E5C" w:rsidP="00B06468">
            <w:pPr>
              <w:jc w:val="center"/>
              <w:rPr>
                <w:rFonts w:ascii="NimbusRomNo9L" w:hAnsi="NimbusRomNo9L"/>
                <w:spacing w:val="-20"/>
                <w:sz w:val="20"/>
                <w:lang w:val="en-US"/>
              </w:rPr>
            </w:pPr>
            <w:r w:rsidRPr="00166361">
              <w:rPr>
                <w:rFonts w:ascii="NimbusRomNo9L" w:hAnsi="NimbusRomNo9L"/>
                <w:spacing w:val="-20"/>
                <w:sz w:val="20"/>
                <w:lang w:val="en-US"/>
              </w:rPr>
              <w:t>-</w:t>
            </w:r>
          </w:p>
        </w:tc>
        <w:tc>
          <w:tcPr>
            <w:tcW w:w="597" w:type="pct"/>
            <w:shd w:val="clear" w:color="auto" w:fill="auto"/>
            <w:noWrap/>
            <w:vAlign w:val="bottom"/>
            <w:hideMark/>
          </w:tcPr>
          <w:p w14:paraId="42C145EF" w14:textId="77777777" w:rsidR="00DF2E5C" w:rsidRPr="00166361" w:rsidRDefault="00DF2E5C" w:rsidP="00B06468">
            <w:pPr>
              <w:jc w:val="center"/>
              <w:rPr>
                <w:rFonts w:ascii="NimbusRomNo9L" w:hAnsi="NimbusRomNo9L"/>
                <w:spacing w:val="-20"/>
                <w:sz w:val="20"/>
                <w:lang w:val="en-US"/>
              </w:rPr>
            </w:pPr>
            <w:r w:rsidRPr="00166361">
              <w:rPr>
                <w:rFonts w:ascii="NimbusRomNo9L" w:hAnsi="NimbusRomNo9L"/>
                <w:spacing w:val="-20"/>
                <w:sz w:val="20"/>
                <w:lang w:val="en-US"/>
              </w:rPr>
              <w:t>0.150</w:t>
            </w:r>
          </w:p>
        </w:tc>
        <w:tc>
          <w:tcPr>
            <w:tcW w:w="597" w:type="pct"/>
            <w:shd w:val="clear" w:color="auto" w:fill="auto"/>
            <w:noWrap/>
            <w:vAlign w:val="bottom"/>
            <w:hideMark/>
          </w:tcPr>
          <w:p w14:paraId="0BA4BD2A" w14:textId="77777777" w:rsidR="00DF2E5C" w:rsidRPr="00166361" w:rsidRDefault="00DF2E5C" w:rsidP="00B06468">
            <w:pPr>
              <w:jc w:val="center"/>
              <w:rPr>
                <w:rFonts w:ascii="NimbusRomNo9L" w:hAnsi="NimbusRomNo9L"/>
                <w:spacing w:val="-20"/>
                <w:sz w:val="20"/>
                <w:lang w:val="en-US"/>
              </w:rPr>
            </w:pPr>
            <w:r w:rsidRPr="00166361">
              <w:rPr>
                <w:rFonts w:ascii="NimbusRomNo9L" w:hAnsi="NimbusRomNo9L"/>
                <w:spacing w:val="-20"/>
                <w:sz w:val="20"/>
                <w:lang w:val="en-US"/>
              </w:rPr>
              <w:t>0.250</w:t>
            </w:r>
          </w:p>
        </w:tc>
        <w:tc>
          <w:tcPr>
            <w:tcW w:w="597" w:type="pct"/>
            <w:shd w:val="clear" w:color="auto" w:fill="auto"/>
            <w:noWrap/>
            <w:vAlign w:val="bottom"/>
            <w:hideMark/>
          </w:tcPr>
          <w:p w14:paraId="49F9B7D8" w14:textId="77777777" w:rsidR="00DF2E5C" w:rsidRPr="00166361" w:rsidRDefault="00DF2E5C" w:rsidP="00B06468">
            <w:pPr>
              <w:jc w:val="center"/>
              <w:rPr>
                <w:rFonts w:ascii="NimbusRomNo9L" w:hAnsi="NimbusRomNo9L"/>
                <w:spacing w:val="-20"/>
                <w:sz w:val="20"/>
                <w:lang w:val="en-US"/>
              </w:rPr>
            </w:pPr>
            <w:r w:rsidRPr="00166361">
              <w:rPr>
                <w:rFonts w:ascii="NimbusRomNo9L" w:hAnsi="NimbusRomNo9L"/>
                <w:spacing w:val="-20"/>
                <w:sz w:val="20"/>
                <w:lang w:val="en-US"/>
              </w:rPr>
              <w:t>0.500</w:t>
            </w:r>
          </w:p>
        </w:tc>
        <w:tc>
          <w:tcPr>
            <w:tcW w:w="597" w:type="pct"/>
            <w:shd w:val="clear" w:color="auto" w:fill="auto"/>
            <w:noWrap/>
            <w:vAlign w:val="bottom"/>
            <w:hideMark/>
          </w:tcPr>
          <w:p w14:paraId="0C0EAD2B" w14:textId="77777777" w:rsidR="00DF2E5C" w:rsidRPr="00166361" w:rsidRDefault="00DF2E5C" w:rsidP="00B06468">
            <w:pPr>
              <w:jc w:val="center"/>
              <w:rPr>
                <w:rFonts w:ascii="NimbusRomNo9L" w:hAnsi="NimbusRomNo9L"/>
                <w:spacing w:val="-20"/>
                <w:sz w:val="20"/>
                <w:lang w:val="en-US"/>
              </w:rPr>
            </w:pPr>
            <w:r w:rsidRPr="00166361">
              <w:rPr>
                <w:rFonts w:ascii="NimbusRomNo9L" w:hAnsi="NimbusRomNo9L"/>
                <w:spacing w:val="-20"/>
                <w:sz w:val="20"/>
                <w:lang w:val="en-US"/>
              </w:rPr>
              <w:t>0.750</w:t>
            </w:r>
          </w:p>
        </w:tc>
        <w:tc>
          <w:tcPr>
            <w:tcW w:w="594" w:type="pct"/>
            <w:shd w:val="clear" w:color="auto" w:fill="auto"/>
            <w:noWrap/>
            <w:vAlign w:val="bottom"/>
            <w:hideMark/>
          </w:tcPr>
          <w:p w14:paraId="2A15F9FA" w14:textId="77777777" w:rsidR="00DF2E5C" w:rsidRPr="00166361" w:rsidRDefault="00DF2E5C" w:rsidP="00B06468">
            <w:pPr>
              <w:jc w:val="center"/>
              <w:rPr>
                <w:rFonts w:ascii="NimbusRomNo9L" w:hAnsi="NimbusRomNo9L"/>
                <w:spacing w:val="-20"/>
                <w:sz w:val="20"/>
                <w:lang w:val="en-US"/>
              </w:rPr>
            </w:pPr>
            <w:r w:rsidRPr="00166361">
              <w:rPr>
                <w:rFonts w:ascii="NimbusRomNo9L" w:hAnsi="NimbusRomNo9L"/>
                <w:spacing w:val="-20"/>
                <w:sz w:val="20"/>
                <w:lang w:val="en-US"/>
              </w:rPr>
              <w:t>0.850</w:t>
            </w:r>
          </w:p>
        </w:tc>
      </w:tr>
    </w:tbl>
    <w:p w14:paraId="02FC1858" w14:textId="25D278A4" w:rsidR="009E6692" w:rsidRPr="009E6692" w:rsidRDefault="009E6692" w:rsidP="009E6692">
      <w:pPr>
        <w:widowControl w:val="0"/>
        <w:autoSpaceDE w:val="0"/>
        <w:autoSpaceDN w:val="0"/>
        <w:adjustRightInd w:val="0"/>
        <w:jc w:val="center"/>
        <w:rPr>
          <w:sz w:val="21"/>
          <w:lang w:val="en-US"/>
        </w:rPr>
      </w:pPr>
      <w:r w:rsidRPr="009E6692">
        <w:rPr>
          <w:sz w:val="21"/>
          <w:lang w:val="en-US"/>
        </w:rPr>
        <w:lastRenderedPageBreak/>
        <w:t>Bootstrapped – adjusted clustering at id and year level- errors in parentheses</w:t>
      </w:r>
    </w:p>
    <w:p w14:paraId="1C3EAD0E" w14:textId="77777777" w:rsidR="009E6692" w:rsidRPr="009E6692" w:rsidRDefault="009E6692" w:rsidP="009E6692">
      <w:pPr>
        <w:widowControl w:val="0"/>
        <w:autoSpaceDE w:val="0"/>
        <w:autoSpaceDN w:val="0"/>
        <w:adjustRightInd w:val="0"/>
        <w:jc w:val="center"/>
        <w:rPr>
          <w:sz w:val="21"/>
          <w:lang w:val="en-US"/>
        </w:rPr>
      </w:pPr>
      <w:r w:rsidRPr="009E6692">
        <w:rPr>
          <w:sz w:val="21"/>
          <w:lang w:val="en-US"/>
        </w:rPr>
        <w:t>*** p&lt;0.01, ** p&lt;0.05, * p&lt;0.1</w:t>
      </w:r>
    </w:p>
    <w:p w14:paraId="7E37C383" w14:textId="7090D16A" w:rsidR="006E5E41" w:rsidRPr="00EE38F6" w:rsidRDefault="009E6692" w:rsidP="006E5E41">
      <w:pPr>
        <w:spacing w:before="240" w:after="240"/>
        <w:jc w:val="both"/>
        <w:rPr>
          <w:rFonts w:ascii="NimbusRomNo9L" w:hAnsi="NimbusRomNo9L"/>
          <w:sz w:val="18"/>
          <w:szCs w:val="20"/>
          <w:lang w:val="en-US"/>
        </w:rPr>
      </w:pPr>
      <w:r>
        <w:rPr>
          <w:rFonts w:ascii="NimbusRomNo9L" w:hAnsi="NimbusRomNo9L"/>
          <w:sz w:val="18"/>
          <w:szCs w:val="20"/>
          <w:lang w:val="en-US"/>
        </w:rPr>
        <w:t>N</w:t>
      </w:r>
      <w:r w:rsidR="00F003EF" w:rsidRPr="00F003EF">
        <w:rPr>
          <w:rFonts w:ascii="NimbusRomNo9L" w:hAnsi="NimbusRomNo9L"/>
          <w:sz w:val="18"/>
          <w:szCs w:val="20"/>
          <w:lang w:val="en-US"/>
        </w:rPr>
        <w:t>ote: The table presents the first and second stage (2SLS) and the smoothed instrumental variable empirical coefficients based on a panel dataset of 15</w:t>
      </w:r>
      <w:r w:rsidR="0022252C">
        <w:rPr>
          <w:rFonts w:ascii="NimbusRomNo9L" w:hAnsi="NimbusRomNo9L"/>
          <w:sz w:val="18"/>
          <w:szCs w:val="20"/>
          <w:lang w:val="en-US"/>
        </w:rPr>
        <w:t>7</w:t>
      </w:r>
      <w:r w:rsidR="00F003EF" w:rsidRPr="00F003EF">
        <w:rPr>
          <w:rFonts w:ascii="NimbusRomNo9L" w:hAnsi="NimbusRomNo9L"/>
          <w:sz w:val="18"/>
          <w:szCs w:val="20"/>
          <w:lang w:val="en-US"/>
        </w:rPr>
        <w:t xml:space="preserve"> Tribunals de Grande Instance from 2012 to 2019. </w:t>
      </w:r>
    </w:p>
    <w:p w14:paraId="6DC0499E" w14:textId="0C2A3467" w:rsidR="004C76D4" w:rsidRPr="004C76D4" w:rsidRDefault="006427E4" w:rsidP="004C76D4">
      <w:pPr>
        <w:ind w:firstLine="567"/>
        <w:jc w:val="both"/>
        <w:rPr>
          <w:rFonts w:ascii="NimbusRomNo9L" w:hAnsi="NimbusRomNo9L"/>
          <w:lang w:val="en-US"/>
        </w:rPr>
      </w:pPr>
      <w:r w:rsidRPr="006427E4">
        <w:rPr>
          <w:rFonts w:ascii="NimbusRomNo9L" w:hAnsi="NimbusRomNo9L"/>
          <w:u w:val="single"/>
          <w:lang w:val="en-US"/>
        </w:rPr>
        <w:t>Table 4</w:t>
      </w:r>
      <w:r w:rsidRPr="006427E4">
        <w:rPr>
          <w:rFonts w:ascii="NimbusRomNo9L" w:hAnsi="NimbusRomNo9L"/>
          <w:lang w:val="en-US"/>
        </w:rPr>
        <w:t xml:space="preserve"> takes a closer look at potential influences by excluding </w:t>
      </w:r>
      <w:r w:rsidRPr="006427E4">
        <w:rPr>
          <w:rFonts w:ascii="NimbusRomNo9L" w:hAnsi="NimbusRomNo9L"/>
          <w:bCs/>
          <w:lang w:val="en-US"/>
        </w:rPr>
        <w:t>newly introduced, suppressed, and detached tribunals</w:t>
      </w:r>
      <w:r w:rsidRPr="006427E4">
        <w:rPr>
          <w:rFonts w:ascii="NimbusRomNo9L" w:hAnsi="NimbusRomNo9L"/>
          <w:lang w:val="en-US"/>
        </w:rPr>
        <w:t xml:space="preserve">. </w:t>
      </w:r>
      <w:r w:rsidR="004C76D4" w:rsidRPr="004C76D4">
        <w:rPr>
          <w:rFonts w:ascii="NimbusRomNo9L" w:hAnsi="NimbusRomNo9L"/>
          <w:lang w:val="en-US"/>
        </w:rPr>
        <w:t>Saint-Gaudens, Saumur, and Tulle tribunals were closed down. </w:t>
      </w:r>
      <w:r w:rsidR="004C76D4">
        <w:rPr>
          <w:rFonts w:ascii="NimbusRomNo9L" w:hAnsi="NimbusRomNo9L"/>
          <w:lang w:val="en-US"/>
        </w:rPr>
        <w:t>Hence, r</w:t>
      </w:r>
      <w:r w:rsidR="004C76D4" w:rsidRPr="004C76D4">
        <w:rPr>
          <w:rFonts w:ascii="NimbusRomNo9L" w:hAnsi="NimbusRomNo9L"/>
          <w:lang w:val="en-US"/>
        </w:rPr>
        <w:t>emoving them could capture the effect of court closures on lawyer concentration and litigation patterns.</w:t>
      </w:r>
      <w:r w:rsidR="004C76D4">
        <w:rPr>
          <w:rFonts w:ascii="NimbusRomNo9L" w:hAnsi="NimbusRomNo9L"/>
          <w:lang w:val="en-US"/>
        </w:rPr>
        <w:t xml:space="preserve"> </w:t>
      </w:r>
      <w:proofErr w:type="spellStart"/>
      <w:r w:rsidR="004C76D4" w:rsidRPr="004C76D4">
        <w:rPr>
          <w:rFonts w:ascii="NimbusRomNo9L" w:hAnsi="NimbusRomNo9L"/>
          <w:lang w:val="en-US"/>
        </w:rPr>
        <w:t>Dôle</w:t>
      </w:r>
      <w:proofErr w:type="spellEnd"/>
      <w:r w:rsidR="004C76D4" w:rsidRPr="004C76D4">
        <w:rPr>
          <w:rFonts w:ascii="NimbusRomNo9L" w:hAnsi="NimbusRomNo9L"/>
          <w:lang w:val="en-US"/>
        </w:rPr>
        <w:t>, </w:t>
      </w:r>
      <w:proofErr w:type="spellStart"/>
      <w:r w:rsidR="004C76D4" w:rsidRPr="004C76D4">
        <w:rPr>
          <w:rFonts w:ascii="NimbusRomNo9L" w:hAnsi="NimbusRomNo9L"/>
          <w:lang w:val="en-US"/>
        </w:rPr>
        <w:t>Guingamp</w:t>
      </w:r>
      <w:proofErr w:type="spellEnd"/>
      <w:r w:rsidR="004C76D4" w:rsidRPr="004C76D4">
        <w:rPr>
          <w:rFonts w:ascii="NimbusRomNo9L" w:hAnsi="NimbusRomNo9L"/>
          <w:lang w:val="en-US"/>
        </w:rPr>
        <w:t xml:space="preserve">, and Marmande </w:t>
      </w:r>
      <w:r w:rsidR="00B06468">
        <w:rPr>
          <w:rFonts w:ascii="NimbusRomNo9L" w:hAnsi="NimbusRomNo9L"/>
          <w:lang w:val="en-US"/>
        </w:rPr>
        <w:t xml:space="preserve">were </w:t>
      </w:r>
      <w:r w:rsidR="00763E18">
        <w:rPr>
          <w:rFonts w:ascii="NimbusRomNo9L" w:hAnsi="NimbusRomNo9L"/>
          <w:lang w:val="en-US"/>
        </w:rPr>
        <w:t>split</w:t>
      </w:r>
      <w:r w:rsidR="00B06468">
        <w:rPr>
          <w:rFonts w:ascii="NimbusRomNo9L" w:hAnsi="NimbusRomNo9L"/>
          <w:lang w:val="en-US"/>
        </w:rPr>
        <w:t xml:space="preserve">, </w:t>
      </w:r>
      <w:r w:rsidR="004C76D4" w:rsidRPr="004C76D4">
        <w:rPr>
          <w:rFonts w:ascii="NimbusRomNo9L" w:hAnsi="NimbusRomNo9L"/>
          <w:lang w:val="en-US"/>
        </w:rPr>
        <w:t>witness</w:t>
      </w:r>
      <w:r w:rsidR="00B06468">
        <w:rPr>
          <w:rFonts w:ascii="NimbusRomNo9L" w:hAnsi="NimbusRomNo9L"/>
          <w:lang w:val="en-US"/>
        </w:rPr>
        <w:t xml:space="preserve">ing </w:t>
      </w:r>
      <w:r w:rsidR="004C76D4" w:rsidRPr="004C76D4">
        <w:rPr>
          <w:rFonts w:ascii="NimbusRomNo9L" w:hAnsi="NimbusRomNo9L"/>
          <w:lang w:val="en-US"/>
        </w:rPr>
        <w:t>the creation of "detached chambers." This unique setup might lead to distinct dynamics compared to fully autonomous courts.</w:t>
      </w:r>
      <w:r w:rsidR="004C76D4">
        <w:rPr>
          <w:rFonts w:ascii="NimbusRomNo9L" w:hAnsi="NimbusRomNo9L"/>
          <w:lang w:val="en-US"/>
        </w:rPr>
        <w:t xml:space="preserve"> Finally, </w:t>
      </w:r>
      <w:proofErr w:type="spellStart"/>
      <w:r w:rsidR="004C76D4" w:rsidRPr="004C76D4">
        <w:rPr>
          <w:rFonts w:ascii="NimbusRomNo9L" w:hAnsi="NimbusRomNo9L"/>
          <w:lang w:val="en-US"/>
        </w:rPr>
        <w:t>Belley</w:t>
      </w:r>
      <w:proofErr w:type="spellEnd"/>
      <w:r w:rsidR="004C76D4" w:rsidRPr="004C76D4">
        <w:rPr>
          <w:rFonts w:ascii="NimbusRomNo9L" w:hAnsi="NimbusRomNo9L"/>
          <w:lang w:val="en-US"/>
        </w:rPr>
        <w:t xml:space="preserve"> and Millau received </w:t>
      </w:r>
      <w:r w:rsidR="004C76D4">
        <w:rPr>
          <w:rFonts w:ascii="NimbusRomNo9L" w:hAnsi="NimbusRomNo9L"/>
          <w:lang w:val="en-US"/>
        </w:rPr>
        <w:t>specific offices</w:t>
      </w:r>
      <w:r w:rsidR="004C76D4" w:rsidRPr="004C76D4">
        <w:rPr>
          <w:rFonts w:ascii="NimbusRomNo9L" w:hAnsi="NimbusRomNo9L"/>
          <w:lang w:val="en-US"/>
        </w:rPr>
        <w:t xml:space="preserve"> for court registries</w:t>
      </w:r>
      <w:r w:rsidR="004C76D4">
        <w:rPr>
          <w:rFonts w:ascii="NimbusRomNo9L" w:hAnsi="NimbusRomNo9L"/>
          <w:lang w:val="en-US"/>
        </w:rPr>
        <w:t>.</w:t>
      </w:r>
      <w:r w:rsidR="004C76D4" w:rsidRPr="004C76D4">
        <w:rPr>
          <w:rFonts w:ascii="NimbusRomNo9L" w:hAnsi="NimbusRomNo9L"/>
          <w:lang w:val="en-US"/>
        </w:rPr>
        <w:t xml:space="preserve"> These hubs might impact case handling and lawyer interaction with the courts in unique ways. Excluding </w:t>
      </w:r>
      <w:r w:rsidR="000F03DA">
        <w:rPr>
          <w:rFonts w:ascii="NimbusRomNo9L" w:hAnsi="NimbusRomNo9L"/>
          <w:lang w:val="en-US"/>
        </w:rPr>
        <w:t>these courts might</w:t>
      </w:r>
      <w:r w:rsidR="004C76D4" w:rsidRPr="004C76D4">
        <w:rPr>
          <w:rFonts w:ascii="NimbusRomNo9L" w:hAnsi="NimbusRomNo9L"/>
          <w:lang w:val="en-US"/>
        </w:rPr>
        <w:t xml:space="preserve"> help</w:t>
      </w:r>
      <w:r w:rsidR="000F03DA">
        <w:rPr>
          <w:rFonts w:ascii="NimbusRomNo9L" w:hAnsi="NimbusRomNo9L"/>
          <w:lang w:val="en-US"/>
        </w:rPr>
        <w:t xml:space="preserve"> </w:t>
      </w:r>
      <w:r w:rsidR="004C76D4" w:rsidRPr="004C76D4">
        <w:rPr>
          <w:rFonts w:ascii="NimbusRomNo9L" w:hAnsi="NimbusRomNo9L"/>
          <w:lang w:val="en-US"/>
        </w:rPr>
        <w:t xml:space="preserve">isolate the influence of </w:t>
      </w:r>
      <w:r w:rsidR="000F03DA">
        <w:rPr>
          <w:rFonts w:ascii="NimbusRomNo9L" w:hAnsi="NimbusRomNo9L"/>
          <w:lang w:val="en-US"/>
        </w:rPr>
        <w:t xml:space="preserve">lawyers on </w:t>
      </w:r>
      <w:r w:rsidR="004C76D4" w:rsidRPr="004C76D4">
        <w:rPr>
          <w:rFonts w:ascii="NimbusRomNo9L" w:hAnsi="NimbusRomNo9L"/>
          <w:lang w:val="en-US"/>
        </w:rPr>
        <w:t>traditional court setups</w:t>
      </w:r>
      <w:r w:rsidR="000F03DA">
        <w:rPr>
          <w:rFonts w:ascii="NimbusRomNo9L" w:hAnsi="NimbusRomNo9L"/>
          <w:lang w:val="en-US"/>
        </w:rPr>
        <w:t xml:space="preserve">, eliminating part of the “noise” created by the legislator’s choices to go “back and forward” in different occasions. </w:t>
      </w:r>
    </w:p>
    <w:p w14:paraId="44C8E8CF" w14:textId="28A72717" w:rsidR="000F03DA" w:rsidRPr="00166361" w:rsidRDefault="000F03DA" w:rsidP="000F03DA">
      <w:pPr>
        <w:spacing w:before="240" w:after="240"/>
        <w:jc w:val="both"/>
        <w:rPr>
          <w:rFonts w:ascii="NimbusRomNo9L" w:hAnsi="NimbusRomNo9L"/>
          <w:sz w:val="20"/>
          <w:lang w:val="en-US"/>
        </w:rPr>
      </w:pPr>
      <w:r w:rsidRPr="00166361">
        <w:rPr>
          <w:rFonts w:ascii="NimbusRomNo9L" w:hAnsi="NimbusRomNo9L"/>
          <w:sz w:val="20"/>
          <w:u w:val="single"/>
          <w:lang w:val="en-US"/>
        </w:rPr>
        <w:t xml:space="preserve">Table </w:t>
      </w:r>
      <w:r>
        <w:rPr>
          <w:rFonts w:ascii="NimbusRomNo9L" w:hAnsi="NimbusRomNo9L"/>
          <w:sz w:val="20"/>
          <w:u w:val="single"/>
          <w:lang w:val="en-US"/>
        </w:rPr>
        <w:t>4</w:t>
      </w:r>
      <w:r w:rsidRPr="00166361">
        <w:rPr>
          <w:rFonts w:ascii="NimbusRomNo9L" w:hAnsi="NimbusRomNo9L"/>
          <w:sz w:val="20"/>
          <w:lang w:val="en-US"/>
        </w:rPr>
        <w:t xml:space="preserve">: </w:t>
      </w:r>
      <w:r w:rsidRPr="00166361">
        <w:rPr>
          <w:rFonts w:ascii="NimbusRomNo9L" w:hAnsi="NimbusRomNo9L"/>
          <w:sz w:val="20"/>
          <w:szCs w:val="20"/>
          <w:lang w:val="en-US"/>
        </w:rPr>
        <w:t xml:space="preserve">Two stage least squared and smoothed IV regressions </w:t>
      </w:r>
      <w:r w:rsidRPr="00166361">
        <w:rPr>
          <w:rFonts w:ascii="NimbusRomNo9L" w:hAnsi="NimbusRomNo9L"/>
          <w:sz w:val="20"/>
          <w:lang w:val="en-US"/>
        </w:rPr>
        <w:t>(</w:t>
      </w:r>
      <w:r w:rsidRPr="000F03DA">
        <w:rPr>
          <w:rFonts w:ascii="NimbusRomNo9L" w:hAnsi="NimbusRomNo9L"/>
          <w:sz w:val="20"/>
          <w:lang w:val="en-US"/>
        </w:rPr>
        <w:t>Saint-Gaudens, Saumur, Tulle</w:t>
      </w:r>
      <w:r>
        <w:rPr>
          <w:rFonts w:ascii="NimbusRomNo9L" w:hAnsi="NimbusRomNo9L"/>
          <w:sz w:val="20"/>
          <w:lang w:val="en-US"/>
        </w:rPr>
        <w:t xml:space="preserve">, </w:t>
      </w:r>
      <w:proofErr w:type="spellStart"/>
      <w:r w:rsidRPr="000F03DA">
        <w:rPr>
          <w:rFonts w:ascii="NimbusRomNo9L" w:hAnsi="NimbusRomNo9L"/>
          <w:sz w:val="20"/>
          <w:lang w:val="en-US"/>
        </w:rPr>
        <w:t>Dôle</w:t>
      </w:r>
      <w:proofErr w:type="spellEnd"/>
      <w:r w:rsidRPr="000F03DA">
        <w:rPr>
          <w:rFonts w:ascii="NimbusRomNo9L" w:hAnsi="NimbusRomNo9L"/>
          <w:sz w:val="20"/>
          <w:lang w:val="en-US"/>
        </w:rPr>
        <w:t>, </w:t>
      </w:r>
      <w:proofErr w:type="spellStart"/>
      <w:r w:rsidRPr="000F03DA">
        <w:rPr>
          <w:rFonts w:ascii="NimbusRomNo9L" w:hAnsi="NimbusRomNo9L"/>
          <w:sz w:val="20"/>
          <w:lang w:val="en-US"/>
        </w:rPr>
        <w:t>Guingamp</w:t>
      </w:r>
      <w:proofErr w:type="spellEnd"/>
      <w:r w:rsidRPr="000F03DA">
        <w:rPr>
          <w:rFonts w:ascii="NimbusRomNo9L" w:hAnsi="NimbusRomNo9L"/>
          <w:sz w:val="20"/>
          <w:lang w:val="en-US"/>
        </w:rPr>
        <w:t>, Marmande</w:t>
      </w:r>
      <w:r>
        <w:rPr>
          <w:rFonts w:ascii="NimbusRomNo9L" w:hAnsi="NimbusRomNo9L"/>
          <w:sz w:val="20"/>
          <w:lang w:val="en-US"/>
        </w:rPr>
        <w:t xml:space="preserve"> and </w:t>
      </w:r>
      <w:proofErr w:type="spellStart"/>
      <w:r w:rsidRPr="000F03DA">
        <w:rPr>
          <w:rFonts w:ascii="NimbusRomNo9L" w:hAnsi="NimbusRomNo9L"/>
          <w:sz w:val="20"/>
          <w:lang w:val="en-US"/>
        </w:rPr>
        <w:t>Belley</w:t>
      </w:r>
      <w:proofErr w:type="spellEnd"/>
      <w:r w:rsidRPr="000F03DA">
        <w:rPr>
          <w:rFonts w:ascii="NimbusRomNo9L" w:hAnsi="NimbusRomNo9L"/>
          <w:sz w:val="20"/>
          <w:lang w:val="en-US"/>
        </w:rPr>
        <w:t xml:space="preserve"> and Millau</w:t>
      </w:r>
      <w:r w:rsidR="00B06468">
        <w:rPr>
          <w:rFonts w:ascii="NimbusRomNo9L" w:hAnsi="NimbusRomNo9L"/>
          <w:sz w:val="20"/>
          <w:lang w:val="en-US"/>
        </w:rPr>
        <w:t xml:space="preserve"> excluded</w:t>
      </w:r>
      <w:r w:rsidRPr="00166361">
        <w:rPr>
          <w:rFonts w:ascii="NimbusRomNo9L" w:hAnsi="NimbusRomNo9L"/>
          <w:sz w:val="20"/>
          <w:lang w:val="en-US"/>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71"/>
        <w:gridCol w:w="1080"/>
        <w:gridCol w:w="1081"/>
        <w:gridCol w:w="1081"/>
        <w:gridCol w:w="1081"/>
        <w:gridCol w:w="1081"/>
        <w:gridCol w:w="1075"/>
      </w:tblGrid>
      <w:tr w:rsidR="00B06468" w:rsidRPr="00166361" w14:paraId="15D43EF9" w14:textId="77777777" w:rsidTr="00120D51">
        <w:trPr>
          <w:trHeight w:val="258"/>
        </w:trPr>
        <w:tc>
          <w:tcPr>
            <w:tcW w:w="1420" w:type="pct"/>
            <w:shd w:val="clear" w:color="auto" w:fill="auto"/>
            <w:noWrap/>
            <w:vAlign w:val="bottom"/>
          </w:tcPr>
          <w:p w14:paraId="09ABC955" w14:textId="77777777" w:rsidR="00B06468" w:rsidRPr="00166361" w:rsidRDefault="00B06468" w:rsidP="00120D51">
            <w:pPr>
              <w:rPr>
                <w:rFonts w:ascii="NimbusRomNo9L" w:hAnsi="NimbusRomNo9L"/>
                <w:spacing w:val="-20"/>
                <w:sz w:val="20"/>
                <w:lang w:val="en-US"/>
              </w:rPr>
            </w:pPr>
          </w:p>
        </w:tc>
        <w:tc>
          <w:tcPr>
            <w:tcW w:w="597" w:type="pct"/>
            <w:shd w:val="clear" w:color="auto" w:fill="auto"/>
            <w:noWrap/>
            <w:vAlign w:val="bottom"/>
          </w:tcPr>
          <w:p w14:paraId="1E577D86" w14:textId="77777777" w:rsidR="00B06468" w:rsidRPr="00166361" w:rsidRDefault="00B06468" w:rsidP="00120D51">
            <w:pPr>
              <w:rPr>
                <w:rFonts w:ascii="NimbusRomNo9L" w:hAnsi="NimbusRomNo9L"/>
                <w:spacing w:val="-30"/>
                <w:sz w:val="20"/>
                <w:lang w:val="en-US"/>
              </w:rPr>
            </w:pPr>
            <w:r w:rsidRPr="00166361">
              <w:rPr>
                <w:rFonts w:ascii="NimbusRomNo9L" w:hAnsi="NimbusRomNo9L"/>
                <w:spacing w:val="-30"/>
                <w:sz w:val="20"/>
                <w:lang w:val="en-US"/>
              </w:rPr>
              <w:t>2</w:t>
            </w:r>
            <w:r w:rsidRPr="00166361">
              <w:rPr>
                <w:rFonts w:ascii="NimbusRomNo9L" w:hAnsi="NimbusRomNo9L"/>
                <w:spacing w:val="-30"/>
                <w:sz w:val="20"/>
                <w:vertAlign w:val="superscript"/>
                <w:lang w:val="en-US"/>
              </w:rPr>
              <w:t>nd</w:t>
            </w:r>
            <w:r w:rsidRPr="00166361">
              <w:rPr>
                <w:rFonts w:ascii="NimbusRomNo9L" w:hAnsi="NimbusRomNo9L"/>
                <w:spacing w:val="-30"/>
                <w:sz w:val="20"/>
                <w:lang w:val="en-US"/>
              </w:rPr>
              <w:t xml:space="preserve"> stage 2SLS</w:t>
            </w:r>
          </w:p>
        </w:tc>
        <w:tc>
          <w:tcPr>
            <w:tcW w:w="597" w:type="pct"/>
            <w:shd w:val="clear" w:color="auto" w:fill="auto"/>
            <w:noWrap/>
            <w:vAlign w:val="bottom"/>
          </w:tcPr>
          <w:p w14:paraId="1D7747A3" w14:textId="77777777" w:rsidR="00B06468" w:rsidRPr="00166361" w:rsidRDefault="00B06468" w:rsidP="00120D51">
            <w:pPr>
              <w:jc w:val="center"/>
              <w:rPr>
                <w:rFonts w:ascii="NimbusRomNo9L" w:hAnsi="NimbusRomNo9L"/>
                <w:spacing w:val="-20"/>
                <w:sz w:val="20"/>
                <w:lang w:val="en-US"/>
              </w:rPr>
            </w:pPr>
            <w:r w:rsidRPr="00166361">
              <w:rPr>
                <w:rFonts w:ascii="NimbusRomNo9L" w:hAnsi="NimbusRomNo9L"/>
                <w:spacing w:val="-20"/>
                <w:sz w:val="20"/>
                <w:lang w:val="en-US"/>
              </w:rPr>
              <w:t>SIVQR</w:t>
            </w:r>
          </w:p>
        </w:tc>
        <w:tc>
          <w:tcPr>
            <w:tcW w:w="597" w:type="pct"/>
            <w:shd w:val="clear" w:color="auto" w:fill="auto"/>
            <w:noWrap/>
            <w:vAlign w:val="bottom"/>
          </w:tcPr>
          <w:p w14:paraId="0403F669" w14:textId="77777777" w:rsidR="00B06468" w:rsidRPr="00166361" w:rsidRDefault="00B06468" w:rsidP="00120D51">
            <w:pPr>
              <w:jc w:val="center"/>
              <w:rPr>
                <w:rFonts w:ascii="NimbusRomNo9L" w:hAnsi="NimbusRomNo9L"/>
                <w:spacing w:val="-20"/>
                <w:sz w:val="20"/>
                <w:lang w:val="en-US"/>
              </w:rPr>
            </w:pPr>
            <w:r w:rsidRPr="00166361">
              <w:rPr>
                <w:rFonts w:ascii="NimbusRomNo9L" w:hAnsi="NimbusRomNo9L"/>
                <w:spacing w:val="-20"/>
                <w:sz w:val="20"/>
                <w:lang w:val="en-US"/>
              </w:rPr>
              <w:t>SIVQR</w:t>
            </w:r>
          </w:p>
        </w:tc>
        <w:tc>
          <w:tcPr>
            <w:tcW w:w="597" w:type="pct"/>
            <w:shd w:val="clear" w:color="auto" w:fill="auto"/>
            <w:noWrap/>
            <w:vAlign w:val="bottom"/>
          </w:tcPr>
          <w:p w14:paraId="2710C47B" w14:textId="77777777" w:rsidR="00B06468" w:rsidRPr="00166361" w:rsidRDefault="00B06468" w:rsidP="00120D51">
            <w:pPr>
              <w:jc w:val="center"/>
              <w:rPr>
                <w:rFonts w:ascii="NimbusRomNo9L" w:hAnsi="NimbusRomNo9L"/>
                <w:spacing w:val="-20"/>
                <w:sz w:val="20"/>
                <w:lang w:val="en-US"/>
              </w:rPr>
            </w:pPr>
            <w:r w:rsidRPr="00166361">
              <w:rPr>
                <w:rFonts w:ascii="NimbusRomNo9L" w:hAnsi="NimbusRomNo9L"/>
                <w:spacing w:val="-20"/>
                <w:sz w:val="20"/>
                <w:lang w:val="en-US"/>
              </w:rPr>
              <w:t>SIVQR</w:t>
            </w:r>
          </w:p>
        </w:tc>
        <w:tc>
          <w:tcPr>
            <w:tcW w:w="597" w:type="pct"/>
            <w:shd w:val="clear" w:color="auto" w:fill="auto"/>
            <w:noWrap/>
            <w:vAlign w:val="bottom"/>
          </w:tcPr>
          <w:p w14:paraId="494E6E36" w14:textId="77777777" w:rsidR="00B06468" w:rsidRPr="00166361" w:rsidRDefault="00B06468" w:rsidP="00120D51">
            <w:pPr>
              <w:jc w:val="center"/>
              <w:rPr>
                <w:rFonts w:ascii="NimbusRomNo9L" w:hAnsi="NimbusRomNo9L"/>
                <w:spacing w:val="-20"/>
                <w:sz w:val="20"/>
                <w:lang w:val="en-US"/>
              </w:rPr>
            </w:pPr>
            <w:r w:rsidRPr="00166361">
              <w:rPr>
                <w:rFonts w:ascii="NimbusRomNo9L" w:hAnsi="NimbusRomNo9L"/>
                <w:spacing w:val="-20"/>
                <w:sz w:val="20"/>
                <w:lang w:val="en-US"/>
              </w:rPr>
              <w:t>SIVQR</w:t>
            </w:r>
          </w:p>
        </w:tc>
        <w:tc>
          <w:tcPr>
            <w:tcW w:w="594" w:type="pct"/>
            <w:shd w:val="clear" w:color="auto" w:fill="auto"/>
            <w:noWrap/>
            <w:vAlign w:val="bottom"/>
          </w:tcPr>
          <w:p w14:paraId="60E6EB0D" w14:textId="77777777" w:rsidR="00B06468" w:rsidRPr="00166361" w:rsidRDefault="00B06468" w:rsidP="00120D51">
            <w:pPr>
              <w:jc w:val="center"/>
              <w:rPr>
                <w:rFonts w:ascii="NimbusRomNo9L" w:hAnsi="NimbusRomNo9L"/>
                <w:spacing w:val="-20"/>
                <w:sz w:val="20"/>
                <w:lang w:val="en-US"/>
              </w:rPr>
            </w:pPr>
            <w:r w:rsidRPr="00166361">
              <w:rPr>
                <w:rFonts w:ascii="NimbusRomNo9L" w:hAnsi="NimbusRomNo9L"/>
                <w:spacing w:val="-20"/>
                <w:sz w:val="20"/>
                <w:lang w:val="en-US"/>
              </w:rPr>
              <w:t>SIVQR</w:t>
            </w:r>
          </w:p>
        </w:tc>
      </w:tr>
      <w:tr w:rsidR="00B06468" w:rsidRPr="00166361" w14:paraId="700F6A6C" w14:textId="77777777" w:rsidTr="00120D51">
        <w:trPr>
          <w:trHeight w:val="258"/>
        </w:trPr>
        <w:tc>
          <w:tcPr>
            <w:tcW w:w="1420" w:type="pct"/>
            <w:shd w:val="clear" w:color="auto" w:fill="auto"/>
            <w:noWrap/>
            <w:vAlign w:val="bottom"/>
            <w:hideMark/>
          </w:tcPr>
          <w:p w14:paraId="0A80837E" w14:textId="77777777" w:rsidR="00B06468" w:rsidRPr="00166361" w:rsidRDefault="00B06468" w:rsidP="00120D51">
            <w:pPr>
              <w:rPr>
                <w:rFonts w:ascii="NimbusRomNo9L" w:hAnsi="NimbusRomNo9L"/>
                <w:spacing w:val="-20"/>
                <w:sz w:val="20"/>
                <w:lang w:val="en-US"/>
              </w:rPr>
            </w:pPr>
            <w:r w:rsidRPr="00166361">
              <w:rPr>
                <w:rFonts w:ascii="NimbusRomNo9L" w:hAnsi="NimbusRomNo9L"/>
                <w:spacing w:val="-20"/>
                <w:sz w:val="20"/>
                <w:lang w:val="en-US"/>
              </w:rPr>
              <w:t>VARIABLES</w:t>
            </w:r>
          </w:p>
          <w:p w14:paraId="7F41329D" w14:textId="77777777" w:rsidR="00B06468" w:rsidRPr="00166361" w:rsidRDefault="00B06468" w:rsidP="00120D51">
            <w:pPr>
              <w:rPr>
                <w:rFonts w:ascii="NimbusRomNo9L" w:hAnsi="NimbusRomNo9L"/>
                <w:spacing w:val="-20"/>
                <w:sz w:val="20"/>
                <w:lang w:val="en-US"/>
              </w:rPr>
            </w:pPr>
          </w:p>
        </w:tc>
        <w:tc>
          <w:tcPr>
            <w:tcW w:w="597" w:type="pct"/>
            <w:shd w:val="clear" w:color="auto" w:fill="auto"/>
            <w:noWrap/>
            <w:vAlign w:val="bottom"/>
            <w:hideMark/>
          </w:tcPr>
          <w:p w14:paraId="033FB9EF" w14:textId="77777777" w:rsidR="00B06468" w:rsidRPr="00166361" w:rsidRDefault="00B06468" w:rsidP="00120D51">
            <w:pPr>
              <w:rPr>
                <w:rFonts w:ascii="NimbusRomNo9L" w:hAnsi="NimbusRomNo9L"/>
                <w:spacing w:val="-20"/>
                <w:sz w:val="20"/>
                <w:lang w:val="en-US"/>
              </w:rPr>
            </w:pPr>
            <w:r w:rsidRPr="00166361">
              <w:rPr>
                <w:rFonts w:ascii="NimbusRomNo9L" w:hAnsi="NimbusRomNo9L"/>
                <w:spacing w:val="-20"/>
                <w:sz w:val="20"/>
                <w:lang w:val="en-US"/>
              </w:rPr>
              <w:t>Rejections</w:t>
            </w:r>
          </w:p>
        </w:tc>
        <w:tc>
          <w:tcPr>
            <w:tcW w:w="597" w:type="pct"/>
            <w:shd w:val="clear" w:color="auto" w:fill="auto"/>
            <w:noWrap/>
            <w:vAlign w:val="bottom"/>
            <w:hideMark/>
          </w:tcPr>
          <w:p w14:paraId="3ECCB3E8" w14:textId="77777777" w:rsidR="00B06468" w:rsidRPr="00166361" w:rsidRDefault="00B06468" w:rsidP="00120D51">
            <w:pPr>
              <w:rPr>
                <w:rFonts w:ascii="NimbusRomNo9L" w:hAnsi="NimbusRomNo9L"/>
                <w:spacing w:val="-20"/>
                <w:sz w:val="20"/>
                <w:lang w:val="en-US"/>
              </w:rPr>
            </w:pPr>
            <w:r w:rsidRPr="00166361">
              <w:rPr>
                <w:rFonts w:ascii="NimbusRomNo9L" w:hAnsi="NimbusRomNo9L"/>
                <w:spacing w:val="-20"/>
                <w:sz w:val="20"/>
                <w:lang w:val="en-US"/>
              </w:rPr>
              <w:t>Rejections</w:t>
            </w:r>
          </w:p>
        </w:tc>
        <w:tc>
          <w:tcPr>
            <w:tcW w:w="597" w:type="pct"/>
            <w:shd w:val="clear" w:color="auto" w:fill="auto"/>
            <w:noWrap/>
            <w:vAlign w:val="bottom"/>
            <w:hideMark/>
          </w:tcPr>
          <w:p w14:paraId="4E1E99F5" w14:textId="77777777" w:rsidR="00B06468" w:rsidRPr="00166361" w:rsidRDefault="00B06468" w:rsidP="00120D51">
            <w:pPr>
              <w:rPr>
                <w:rFonts w:ascii="NimbusRomNo9L" w:hAnsi="NimbusRomNo9L"/>
                <w:spacing w:val="-20"/>
                <w:sz w:val="20"/>
                <w:lang w:val="en-US"/>
              </w:rPr>
            </w:pPr>
            <w:r w:rsidRPr="00166361">
              <w:rPr>
                <w:rFonts w:ascii="NimbusRomNo9L" w:hAnsi="NimbusRomNo9L"/>
                <w:spacing w:val="-20"/>
                <w:sz w:val="20"/>
                <w:lang w:val="en-US"/>
              </w:rPr>
              <w:t>Rejections</w:t>
            </w:r>
          </w:p>
        </w:tc>
        <w:tc>
          <w:tcPr>
            <w:tcW w:w="597" w:type="pct"/>
            <w:shd w:val="clear" w:color="auto" w:fill="auto"/>
            <w:noWrap/>
            <w:vAlign w:val="bottom"/>
            <w:hideMark/>
          </w:tcPr>
          <w:p w14:paraId="07053236" w14:textId="77777777" w:rsidR="00B06468" w:rsidRPr="00166361" w:rsidRDefault="00B06468" w:rsidP="00120D51">
            <w:pPr>
              <w:rPr>
                <w:rFonts w:ascii="NimbusRomNo9L" w:hAnsi="NimbusRomNo9L"/>
                <w:spacing w:val="-20"/>
                <w:sz w:val="20"/>
                <w:lang w:val="en-US"/>
              </w:rPr>
            </w:pPr>
            <w:r w:rsidRPr="00166361">
              <w:rPr>
                <w:rFonts w:ascii="NimbusRomNo9L" w:hAnsi="NimbusRomNo9L"/>
                <w:spacing w:val="-20"/>
                <w:sz w:val="20"/>
                <w:lang w:val="en-US"/>
              </w:rPr>
              <w:t>Rejections</w:t>
            </w:r>
          </w:p>
        </w:tc>
        <w:tc>
          <w:tcPr>
            <w:tcW w:w="597" w:type="pct"/>
            <w:shd w:val="clear" w:color="auto" w:fill="auto"/>
            <w:noWrap/>
            <w:vAlign w:val="bottom"/>
            <w:hideMark/>
          </w:tcPr>
          <w:p w14:paraId="6D63EBCD" w14:textId="77777777" w:rsidR="00B06468" w:rsidRPr="00166361" w:rsidRDefault="00B06468" w:rsidP="00120D51">
            <w:pPr>
              <w:rPr>
                <w:rFonts w:ascii="NimbusRomNo9L" w:hAnsi="NimbusRomNo9L"/>
                <w:spacing w:val="-20"/>
                <w:sz w:val="20"/>
                <w:lang w:val="en-US"/>
              </w:rPr>
            </w:pPr>
            <w:r w:rsidRPr="00166361">
              <w:rPr>
                <w:rFonts w:ascii="NimbusRomNo9L" w:hAnsi="NimbusRomNo9L"/>
                <w:spacing w:val="-20"/>
                <w:sz w:val="20"/>
                <w:lang w:val="en-US"/>
              </w:rPr>
              <w:t>Rejections</w:t>
            </w:r>
          </w:p>
        </w:tc>
        <w:tc>
          <w:tcPr>
            <w:tcW w:w="594" w:type="pct"/>
            <w:shd w:val="clear" w:color="auto" w:fill="auto"/>
            <w:noWrap/>
            <w:vAlign w:val="bottom"/>
            <w:hideMark/>
          </w:tcPr>
          <w:p w14:paraId="2D59FB6E" w14:textId="77777777" w:rsidR="00B06468" w:rsidRPr="00166361" w:rsidRDefault="00B06468" w:rsidP="00120D51">
            <w:pPr>
              <w:rPr>
                <w:rFonts w:ascii="NimbusRomNo9L" w:hAnsi="NimbusRomNo9L"/>
                <w:spacing w:val="-20"/>
                <w:sz w:val="20"/>
                <w:lang w:val="en-US"/>
              </w:rPr>
            </w:pPr>
            <w:r w:rsidRPr="00166361">
              <w:rPr>
                <w:rFonts w:ascii="NimbusRomNo9L" w:hAnsi="NimbusRomNo9L"/>
                <w:spacing w:val="-20"/>
                <w:sz w:val="20"/>
                <w:lang w:val="en-US"/>
              </w:rPr>
              <w:t>Rejections</w:t>
            </w:r>
          </w:p>
        </w:tc>
      </w:tr>
      <w:tr w:rsidR="00B06468" w:rsidRPr="00B06468" w14:paraId="748CC8D2" w14:textId="77777777" w:rsidTr="00120D51">
        <w:trPr>
          <w:trHeight w:val="258"/>
        </w:trPr>
        <w:tc>
          <w:tcPr>
            <w:tcW w:w="1420" w:type="pct"/>
            <w:shd w:val="clear" w:color="auto" w:fill="auto"/>
            <w:noWrap/>
            <w:vAlign w:val="bottom"/>
            <w:hideMark/>
          </w:tcPr>
          <w:p w14:paraId="1A72ABAB" w14:textId="77777777" w:rsidR="00B06468" w:rsidRPr="00166361" w:rsidRDefault="00B06468" w:rsidP="00B06468">
            <w:pPr>
              <w:rPr>
                <w:rFonts w:ascii="NimbusRomNo9L" w:hAnsi="NimbusRomNo9L"/>
                <w:spacing w:val="-20"/>
                <w:sz w:val="20"/>
                <w:lang w:val="en-US"/>
              </w:rPr>
            </w:pPr>
            <w:r w:rsidRPr="00032D13">
              <w:rPr>
                <w:rFonts w:ascii="NimbusRomNo9L" w:hAnsi="NimbusRomNo9L"/>
                <w:spacing w:val="-20"/>
                <w:sz w:val="20"/>
                <w:lang w:val="en-US"/>
              </w:rPr>
              <w:t>Lawyers/</w:t>
            </w:r>
            <w:r>
              <w:rPr>
                <w:rFonts w:ascii="NimbusRomNo9L" w:hAnsi="NimbusRomNo9L"/>
                <w:spacing w:val="-20"/>
                <w:sz w:val="20"/>
                <w:lang w:val="en-US"/>
              </w:rPr>
              <w:t xml:space="preserve">100.000 </w:t>
            </w:r>
            <w:r w:rsidRPr="00032D13">
              <w:rPr>
                <w:rFonts w:ascii="NimbusRomNo9L" w:hAnsi="NimbusRomNo9L"/>
                <w:spacing w:val="-20"/>
                <w:sz w:val="20"/>
                <w:lang w:val="en-US"/>
              </w:rPr>
              <w:t xml:space="preserve">inhabitants </w:t>
            </w:r>
          </w:p>
        </w:tc>
        <w:tc>
          <w:tcPr>
            <w:tcW w:w="597" w:type="pct"/>
            <w:shd w:val="clear" w:color="auto" w:fill="auto"/>
            <w:noWrap/>
            <w:hideMark/>
          </w:tcPr>
          <w:p w14:paraId="3C309178" w14:textId="5EC15323"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0.0462***</w:t>
            </w:r>
          </w:p>
        </w:tc>
        <w:tc>
          <w:tcPr>
            <w:tcW w:w="597" w:type="pct"/>
            <w:shd w:val="clear" w:color="auto" w:fill="auto"/>
            <w:noWrap/>
            <w:hideMark/>
          </w:tcPr>
          <w:p w14:paraId="2E4973F9" w14:textId="30723870"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0.0444***</w:t>
            </w:r>
          </w:p>
        </w:tc>
        <w:tc>
          <w:tcPr>
            <w:tcW w:w="597" w:type="pct"/>
            <w:shd w:val="clear" w:color="auto" w:fill="auto"/>
            <w:noWrap/>
            <w:hideMark/>
          </w:tcPr>
          <w:p w14:paraId="52F2E6F5" w14:textId="7B8D3189"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0.0370***</w:t>
            </w:r>
          </w:p>
        </w:tc>
        <w:tc>
          <w:tcPr>
            <w:tcW w:w="597" w:type="pct"/>
            <w:shd w:val="clear" w:color="auto" w:fill="auto"/>
            <w:noWrap/>
            <w:hideMark/>
          </w:tcPr>
          <w:p w14:paraId="4B931421" w14:textId="3FA0788D"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0.0445***</w:t>
            </w:r>
          </w:p>
        </w:tc>
        <w:tc>
          <w:tcPr>
            <w:tcW w:w="597" w:type="pct"/>
            <w:shd w:val="clear" w:color="auto" w:fill="auto"/>
            <w:noWrap/>
            <w:hideMark/>
          </w:tcPr>
          <w:p w14:paraId="647808A2" w14:textId="7596319F"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0.0399**</w:t>
            </w:r>
          </w:p>
        </w:tc>
        <w:tc>
          <w:tcPr>
            <w:tcW w:w="594" w:type="pct"/>
            <w:shd w:val="clear" w:color="auto" w:fill="auto"/>
            <w:noWrap/>
            <w:hideMark/>
          </w:tcPr>
          <w:p w14:paraId="6BF0161A" w14:textId="32573CFB"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0.0530***</w:t>
            </w:r>
          </w:p>
        </w:tc>
      </w:tr>
      <w:tr w:rsidR="00B06468" w:rsidRPr="00B06468" w14:paraId="6A37E50F" w14:textId="77777777" w:rsidTr="00120D51">
        <w:trPr>
          <w:trHeight w:val="258"/>
        </w:trPr>
        <w:tc>
          <w:tcPr>
            <w:tcW w:w="1420" w:type="pct"/>
            <w:shd w:val="clear" w:color="auto" w:fill="auto"/>
            <w:noWrap/>
            <w:hideMark/>
          </w:tcPr>
          <w:p w14:paraId="58011759" w14:textId="77777777" w:rsidR="00B06468" w:rsidRPr="00166361" w:rsidRDefault="00B06468" w:rsidP="00B06468">
            <w:pPr>
              <w:rPr>
                <w:rFonts w:ascii="NimbusRomNo9L" w:hAnsi="NimbusRomNo9L"/>
                <w:spacing w:val="-20"/>
                <w:sz w:val="20"/>
                <w:lang w:val="en-US"/>
              </w:rPr>
            </w:pPr>
          </w:p>
        </w:tc>
        <w:tc>
          <w:tcPr>
            <w:tcW w:w="597" w:type="pct"/>
            <w:shd w:val="clear" w:color="auto" w:fill="auto"/>
            <w:noWrap/>
            <w:hideMark/>
          </w:tcPr>
          <w:p w14:paraId="3CE9A34C" w14:textId="2864968E"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(0.0140)</w:t>
            </w:r>
          </w:p>
        </w:tc>
        <w:tc>
          <w:tcPr>
            <w:tcW w:w="597" w:type="pct"/>
            <w:shd w:val="clear" w:color="auto" w:fill="auto"/>
            <w:noWrap/>
            <w:hideMark/>
          </w:tcPr>
          <w:p w14:paraId="6A2A7F03" w14:textId="6AF00C77"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(0.00895)</w:t>
            </w:r>
          </w:p>
        </w:tc>
        <w:tc>
          <w:tcPr>
            <w:tcW w:w="597" w:type="pct"/>
            <w:shd w:val="clear" w:color="auto" w:fill="auto"/>
            <w:noWrap/>
            <w:hideMark/>
          </w:tcPr>
          <w:p w14:paraId="7B577F36" w14:textId="2B332D49"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(0.00701)</w:t>
            </w:r>
          </w:p>
        </w:tc>
        <w:tc>
          <w:tcPr>
            <w:tcW w:w="597" w:type="pct"/>
            <w:shd w:val="clear" w:color="auto" w:fill="auto"/>
            <w:noWrap/>
            <w:hideMark/>
          </w:tcPr>
          <w:p w14:paraId="66B834C0" w14:textId="3C7F2781"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(0.00954)</w:t>
            </w:r>
          </w:p>
        </w:tc>
        <w:tc>
          <w:tcPr>
            <w:tcW w:w="597" w:type="pct"/>
            <w:shd w:val="clear" w:color="auto" w:fill="auto"/>
            <w:noWrap/>
            <w:hideMark/>
          </w:tcPr>
          <w:p w14:paraId="43CC8696" w14:textId="375568A8"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(0.0155)</w:t>
            </w:r>
          </w:p>
        </w:tc>
        <w:tc>
          <w:tcPr>
            <w:tcW w:w="594" w:type="pct"/>
            <w:shd w:val="clear" w:color="auto" w:fill="auto"/>
            <w:noWrap/>
            <w:hideMark/>
          </w:tcPr>
          <w:p w14:paraId="1854045B" w14:textId="321E30B0"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(0.0190)</w:t>
            </w:r>
          </w:p>
        </w:tc>
      </w:tr>
      <w:tr w:rsidR="00B06468" w:rsidRPr="00B06468" w14:paraId="4781C3FF" w14:textId="77777777" w:rsidTr="00120D51">
        <w:trPr>
          <w:trHeight w:val="258"/>
        </w:trPr>
        <w:tc>
          <w:tcPr>
            <w:tcW w:w="1420" w:type="pct"/>
            <w:shd w:val="clear" w:color="auto" w:fill="F2F2F2" w:themeFill="background1" w:themeFillShade="F2"/>
            <w:noWrap/>
            <w:vAlign w:val="bottom"/>
            <w:hideMark/>
          </w:tcPr>
          <w:p w14:paraId="7D5B4DA8" w14:textId="77777777" w:rsidR="00B06468" w:rsidRPr="00166361" w:rsidRDefault="00B06468" w:rsidP="00B06468">
            <w:pPr>
              <w:rPr>
                <w:rFonts w:ascii="NimbusRomNo9L" w:hAnsi="NimbusRomNo9L"/>
                <w:spacing w:val="-20"/>
                <w:sz w:val="20"/>
                <w:lang w:val="en-US"/>
              </w:rPr>
            </w:pPr>
            <w:r w:rsidRPr="00032D13">
              <w:rPr>
                <w:rFonts w:ascii="NimbusRomNo9L" w:hAnsi="NimbusRomNo9L"/>
                <w:spacing w:val="-20"/>
                <w:sz w:val="20"/>
                <w:lang w:val="en-US"/>
              </w:rPr>
              <w:t>Backlogs rate</w:t>
            </w:r>
          </w:p>
        </w:tc>
        <w:tc>
          <w:tcPr>
            <w:tcW w:w="597" w:type="pct"/>
            <w:shd w:val="clear" w:color="auto" w:fill="F2F2F2" w:themeFill="background1" w:themeFillShade="F2"/>
            <w:noWrap/>
            <w:hideMark/>
          </w:tcPr>
          <w:p w14:paraId="32BF24BC" w14:textId="3D7FCEEA"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-0.0310***</w:t>
            </w:r>
          </w:p>
        </w:tc>
        <w:tc>
          <w:tcPr>
            <w:tcW w:w="597" w:type="pct"/>
            <w:shd w:val="clear" w:color="auto" w:fill="F2F2F2" w:themeFill="background1" w:themeFillShade="F2"/>
            <w:noWrap/>
            <w:hideMark/>
          </w:tcPr>
          <w:p w14:paraId="69F12021" w14:textId="6E589B28"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-0.0222***</w:t>
            </w:r>
          </w:p>
        </w:tc>
        <w:tc>
          <w:tcPr>
            <w:tcW w:w="597" w:type="pct"/>
            <w:shd w:val="clear" w:color="auto" w:fill="F2F2F2" w:themeFill="background1" w:themeFillShade="F2"/>
            <w:noWrap/>
            <w:hideMark/>
          </w:tcPr>
          <w:p w14:paraId="626A780A" w14:textId="74F5005A"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-0.0216***</w:t>
            </w:r>
          </w:p>
        </w:tc>
        <w:tc>
          <w:tcPr>
            <w:tcW w:w="597" w:type="pct"/>
            <w:shd w:val="clear" w:color="auto" w:fill="F2F2F2" w:themeFill="background1" w:themeFillShade="F2"/>
            <w:noWrap/>
            <w:hideMark/>
          </w:tcPr>
          <w:p w14:paraId="298C009C" w14:textId="17067BB7"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-0.0237***</w:t>
            </w:r>
          </w:p>
        </w:tc>
        <w:tc>
          <w:tcPr>
            <w:tcW w:w="597" w:type="pct"/>
            <w:shd w:val="clear" w:color="auto" w:fill="F2F2F2" w:themeFill="background1" w:themeFillShade="F2"/>
            <w:noWrap/>
            <w:hideMark/>
          </w:tcPr>
          <w:p w14:paraId="7B002680" w14:textId="12D0B5D0"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-0.0230**</w:t>
            </w:r>
          </w:p>
        </w:tc>
        <w:tc>
          <w:tcPr>
            <w:tcW w:w="594" w:type="pct"/>
            <w:shd w:val="clear" w:color="auto" w:fill="F2F2F2" w:themeFill="background1" w:themeFillShade="F2"/>
            <w:noWrap/>
            <w:hideMark/>
          </w:tcPr>
          <w:p w14:paraId="4FD207CB" w14:textId="63DC6E33"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-0.0271***</w:t>
            </w:r>
          </w:p>
        </w:tc>
      </w:tr>
      <w:tr w:rsidR="00B06468" w:rsidRPr="00B06468" w14:paraId="1F114428" w14:textId="77777777" w:rsidTr="00120D51">
        <w:trPr>
          <w:trHeight w:val="258"/>
        </w:trPr>
        <w:tc>
          <w:tcPr>
            <w:tcW w:w="1420" w:type="pct"/>
            <w:shd w:val="clear" w:color="auto" w:fill="F2F2F2" w:themeFill="background1" w:themeFillShade="F2"/>
            <w:noWrap/>
            <w:hideMark/>
          </w:tcPr>
          <w:p w14:paraId="5848F1E4" w14:textId="77777777" w:rsidR="00B06468" w:rsidRPr="00166361" w:rsidRDefault="00B06468" w:rsidP="00B06468">
            <w:pPr>
              <w:rPr>
                <w:rFonts w:ascii="NimbusRomNo9L" w:hAnsi="NimbusRomNo9L"/>
                <w:spacing w:val="-20"/>
                <w:sz w:val="20"/>
                <w:lang w:val="en-US"/>
              </w:rPr>
            </w:pPr>
          </w:p>
        </w:tc>
        <w:tc>
          <w:tcPr>
            <w:tcW w:w="597" w:type="pct"/>
            <w:shd w:val="clear" w:color="auto" w:fill="F2F2F2" w:themeFill="background1" w:themeFillShade="F2"/>
            <w:noWrap/>
            <w:hideMark/>
          </w:tcPr>
          <w:p w14:paraId="01749305" w14:textId="35EA7067"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(0.00809)</w:t>
            </w:r>
          </w:p>
        </w:tc>
        <w:tc>
          <w:tcPr>
            <w:tcW w:w="597" w:type="pct"/>
            <w:shd w:val="clear" w:color="auto" w:fill="F2F2F2" w:themeFill="background1" w:themeFillShade="F2"/>
            <w:noWrap/>
            <w:hideMark/>
          </w:tcPr>
          <w:p w14:paraId="7038DC76" w14:textId="22315C6D"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(0.00845)</w:t>
            </w:r>
          </w:p>
        </w:tc>
        <w:tc>
          <w:tcPr>
            <w:tcW w:w="597" w:type="pct"/>
            <w:shd w:val="clear" w:color="auto" w:fill="F2F2F2" w:themeFill="background1" w:themeFillShade="F2"/>
            <w:noWrap/>
            <w:hideMark/>
          </w:tcPr>
          <w:p w14:paraId="506E9D2B" w14:textId="329C2032"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(0.00720)</w:t>
            </w:r>
          </w:p>
        </w:tc>
        <w:tc>
          <w:tcPr>
            <w:tcW w:w="597" w:type="pct"/>
            <w:shd w:val="clear" w:color="auto" w:fill="F2F2F2" w:themeFill="background1" w:themeFillShade="F2"/>
            <w:noWrap/>
            <w:hideMark/>
          </w:tcPr>
          <w:p w14:paraId="3E905B34" w14:textId="5409EED0"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(0.00830)</w:t>
            </w:r>
          </w:p>
        </w:tc>
        <w:tc>
          <w:tcPr>
            <w:tcW w:w="597" w:type="pct"/>
            <w:shd w:val="clear" w:color="auto" w:fill="F2F2F2" w:themeFill="background1" w:themeFillShade="F2"/>
            <w:noWrap/>
            <w:hideMark/>
          </w:tcPr>
          <w:p w14:paraId="4307B8E6" w14:textId="688A4B5C"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(0.00965)</w:t>
            </w:r>
          </w:p>
        </w:tc>
        <w:tc>
          <w:tcPr>
            <w:tcW w:w="594" w:type="pct"/>
            <w:shd w:val="clear" w:color="auto" w:fill="F2F2F2" w:themeFill="background1" w:themeFillShade="F2"/>
            <w:noWrap/>
            <w:hideMark/>
          </w:tcPr>
          <w:p w14:paraId="1A4D35AF" w14:textId="0DAD1633"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(0.00951)</w:t>
            </w:r>
          </w:p>
        </w:tc>
      </w:tr>
      <w:tr w:rsidR="00B06468" w:rsidRPr="00B06468" w14:paraId="1F4580F6" w14:textId="77777777" w:rsidTr="00120D51">
        <w:trPr>
          <w:trHeight w:val="258"/>
        </w:trPr>
        <w:tc>
          <w:tcPr>
            <w:tcW w:w="1420" w:type="pct"/>
            <w:shd w:val="clear" w:color="auto" w:fill="auto"/>
            <w:noWrap/>
            <w:vAlign w:val="bottom"/>
            <w:hideMark/>
          </w:tcPr>
          <w:p w14:paraId="7470743E" w14:textId="77777777" w:rsidR="00B06468" w:rsidRPr="00166361" w:rsidRDefault="00B06468" w:rsidP="00B06468">
            <w:pPr>
              <w:rPr>
                <w:rFonts w:ascii="NimbusRomNo9L" w:hAnsi="NimbusRomNo9L"/>
                <w:spacing w:val="-20"/>
                <w:sz w:val="20"/>
                <w:lang w:val="en-US"/>
              </w:rPr>
            </w:pPr>
            <w:r w:rsidRPr="00032D13">
              <w:rPr>
                <w:rFonts w:ascii="NimbusRomNo9L" w:hAnsi="NimbusRomNo9L"/>
                <w:spacing w:val="-20"/>
                <w:sz w:val="20"/>
                <w:lang w:val="en-US"/>
              </w:rPr>
              <w:t>Withdrawal rate</w:t>
            </w:r>
          </w:p>
        </w:tc>
        <w:tc>
          <w:tcPr>
            <w:tcW w:w="597" w:type="pct"/>
            <w:shd w:val="clear" w:color="auto" w:fill="auto"/>
            <w:noWrap/>
            <w:hideMark/>
          </w:tcPr>
          <w:p w14:paraId="192853D4" w14:textId="69E110C9"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0.509***</w:t>
            </w:r>
          </w:p>
        </w:tc>
        <w:tc>
          <w:tcPr>
            <w:tcW w:w="597" w:type="pct"/>
            <w:shd w:val="clear" w:color="auto" w:fill="auto"/>
            <w:noWrap/>
            <w:hideMark/>
          </w:tcPr>
          <w:p w14:paraId="3B24B5AC" w14:textId="1B29EC05"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0.423***</w:t>
            </w:r>
          </w:p>
        </w:tc>
        <w:tc>
          <w:tcPr>
            <w:tcW w:w="597" w:type="pct"/>
            <w:shd w:val="clear" w:color="auto" w:fill="auto"/>
            <w:noWrap/>
            <w:hideMark/>
          </w:tcPr>
          <w:p w14:paraId="0A5A502B" w14:textId="4A5294FC"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0.406***</w:t>
            </w:r>
          </w:p>
        </w:tc>
        <w:tc>
          <w:tcPr>
            <w:tcW w:w="597" w:type="pct"/>
            <w:shd w:val="clear" w:color="auto" w:fill="auto"/>
            <w:noWrap/>
            <w:hideMark/>
          </w:tcPr>
          <w:p w14:paraId="45C23C71" w14:textId="3F511458"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0.471***</w:t>
            </w:r>
          </w:p>
        </w:tc>
        <w:tc>
          <w:tcPr>
            <w:tcW w:w="597" w:type="pct"/>
            <w:shd w:val="clear" w:color="auto" w:fill="auto"/>
            <w:noWrap/>
            <w:hideMark/>
          </w:tcPr>
          <w:p w14:paraId="47958514" w14:textId="4C3EF415"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0.508***</w:t>
            </w:r>
          </w:p>
        </w:tc>
        <w:tc>
          <w:tcPr>
            <w:tcW w:w="594" w:type="pct"/>
            <w:shd w:val="clear" w:color="auto" w:fill="auto"/>
            <w:noWrap/>
            <w:hideMark/>
          </w:tcPr>
          <w:p w14:paraId="4E1F3BCA" w14:textId="33BBBFDF"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0.579***</w:t>
            </w:r>
          </w:p>
        </w:tc>
      </w:tr>
      <w:tr w:rsidR="00B06468" w:rsidRPr="00B06468" w14:paraId="495F6C22" w14:textId="77777777" w:rsidTr="00120D51">
        <w:trPr>
          <w:trHeight w:val="258"/>
        </w:trPr>
        <w:tc>
          <w:tcPr>
            <w:tcW w:w="1420" w:type="pct"/>
            <w:shd w:val="clear" w:color="auto" w:fill="auto"/>
            <w:noWrap/>
            <w:hideMark/>
          </w:tcPr>
          <w:p w14:paraId="48712945" w14:textId="77777777" w:rsidR="00B06468" w:rsidRPr="00166361" w:rsidRDefault="00B06468" w:rsidP="00B06468">
            <w:pPr>
              <w:rPr>
                <w:rFonts w:ascii="NimbusRomNo9L" w:hAnsi="NimbusRomNo9L"/>
                <w:spacing w:val="-20"/>
                <w:sz w:val="20"/>
                <w:lang w:val="en-US"/>
              </w:rPr>
            </w:pPr>
          </w:p>
        </w:tc>
        <w:tc>
          <w:tcPr>
            <w:tcW w:w="597" w:type="pct"/>
            <w:shd w:val="clear" w:color="auto" w:fill="auto"/>
            <w:noWrap/>
            <w:hideMark/>
          </w:tcPr>
          <w:p w14:paraId="384915FB" w14:textId="10AED3D7"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(0.0581)</w:t>
            </w:r>
          </w:p>
        </w:tc>
        <w:tc>
          <w:tcPr>
            <w:tcW w:w="597" w:type="pct"/>
            <w:shd w:val="clear" w:color="auto" w:fill="auto"/>
            <w:noWrap/>
            <w:hideMark/>
          </w:tcPr>
          <w:p w14:paraId="66DD16D2" w14:textId="40524DEB"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(0.0470)</w:t>
            </w:r>
          </w:p>
        </w:tc>
        <w:tc>
          <w:tcPr>
            <w:tcW w:w="597" w:type="pct"/>
            <w:shd w:val="clear" w:color="auto" w:fill="auto"/>
            <w:noWrap/>
            <w:hideMark/>
          </w:tcPr>
          <w:p w14:paraId="4AC171EC" w14:textId="53A295A2"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(0.0483)</w:t>
            </w:r>
          </w:p>
        </w:tc>
        <w:tc>
          <w:tcPr>
            <w:tcW w:w="597" w:type="pct"/>
            <w:shd w:val="clear" w:color="auto" w:fill="auto"/>
            <w:noWrap/>
            <w:hideMark/>
          </w:tcPr>
          <w:p w14:paraId="7A3C3955" w14:textId="5B648E6F"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(0.0455)</w:t>
            </w:r>
          </w:p>
        </w:tc>
        <w:tc>
          <w:tcPr>
            <w:tcW w:w="597" w:type="pct"/>
            <w:shd w:val="clear" w:color="auto" w:fill="auto"/>
            <w:noWrap/>
            <w:hideMark/>
          </w:tcPr>
          <w:p w14:paraId="73706078" w14:textId="45D8287B"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(0.114)</w:t>
            </w:r>
          </w:p>
        </w:tc>
        <w:tc>
          <w:tcPr>
            <w:tcW w:w="594" w:type="pct"/>
            <w:shd w:val="clear" w:color="auto" w:fill="auto"/>
            <w:noWrap/>
            <w:hideMark/>
          </w:tcPr>
          <w:p w14:paraId="3931DFB1" w14:textId="6005A3FC"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(0.107)</w:t>
            </w:r>
          </w:p>
        </w:tc>
      </w:tr>
      <w:tr w:rsidR="00B06468" w:rsidRPr="00B06468" w14:paraId="162478B7" w14:textId="77777777" w:rsidTr="00120D51">
        <w:trPr>
          <w:trHeight w:val="258"/>
        </w:trPr>
        <w:tc>
          <w:tcPr>
            <w:tcW w:w="1420" w:type="pct"/>
            <w:shd w:val="clear" w:color="auto" w:fill="F2F2F2" w:themeFill="background1" w:themeFillShade="F2"/>
            <w:noWrap/>
            <w:vAlign w:val="bottom"/>
            <w:hideMark/>
          </w:tcPr>
          <w:p w14:paraId="6CC41E3A" w14:textId="77777777" w:rsidR="00B06468" w:rsidRPr="00166361" w:rsidRDefault="00B06468" w:rsidP="00B06468">
            <w:pPr>
              <w:rPr>
                <w:rFonts w:ascii="NimbusRomNo9L" w:hAnsi="NimbusRomNo9L"/>
                <w:spacing w:val="-20"/>
                <w:sz w:val="20"/>
                <w:lang w:val="en-US"/>
              </w:rPr>
            </w:pPr>
            <w:r w:rsidRPr="00032D13">
              <w:rPr>
                <w:rFonts w:ascii="NimbusRomNo9L" w:hAnsi="NimbusRomNo9L"/>
                <w:spacing w:val="-20"/>
                <w:sz w:val="20"/>
                <w:lang w:val="en-US"/>
              </w:rPr>
              <w:t>Duration of cases (in months)</w:t>
            </w:r>
          </w:p>
        </w:tc>
        <w:tc>
          <w:tcPr>
            <w:tcW w:w="597" w:type="pct"/>
            <w:shd w:val="clear" w:color="auto" w:fill="F2F2F2" w:themeFill="background1" w:themeFillShade="F2"/>
            <w:noWrap/>
            <w:hideMark/>
          </w:tcPr>
          <w:p w14:paraId="3AC89B05" w14:textId="2EC97B03"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0.187</w:t>
            </w:r>
          </w:p>
        </w:tc>
        <w:tc>
          <w:tcPr>
            <w:tcW w:w="597" w:type="pct"/>
            <w:shd w:val="clear" w:color="auto" w:fill="F2F2F2" w:themeFill="background1" w:themeFillShade="F2"/>
            <w:noWrap/>
            <w:hideMark/>
          </w:tcPr>
          <w:p w14:paraId="3CEFE3B6" w14:textId="26FD85C7"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0.0931</w:t>
            </w:r>
          </w:p>
        </w:tc>
        <w:tc>
          <w:tcPr>
            <w:tcW w:w="597" w:type="pct"/>
            <w:shd w:val="clear" w:color="auto" w:fill="F2F2F2" w:themeFill="background1" w:themeFillShade="F2"/>
            <w:noWrap/>
            <w:hideMark/>
          </w:tcPr>
          <w:p w14:paraId="59FF8F3D" w14:textId="4D45A47B"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0.131</w:t>
            </w:r>
          </w:p>
        </w:tc>
        <w:tc>
          <w:tcPr>
            <w:tcW w:w="597" w:type="pct"/>
            <w:shd w:val="clear" w:color="auto" w:fill="F2F2F2" w:themeFill="background1" w:themeFillShade="F2"/>
            <w:noWrap/>
            <w:hideMark/>
          </w:tcPr>
          <w:p w14:paraId="3C26F3FF" w14:textId="0DB31E0D"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0.133</w:t>
            </w:r>
          </w:p>
        </w:tc>
        <w:tc>
          <w:tcPr>
            <w:tcW w:w="597" w:type="pct"/>
            <w:shd w:val="clear" w:color="auto" w:fill="F2F2F2" w:themeFill="background1" w:themeFillShade="F2"/>
            <w:noWrap/>
            <w:hideMark/>
          </w:tcPr>
          <w:p w14:paraId="3D6B5980" w14:textId="7D886A0C"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0.175</w:t>
            </w:r>
          </w:p>
        </w:tc>
        <w:tc>
          <w:tcPr>
            <w:tcW w:w="594" w:type="pct"/>
            <w:shd w:val="clear" w:color="auto" w:fill="F2F2F2" w:themeFill="background1" w:themeFillShade="F2"/>
            <w:noWrap/>
            <w:hideMark/>
          </w:tcPr>
          <w:p w14:paraId="5A555180" w14:textId="7F6C8D5E"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0.0787</w:t>
            </w:r>
          </w:p>
        </w:tc>
      </w:tr>
      <w:tr w:rsidR="00B06468" w:rsidRPr="00B06468" w14:paraId="3A8D5D0B" w14:textId="77777777" w:rsidTr="00120D51">
        <w:trPr>
          <w:trHeight w:val="258"/>
        </w:trPr>
        <w:tc>
          <w:tcPr>
            <w:tcW w:w="1420" w:type="pct"/>
            <w:shd w:val="clear" w:color="auto" w:fill="F2F2F2" w:themeFill="background1" w:themeFillShade="F2"/>
            <w:noWrap/>
            <w:hideMark/>
          </w:tcPr>
          <w:p w14:paraId="1037B676" w14:textId="77777777" w:rsidR="00B06468" w:rsidRPr="00166361" w:rsidRDefault="00B06468" w:rsidP="00B06468">
            <w:pPr>
              <w:rPr>
                <w:rFonts w:ascii="NimbusRomNo9L" w:hAnsi="NimbusRomNo9L"/>
                <w:spacing w:val="-20"/>
                <w:sz w:val="20"/>
                <w:lang w:val="en-US"/>
              </w:rPr>
            </w:pPr>
          </w:p>
        </w:tc>
        <w:tc>
          <w:tcPr>
            <w:tcW w:w="597" w:type="pct"/>
            <w:shd w:val="clear" w:color="auto" w:fill="F2F2F2" w:themeFill="background1" w:themeFillShade="F2"/>
            <w:noWrap/>
            <w:hideMark/>
          </w:tcPr>
          <w:p w14:paraId="445F8643" w14:textId="5BAE8B45"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(0.122)</w:t>
            </w:r>
          </w:p>
        </w:tc>
        <w:tc>
          <w:tcPr>
            <w:tcW w:w="597" w:type="pct"/>
            <w:shd w:val="clear" w:color="auto" w:fill="F2F2F2" w:themeFill="background1" w:themeFillShade="F2"/>
            <w:noWrap/>
            <w:hideMark/>
          </w:tcPr>
          <w:p w14:paraId="1FAE976D" w14:textId="7351C9D7"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(0.115)</w:t>
            </w:r>
          </w:p>
        </w:tc>
        <w:tc>
          <w:tcPr>
            <w:tcW w:w="597" w:type="pct"/>
            <w:shd w:val="clear" w:color="auto" w:fill="F2F2F2" w:themeFill="background1" w:themeFillShade="F2"/>
            <w:noWrap/>
            <w:hideMark/>
          </w:tcPr>
          <w:p w14:paraId="07F3F755" w14:textId="10E57A51"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(0.0864)</w:t>
            </w:r>
          </w:p>
        </w:tc>
        <w:tc>
          <w:tcPr>
            <w:tcW w:w="597" w:type="pct"/>
            <w:shd w:val="clear" w:color="auto" w:fill="F2F2F2" w:themeFill="background1" w:themeFillShade="F2"/>
            <w:noWrap/>
            <w:hideMark/>
          </w:tcPr>
          <w:p w14:paraId="35643D57" w14:textId="58E18FF5"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(0.123)</w:t>
            </w:r>
          </w:p>
        </w:tc>
        <w:tc>
          <w:tcPr>
            <w:tcW w:w="597" w:type="pct"/>
            <w:shd w:val="clear" w:color="auto" w:fill="F2F2F2" w:themeFill="background1" w:themeFillShade="F2"/>
            <w:noWrap/>
            <w:hideMark/>
          </w:tcPr>
          <w:p w14:paraId="6191F4B1" w14:textId="5BF7FC13"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(0.139)</w:t>
            </w:r>
          </w:p>
        </w:tc>
        <w:tc>
          <w:tcPr>
            <w:tcW w:w="594" w:type="pct"/>
            <w:shd w:val="clear" w:color="auto" w:fill="F2F2F2" w:themeFill="background1" w:themeFillShade="F2"/>
            <w:noWrap/>
            <w:hideMark/>
          </w:tcPr>
          <w:p w14:paraId="37650C15" w14:textId="1448E258"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(0.164)</w:t>
            </w:r>
          </w:p>
        </w:tc>
      </w:tr>
      <w:tr w:rsidR="00B06468" w:rsidRPr="00B06468" w14:paraId="5A7B2476" w14:textId="77777777" w:rsidTr="00120D51">
        <w:trPr>
          <w:trHeight w:val="258"/>
        </w:trPr>
        <w:tc>
          <w:tcPr>
            <w:tcW w:w="1420" w:type="pct"/>
            <w:shd w:val="clear" w:color="auto" w:fill="auto"/>
            <w:noWrap/>
            <w:hideMark/>
          </w:tcPr>
          <w:p w14:paraId="5C37398C" w14:textId="77777777" w:rsidR="00B06468" w:rsidRPr="00166361" w:rsidRDefault="00B06468" w:rsidP="00B06468">
            <w:pPr>
              <w:rPr>
                <w:rFonts w:ascii="NimbusRomNo9L" w:hAnsi="NimbusRomNo9L"/>
                <w:spacing w:val="-20"/>
                <w:sz w:val="20"/>
                <w:lang w:val="en-US"/>
              </w:rPr>
            </w:pPr>
            <w:r w:rsidRPr="00032D13">
              <w:rPr>
                <w:rFonts w:ascii="NimbusRomNo9L" w:hAnsi="NimbusRomNo9L"/>
                <w:spacing w:val="-20"/>
                <w:sz w:val="20"/>
                <w:lang w:val="en-US"/>
              </w:rPr>
              <w:t>Population density</w:t>
            </w:r>
          </w:p>
        </w:tc>
        <w:tc>
          <w:tcPr>
            <w:tcW w:w="597" w:type="pct"/>
            <w:shd w:val="clear" w:color="auto" w:fill="auto"/>
            <w:noWrap/>
            <w:hideMark/>
          </w:tcPr>
          <w:p w14:paraId="4DA7A5CC" w14:textId="25A9ABD2"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-0.00190***</w:t>
            </w:r>
          </w:p>
        </w:tc>
        <w:tc>
          <w:tcPr>
            <w:tcW w:w="597" w:type="pct"/>
            <w:shd w:val="clear" w:color="auto" w:fill="auto"/>
            <w:noWrap/>
            <w:hideMark/>
          </w:tcPr>
          <w:p w14:paraId="33905934" w14:textId="759A9584"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-0.00207***</w:t>
            </w:r>
          </w:p>
        </w:tc>
        <w:tc>
          <w:tcPr>
            <w:tcW w:w="597" w:type="pct"/>
            <w:shd w:val="clear" w:color="auto" w:fill="auto"/>
            <w:noWrap/>
            <w:hideMark/>
          </w:tcPr>
          <w:p w14:paraId="43BAEE6A" w14:textId="72C6CF66"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-0.00160***</w:t>
            </w:r>
          </w:p>
        </w:tc>
        <w:tc>
          <w:tcPr>
            <w:tcW w:w="597" w:type="pct"/>
            <w:shd w:val="clear" w:color="auto" w:fill="auto"/>
            <w:noWrap/>
            <w:hideMark/>
          </w:tcPr>
          <w:p w14:paraId="75594021" w14:textId="7C5E2A4F"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-0.00169**</w:t>
            </w:r>
          </w:p>
        </w:tc>
        <w:tc>
          <w:tcPr>
            <w:tcW w:w="597" w:type="pct"/>
            <w:shd w:val="clear" w:color="auto" w:fill="auto"/>
            <w:noWrap/>
            <w:hideMark/>
          </w:tcPr>
          <w:p w14:paraId="7BFE3A34" w14:textId="24FB3B75"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-0.000685**</w:t>
            </w:r>
          </w:p>
        </w:tc>
        <w:tc>
          <w:tcPr>
            <w:tcW w:w="594" w:type="pct"/>
            <w:shd w:val="clear" w:color="auto" w:fill="auto"/>
            <w:noWrap/>
            <w:hideMark/>
          </w:tcPr>
          <w:p w14:paraId="630BE5C8" w14:textId="7B97C727"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-0.000894**</w:t>
            </w:r>
          </w:p>
        </w:tc>
      </w:tr>
      <w:tr w:rsidR="00B06468" w:rsidRPr="00B06468" w14:paraId="74B9EA1E" w14:textId="77777777" w:rsidTr="00120D51">
        <w:trPr>
          <w:trHeight w:val="258"/>
        </w:trPr>
        <w:tc>
          <w:tcPr>
            <w:tcW w:w="1420" w:type="pct"/>
            <w:shd w:val="clear" w:color="auto" w:fill="auto"/>
            <w:noWrap/>
            <w:hideMark/>
          </w:tcPr>
          <w:p w14:paraId="4132B7E8" w14:textId="77777777" w:rsidR="00B06468" w:rsidRPr="00166361" w:rsidRDefault="00B06468" w:rsidP="00B06468">
            <w:pPr>
              <w:rPr>
                <w:rFonts w:ascii="NimbusRomNo9L" w:hAnsi="NimbusRomNo9L"/>
                <w:spacing w:val="-20"/>
                <w:sz w:val="20"/>
                <w:lang w:val="en-US"/>
              </w:rPr>
            </w:pPr>
          </w:p>
        </w:tc>
        <w:tc>
          <w:tcPr>
            <w:tcW w:w="597" w:type="pct"/>
            <w:shd w:val="clear" w:color="auto" w:fill="auto"/>
            <w:noWrap/>
            <w:hideMark/>
          </w:tcPr>
          <w:p w14:paraId="51C60E7B" w14:textId="4DB529B6"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(0.000638)</w:t>
            </w:r>
          </w:p>
        </w:tc>
        <w:tc>
          <w:tcPr>
            <w:tcW w:w="597" w:type="pct"/>
            <w:shd w:val="clear" w:color="auto" w:fill="auto"/>
            <w:noWrap/>
            <w:hideMark/>
          </w:tcPr>
          <w:p w14:paraId="36265E4C" w14:textId="456E2D5C"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(0.000449)</w:t>
            </w:r>
          </w:p>
        </w:tc>
        <w:tc>
          <w:tcPr>
            <w:tcW w:w="597" w:type="pct"/>
            <w:shd w:val="clear" w:color="auto" w:fill="auto"/>
            <w:noWrap/>
            <w:hideMark/>
          </w:tcPr>
          <w:p w14:paraId="78FC6CBD" w14:textId="54CD523A"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(0.000507)</w:t>
            </w:r>
          </w:p>
        </w:tc>
        <w:tc>
          <w:tcPr>
            <w:tcW w:w="597" w:type="pct"/>
            <w:shd w:val="clear" w:color="auto" w:fill="auto"/>
            <w:noWrap/>
            <w:hideMark/>
          </w:tcPr>
          <w:p w14:paraId="06E4746B" w14:textId="7FF8C0E3"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(0.000812)</w:t>
            </w:r>
          </w:p>
        </w:tc>
        <w:tc>
          <w:tcPr>
            <w:tcW w:w="597" w:type="pct"/>
            <w:shd w:val="clear" w:color="auto" w:fill="auto"/>
            <w:noWrap/>
            <w:hideMark/>
          </w:tcPr>
          <w:p w14:paraId="0552D3C3" w14:textId="55380D6C"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(0.000339)</w:t>
            </w:r>
          </w:p>
        </w:tc>
        <w:tc>
          <w:tcPr>
            <w:tcW w:w="594" w:type="pct"/>
            <w:shd w:val="clear" w:color="auto" w:fill="auto"/>
            <w:noWrap/>
            <w:hideMark/>
          </w:tcPr>
          <w:p w14:paraId="55929DBB" w14:textId="436D2EFA"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(0.000350)</w:t>
            </w:r>
          </w:p>
        </w:tc>
      </w:tr>
      <w:tr w:rsidR="00B06468" w:rsidRPr="00B06468" w14:paraId="50BB6175" w14:textId="77777777" w:rsidTr="00120D51">
        <w:trPr>
          <w:trHeight w:val="258"/>
        </w:trPr>
        <w:tc>
          <w:tcPr>
            <w:tcW w:w="1420" w:type="pct"/>
            <w:shd w:val="clear" w:color="auto" w:fill="F2F2F2" w:themeFill="background1" w:themeFillShade="F2"/>
            <w:noWrap/>
            <w:hideMark/>
          </w:tcPr>
          <w:p w14:paraId="1B578347" w14:textId="4EFBE282" w:rsidR="00B06468" w:rsidRPr="00166361" w:rsidRDefault="00013584" w:rsidP="00B06468">
            <w:pPr>
              <w:rPr>
                <w:rFonts w:ascii="NimbusRomNo9L" w:hAnsi="NimbusRomNo9L"/>
                <w:spacing w:val="-20"/>
                <w:sz w:val="20"/>
                <w:lang w:val="en-US"/>
              </w:rPr>
            </w:pPr>
            <w:r w:rsidRPr="00032D13">
              <w:rPr>
                <w:rFonts w:ascii="NimbusRomNo9L" w:hAnsi="NimbusRomNo9L"/>
                <w:spacing w:val="-20"/>
                <w:sz w:val="20"/>
                <w:lang w:val="en-US"/>
              </w:rPr>
              <w:t>Unemployment</w:t>
            </w:r>
            <w:r w:rsidR="00B06468" w:rsidRPr="00032D13">
              <w:rPr>
                <w:rFonts w:ascii="NimbusRomNo9L" w:hAnsi="NimbusRomNo9L"/>
                <w:spacing w:val="-20"/>
                <w:sz w:val="20"/>
                <w:lang w:val="en-US"/>
              </w:rPr>
              <w:t xml:space="preserve"> rate</w:t>
            </w:r>
          </w:p>
        </w:tc>
        <w:tc>
          <w:tcPr>
            <w:tcW w:w="597" w:type="pct"/>
            <w:shd w:val="clear" w:color="auto" w:fill="F2F2F2" w:themeFill="background1" w:themeFillShade="F2"/>
            <w:noWrap/>
            <w:hideMark/>
          </w:tcPr>
          <w:p w14:paraId="0753F05F" w14:textId="52442FD5"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0.228***</w:t>
            </w:r>
          </w:p>
        </w:tc>
        <w:tc>
          <w:tcPr>
            <w:tcW w:w="597" w:type="pct"/>
            <w:shd w:val="clear" w:color="auto" w:fill="F2F2F2" w:themeFill="background1" w:themeFillShade="F2"/>
            <w:noWrap/>
            <w:hideMark/>
          </w:tcPr>
          <w:p w14:paraId="3A391B1E" w14:textId="209039F9"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0.233***</w:t>
            </w:r>
          </w:p>
        </w:tc>
        <w:tc>
          <w:tcPr>
            <w:tcW w:w="597" w:type="pct"/>
            <w:shd w:val="clear" w:color="auto" w:fill="F2F2F2" w:themeFill="background1" w:themeFillShade="F2"/>
            <w:noWrap/>
            <w:hideMark/>
          </w:tcPr>
          <w:p w14:paraId="3BD226FD" w14:textId="7D10C41F"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0.265***</w:t>
            </w:r>
          </w:p>
        </w:tc>
        <w:tc>
          <w:tcPr>
            <w:tcW w:w="597" w:type="pct"/>
            <w:shd w:val="clear" w:color="auto" w:fill="F2F2F2" w:themeFill="background1" w:themeFillShade="F2"/>
            <w:noWrap/>
            <w:hideMark/>
          </w:tcPr>
          <w:p w14:paraId="082E90A1" w14:textId="5A76C37F"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0.250***</w:t>
            </w:r>
          </w:p>
        </w:tc>
        <w:tc>
          <w:tcPr>
            <w:tcW w:w="597" w:type="pct"/>
            <w:shd w:val="clear" w:color="auto" w:fill="F2F2F2" w:themeFill="background1" w:themeFillShade="F2"/>
            <w:noWrap/>
            <w:hideMark/>
          </w:tcPr>
          <w:p w14:paraId="7D6F265C" w14:textId="640CB8DC"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0.193**</w:t>
            </w:r>
          </w:p>
        </w:tc>
        <w:tc>
          <w:tcPr>
            <w:tcW w:w="594" w:type="pct"/>
            <w:shd w:val="clear" w:color="auto" w:fill="F2F2F2" w:themeFill="background1" w:themeFillShade="F2"/>
            <w:noWrap/>
            <w:hideMark/>
          </w:tcPr>
          <w:p w14:paraId="2C1F8844" w14:textId="0566A473"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0.222**</w:t>
            </w:r>
          </w:p>
        </w:tc>
      </w:tr>
      <w:tr w:rsidR="00B06468" w:rsidRPr="00B06468" w14:paraId="512C4BCF" w14:textId="77777777" w:rsidTr="00120D51">
        <w:trPr>
          <w:trHeight w:val="258"/>
        </w:trPr>
        <w:tc>
          <w:tcPr>
            <w:tcW w:w="1420" w:type="pct"/>
            <w:shd w:val="clear" w:color="auto" w:fill="F2F2F2" w:themeFill="background1" w:themeFillShade="F2"/>
            <w:noWrap/>
            <w:hideMark/>
          </w:tcPr>
          <w:p w14:paraId="3F96ADA8" w14:textId="77777777" w:rsidR="00B06468" w:rsidRPr="00166361" w:rsidRDefault="00B06468" w:rsidP="00B06468">
            <w:pPr>
              <w:rPr>
                <w:rFonts w:ascii="NimbusRomNo9L" w:hAnsi="NimbusRomNo9L"/>
                <w:spacing w:val="-20"/>
                <w:sz w:val="20"/>
                <w:lang w:val="en-US"/>
              </w:rPr>
            </w:pPr>
          </w:p>
        </w:tc>
        <w:tc>
          <w:tcPr>
            <w:tcW w:w="597" w:type="pct"/>
            <w:shd w:val="clear" w:color="auto" w:fill="F2F2F2" w:themeFill="background1" w:themeFillShade="F2"/>
            <w:noWrap/>
            <w:hideMark/>
          </w:tcPr>
          <w:p w14:paraId="1290CBF1" w14:textId="485A37EE"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(0.0769)</w:t>
            </w:r>
          </w:p>
        </w:tc>
        <w:tc>
          <w:tcPr>
            <w:tcW w:w="597" w:type="pct"/>
            <w:shd w:val="clear" w:color="auto" w:fill="F2F2F2" w:themeFill="background1" w:themeFillShade="F2"/>
            <w:noWrap/>
            <w:hideMark/>
          </w:tcPr>
          <w:p w14:paraId="57ECA215" w14:textId="221F5A61"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(0.0677)</w:t>
            </w:r>
          </w:p>
        </w:tc>
        <w:tc>
          <w:tcPr>
            <w:tcW w:w="597" w:type="pct"/>
            <w:shd w:val="clear" w:color="auto" w:fill="F2F2F2" w:themeFill="background1" w:themeFillShade="F2"/>
            <w:noWrap/>
            <w:hideMark/>
          </w:tcPr>
          <w:p w14:paraId="2C12EF0C" w14:textId="179136CC"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(0.0689)</w:t>
            </w:r>
          </w:p>
        </w:tc>
        <w:tc>
          <w:tcPr>
            <w:tcW w:w="597" w:type="pct"/>
            <w:shd w:val="clear" w:color="auto" w:fill="F2F2F2" w:themeFill="background1" w:themeFillShade="F2"/>
            <w:noWrap/>
            <w:hideMark/>
          </w:tcPr>
          <w:p w14:paraId="6D697D04" w14:textId="6972FB33"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(0.0618)</w:t>
            </w:r>
          </w:p>
        </w:tc>
        <w:tc>
          <w:tcPr>
            <w:tcW w:w="597" w:type="pct"/>
            <w:shd w:val="clear" w:color="auto" w:fill="F2F2F2" w:themeFill="background1" w:themeFillShade="F2"/>
            <w:noWrap/>
            <w:hideMark/>
          </w:tcPr>
          <w:p w14:paraId="02EE049C" w14:textId="7468AC2F"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(0.0894)</w:t>
            </w:r>
          </w:p>
        </w:tc>
        <w:tc>
          <w:tcPr>
            <w:tcW w:w="594" w:type="pct"/>
            <w:shd w:val="clear" w:color="auto" w:fill="F2F2F2" w:themeFill="background1" w:themeFillShade="F2"/>
            <w:noWrap/>
            <w:hideMark/>
          </w:tcPr>
          <w:p w14:paraId="0033756B" w14:textId="67F970E8"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(0.0984)</w:t>
            </w:r>
          </w:p>
        </w:tc>
      </w:tr>
      <w:tr w:rsidR="00B06468" w:rsidRPr="00B06468" w14:paraId="53EE3F51" w14:textId="77777777" w:rsidTr="00120D51">
        <w:trPr>
          <w:trHeight w:val="258"/>
        </w:trPr>
        <w:tc>
          <w:tcPr>
            <w:tcW w:w="1420" w:type="pct"/>
            <w:shd w:val="clear" w:color="auto" w:fill="auto"/>
            <w:noWrap/>
            <w:hideMark/>
          </w:tcPr>
          <w:p w14:paraId="2B652F0B" w14:textId="77777777" w:rsidR="00B06468" w:rsidRPr="00166361" w:rsidRDefault="00B06468" w:rsidP="00B06468">
            <w:pPr>
              <w:rPr>
                <w:rFonts w:ascii="NimbusRomNo9L" w:hAnsi="NimbusRomNo9L"/>
                <w:spacing w:val="-20"/>
                <w:sz w:val="20"/>
                <w:lang w:val="en-US"/>
              </w:rPr>
            </w:pPr>
            <w:r w:rsidRPr="00032D13">
              <w:rPr>
                <w:rFonts w:ascii="NimbusRomNo9L" w:hAnsi="NimbusRomNo9L"/>
                <w:spacing w:val="-20"/>
                <w:sz w:val="20"/>
                <w:lang w:val="en-US"/>
              </w:rPr>
              <w:t>Gap rich and poor revenues</w:t>
            </w:r>
          </w:p>
        </w:tc>
        <w:tc>
          <w:tcPr>
            <w:tcW w:w="597" w:type="pct"/>
            <w:shd w:val="clear" w:color="auto" w:fill="auto"/>
            <w:noWrap/>
            <w:hideMark/>
          </w:tcPr>
          <w:p w14:paraId="63CA8353" w14:textId="695A75E9"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0.000236***</w:t>
            </w:r>
          </w:p>
        </w:tc>
        <w:tc>
          <w:tcPr>
            <w:tcW w:w="597" w:type="pct"/>
            <w:shd w:val="clear" w:color="auto" w:fill="auto"/>
            <w:noWrap/>
            <w:hideMark/>
          </w:tcPr>
          <w:p w14:paraId="6B1CE82F" w14:textId="62F4BE4C"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0.000196***</w:t>
            </w:r>
          </w:p>
        </w:tc>
        <w:tc>
          <w:tcPr>
            <w:tcW w:w="597" w:type="pct"/>
            <w:shd w:val="clear" w:color="auto" w:fill="auto"/>
            <w:noWrap/>
            <w:hideMark/>
          </w:tcPr>
          <w:p w14:paraId="4F043588" w14:textId="3218910D"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0.000179***</w:t>
            </w:r>
          </w:p>
        </w:tc>
        <w:tc>
          <w:tcPr>
            <w:tcW w:w="597" w:type="pct"/>
            <w:shd w:val="clear" w:color="auto" w:fill="auto"/>
            <w:noWrap/>
            <w:hideMark/>
          </w:tcPr>
          <w:p w14:paraId="6F866FF4" w14:textId="48696343"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0.000225***</w:t>
            </w:r>
          </w:p>
        </w:tc>
        <w:tc>
          <w:tcPr>
            <w:tcW w:w="597" w:type="pct"/>
            <w:shd w:val="clear" w:color="auto" w:fill="auto"/>
            <w:noWrap/>
            <w:hideMark/>
          </w:tcPr>
          <w:p w14:paraId="1381E3C5" w14:textId="5D4ECE2D"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0.000252***</w:t>
            </w:r>
          </w:p>
        </w:tc>
        <w:tc>
          <w:tcPr>
            <w:tcW w:w="594" w:type="pct"/>
            <w:shd w:val="clear" w:color="auto" w:fill="auto"/>
            <w:noWrap/>
            <w:hideMark/>
          </w:tcPr>
          <w:p w14:paraId="790BC76B" w14:textId="7E6725B5"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0.000326***</w:t>
            </w:r>
          </w:p>
        </w:tc>
      </w:tr>
      <w:tr w:rsidR="00B06468" w:rsidRPr="00B06468" w14:paraId="2680BD68" w14:textId="77777777" w:rsidTr="00120D51">
        <w:trPr>
          <w:trHeight w:val="258"/>
        </w:trPr>
        <w:tc>
          <w:tcPr>
            <w:tcW w:w="1420" w:type="pct"/>
            <w:shd w:val="clear" w:color="auto" w:fill="auto"/>
            <w:noWrap/>
            <w:hideMark/>
          </w:tcPr>
          <w:p w14:paraId="75FFF28B" w14:textId="77777777" w:rsidR="00B06468" w:rsidRPr="00166361" w:rsidRDefault="00B06468" w:rsidP="00B06468">
            <w:pPr>
              <w:rPr>
                <w:rFonts w:ascii="NimbusRomNo9L" w:hAnsi="NimbusRomNo9L"/>
                <w:spacing w:val="-20"/>
                <w:sz w:val="20"/>
                <w:lang w:val="en-US"/>
              </w:rPr>
            </w:pPr>
          </w:p>
        </w:tc>
        <w:tc>
          <w:tcPr>
            <w:tcW w:w="597" w:type="pct"/>
            <w:shd w:val="clear" w:color="auto" w:fill="auto"/>
            <w:noWrap/>
            <w:hideMark/>
          </w:tcPr>
          <w:p w14:paraId="7708C2D1" w14:textId="6CF3E106"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(4.62e-05)</w:t>
            </w:r>
          </w:p>
        </w:tc>
        <w:tc>
          <w:tcPr>
            <w:tcW w:w="597" w:type="pct"/>
            <w:shd w:val="clear" w:color="auto" w:fill="auto"/>
            <w:noWrap/>
            <w:hideMark/>
          </w:tcPr>
          <w:p w14:paraId="2626C3BD" w14:textId="7726D572"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(3.00e-05)</w:t>
            </w:r>
          </w:p>
        </w:tc>
        <w:tc>
          <w:tcPr>
            <w:tcW w:w="597" w:type="pct"/>
            <w:shd w:val="clear" w:color="auto" w:fill="auto"/>
            <w:noWrap/>
            <w:hideMark/>
          </w:tcPr>
          <w:p w14:paraId="382FEE38" w14:textId="0F3F051D"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(2.77e-05)</w:t>
            </w:r>
          </w:p>
        </w:tc>
        <w:tc>
          <w:tcPr>
            <w:tcW w:w="597" w:type="pct"/>
            <w:shd w:val="clear" w:color="auto" w:fill="auto"/>
            <w:noWrap/>
            <w:hideMark/>
          </w:tcPr>
          <w:p w14:paraId="21D2BBE7" w14:textId="31A5B41A"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(3.66e-05)</w:t>
            </w:r>
          </w:p>
        </w:tc>
        <w:tc>
          <w:tcPr>
            <w:tcW w:w="597" w:type="pct"/>
            <w:shd w:val="clear" w:color="auto" w:fill="auto"/>
            <w:noWrap/>
            <w:hideMark/>
          </w:tcPr>
          <w:p w14:paraId="2C7F536D" w14:textId="053B6A99"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(6.45e-05)</w:t>
            </w:r>
          </w:p>
        </w:tc>
        <w:tc>
          <w:tcPr>
            <w:tcW w:w="594" w:type="pct"/>
            <w:shd w:val="clear" w:color="auto" w:fill="auto"/>
            <w:noWrap/>
            <w:hideMark/>
          </w:tcPr>
          <w:p w14:paraId="2BB05384" w14:textId="4FF14692"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(8.46e-05)</w:t>
            </w:r>
          </w:p>
        </w:tc>
      </w:tr>
      <w:tr w:rsidR="00B06468" w:rsidRPr="00B06468" w14:paraId="176BB69B" w14:textId="77777777" w:rsidTr="00120D51">
        <w:trPr>
          <w:trHeight w:val="258"/>
        </w:trPr>
        <w:tc>
          <w:tcPr>
            <w:tcW w:w="1420" w:type="pct"/>
            <w:shd w:val="clear" w:color="auto" w:fill="F2F2F2" w:themeFill="background1" w:themeFillShade="F2"/>
            <w:noWrap/>
            <w:hideMark/>
          </w:tcPr>
          <w:p w14:paraId="33EEF914" w14:textId="77777777" w:rsidR="00B06468" w:rsidRPr="00166361" w:rsidRDefault="00B06468" w:rsidP="00B06468">
            <w:pPr>
              <w:rPr>
                <w:rFonts w:ascii="NimbusRomNo9L" w:hAnsi="NimbusRomNo9L"/>
                <w:spacing w:val="-20"/>
                <w:sz w:val="20"/>
                <w:lang w:val="en-US"/>
              </w:rPr>
            </w:pPr>
            <w:r w:rsidRPr="00032D13">
              <w:rPr>
                <w:rFonts w:ascii="NimbusRomNo9L" w:hAnsi="NimbusRomNo9L"/>
                <w:spacing w:val="-20"/>
                <w:sz w:val="20"/>
                <w:lang w:val="en-US"/>
              </w:rPr>
              <w:t xml:space="preserve">Rate of individuals without diploma </w:t>
            </w:r>
          </w:p>
        </w:tc>
        <w:tc>
          <w:tcPr>
            <w:tcW w:w="597" w:type="pct"/>
            <w:shd w:val="clear" w:color="auto" w:fill="F2F2F2" w:themeFill="background1" w:themeFillShade="F2"/>
            <w:noWrap/>
            <w:hideMark/>
          </w:tcPr>
          <w:p w14:paraId="71D633E1" w14:textId="3BCB6554"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0.270**</w:t>
            </w:r>
          </w:p>
        </w:tc>
        <w:tc>
          <w:tcPr>
            <w:tcW w:w="597" w:type="pct"/>
            <w:shd w:val="clear" w:color="auto" w:fill="F2F2F2" w:themeFill="background1" w:themeFillShade="F2"/>
            <w:noWrap/>
            <w:hideMark/>
          </w:tcPr>
          <w:p w14:paraId="419120BF" w14:textId="2E8990C5"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0.134**</w:t>
            </w:r>
          </w:p>
        </w:tc>
        <w:tc>
          <w:tcPr>
            <w:tcW w:w="597" w:type="pct"/>
            <w:shd w:val="clear" w:color="auto" w:fill="F2F2F2" w:themeFill="background1" w:themeFillShade="F2"/>
            <w:noWrap/>
            <w:hideMark/>
          </w:tcPr>
          <w:p w14:paraId="77A20956" w14:textId="4B99C9B7"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0.0783</w:t>
            </w:r>
          </w:p>
        </w:tc>
        <w:tc>
          <w:tcPr>
            <w:tcW w:w="597" w:type="pct"/>
            <w:shd w:val="clear" w:color="auto" w:fill="F2F2F2" w:themeFill="background1" w:themeFillShade="F2"/>
            <w:noWrap/>
            <w:hideMark/>
          </w:tcPr>
          <w:p w14:paraId="1E4D3329" w14:textId="4D53F0B4"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0.175**</w:t>
            </w:r>
          </w:p>
        </w:tc>
        <w:tc>
          <w:tcPr>
            <w:tcW w:w="597" w:type="pct"/>
            <w:shd w:val="clear" w:color="auto" w:fill="F2F2F2" w:themeFill="background1" w:themeFillShade="F2"/>
            <w:noWrap/>
            <w:hideMark/>
          </w:tcPr>
          <w:p w14:paraId="12B07CBF" w14:textId="23A2E154"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-0.00542</w:t>
            </w:r>
          </w:p>
        </w:tc>
        <w:tc>
          <w:tcPr>
            <w:tcW w:w="594" w:type="pct"/>
            <w:shd w:val="clear" w:color="auto" w:fill="F2F2F2" w:themeFill="background1" w:themeFillShade="F2"/>
            <w:noWrap/>
            <w:hideMark/>
          </w:tcPr>
          <w:p w14:paraId="17AE5E7E" w14:textId="50A4F403"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0.0197</w:t>
            </w:r>
          </w:p>
        </w:tc>
      </w:tr>
      <w:tr w:rsidR="00B06468" w:rsidRPr="00B06468" w14:paraId="760E0E88" w14:textId="77777777" w:rsidTr="00120D51">
        <w:trPr>
          <w:trHeight w:val="258"/>
        </w:trPr>
        <w:tc>
          <w:tcPr>
            <w:tcW w:w="1420" w:type="pct"/>
            <w:shd w:val="clear" w:color="auto" w:fill="F2F2F2" w:themeFill="background1" w:themeFillShade="F2"/>
            <w:noWrap/>
            <w:hideMark/>
          </w:tcPr>
          <w:p w14:paraId="1A491FF1" w14:textId="77777777" w:rsidR="00B06468" w:rsidRPr="00166361" w:rsidRDefault="00B06468" w:rsidP="00B06468">
            <w:pPr>
              <w:rPr>
                <w:rFonts w:ascii="NimbusRomNo9L" w:hAnsi="NimbusRomNo9L"/>
                <w:spacing w:val="-20"/>
                <w:sz w:val="20"/>
                <w:lang w:val="en-US"/>
              </w:rPr>
            </w:pPr>
          </w:p>
        </w:tc>
        <w:tc>
          <w:tcPr>
            <w:tcW w:w="597" w:type="pct"/>
            <w:shd w:val="clear" w:color="auto" w:fill="F2F2F2" w:themeFill="background1" w:themeFillShade="F2"/>
            <w:noWrap/>
            <w:hideMark/>
          </w:tcPr>
          <w:p w14:paraId="025B2CE8" w14:textId="0CB87A5D"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(0.114)</w:t>
            </w:r>
          </w:p>
        </w:tc>
        <w:tc>
          <w:tcPr>
            <w:tcW w:w="597" w:type="pct"/>
            <w:shd w:val="clear" w:color="auto" w:fill="F2F2F2" w:themeFill="background1" w:themeFillShade="F2"/>
            <w:noWrap/>
            <w:hideMark/>
          </w:tcPr>
          <w:p w14:paraId="7ED67746" w14:textId="1BC069F2"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(0.0574)</w:t>
            </w:r>
          </w:p>
        </w:tc>
        <w:tc>
          <w:tcPr>
            <w:tcW w:w="597" w:type="pct"/>
            <w:shd w:val="clear" w:color="auto" w:fill="F2F2F2" w:themeFill="background1" w:themeFillShade="F2"/>
            <w:noWrap/>
            <w:hideMark/>
          </w:tcPr>
          <w:p w14:paraId="04AAC514" w14:textId="735A09A1"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(0.0498)</w:t>
            </w:r>
          </w:p>
        </w:tc>
        <w:tc>
          <w:tcPr>
            <w:tcW w:w="597" w:type="pct"/>
            <w:shd w:val="clear" w:color="auto" w:fill="F2F2F2" w:themeFill="background1" w:themeFillShade="F2"/>
            <w:noWrap/>
            <w:hideMark/>
          </w:tcPr>
          <w:p w14:paraId="2657320F" w14:textId="3AA61577"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(0.0736)</w:t>
            </w:r>
          </w:p>
        </w:tc>
        <w:tc>
          <w:tcPr>
            <w:tcW w:w="597" w:type="pct"/>
            <w:shd w:val="clear" w:color="auto" w:fill="F2F2F2" w:themeFill="background1" w:themeFillShade="F2"/>
            <w:noWrap/>
            <w:hideMark/>
          </w:tcPr>
          <w:p w14:paraId="7A284037" w14:textId="551CD67B"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(0.103)</w:t>
            </w:r>
          </w:p>
        </w:tc>
        <w:tc>
          <w:tcPr>
            <w:tcW w:w="594" w:type="pct"/>
            <w:shd w:val="clear" w:color="auto" w:fill="F2F2F2" w:themeFill="background1" w:themeFillShade="F2"/>
            <w:noWrap/>
            <w:hideMark/>
          </w:tcPr>
          <w:p w14:paraId="753464DB" w14:textId="646DD637" w:rsidR="00B06468" w:rsidRPr="00166361" w:rsidRDefault="00B06468" w:rsidP="00B06468">
            <w:pPr>
              <w:jc w:val="center"/>
              <w:rPr>
                <w:rFonts w:ascii="NimbusRomNo9L" w:hAnsi="NimbusRomNo9L"/>
                <w:spacing w:val="-20"/>
                <w:sz w:val="20"/>
                <w:lang w:val="en-US"/>
              </w:rPr>
            </w:pPr>
            <w:r w:rsidRPr="00B06468">
              <w:rPr>
                <w:rFonts w:ascii="NimbusRomNo9L" w:hAnsi="NimbusRomNo9L"/>
                <w:spacing w:val="-20"/>
                <w:sz w:val="20"/>
                <w:lang w:val="en-US"/>
              </w:rPr>
              <w:t>(0.0989)</w:t>
            </w:r>
          </w:p>
        </w:tc>
      </w:tr>
      <w:tr w:rsidR="009A6EE4" w:rsidRPr="00166361" w14:paraId="7CCB07BD" w14:textId="77777777" w:rsidTr="00120D51">
        <w:trPr>
          <w:trHeight w:val="258"/>
        </w:trPr>
        <w:tc>
          <w:tcPr>
            <w:tcW w:w="1420" w:type="pct"/>
            <w:shd w:val="clear" w:color="auto" w:fill="auto"/>
            <w:noWrap/>
            <w:vAlign w:val="bottom"/>
            <w:hideMark/>
          </w:tcPr>
          <w:p w14:paraId="145063AE" w14:textId="77777777" w:rsidR="009A6EE4" w:rsidRPr="00166361" w:rsidRDefault="009A6EE4" w:rsidP="009A6EE4">
            <w:pPr>
              <w:rPr>
                <w:rFonts w:ascii="NimbusRomNo9L" w:hAnsi="NimbusRomNo9L"/>
                <w:spacing w:val="-20"/>
                <w:sz w:val="20"/>
                <w:lang w:val="en-US"/>
              </w:rPr>
            </w:pPr>
            <w:r w:rsidRPr="00166361">
              <w:rPr>
                <w:rFonts w:ascii="NimbusRomNo9L" w:hAnsi="NimbusRomNo9L"/>
                <w:spacing w:val="-20"/>
                <w:sz w:val="20"/>
                <w:lang w:val="en-US"/>
              </w:rPr>
              <w:t>Observations</w:t>
            </w:r>
          </w:p>
        </w:tc>
        <w:tc>
          <w:tcPr>
            <w:tcW w:w="597" w:type="pct"/>
            <w:shd w:val="clear" w:color="auto" w:fill="auto"/>
            <w:noWrap/>
            <w:hideMark/>
          </w:tcPr>
          <w:p w14:paraId="6B0CCFD1" w14:textId="1884EFE2" w:rsidR="009A6EE4" w:rsidRPr="00166361" w:rsidRDefault="009A6EE4" w:rsidP="00FD0EE3">
            <w:pPr>
              <w:jc w:val="center"/>
              <w:rPr>
                <w:rFonts w:ascii="NimbusRomNo9L" w:hAnsi="NimbusRomNo9L"/>
                <w:spacing w:val="-20"/>
                <w:sz w:val="20"/>
                <w:lang w:val="en-US"/>
              </w:rPr>
            </w:pPr>
            <w:r w:rsidRPr="009A6EE4">
              <w:rPr>
                <w:rFonts w:ascii="NimbusRomNo9L" w:hAnsi="NimbusRomNo9L"/>
                <w:spacing w:val="-20"/>
                <w:sz w:val="20"/>
                <w:lang w:val="en-US"/>
              </w:rPr>
              <w:t>1,184</w:t>
            </w:r>
          </w:p>
        </w:tc>
        <w:tc>
          <w:tcPr>
            <w:tcW w:w="597" w:type="pct"/>
            <w:shd w:val="clear" w:color="auto" w:fill="auto"/>
            <w:noWrap/>
            <w:hideMark/>
          </w:tcPr>
          <w:p w14:paraId="658D7B4F" w14:textId="1DD02C20" w:rsidR="009A6EE4" w:rsidRPr="00166361" w:rsidRDefault="009A6EE4" w:rsidP="00FD0EE3">
            <w:pPr>
              <w:jc w:val="center"/>
              <w:rPr>
                <w:rFonts w:ascii="NimbusRomNo9L" w:hAnsi="NimbusRomNo9L"/>
                <w:spacing w:val="-20"/>
                <w:sz w:val="20"/>
                <w:lang w:val="en-US"/>
              </w:rPr>
            </w:pPr>
            <w:r w:rsidRPr="009A6EE4">
              <w:rPr>
                <w:rFonts w:ascii="NimbusRomNo9L" w:hAnsi="NimbusRomNo9L"/>
                <w:spacing w:val="-20"/>
                <w:sz w:val="20"/>
                <w:lang w:val="en-US"/>
              </w:rPr>
              <w:t>1,184</w:t>
            </w:r>
          </w:p>
        </w:tc>
        <w:tc>
          <w:tcPr>
            <w:tcW w:w="597" w:type="pct"/>
            <w:shd w:val="clear" w:color="auto" w:fill="auto"/>
            <w:noWrap/>
            <w:hideMark/>
          </w:tcPr>
          <w:p w14:paraId="7FC08599" w14:textId="781D1021" w:rsidR="009A6EE4" w:rsidRPr="00166361" w:rsidRDefault="009A6EE4" w:rsidP="00FD0EE3">
            <w:pPr>
              <w:jc w:val="center"/>
              <w:rPr>
                <w:rFonts w:ascii="NimbusRomNo9L" w:hAnsi="NimbusRomNo9L"/>
                <w:spacing w:val="-20"/>
                <w:sz w:val="20"/>
                <w:lang w:val="en-US"/>
              </w:rPr>
            </w:pPr>
            <w:r w:rsidRPr="009A6EE4">
              <w:rPr>
                <w:rFonts w:ascii="NimbusRomNo9L" w:hAnsi="NimbusRomNo9L"/>
                <w:spacing w:val="-20"/>
                <w:sz w:val="20"/>
                <w:lang w:val="en-US"/>
              </w:rPr>
              <w:t>1,184</w:t>
            </w:r>
          </w:p>
        </w:tc>
        <w:tc>
          <w:tcPr>
            <w:tcW w:w="597" w:type="pct"/>
            <w:shd w:val="clear" w:color="auto" w:fill="auto"/>
            <w:noWrap/>
            <w:hideMark/>
          </w:tcPr>
          <w:p w14:paraId="17D2411C" w14:textId="4C9435A7" w:rsidR="009A6EE4" w:rsidRPr="00166361" w:rsidRDefault="009A6EE4" w:rsidP="00FD0EE3">
            <w:pPr>
              <w:jc w:val="center"/>
              <w:rPr>
                <w:rFonts w:ascii="NimbusRomNo9L" w:hAnsi="NimbusRomNo9L"/>
                <w:spacing w:val="-20"/>
                <w:sz w:val="20"/>
                <w:lang w:val="en-US"/>
              </w:rPr>
            </w:pPr>
            <w:r w:rsidRPr="009A6EE4">
              <w:rPr>
                <w:rFonts w:ascii="NimbusRomNo9L" w:hAnsi="NimbusRomNo9L"/>
                <w:spacing w:val="-20"/>
                <w:sz w:val="20"/>
                <w:lang w:val="en-US"/>
              </w:rPr>
              <w:t>1,184</w:t>
            </w:r>
          </w:p>
        </w:tc>
        <w:tc>
          <w:tcPr>
            <w:tcW w:w="597" w:type="pct"/>
            <w:shd w:val="clear" w:color="auto" w:fill="auto"/>
            <w:noWrap/>
            <w:hideMark/>
          </w:tcPr>
          <w:p w14:paraId="781892D4" w14:textId="2ED4DC10" w:rsidR="009A6EE4" w:rsidRPr="00166361" w:rsidRDefault="009A6EE4" w:rsidP="00FD0EE3">
            <w:pPr>
              <w:jc w:val="center"/>
              <w:rPr>
                <w:rFonts w:ascii="NimbusRomNo9L" w:hAnsi="NimbusRomNo9L"/>
                <w:spacing w:val="-20"/>
                <w:sz w:val="20"/>
                <w:lang w:val="en-US"/>
              </w:rPr>
            </w:pPr>
            <w:r w:rsidRPr="009A6EE4">
              <w:rPr>
                <w:rFonts w:ascii="NimbusRomNo9L" w:hAnsi="NimbusRomNo9L"/>
                <w:spacing w:val="-20"/>
                <w:sz w:val="20"/>
                <w:lang w:val="en-US"/>
              </w:rPr>
              <w:t>1,184</w:t>
            </w:r>
          </w:p>
        </w:tc>
        <w:tc>
          <w:tcPr>
            <w:tcW w:w="594" w:type="pct"/>
            <w:shd w:val="clear" w:color="auto" w:fill="auto"/>
            <w:noWrap/>
            <w:hideMark/>
          </w:tcPr>
          <w:p w14:paraId="61C5D00A" w14:textId="3FB0D8B5" w:rsidR="009A6EE4" w:rsidRPr="00166361" w:rsidRDefault="009A6EE4" w:rsidP="00FD0EE3">
            <w:pPr>
              <w:jc w:val="center"/>
              <w:rPr>
                <w:rFonts w:ascii="NimbusRomNo9L" w:hAnsi="NimbusRomNo9L"/>
                <w:spacing w:val="-20"/>
                <w:sz w:val="20"/>
                <w:lang w:val="en-US"/>
              </w:rPr>
            </w:pPr>
            <w:r w:rsidRPr="009A6EE4">
              <w:rPr>
                <w:rFonts w:ascii="NimbusRomNo9L" w:hAnsi="NimbusRomNo9L"/>
                <w:spacing w:val="-20"/>
                <w:sz w:val="20"/>
                <w:lang w:val="en-US"/>
              </w:rPr>
              <w:t>1,184</w:t>
            </w:r>
          </w:p>
        </w:tc>
      </w:tr>
      <w:tr w:rsidR="00B06468" w:rsidRPr="00166361" w14:paraId="597AD827" w14:textId="77777777" w:rsidTr="00120D51">
        <w:trPr>
          <w:trHeight w:val="258"/>
        </w:trPr>
        <w:tc>
          <w:tcPr>
            <w:tcW w:w="1420" w:type="pct"/>
            <w:shd w:val="clear" w:color="auto" w:fill="auto"/>
            <w:noWrap/>
            <w:vAlign w:val="bottom"/>
          </w:tcPr>
          <w:p w14:paraId="13F4E462" w14:textId="77777777" w:rsidR="00B06468" w:rsidRPr="00166361" w:rsidRDefault="00B06468" w:rsidP="00120D51">
            <w:pPr>
              <w:rPr>
                <w:rFonts w:ascii="NimbusRomNo9L" w:hAnsi="NimbusRomNo9L"/>
                <w:spacing w:val="-20"/>
                <w:sz w:val="20"/>
                <w:lang w:val="en-US"/>
              </w:rPr>
            </w:pPr>
            <w:r w:rsidRPr="00166361">
              <w:rPr>
                <w:rFonts w:ascii="NimbusRomNo9L" w:hAnsi="NimbusRomNo9L"/>
                <w:spacing w:val="-20"/>
                <w:sz w:val="20"/>
                <w:lang w:val="en-US"/>
              </w:rPr>
              <w:t>Year indicators</w:t>
            </w:r>
          </w:p>
        </w:tc>
        <w:tc>
          <w:tcPr>
            <w:tcW w:w="597" w:type="pct"/>
            <w:shd w:val="clear" w:color="auto" w:fill="auto"/>
            <w:noWrap/>
            <w:vAlign w:val="bottom"/>
          </w:tcPr>
          <w:p w14:paraId="34EA4DDB" w14:textId="77777777" w:rsidR="00B06468" w:rsidRPr="00166361" w:rsidRDefault="00B06468" w:rsidP="00120D51">
            <w:pPr>
              <w:jc w:val="center"/>
              <w:rPr>
                <w:rFonts w:ascii="NimbusRomNo9L" w:hAnsi="NimbusRomNo9L"/>
                <w:spacing w:val="-20"/>
                <w:sz w:val="20"/>
                <w:lang w:val="en-US"/>
              </w:rPr>
            </w:pPr>
            <w:r w:rsidRPr="00166361">
              <w:rPr>
                <w:rFonts w:ascii="NimbusRomNo9L" w:hAnsi="NimbusRomNo9L"/>
                <w:spacing w:val="-20"/>
                <w:sz w:val="20"/>
                <w:lang w:val="en-US"/>
              </w:rPr>
              <w:t>Yes</w:t>
            </w:r>
          </w:p>
        </w:tc>
        <w:tc>
          <w:tcPr>
            <w:tcW w:w="597" w:type="pct"/>
            <w:shd w:val="clear" w:color="auto" w:fill="auto"/>
            <w:noWrap/>
            <w:vAlign w:val="bottom"/>
          </w:tcPr>
          <w:p w14:paraId="1BB9A4A0" w14:textId="77777777" w:rsidR="00B06468" w:rsidRPr="00166361" w:rsidRDefault="00B06468" w:rsidP="00120D51">
            <w:pPr>
              <w:jc w:val="center"/>
              <w:rPr>
                <w:rFonts w:ascii="NimbusRomNo9L" w:hAnsi="NimbusRomNo9L"/>
                <w:spacing w:val="-20"/>
                <w:sz w:val="20"/>
                <w:lang w:val="en-US"/>
              </w:rPr>
            </w:pPr>
            <w:r w:rsidRPr="00166361">
              <w:rPr>
                <w:rFonts w:ascii="NimbusRomNo9L" w:hAnsi="NimbusRomNo9L"/>
                <w:spacing w:val="-20"/>
                <w:sz w:val="20"/>
                <w:lang w:val="en-US"/>
              </w:rPr>
              <w:t>Yes</w:t>
            </w:r>
          </w:p>
        </w:tc>
        <w:tc>
          <w:tcPr>
            <w:tcW w:w="597" w:type="pct"/>
            <w:shd w:val="clear" w:color="auto" w:fill="auto"/>
            <w:noWrap/>
            <w:vAlign w:val="bottom"/>
          </w:tcPr>
          <w:p w14:paraId="3BED4E57" w14:textId="77777777" w:rsidR="00B06468" w:rsidRPr="00166361" w:rsidRDefault="00B06468" w:rsidP="00120D51">
            <w:pPr>
              <w:jc w:val="center"/>
              <w:rPr>
                <w:rFonts w:ascii="NimbusRomNo9L" w:hAnsi="NimbusRomNo9L"/>
                <w:spacing w:val="-20"/>
                <w:sz w:val="20"/>
                <w:lang w:val="en-US"/>
              </w:rPr>
            </w:pPr>
            <w:r w:rsidRPr="00166361">
              <w:rPr>
                <w:rFonts w:ascii="NimbusRomNo9L" w:hAnsi="NimbusRomNo9L"/>
                <w:spacing w:val="-20"/>
                <w:sz w:val="20"/>
                <w:lang w:val="en-US"/>
              </w:rPr>
              <w:t>Yes</w:t>
            </w:r>
          </w:p>
        </w:tc>
        <w:tc>
          <w:tcPr>
            <w:tcW w:w="597" w:type="pct"/>
            <w:shd w:val="clear" w:color="auto" w:fill="auto"/>
            <w:noWrap/>
            <w:vAlign w:val="bottom"/>
          </w:tcPr>
          <w:p w14:paraId="19E32CA2" w14:textId="77777777" w:rsidR="00B06468" w:rsidRPr="00166361" w:rsidRDefault="00B06468" w:rsidP="00120D51">
            <w:pPr>
              <w:jc w:val="center"/>
              <w:rPr>
                <w:rFonts w:ascii="NimbusRomNo9L" w:hAnsi="NimbusRomNo9L"/>
                <w:spacing w:val="-20"/>
                <w:sz w:val="20"/>
                <w:lang w:val="en-US"/>
              </w:rPr>
            </w:pPr>
            <w:r w:rsidRPr="00166361">
              <w:rPr>
                <w:rFonts w:ascii="NimbusRomNo9L" w:hAnsi="NimbusRomNo9L"/>
                <w:spacing w:val="-20"/>
                <w:sz w:val="20"/>
                <w:lang w:val="en-US"/>
              </w:rPr>
              <w:t>Yes</w:t>
            </w:r>
          </w:p>
        </w:tc>
        <w:tc>
          <w:tcPr>
            <w:tcW w:w="597" w:type="pct"/>
            <w:shd w:val="clear" w:color="auto" w:fill="auto"/>
            <w:noWrap/>
            <w:vAlign w:val="bottom"/>
          </w:tcPr>
          <w:p w14:paraId="3B341234" w14:textId="77777777" w:rsidR="00B06468" w:rsidRPr="00166361" w:rsidRDefault="00B06468" w:rsidP="00120D51">
            <w:pPr>
              <w:jc w:val="center"/>
              <w:rPr>
                <w:rFonts w:ascii="NimbusRomNo9L" w:hAnsi="NimbusRomNo9L"/>
                <w:spacing w:val="-20"/>
                <w:sz w:val="20"/>
                <w:lang w:val="en-US"/>
              </w:rPr>
            </w:pPr>
            <w:r w:rsidRPr="00166361">
              <w:rPr>
                <w:rFonts w:ascii="NimbusRomNo9L" w:hAnsi="NimbusRomNo9L"/>
                <w:spacing w:val="-20"/>
                <w:sz w:val="20"/>
                <w:lang w:val="en-US"/>
              </w:rPr>
              <w:t>Yes</w:t>
            </w:r>
          </w:p>
        </w:tc>
        <w:tc>
          <w:tcPr>
            <w:tcW w:w="594" w:type="pct"/>
            <w:shd w:val="clear" w:color="auto" w:fill="auto"/>
            <w:noWrap/>
            <w:vAlign w:val="bottom"/>
          </w:tcPr>
          <w:p w14:paraId="57AB1614" w14:textId="77777777" w:rsidR="00B06468" w:rsidRPr="00166361" w:rsidRDefault="00B06468" w:rsidP="00120D51">
            <w:pPr>
              <w:jc w:val="center"/>
              <w:rPr>
                <w:rFonts w:ascii="NimbusRomNo9L" w:hAnsi="NimbusRomNo9L"/>
                <w:spacing w:val="-20"/>
                <w:sz w:val="20"/>
                <w:lang w:val="en-US"/>
              </w:rPr>
            </w:pPr>
            <w:r w:rsidRPr="00166361">
              <w:rPr>
                <w:rFonts w:ascii="NimbusRomNo9L" w:hAnsi="NimbusRomNo9L"/>
                <w:spacing w:val="-20"/>
                <w:sz w:val="20"/>
                <w:lang w:val="en-US"/>
              </w:rPr>
              <w:t>Yes</w:t>
            </w:r>
          </w:p>
        </w:tc>
      </w:tr>
      <w:tr w:rsidR="00B06468" w:rsidRPr="00166361" w14:paraId="3C454572" w14:textId="77777777" w:rsidTr="00120D51">
        <w:trPr>
          <w:trHeight w:val="258"/>
        </w:trPr>
        <w:tc>
          <w:tcPr>
            <w:tcW w:w="1420" w:type="pct"/>
            <w:shd w:val="clear" w:color="auto" w:fill="auto"/>
            <w:noWrap/>
            <w:vAlign w:val="bottom"/>
            <w:hideMark/>
          </w:tcPr>
          <w:p w14:paraId="58C336AB" w14:textId="77777777" w:rsidR="00B06468" w:rsidRPr="00166361" w:rsidRDefault="00B06468" w:rsidP="00120D51">
            <w:pPr>
              <w:rPr>
                <w:rFonts w:ascii="NimbusRomNo9L" w:hAnsi="NimbusRomNo9L"/>
                <w:spacing w:val="-20"/>
                <w:sz w:val="20"/>
                <w:lang w:val="en-US"/>
              </w:rPr>
            </w:pPr>
            <w:r w:rsidRPr="00166361">
              <w:rPr>
                <w:rFonts w:ascii="NimbusRomNo9L" w:hAnsi="NimbusRomNo9L"/>
                <w:spacing w:val="-20"/>
                <w:sz w:val="20"/>
                <w:lang w:val="en-US"/>
              </w:rPr>
              <w:t>Adjusted R-squared</w:t>
            </w:r>
          </w:p>
        </w:tc>
        <w:tc>
          <w:tcPr>
            <w:tcW w:w="597" w:type="pct"/>
            <w:shd w:val="clear" w:color="auto" w:fill="auto"/>
            <w:noWrap/>
            <w:vAlign w:val="bottom"/>
            <w:hideMark/>
          </w:tcPr>
          <w:p w14:paraId="54152A8B" w14:textId="6816F8D3" w:rsidR="00B06468" w:rsidRPr="00166361" w:rsidRDefault="00B06468" w:rsidP="00120D51">
            <w:pPr>
              <w:jc w:val="center"/>
              <w:rPr>
                <w:rFonts w:ascii="NimbusRomNo9L" w:hAnsi="NimbusRomNo9L"/>
                <w:spacing w:val="-20"/>
                <w:sz w:val="20"/>
                <w:lang w:val="en-US"/>
              </w:rPr>
            </w:pPr>
            <w:r w:rsidRPr="00166361">
              <w:rPr>
                <w:rFonts w:ascii="NimbusRomNo9L" w:hAnsi="NimbusRomNo9L"/>
                <w:spacing w:val="-20"/>
                <w:sz w:val="20"/>
                <w:lang w:val="en-US"/>
              </w:rPr>
              <w:t>0.</w:t>
            </w:r>
            <w:r w:rsidR="009A6EE4">
              <w:rPr>
                <w:rFonts w:ascii="NimbusRomNo9L" w:hAnsi="NimbusRomNo9L"/>
                <w:spacing w:val="-20"/>
                <w:sz w:val="20"/>
                <w:lang w:val="en-US"/>
              </w:rPr>
              <w:t>785</w:t>
            </w:r>
          </w:p>
        </w:tc>
        <w:tc>
          <w:tcPr>
            <w:tcW w:w="597" w:type="pct"/>
            <w:shd w:val="clear" w:color="auto" w:fill="auto"/>
            <w:noWrap/>
            <w:vAlign w:val="bottom"/>
            <w:hideMark/>
          </w:tcPr>
          <w:p w14:paraId="4B0DE9F7" w14:textId="77777777" w:rsidR="00B06468" w:rsidRPr="00166361" w:rsidRDefault="00B06468" w:rsidP="00120D51">
            <w:pPr>
              <w:jc w:val="center"/>
              <w:rPr>
                <w:rFonts w:ascii="NimbusRomNo9L" w:hAnsi="NimbusRomNo9L"/>
                <w:spacing w:val="-20"/>
                <w:sz w:val="20"/>
                <w:lang w:val="en-US"/>
              </w:rPr>
            </w:pPr>
            <w:r w:rsidRPr="00166361">
              <w:rPr>
                <w:rFonts w:ascii="NimbusRomNo9L" w:hAnsi="NimbusRomNo9L"/>
                <w:spacing w:val="-20"/>
                <w:sz w:val="20"/>
                <w:lang w:val="en-US"/>
              </w:rPr>
              <w:t>-</w:t>
            </w:r>
          </w:p>
        </w:tc>
        <w:tc>
          <w:tcPr>
            <w:tcW w:w="597" w:type="pct"/>
            <w:shd w:val="clear" w:color="auto" w:fill="auto"/>
            <w:noWrap/>
            <w:vAlign w:val="bottom"/>
            <w:hideMark/>
          </w:tcPr>
          <w:p w14:paraId="6FD58FE7" w14:textId="77777777" w:rsidR="00B06468" w:rsidRPr="00166361" w:rsidRDefault="00B06468" w:rsidP="00120D51">
            <w:pPr>
              <w:jc w:val="center"/>
              <w:rPr>
                <w:rFonts w:ascii="NimbusRomNo9L" w:hAnsi="NimbusRomNo9L"/>
                <w:spacing w:val="-20"/>
                <w:sz w:val="20"/>
                <w:lang w:val="en-US"/>
              </w:rPr>
            </w:pPr>
            <w:r w:rsidRPr="00166361">
              <w:rPr>
                <w:rFonts w:ascii="NimbusRomNo9L" w:hAnsi="NimbusRomNo9L"/>
                <w:spacing w:val="-20"/>
                <w:sz w:val="20"/>
                <w:lang w:val="en-US"/>
              </w:rPr>
              <w:t>-</w:t>
            </w:r>
          </w:p>
        </w:tc>
        <w:tc>
          <w:tcPr>
            <w:tcW w:w="597" w:type="pct"/>
            <w:shd w:val="clear" w:color="auto" w:fill="auto"/>
            <w:noWrap/>
            <w:vAlign w:val="bottom"/>
            <w:hideMark/>
          </w:tcPr>
          <w:p w14:paraId="6EFE95B0" w14:textId="77777777" w:rsidR="00B06468" w:rsidRPr="00166361" w:rsidRDefault="00B06468" w:rsidP="00120D51">
            <w:pPr>
              <w:jc w:val="center"/>
              <w:rPr>
                <w:rFonts w:ascii="NimbusRomNo9L" w:hAnsi="NimbusRomNo9L"/>
                <w:spacing w:val="-20"/>
                <w:sz w:val="20"/>
                <w:lang w:val="en-US"/>
              </w:rPr>
            </w:pPr>
            <w:r w:rsidRPr="00166361">
              <w:rPr>
                <w:rFonts w:ascii="NimbusRomNo9L" w:hAnsi="NimbusRomNo9L"/>
                <w:spacing w:val="-20"/>
                <w:sz w:val="20"/>
                <w:lang w:val="en-US"/>
              </w:rPr>
              <w:t>-</w:t>
            </w:r>
          </w:p>
        </w:tc>
        <w:tc>
          <w:tcPr>
            <w:tcW w:w="597" w:type="pct"/>
            <w:shd w:val="clear" w:color="auto" w:fill="auto"/>
            <w:noWrap/>
            <w:vAlign w:val="bottom"/>
            <w:hideMark/>
          </w:tcPr>
          <w:p w14:paraId="37C17C0C" w14:textId="77777777" w:rsidR="00B06468" w:rsidRPr="00166361" w:rsidRDefault="00B06468" w:rsidP="00120D51">
            <w:pPr>
              <w:jc w:val="center"/>
              <w:rPr>
                <w:rFonts w:ascii="NimbusRomNo9L" w:hAnsi="NimbusRomNo9L"/>
                <w:spacing w:val="-20"/>
                <w:sz w:val="20"/>
                <w:lang w:val="en-US"/>
              </w:rPr>
            </w:pPr>
            <w:r w:rsidRPr="00166361">
              <w:rPr>
                <w:rFonts w:ascii="NimbusRomNo9L" w:hAnsi="NimbusRomNo9L"/>
                <w:spacing w:val="-20"/>
                <w:sz w:val="20"/>
                <w:lang w:val="en-US"/>
              </w:rPr>
              <w:t>-</w:t>
            </w:r>
          </w:p>
        </w:tc>
        <w:tc>
          <w:tcPr>
            <w:tcW w:w="594" w:type="pct"/>
            <w:shd w:val="clear" w:color="auto" w:fill="auto"/>
            <w:noWrap/>
            <w:vAlign w:val="bottom"/>
            <w:hideMark/>
          </w:tcPr>
          <w:p w14:paraId="14C09C9F" w14:textId="77777777" w:rsidR="00B06468" w:rsidRPr="00166361" w:rsidRDefault="00B06468" w:rsidP="00120D51">
            <w:pPr>
              <w:jc w:val="center"/>
              <w:rPr>
                <w:rFonts w:ascii="NimbusRomNo9L" w:hAnsi="NimbusRomNo9L"/>
                <w:spacing w:val="-20"/>
                <w:sz w:val="20"/>
                <w:lang w:val="en-US"/>
              </w:rPr>
            </w:pPr>
            <w:r w:rsidRPr="00166361">
              <w:rPr>
                <w:rFonts w:ascii="NimbusRomNo9L" w:hAnsi="NimbusRomNo9L"/>
                <w:spacing w:val="-20"/>
                <w:sz w:val="20"/>
                <w:lang w:val="en-US"/>
              </w:rPr>
              <w:t>-</w:t>
            </w:r>
          </w:p>
        </w:tc>
      </w:tr>
      <w:tr w:rsidR="00B06468" w:rsidRPr="00166361" w14:paraId="0C2E96AA" w14:textId="77777777" w:rsidTr="00120D51">
        <w:trPr>
          <w:trHeight w:val="258"/>
        </w:trPr>
        <w:tc>
          <w:tcPr>
            <w:tcW w:w="1420" w:type="pct"/>
            <w:shd w:val="clear" w:color="auto" w:fill="auto"/>
            <w:noWrap/>
            <w:vAlign w:val="bottom"/>
            <w:hideMark/>
          </w:tcPr>
          <w:p w14:paraId="4885FD68" w14:textId="77777777" w:rsidR="00B06468" w:rsidRPr="00166361" w:rsidRDefault="00B06468" w:rsidP="00120D51">
            <w:pPr>
              <w:rPr>
                <w:rFonts w:ascii="NimbusRomNo9L" w:hAnsi="NimbusRomNo9L"/>
                <w:spacing w:val="-20"/>
                <w:sz w:val="20"/>
                <w:lang w:val="en-US"/>
              </w:rPr>
            </w:pPr>
            <w:r w:rsidRPr="00166361">
              <w:rPr>
                <w:rFonts w:ascii="NimbusRomNo9L" w:hAnsi="NimbusRomNo9L"/>
                <w:spacing w:val="-20"/>
                <w:sz w:val="20"/>
                <w:lang w:val="en-US"/>
              </w:rPr>
              <w:t>Quantile level</w:t>
            </w:r>
          </w:p>
        </w:tc>
        <w:tc>
          <w:tcPr>
            <w:tcW w:w="597" w:type="pct"/>
            <w:shd w:val="clear" w:color="auto" w:fill="auto"/>
            <w:noWrap/>
            <w:vAlign w:val="bottom"/>
            <w:hideMark/>
          </w:tcPr>
          <w:p w14:paraId="57575433" w14:textId="77777777" w:rsidR="00B06468" w:rsidRPr="00166361" w:rsidRDefault="00B06468" w:rsidP="00120D51">
            <w:pPr>
              <w:jc w:val="center"/>
              <w:rPr>
                <w:rFonts w:ascii="NimbusRomNo9L" w:hAnsi="NimbusRomNo9L"/>
                <w:spacing w:val="-20"/>
                <w:sz w:val="20"/>
                <w:lang w:val="en-US"/>
              </w:rPr>
            </w:pPr>
            <w:r w:rsidRPr="00166361">
              <w:rPr>
                <w:rFonts w:ascii="NimbusRomNo9L" w:hAnsi="NimbusRomNo9L"/>
                <w:spacing w:val="-20"/>
                <w:sz w:val="20"/>
                <w:lang w:val="en-US"/>
              </w:rPr>
              <w:t>-</w:t>
            </w:r>
          </w:p>
        </w:tc>
        <w:tc>
          <w:tcPr>
            <w:tcW w:w="597" w:type="pct"/>
            <w:shd w:val="clear" w:color="auto" w:fill="auto"/>
            <w:noWrap/>
            <w:vAlign w:val="bottom"/>
            <w:hideMark/>
          </w:tcPr>
          <w:p w14:paraId="4C460510" w14:textId="77777777" w:rsidR="00B06468" w:rsidRPr="00166361" w:rsidRDefault="00B06468" w:rsidP="00120D51">
            <w:pPr>
              <w:jc w:val="center"/>
              <w:rPr>
                <w:rFonts w:ascii="NimbusRomNo9L" w:hAnsi="NimbusRomNo9L"/>
                <w:spacing w:val="-20"/>
                <w:sz w:val="20"/>
                <w:lang w:val="en-US"/>
              </w:rPr>
            </w:pPr>
            <w:r w:rsidRPr="00166361">
              <w:rPr>
                <w:rFonts w:ascii="NimbusRomNo9L" w:hAnsi="NimbusRomNo9L"/>
                <w:spacing w:val="-20"/>
                <w:sz w:val="20"/>
                <w:lang w:val="en-US"/>
              </w:rPr>
              <w:t>0.150</w:t>
            </w:r>
          </w:p>
        </w:tc>
        <w:tc>
          <w:tcPr>
            <w:tcW w:w="597" w:type="pct"/>
            <w:shd w:val="clear" w:color="auto" w:fill="auto"/>
            <w:noWrap/>
            <w:vAlign w:val="bottom"/>
            <w:hideMark/>
          </w:tcPr>
          <w:p w14:paraId="353D1D2A" w14:textId="77777777" w:rsidR="00B06468" w:rsidRPr="00166361" w:rsidRDefault="00B06468" w:rsidP="00120D51">
            <w:pPr>
              <w:jc w:val="center"/>
              <w:rPr>
                <w:rFonts w:ascii="NimbusRomNo9L" w:hAnsi="NimbusRomNo9L"/>
                <w:spacing w:val="-20"/>
                <w:sz w:val="20"/>
                <w:lang w:val="en-US"/>
              </w:rPr>
            </w:pPr>
            <w:r w:rsidRPr="00166361">
              <w:rPr>
                <w:rFonts w:ascii="NimbusRomNo9L" w:hAnsi="NimbusRomNo9L"/>
                <w:spacing w:val="-20"/>
                <w:sz w:val="20"/>
                <w:lang w:val="en-US"/>
              </w:rPr>
              <w:t>0.250</w:t>
            </w:r>
          </w:p>
        </w:tc>
        <w:tc>
          <w:tcPr>
            <w:tcW w:w="597" w:type="pct"/>
            <w:shd w:val="clear" w:color="auto" w:fill="auto"/>
            <w:noWrap/>
            <w:vAlign w:val="bottom"/>
            <w:hideMark/>
          </w:tcPr>
          <w:p w14:paraId="0494B2BF" w14:textId="77777777" w:rsidR="00B06468" w:rsidRPr="00166361" w:rsidRDefault="00B06468" w:rsidP="00120D51">
            <w:pPr>
              <w:jc w:val="center"/>
              <w:rPr>
                <w:rFonts w:ascii="NimbusRomNo9L" w:hAnsi="NimbusRomNo9L"/>
                <w:spacing w:val="-20"/>
                <w:sz w:val="20"/>
                <w:lang w:val="en-US"/>
              </w:rPr>
            </w:pPr>
            <w:r w:rsidRPr="00166361">
              <w:rPr>
                <w:rFonts w:ascii="NimbusRomNo9L" w:hAnsi="NimbusRomNo9L"/>
                <w:spacing w:val="-20"/>
                <w:sz w:val="20"/>
                <w:lang w:val="en-US"/>
              </w:rPr>
              <w:t>0.500</w:t>
            </w:r>
          </w:p>
        </w:tc>
        <w:tc>
          <w:tcPr>
            <w:tcW w:w="597" w:type="pct"/>
            <w:shd w:val="clear" w:color="auto" w:fill="auto"/>
            <w:noWrap/>
            <w:vAlign w:val="bottom"/>
            <w:hideMark/>
          </w:tcPr>
          <w:p w14:paraId="5799FEBC" w14:textId="77777777" w:rsidR="00B06468" w:rsidRPr="00166361" w:rsidRDefault="00B06468" w:rsidP="00120D51">
            <w:pPr>
              <w:jc w:val="center"/>
              <w:rPr>
                <w:rFonts w:ascii="NimbusRomNo9L" w:hAnsi="NimbusRomNo9L"/>
                <w:spacing w:val="-20"/>
                <w:sz w:val="20"/>
                <w:lang w:val="en-US"/>
              </w:rPr>
            </w:pPr>
            <w:r w:rsidRPr="00166361">
              <w:rPr>
                <w:rFonts w:ascii="NimbusRomNo9L" w:hAnsi="NimbusRomNo9L"/>
                <w:spacing w:val="-20"/>
                <w:sz w:val="20"/>
                <w:lang w:val="en-US"/>
              </w:rPr>
              <w:t>0.750</w:t>
            </w:r>
          </w:p>
        </w:tc>
        <w:tc>
          <w:tcPr>
            <w:tcW w:w="594" w:type="pct"/>
            <w:shd w:val="clear" w:color="auto" w:fill="auto"/>
            <w:noWrap/>
            <w:vAlign w:val="bottom"/>
            <w:hideMark/>
          </w:tcPr>
          <w:p w14:paraId="49CE58B9" w14:textId="77777777" w:rsidR="00B06468" w:rsidRPr="00166361" w:rsidRDefault="00B06468" w:rsidP="00120D51">
            <w:pPr>
              <w:jc w:val="center"/>
              <w:rPr>
                <w:rFonts w:ascii="NimbusRomNo9L" w:hAnsi="NimbusRomNo9L"/>
                <w:spacing w:val="-20"/>
                <w:sz w:val="20"/>
                <w:lang w:val="en-US"/>
              </w:rPr>
            </w:pPr>
            <w:r w:rsidRPr="00166361">
              <w:rPr>
                <w:rFonts w:ascii="NimbusRomNo9L" w:hAnsi="NimbusRomNo9L"/>
                <w:spacing w:val="-20"/>
                <w:sz w:val="20"/>
                <w:lang w:val="en-US"/>
              </w:rPr>
              <w:t>0.850</w:t>
            </w:r>
          </w:p>
        </w:tc>
      </w:tr>
    </w:tbl>
    <w:p w14:paraId="55C723AE" w14:textId="77777777" w:rsidR="009E6692" w:rsidRPr="009E6692" w:rsidRDefault="009E6692" w:rsidP="009E6692">
      <w:pPr>
        <w:widowControl w:val="0"/>
        <w:autoSpaceDE w:val="0"/>
        <w:autoSpaceDN w:val="0"/>
        <w:adjustRightInd w:val="0"/>
        <w:jc w:val="center"/>
        <w:rPr>
          <w:sz w:val="21"/>
          <w:lang w:val="en-US"/>
        </w:rPr>
      </w:pPr>
      <w:r w:rsidRPr="009E6692">
        <w:rPr>
          <w:sz w:val="21"/>
          <w:lang w:val="en-US"/>
        </w:rPr>
        <w:t>Bootstrapped – adjusted clustering at id and year level- errors in parentheses</w:t>
      </w:r>
    </w:p>
    <w:p w14:paraId="53B0A8B2" w14:textId="77777777" w:rsidR="009E6692" w:rsidRPr="009E6692" w:rsidRDefault="009E6692" w:rsidP="009E6692">
      <w:pPr>
        <w:widowControl w:val="0"/>
        <w:autoSpaceDE w:val="0"/>
        <w:autoSpaceDN w:val="0"/>
        <w:adjustRightInd w:val="0"/>
        <w:jc w:val="center"/>
        <w:rPr>
          <w:sz w:val="21"/>
          <w:lang w:val="en-US"/>
        </w:rPr>
      </w:pPr>
      <w:r w:rsidRPr="009E6692">
        <w:rPr>
          <w:sz w:val="21"/>
          <w:lang w:val="en-US"/>
        </w:rPr>
        <w:t>*** p&lt;0.01, ** p&lt;0.05, * p&lt;0.1</w:t>
      </w:r>
    </w:p>
    <w:p w14:paraId="2D8A599E" w14:textId="07B41E29" w:rsidR="00F46F06" w:rsidRPr="00EE38F6" w:rsidRDefault="00F46F06" w:rsidP="00F46F06">
      <w:pPr>
        <w:spacing w:before="240" w:after="240"/>
        <w:jc w:val="both"/>
        <w:rPr>
          <w:rFonts w:ascii="NimbusRomNo9L" w:hAnsi="NimbusRomNo9L"/>
          <w:sz w:val="18"/>
          <w:szCs w:val="20"/>
          <w:lang w:val="en-US"/>
        </w:rPr>
      </w:pPr>
      <w:r>
        <w:rPr>
          <w:rFonts w:ascii="NimbusRomNo9L" w:hAnsi="NimbusRomNo9L"/>
          <w:sz w:val="18"/>
          <w:szCs w:val="20"/>
          <w:lang w:val="en-US"/>
        </w:rPr>
        <w:t>N</w:t>
      </w:r>
      <w:r w:rsidRPr="00F003EF">
        <w:rPr>
          <w:rFonts w:ascii="NimbusRomNo9L" w:hAnsi="NimbusRomNo9L"/>
          <w:sz w:val="18"/>
          <w:szCs w:val="20"/>
          <w:lang w:val="en-US"/>
        </w:rPr>
        <w:t xml:space="preserve">ote: The table presents the first and second stage (2SLS) and the smoothed instrumental variable empirical coefficients based on a panel dataset of </w:t>
      </w:r>
      <w:r>
        <w:rPr>
          <w:rFonts w:ascii="NimbusRomNo9L" w:hAnsi="NimbusRomNo9L"/>
          <w:sz w:val="18"/>
          <w:szCs w:val="20"/>
          <w:lang w:val="en-US"/>
        </w:rPr>
        <w:t>148</w:t>
      </w:r>
      <w:r w:rsidRPr="00F003EF">
        <w:rPr>
          <w:rFonts w:ascii="NimbusRomNo9L" w:hAnsi="NimbusRomNo9L"/>
          <w:sz w:val="18"/>
          <w:szCs w:val="20"/>
          <w:lang w:val="en-US"/>
        </w:rPr>
        <w:t xml:space="preserve"> Tribunals de Grande Instance from 2012 to 2019. </w:t>
      </w:r>
    </w:p>
    <w:p w14:paraId="69857671" w14:textId="4807DACF" w:rsidR="00194E00" w:rsidRPr="00194E00" w:rsidRDefault="0092594B" w:rsidP="00194E00">
      <w:pPr>
        <w:ind w:firstLine="567"/>
        <w:jc w:val="both"/>
        <w:rPr>
          <w:rFonts w:ascii="NimbusRomNo9L" w:hAnsi="NimbusRomNo9L"/>
          <w:lang w:val="en-US"/>
        </w:rPr>
      </w:pPr>
      <w:r w:rsidRPr="0092594B">
        <w:rPr>
          <w:rFonts w:ascii="NimbusRomNo9L" w:hAnsi="NimbusRomNo9L"/>
          <w:u w:val="single"/>
          <w:lang w:val="en-US"/>
        </w:rPr>
        <w:t>Table 5</w:t>
      </w:r>
      <w:r w:rsidRPr="0092594B">
        <w:rPr>
          <w:rFonts w:ascii="NimbusRomNo9L" w:hAnsi="NimbusRomNo9L"/>
          <w:lang w:val="en-US"/>
        </w:rPr>
        <w:t xml:space="preserve"> </w:t>
      </w:r>
      <w:r>
        <w:rPr>
          <w:rFonts w:ascii="NimbusRomNo9L" w:hAnsi="NimbusRomNo9L"/>
          <w:lang w:val="en-US"/>
        </w:rPr>
        <w:t>tackles</w:t>
      </w:r>
      <w:r w:rsidRPr="0092594B">
        <w:rPr>
          <w:rFonts w:ascii="NimbusRomNo9L" w:hAnsi="NimbusRomNo9L"/>
          <w:lang w:val="en-US"/>
        </w:rPr>
        <w:t xml:space="preserve"> the significant lawyer concentration in major French cities. Paris, Strasbourg, Toulouse, and Lyon present unique environments compared to smaller towns. The disproportionate lawyer concentration in these cities might distort the general pattern observed in "average" courts,</w:t>
      </w:r>
      <w:r w:rsidR="009607A4">
        <w:rPr>
          <w:rFonts w:ascii="NimbusRomNo9L" w:hAnsi="NimbusRomNo9L"/>
          <w:lang w:val="en-US"/>
        </w:rPr>
        <w:t xml:space="preserve"> </w:t>
      </w:r>
      <w:r w:rsidRPr="0092594B">
        <w:rPr>
          <w:rFonts w:ascii="NimbusRomNo9L" w:hAnsi="NimbusRomNo9L"/>
          <w:lang w:val="en-US"/>
        </w:rPr>
        <w:t>potentially leading to biased conclusions</w:t>
      </w:r>
      <w:r w:rsidR="00194E00">
        <w:rPr>
          <w:rFonts w:ascii="NimbusRomNo9L" w:hAnsi="NimbusRomNo9L"/>
          <w:lang w:val="en-US"/>
        </w:rPr>
        <w:t xml:space="preserve">. </w:t>
      </w:r>
      <w:r w:rsidR="00194E00">
        <w:rPr>
          <w:rFonts w:ascii="NimbusRomNo9L" w:hAnsi="NimbusRomNo9L"/>
          <w:lang w:val="en-US"/>
        </w:rPr>
        <w:lastRenderedPageBreak/>
        <w:t>In particular, P</w:t>
      </w:r>
      <w:r w:rsidR="00194E00" w:rsidRPr="00194E00">
        <w:rPr>
          <w:rFonts w:ascii="NimbusRomNo9L" w:hAnsi="NimbusRomNo9L"/>
          <w:lang w:val="en-US"/>
        </w:rPr>
        <w:t>aris stands out with a staggering 1,300 lawyers per 100,000 inhabitants, dwarfing the national average of under 25</w:t>
      </w:r>
      <w:r w:rsidR="00194E00">
        <w:rPr>
          <w:rFonts w:ascii="NimbusRomNo9L" w:hAnsi="NimbusRomNo9L"/>
          <w:lang w:val="en-US"/>
        </w:rPr>
        <w:t>, while</w:t>
      </w:r>
      <w:r w:rsidR="00194E00" w:rsidRPr="00194E00">
        <w:rPr>
          <w:rFonts w:ascii="NimbusRomNo9L" w:hAnsi="NimbusRomNo9L"/>
          <w:lang w:val="en-US"/>
        </w:rPr>
        <w:t xml:space="preserve"> Strasbourg, Toulouse, and Lyon also boast significantly higher lawyer densities </w:t>
      </w:r>
      <w:r w:rsidR="00194E00">
        <w:rPr>
          <w:rFonts w:ascii="NimbusRomNo9L" w:hAnsi="NimbusRomNo9L"/>
          <w:lang w:val="en-US"/>
        </w:rPr>
        <w:t xml:space="preserve">– e.g., 20 times higher – </w:t>
      </w:r>
      <w:r w:rsidR="00194E00" w:rsidRPr="00194E00">
        <w:rPr>
          <w:rFonts w:ascii="NimbusRomNo9L" w:hAnsi="NimbusRomNo9L"/>
          <w:lang w:val="en-US"/>
        </w:rPr>
        <w:t>compared to the rest of France.</w:t>
      </w:r>
      <w:r w:rsidR="00194E00">
        <w:rPr>
          <w:rFonts w:ascii="NimbusRomNo9L" w:hAnsi="NimbusRomNo9L"/>
          <w:lang w:val="en-US"/>
        </w:rPr>
        <w:t xml:space="preserve"> Hence, </w:t>
      </w:r>
      <w:r w:rsidR="00194E00" w:rsidRPr="00194E00">
        <w:rPr>
          <w:rFonts w:ascii="NimbusRomNo9L" w:hAnsi="NimbusRomNo9L"/>
          <w:lang w:val="en-US"/>
        </w:rPr>
        <w:t xml:space="preserve">these cities could act as outliers, potentially skewing </w:t>
      </w:r>
      <w:r w:rsidR="00194E00">
        <w:rPr>
          <w:rFonts w:ascii="NimbusRomNo9L" w:hAnsi="NimbusRomNo9L"/>
          <w:lang w:val="en-US"/>
        </w:rPr>
        <w:t>the</w:t>
      </w:r>
      <w:r w:rsidR="00194E00" w:rsidRPr="00194E00">
        <w:rPr>
          <w:rFonts w:ascii="NimbusRomNo9L" w:hAnsi="NimbusRomNo9L"/>
          <w:lang w:val="en-US"/>
        </w:rPr>
        <w:t xml:space="preserve"> results. Excluding them offers a cleaner picture of the relationship between lawyer concentration and your outcome variable in a more homogenous context.</w:t>
      </w:r>
    </w:p>
    <w:p w14:paraId="60A5DCCE" w14:textId="0428885C" w:rsidR="0092594B" w:rsidRPr="0092594B" w:rsidRDefault="0092594B" w:rsidP="0092594B">
      <w:pPr>
        <w:ind w:firstLine="567"/>
        <w:jc w:val="both"/>
        <w:rPr>
          <w:rFonts w:ascii="NimbusRomNo9L" w:hAnsi="NimbusRomNo9L"/>
          <w:lang w:val="en-US"/>
        </w:rPr>
      </w:pPr>
    </w:p>
    <w:p w14:paraId="11500728" w14:textId="34880147" w:rsidR="0092594B" w:rsidRPr="0092594B" w:rsidRDefault="0092594B" w:rsidP="0092594B">
      <w:pPr>
        <w:ind w:firstLine="567"/>
        <w:jc w:val="both"/>
        <w:rPr>
          <w:rFonts w:ascii="NimbusRomNo9L" w:hAnsi="NimbusRomNo9L"/>
          <w:lang w:val="en-US"/>
        </w:rPr>
      </w:pPr>
    </w:p>
    <w:p w14:paraId="254F4305" w14:textId="7CDC9553" w:rsidR="006E5E41" w:rsidRPr="00166361" w:rsidRDefault="006E5E41" w:rsidP="0092594B">
      <w:pPr>
        <w:jc w:val="both"/>
        <w:rPr>
          <w:rFonts w:ascii="NimbusRomNo9L" w:hAnsi="NimbusRomNo9L"/>
          <w:lang w:val="en-US"/>
        </w:rPr>
      </w:pPr>
    </w:p>
    <w:p w14:paraId="497A557B" w14:textId="083F72B2" w:rsidR="00267587" w:rsidRPr="00166361" w:rsidRDefault="00267587" w:rsidP="00267587">
      <w:pPr>
        <w:spacing w:before="240" w:after="240"/>
        <w:jc w:val="both"/>
        <w:rPr>
          <w:rFonts w:ascii="NimbusRomNo9L" w:hAnsi="NimbusRomNo9L"/>
          <w:sz w:val="20"/>
          <w:lang w:val="en-US"/>
        </w:rPr>
      </w:pPr>
      <w:r w:rsidRPr="00166361">
        <w:rPr>
          <w:rFonts w:ascii="NimbusRomNo9L" w:hAnsi="NimbusRomNo9L"/>
          <w:sz w:val="20"/>
          <w:u w:val="single"/>
          <w:lang w:val="en-US"/>
        </w:rPr>
        <w:t xml:space="preserve">Table </w:t>
      </w:r>
      <w:r w:rsidR="009A6EE4">
        <w:rPr>
          <w:rFonts w:ascii="NimbusRomNo9L" w:hAnsi="NimbusRomNo9L"/>
          <w:sz w:val="20"/>
          <w:u w:val="single"/>
          <w:lang w:val="en-US"/>
        </w:rPr>
        <w:t>5</w:t>
      </w:r>
      <w:r w:rsidRPr="00166361">
        <w:rPr>
          <w:rFonts w:ascii="NimbusRomNo9L" w:hAnsi="NimbusRomNo9L"/>
          <w:sz w:val="20"/>
          <w:lang w:val="en-US"/>
        </w:rPr>
        <w:t xml:space="preserve">: Two-stage least squared and </w:t>
      </w:r>
      <w:r w:rsidRPr="00166361">
        <w:rPr>
          <w:rFonts w:ascii="NimbusRomNo9L" w:hAnsi="NimbusRomNo9L"/>
          <w:sz w:val="20"/>
          <w:szCs w:val="20"/>
          <w:lang w:val="en-US"/>
        </w:rPr>
        <w:t xml:space="preserve">smoothed IV regressions </w:t>
      </w:r>
      <w:r w:rsidRPr="00166361">
        <w:rPr>
          <w:rFonts w:ascii="NimbusRomNo9L" w:hAnsi="NimbusRomNo9L"/>
          <w:sz w:val="20"/>
          <w:lang w:val="en-US"/>
        </w:rPr>
        <w:t>(</w:t>
      </w:r>
      <w:r w:rsidR="009E6692" w:rsidRPr="000F03DA">
        <w:rPr>
          <w:rFonts w:ascii="NimbusRomNo9L" w:hAnsi="NimbusRomNo9L"/>
          <w:sz w:val="20"/>
          <w:lang w:val="en-US"/>
        </w:rPr>
        <w:t>Saint-Gaudens, Saumur, Tulle</w:t>
      </w:r>
      <w:r w:rsidR="009E6692">
        <w:rPr>
          <w:rFonts w:ascii="NimbusRomNo9L" w:hAnsi="NimbusRomNo9L"/>
          <w:sz w:val="20"/>
          <w:lang w:val="en-US"/>
        </w:rPr>
        <w:t xml:space="preserve">, </w:t>
      </w:r>
      <w:proofErr w:type="spellStart"/>
      <w:r w:rsidR="009E6692" w:rsidRPr="000F03DA">
        <w:rPr>
          <w:rFonts w:ascii="NimbusRomNo9L" w:hAnsi="NimbusRomNo9L"/>
          <w:sz w:val="20"/>
          <w:lang w:val="en-US"/>
        </w:rPr>
        <w:t>Dôle</w:t>
      </w:r>
      <w:proofErr w:type="spellEnd"/>
      <w:r w:rsidR="009E6692" w:rsidRPr="000F03DA">
        <w:rPr>
          <w:rFonts w:ascii="NimbusRomNo9L" w:hAnsi="NimbusRomNo9L"/>
          <w:sz w:val="20"/>
          <w:lang w:val="en-US"/>
        </w:rPr>
        <w:t>, </w:t>
      </w:r>
      <w:proofErr w:type="spellStart"/>
      <w:r w:rsidR="009E6692" w:rsidRPr="000F03DA">
        <w:rPr>
          <w:rFonts w:ascii="NimbusRomNo9L" w:hAnsi="NimbusRomNo9L"/>
          <w:sz w:val="20"/>
          <w:lang w:val="en-US"/>
        </w:rPr>
        <w:t>Guingamp</w:t>
      </w:r>
      <w:proofErr w:type="spellEnd"/>
      <w:r w:rsidR="009E6692" w:rsidRPr="000F03DA">
        <w:rPr>
          <w:rFonts w:ascii="NimbusRomNo9L" w:hAnsi="NimbusRomNo9L"/>
          <w:sz w:val="20"/>
          <w:lang w:val="en-US"/>
        </w:rPr>
        <w:t>, Marmande</w:t>
      </w:r>
      <w:r w:rsidR="009E6692">
        <w:rPr>
          <w:rFonts w:ascii="NimbusRomNo9L" w:hAnsi="NimbusRomNo9L"/>
          <w:sz w:val="20"/>
          <w:lang w:val="en-US"/>
        </w:rPr>
        <w:t xml:space="preserve"> and </w:t>
      </w:r>
      <w:proofErr w:type="spellStart"/>
      <w:r w:rsidR="009E6692" w:rsidRPr="000F03DA">
        <w:rPr>
          <w:rFonts w:ascii="NimbusRomNo9L" w:hAnsi="NimbusRomNo9L"/>
          <w:sz w:val="20"/>
          <w:lang w:val="en-US"/>
        </w:rPr>
        <w:t>Belley</w:t>
      </w:r>
      <w:proofErr w:type="spellEnd"/>
      <w:r w:rsidR="009E6692">
        <w:rPr>
          <w:rFonts w:ascii="NimbusRomNo9L" w:hAnsi="NimbusRomNo9L"/>
          <w:sz w:val="20"/>
          <w:lang w:val="en-US"/>
        </w:rPr>
        <w:t xml:space="preserve">, </w:t>
      </w:r>
      <w:r w:rsidR="009E6692" w:rsidRPr="000F03DA">
        <w:rPr>
          <w:rFonts w:ascii="NimbusRomNo9L" w:hAnsi="NimbusRomNo9L"/>
          <w:sz w:val="20"/>
          <w:lang w:val="en-US"/>
        </w:rPr>
        <w:t>Millau</w:t>
      </w:r>
      <w:r w:rsidRPr="00166361">
        <w:rPr>
          <w:rFonts w:ascii="NimbusRomNo9L" w:hAnsi="NimbusRomNo9L"/>
          <w:sz w:val="20"/>
          <w:lang w:val="en-US"/>
        </w:rPr>
        <w:t xml:space="preserve">, </w:t>
      </w:r>
      <w:r w:rsidR="009E6692">
        <w:rPr>
          <w:rFonts w:ascii="NimbusRomNo9L" w:hAnsi="NimbusRomNo9L"/>
          <w:sz w:val="20"/>
          <w:lang w:val="en-US"/>
        </w:rPr>
        <w:t xml:space="preserve">Paris, Strasbourg, Lyon, and </w:t>
      </w:r>
      <w:r w:rsidRPr="00166361">
        <w:rPr>
          <w:rFonts w:ascii="NimbusRomNo9L" w:hAnsi="NimbusRomNo9L"/>
          <w:sz w:val="20"/>
          <w:lang w:val="en-US"/>
        </w:rPr>
        <w:t>Toulouse excluded)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71"/>
        <w:gridCol w:w="1080"/>
        <w:gridCol w:w="1081"/>
        <w:gridCol w:w="1081"/>
        <w:gridCol w:w="1081"/>
        <w:gridCol w:w="1081"/>
        <w:gridCol w:w="1075"/>
      </w:tblGrid>
      <w:tr w:rsidR="00C1693A" w:rsidRPr="00166361" w14:paraId="12120849" w14:textId="77777777" w:rsidTr="00120D51">
        <w:trPr>
          <w:trHeight w:val="258"/>
        </w:trPr>
        <w:tc>
          <w:tcPr>
            <w:tcW w:w="1420" w:type="pct"/>
            <w:shd w:val="clear" w:color="auto" w:fill="auto"/>
            <w:noWrap/>
            <w:vAlign w:val="bottom"/>
          </w:tcPr>
          <w:p w14:paraId="2809F626" w14:textId="77777777" w:rsidR="00C1693A" w:rsidRPr="00166361" w:rsidRDefault="00C1693A" w:rsidP="00120D51">
            <w:pPr>
              <w:rPr>
                <w:rFonts w:ascii="NimbusRomNo9L" w:hAnsi="NimbusRomNo9L"/>
                <w:spacing w:val="-20"/>
                <w:sz w:val="20"/>
                <w:lang w:val="en-US"/>
              </w:rPr>
            </w:pPr>
          </w:p>
        </w:tc>
        <w:tc>
          <w:tcPr>
            <w:tcW w:w="597" w:type="pct"/>
            <w:shd w:val="clear" w:color="auto" w:fill="auto"/>
            <w:noWrap/>
            <w:vAlign w:val="bottom"/>
          </w:tcPr>
          <w:p w14:paraId="2134E453" w14:textId="77777777" w:rsidR="00C1693A" w:rsidRPr="00166361" w:rsidRDefault="00C1693A" w:rsidP="00120D51">
            <w:pPr>
              <w:rPr>
                <w:rFonts w:ascii="NimbusRomNo9L" w:hAnsi="NimbusRomNo9L"/>
                <w:spacing w:val="-30"/>
                <w:sz w:val="20"/>
                <w:lang w:val="en-US"/>
              </w:rPr>
            </w:pPr>
            <w:r w:rsidRPr="00166361">
              <w:rPr>
                <w:rFonts w:ascii="NimbusRomNo9L" w:hAnsi="NimbusRomNo9L"/>
                <w:spacing w:val="-30"/>
                <w:sz w:val="20"/>
                <w:lang w:val="en-US"/>
              </w:rPr>
              <w:t>2</w:t>
            </w:r>
            <w:r w:rsidRPr="00166361">
              <w:rPr>
                <w:rFonts w:ascii="NimbusRomNo9L" w:hAnsi="NimbusRomNo9L"/>
                <w:spacing w:val="-30"/>
                <w:sz w:val="20"/>
                <w:vertAlign w:val="superscript"/>
                <w:lang w:val="en-US"/>
              </w:rPr>
              <w:t>nd</w:t>
            </w:r>
            <w:r w:rsidRPr="00166361">
              <w:rPr>
                <w:rFonts w:ascii="NimbusRomNo9L" w:hAnsi="NimbusRomNo9L"/>
                <w:spacing w:val="-30"/>
                <w:sz w:val="20"/>
                <w:lang w:val="en-US"/>
              </w:rPr>
              <w:t xml:space="preserve"> stage 2SLS</w:t>
            </w:r>
          </w:p>
        </w:tc>
        <w:tc>
          <w:tcPr>
            <w:tcW w:w="597" w:type="pct"/>
            <w:shd w:val="clear" w:color="auto" w:fill="auto"/>
            <w:noWrap/>
            <w:vAlign w:val="bottom"/>
          </w:tcPr>
          <w:p w14:paraId="052819CD" w14:textId="77777777" w:rsidR="00C1693A" w:rsidRPr="00166361" w:rsidRDefault="00C1693A" w:rsidP="00120D51">
            <w:pPr>
              <w:jc w:val="center"/>
              <w:rPr>
                <w:rFonts w:ascii="NimbusRomNo9L" w:hAnsi="NimbusRomNo9L"/>
                <w:spacing w:val="-20"/>
                <w:sz w:val="20"/>
                <w:lang w:val="en-US"/>
              </w:rPr>
            </w:pPr>
            <w:r w:rsidRPr="00166361">
              <w:rPr>
                <w:rFonts w:ascii="NimbusRomNo9L" w:hAnsi="NimbusRomNo9L"/>
                <w:spacing w:val="-20"/>
                <w:sz w:val="20"/>
                <w:lang w:val="en-US"/>
              </w:rPr>
              <w:t>SIVQR</w:t>
            </w:r>
          </w:p>
        </w:tc>
        <w:tc>
          <w:tcPr>
            <w:tcW w:w="597" w:type="pct"/>
            <w:shd w:val="clear" w:color="auto" w:fill="auto"/>
            <w:noWrap/>
            <w:vAlign w:val="bottom"/>
          </w:tcPr>
          <w:p w14:paraId="6E72722F" w14:textId="77777777" w:rsidR="00C1693A" w:rsidRPr="00166361" w:rsidRDefault="00C1693A" w:rsidP="00120D51">
            <w:pPr>
              <w:jc w:val="center"/>
              <w:rPr>
                <w:rFonts w:ascii="NimbusRomNo9L" w:hAnsi="NimbusRomNo9L"/>
                <w:spacing w:val="-20"/>
                <w:sz w:val="20"/>
                <w:lang w:val="en-US"/>
              </w:rPr>
            </w:pPr>
            <w:r w:rsidRPr="00166361">
              <w:rPr>
                <w:rFonts w:ascii="NimbusRomNo9L" w:hAnsi="NimbusRomNo9L"/>
                <w:spacing w:val="-20"/>
                <w:sz w:val="20"/>
                <w:lang w:val="en-US"/>
              </w:rPr>
              <w:t>SIVQR</w:t>
            </w:r>
          </w:p>
        </w:tc>
        <w:tc>
          <w:tcPr>
            <w:tcW w:w="597" w:type="pct"/>
            <w:shd w:val="clear" w:color="auto" w:fill="auto"/>
            <w:noWrap/>
            <w:vAlign w:val="bottom"/>
          </w:tcPr>
          <w:p w14:paraId="3793756D" w14:textId="77777777" w:rsidR="00C1693A" w:rsidRPr="00166361" w:rsidRDefault="00C1693A" w:rsidP="00120D51">
            <w:pPr>
              <w:jc w:val="center"/>
              <w:rPr>
                <w:rFonts w:ascii="NimbusRomNo9L" w:hAnsi="NimbusRomNo9L"/>
                <w:spacing w:val="-20"/>
                <w:sz w:val="20"/>
                <w:lang w:val="en-US"/>
              </w:rPr>
            </w:pPr>
            <w:r w:rsidRPr="00166361">
              <w:rPr>
                <w:rFonts w:ascii="NimbusRomNo9L" w:hAnsi="NimbusRomNo9L"/>
                <w:spacing w:val="-20"/>
                <w:sz w:val="20"/>
                <w:lang w:val="en-US"/>
              </w:rPr>
              <w:t>SIVQR</w:t>
            </w:r>
          </w:p>
        </w:tc>
        <w:tc>
          <w:tcPr>
            <w:tcW w:w="597" w:type="pct"/>
            <w:shd w:val="clear" w:color="auto" w:fill="auto"/>
            <w:noWrap/>
            <w:vAlign w:val="bottom"/>
          </w:tcPr>
          <w:p w14:paraId="2F0CB648" w14:textId="77777777" w:rsidR="00C1693A" w:rsidRPr="00166361" w:rsidRDefault="00C1693A" w:rsidP="00120D51">
            <w:pPr>
              <w:jc w:val="center"/>
              <w:rPr>
                <w:rFonts w:ascii="NimbusRomNo9L" w:hAnsi="NimbusRomNo9L"/>
                <w:spacing w:val="-20"/>
                <w:sz w:val="20"/>
                <w:lang w:val="en-US"/>
              </w:rPr>
            </w:pPr>
            <w:r w:rsidRPr="00166361">
              <w:rPr>
                <w:rFonts w:ascii="NimbusRomNo9L" w:hAnsi="NimbusRomNo9L"/>
                <w:spacing w:val="-20"/>
                <w:sz w:val="20"/>
                <w:lang w:val="en-US"/>
              </w:rPr>
              <w:t>SIVQR</w:t>
            </w:r>
          </w:p>
        </w:tc>
        <w:tc>
          <w:tcPr>
            <w:tcW w:w="594" w:type="pct"/>
            <w:shd w:val="clear" w:color="auto" w:fill="auto"/>
            <w:noWrap/>
            <w:vAlign w:val="bottom"/>
          </w:tcPr>
          <w:p w14:paraId="15B9C046" w14:textId="77777777" w:rsidR="00C1693A" w:rsidRPr="00166361" w:rsidRDefault="00C1693A" w:rsidP="00120D51">
            <w:pPr>
              <w:jc w:val="center"/>
              <w:rPr>
                <w:rFonts w:ascii="NimbusRomNo9L" w:hAnsi="NimbusRomNo9L"/>
                <w:spacing w:val="-20"/>
                <w:sz w:val="20"/>
                <w:lang w:val="en-US"/>
              </w:rPr>
            </w:pPr>
            <w:r w:rsidRPr="00166361">
              <w:rPr>
                <w:rFonts w:ascii="NimbusRomNo9L" w:hAnsi="NimbusRomNo9L"/>
                <w:spacing w:val="-20"/>
                <w:sz w:val="20"/>
                <w:lang w:val="en-US"/>
              </w:rPr>
              <w:t>SIVQR</w:t>
            </w:r>
          </w:p>
        </w:tc>
      </w:tr>
      <w:tr w:rsidR="00C1693A" w:rsidRPr="00166361" w14:paraId="125C8AC5" w14:textId="77777777" w:rsidTr="00120D51">
        <w:trPr>
          <w:trHeight w:val="258"/>
        </w:trPr>
        <w:tc>
          <w:tcPr>
            <w:tcW w:w="1420" w:type="pct"/>
            <w:shd w:val="clear" w:color="auto" w:fill="auto"/>
            <w:noWrap/>
            <w:vAlign w:val="bottom"/>
            <w:hideMark/>
          </w:tcPr>
          <w:p w14:paraId="58D49D9A" w14:textId="77777777" w:rsidR="00C1693A" w:rsidRPr="00166361" w:rsidRDefault="00C1693A" w:rsidP="00120D51">
            <w:pPr>
              <w:rPr>
                <w:rFonts w:ascii="NimbusRomNo9L" w:hAnsi="NimbusRomNo9L"/>
                <w:spacing w:val="-20"/>
                <w:sz w:val="20"/>
                <w:lang w:val="en-US"/>
              </w:rPr>
            </w:pPr>
            <w:r w:rsidRPr="00166361">
              <w:rPr>
                <w:rFonts w:ascii="NimbusRomNo9L" w:hAnsi="NimbusRomNo9L"/>
                <w:spacing w:val="-20"/>
                <w:sz w:val="20"/>
                <w:lang w:val="en-US"/>
              </w:rPr>
              <w:t>VARIABLES</w:t>
            </w:r>
          </w:p>
          <w:p w14:paraId="6FAF08EA" w14:textId="77777777" w:rsidR="00C1693A" w:rsidRPr="00166361" w:rsidRDefault="00C1693A" w:rsidP="00120D51">
            <w:pPr>
              <w:rPr>
                <w:rFonts w:ascii="NimbusRomNo9L" w:hAnsi="NimbusRomNo9L"/>
                <w:spacing w:val="-20"/>
                <w:sz w:val="20"/>
                <w:lang w:val="en-US"/>
              </w:rPr>
            </w:pPr>
          </w:p>
        </w:tc>
        <w:tc>
          <w:tcPr>
            <w:tcW w:w="597" w:type="pct"/>
            <w:shd w:val="clear" w:color="auto" w:fill="auto"/>
            <w:noWrap/>
            <w:vAlign w:val="bottom"/>
            <w:hideMark/>
          </w:tcPr>
          <w:p w14:paraId="28F5EF65" w14:textId="77777777" w:rsidR="00C1693A" w:rsidRPr="00166361" w:rsidRDefault="00C1693A" w:rsidP="00120D51">
            <w:pPr>
              <w:rPr>
                <w:rFonts w:ascii="NimbusRomNo9L" w:hAnsi="NimbusRomNo9L"/>
                <w:spacing w:val="-20"/>
                <w:sz w:val="20"/>
                <w:lang w:val="en-US"/>
              </w:rPr>
            </w:pPr>
            <w:r w:rsidRPr="00166361">
              <w:rPr>
                <w:rFonts w:ascii="NimbusRomNo9L" w:hAnsi="NimbusRomNo9L"/>
                <w:spacing w:val="-20"/>
                <w:sz w:val="20"/>
                <w:lang w:val="en-US"/>
              </w:rPr>
              <w:t>Rejections</w:t>
            </w:r>
          </w:p>
        </w:tc>
        <w:tc>
          <w:tcPr>
            <w:tcW w:w="597" w:type="pct"/>
            <w:shd w:val="clear" w:color="auto" w:fill="auto"/>
            <w:noWrap/>
            <w:vAlign w:val="bottom"/>
            <w:hideMark/>
          </w:tcPr>
          <w:p w14:paraId="7DEDCF3A" w14:textId="77777777" w:rsidR="00C1693A" w:rsidRPr="00166361" w:rsidRDefault="00C1693A" w:rsidP="00120D51">
            <w:pPr>
              <w:rPr>
                <w:rFonts w:ascii="NimbusRomNo9L" w:hAnsi="NimbusRomNo9L"/>
                <w:spacing w:val="-20"/>
                <w:sz w:val="20"/>
                <w:lang w:val="en-US"/>
              </w:rPr>
            </w:pPr>
            <w:r w:rsidRPr="00166361">
              <w:rPr>
                <w:rFonts w:ascii="NimbusRomNo9L" w:hAnsi="NimbusRomNo9L"/>
                <w:spacing w:val="-20"/>
                <w:sz w:val="20"/>
                <w:lang w:val="en-US"/>
              </w:rPr>
              <w:t>Rejections</w:t>
            </w:r>
          </w:p>
        </w:tc>
        <w:tc>
          <w:tcPr>
            <w:tcW w:w="597" w:type="pct"/>
            <w:shd w:val="clear" w:color="auto" w:fill="auto"/>
            <w:noWrap/>
            <w:vAlign w:val="bottom"/>
            <w:hideMark/>
          </w:tcPr>
          <w:p w14:paraId="2733E699" w14:textId="77777777" w:rsidR="00C1693A" w:rsidRPr="00166361" w:rsidRDefault="00C1693A" w:rsidP="00120D51">
            <w:pPr>
              <w:rPr>
                <w:rFonts w:ascii="NimbusRomNo9L" w:hAnsi="NimbusRomNo9L"/>
                <w:spacing w:val="-20"/>
                <w:sz w:val="20"/>
                <w:lang w:val="en-US"/>
              </w:rPr>
            </w:pPr>
            <w:r w:rsidRPr="00166361">
              <w:rPr>
                <w:rFonts w:ascii="NimbusRomNo9L" w:hAnsi="NimbusRomNo9L"/>
                <w:spacing w:val="-20"/>
                <w:sz w:val="20"/>
                <w:lang w:val="en-US"/>
              </w:rPr>
              <w:t>Rejections</w:t>
            </w:r>
          </w:p>
        </w:tc>
        <w:tc>
          <w:tcPr>
            <w:tcW w:w="597" w:type="pct"/>
            <w:shd w:val="clear" w:color="auto" w:fill="auto"/>
            <w:noWrap/>
            <w:vAlign w:val="bottom"/>
            <w:hideMark/>
          </w:tcPr>
          <w:p w14:paraId="0D223F3F" w14:textId="77777777" w:rsidR="00C1693A" w:rsidRPr="00166361" w:rsidRDefault="00C1693A" w:rsidP="00120D51">
            <w:pPr>
              <w:rPr>
                <w:rFonts w:ascii="NimbusRomNo9L" w:hAnsi="NimbusRomNo9L"/>
                <w:spacing w:val="-20"/>
                <w:sz w:val="20"/>
                <w:lang w:val="en-US"/>
              </w:rPr>
            </w:pPr>
            <w:r w:rsidRPr="00166361">
              <w:rPr>
                <w:rFonts w:ascii="NimbusRomNo9L" w:hAnsi="NimbusRomNo9L"/>
                <w:spacing w:val="-20"/>
                <w:sz w:val="20"/>
                <w:lang w:val="en-US"/>
              </w:rPr>
              <w:t>Rejections</w:t>
            </w:r>
          </w:p>
        </w:tc>
        <w:tc>
          <w:tcPr>
            <w:tcW w:w="597" w:type="pct"/>
            <w:shd w:val="clear" w:color="auto" w:fill="auto"/>
            <w:noWrap/>
            <w:vAlign w:val="bottom"/>
            <w:hideMark/>
          </w:tcPr>
          <w:p w14:paraId="75E1082F" w14:textId="77777777" w:rsidR="00C1693A" w:rsidRPr="00166361" w:rsidRDefault="00C1693A" w:rsidP="00120D51">
            <w:pPr>
              <w:rPr>
                <w:rFonts w:ascii="NimbusRomNo9L" w:hAnsi="NimbusRomNo9L"/>
                <w:spacing w:val="-20"/>
                <w:sz w:val="20"/>
                <w:lang w:val="en-US"/>
              </w:rPr>
            </w:pPr>
            <w:r w:rsidRPr="00166361">
              <w:rPr>
                <w:rFonts w:ascii="NimbusRomNo9L" w:hAnsi="NimbusRomNo9L"/>
                <w:spacing w:val="-20"/>
                <w:sz w:val="20"/>
                <w:lang w:val="en-US"/>
              </w:rPr>
              <w:t>Rejections</w:t>
            </w:r>
          </w:p>
        </w:tc>
        <w:tc>
          <w:tcPr>
            <w:tcW w:w="594" w:type="pct"/>
            <w:shd w:val="clear" w:color="auto" w:fill="auto"/>
            <w:noWrap/>
            <w:vAlign w:val="bottom"/>
            <w:hideMark/>
          </w:tcPr>
          <w:p w14:paraId="5503EB09" w14:textId="77777777" w:rsidR="00C1693A" w:rsidRPr="00166361" w:rsidRDefault="00C1693A" w:rsidP="00120D51">
            <w:pPr>
              <w:rPr>
                <w:rFonts w:ascii="NimbusRomNo9L" w:hAnsi="NimbusRomNo9L"/>
                <w:spacing w:val="-20"/>
                <w:sz w:val="20"/>
                <w:lang w:val="en-US"/>
              </w:rPr>
            </w:pPr>
            <w:r w:rsidRPr="00166361">
              <w:rPr>
                <w:rFonts w:ascii="NimbusRomNo9L" w:hAnsi="NimbusRomNo9L"/>
                <w:spacing w:val="-20"/>
                <w:sz w:val="20"/>
                <w:lang w:val="en-US"/>
              </w:rPr>
              <w:t>Rejections</w:t>
            </w:r>
          </w:p>
        </w:tc>
      </w:tr>
      <w:tr w:rsidR="00C1693A" w:rsidRPr="00B06468" w14:paraId="6E85BDC6" w14:textId="77777777" w:rsidTr="00120D51">
        <w:trPr>
          <w:trHeight w:val="258"/>
        </w:trPr>
        <w:tc>
          <w:tcPr>
            <w:tcW w:w="1420" w:type="pct"/>
            <w:shd w:val="clear" w:color="auto" w:fill="auto"/>
            <w:noWrap/>
            <w:vAlign w:val="bottom"/>
            <w:hideMark/>
          </w:tcPr>
          <w:p w14:paraId="03445A86" w14:textId="77777777" w:rsidR="00C1693A" w:rsidRPr="00166361" w:rsidRDefault="00C1693A" w:rsidP="00C1693A">
            <w:pPr>
              <w:rPr>
                <w:rFonts w:ascii="NimbusRomNo9L" w:hAnsi="NimbusRomNo9L"/>
                <w:spacing w:val="-20"/>
                <w:sz w:val="20"/>
                <w:lang w:val="en-US"/>
              </w:rPr>
            </w:pPr>
            <w:r w:rsidRPr="00032D13">
              <w:rPr>
                <w:rFonts w:ascii="NimbusRomNo9L" w:hAnsi="NimbusRomNo9L"/>
                <w:spacing w:val="-20"/>
                <w:sz w:val="20"/>
                <w:lang w:val="en-US"/>
              </w:rPr>
              <w:t>Lawyers/</w:t>
            </w:r>
            <w:r>
              <w:rPr>
                <w:rFonts w:ascii="NimbusRomNo9L" w:hAnsi="NimbusRomNo9L"/>
                <w:spacing w:val="-20"/>
                <w:sz w:val="20"/>
                <w:lang w:val="en-US"/>
              </w:rPr>
              <w:t xml:space="preserve">100.000 </w:t>
            </w:r>
            <w:r w:rsidRPr="00032D13">
              <w:rPr>
                <w:rFonts w:ascii="NimbusRomNo9L" w:hAnsi="NimbusRomNo9L"/>
                <w:spacing w:val="-20"/>
                <w:sz w:val="20"/>
                <w:lang w:val="en-US"/>
              </w:rPr>
              <w:t xml:space="preserve">inhabitants </w:t>
            </w:r>
          </w:p>
        </w:tc>
        <w:tc>
          <w:tcPr>
            <w:tcW w:w="597" w:type="pct"/>
            <w:shd w:val="clear" w:color="auto" w:fill="auto"/>
            <w:noWrap/>
            <w:hideMark/>
          </w:tcPr>
          <w:p w14:paraId="70516792" w14:textId="43BCBFFF"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0.0389***</w:t>
            </w:r>
          </w:p>
        </w:tc>
        <w:tc>
          <w:tcPr>
            <w:tcW w:w="597" w:type="pct"/>
            <w:shd w:val="clear" w:color="auto" w:fill="auto"/>
            <w:noWrap/>
            <w:hideMark/>
          </w:tcPr>
          <w:p w14:paraId="7DFF4246" w14:textId="18AB933B"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0.0327***</w:t>
            </w:r>
          </w:p>
        </w:tc>
        <w:tc>
          <w:tcPr>
            <w:tcW w:w="597" w:type="pct"/>
            <w:shd w:val="clear" w:color="auto" w:fill="auto"/>
            <w:noWrap/>
            <w:hideMark/>
          </w:tcPr>
          <w:p w14:paraId="449E8079" w14:textId="5C82A064"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0.0370***</w:t>
            </w:r>
          </w:p>
        </w:tc>
        <w:tc>
          <w:tcPr>
            <w:tcW w:w="597" w:type="pct"/>
            <w:shd w:val="clear" w:color="auto" w:fill="auto"/>
            <w:noWrap/>
            <w:hideMark/>
          </w:tcPr>
          <w:p w14:paraId="0FB38457" w14:textId="0BF39B25"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0.0400***</w:t>
            </w:r>
          </w:p>
        </w:tc>
        <w:tc>
          <w:tcPr>
            <w:tcW w:w="597" w:type="pct"/>
            <w:shd w:val="clear" w:color="auto" w:fill="auto"/>
            <w:noWrap/>
            <w:hideMark/>
          </w:tcPr>
          <w:p w14:paraId="74E8C409" w14:textId="08700E43"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0.0460***</w:t>
            </w:r>
          </w:p>
        </w:tc>
        <w:tc>
          <w:tcPr>
            <w:tcW w:w="594" w:type="pct"/>
            <w:shd w:val="clear" w:color="auto" w:fill="auto"/>
            <w:noWrap/>
            <w:hideMark/>
          </w:tcPr>
          <w:p w14:paraId="20B58395" w14:textId="1C3B8837"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0.0504**</w:t>
            </w:r>
          </w:p>
        </w:tc>
      </w:tr>
      <w:tr w:rsidR="00C1693A" w:rsidRPr="00B06468" w14:paraId="23E8381D" w14:textId="77777777" w:rsidTr="00120D51">
        <w:trPr>
          <w:trHeight w:val="258"/>
        </w:trPr>
        <w:tc>
          <w:tcPr>
            <w:tcW w:w="1420" w:type="pct"/>
            <w:shd w:val="clear" w:color="auto" w:fill="auto"/>
            <w:noWrap/>
            <w:hideMark/>
          </w:tcPr>
          <w:p w14:paraId="1BCE3C2F" w14:textId="77777777" w:rsidR="00C1693A" w:rsidRPr="00166361" w:rsidRDefault="00C1693A" w:rsidP="00C1693A">
            <w:pPr>
              <w:rPr>
                <w:rFonts w:ascii="NimbusRomNo9L" w:hAnsi="NimbusRomNo9L"/>
                <w:spacing w:val="-20"/>
                <w:sz w:val="20"/>
                <w:lang w:val="en-US"/>
              </w:rPr>
            </w:pPr>
          </w:p>
        </w:tc>
        <w:tc>
          <w:tcPr>
            <w:tcW w:w="597" w:type="pct"/>
            <w:shd w:val="clear" w:color="auto" w:fill="auto"/>
            <w:noWrap/>
            <w:hideMark/>
          </w:tcPr>
          <w:p w14:paraId="51E7963D" w14:textId="2706E840"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(0.0103)</w:t>
            </w:r>
          </w:p>
        </w:tc>
        <w:tc>
          <w:tcPr>
            <w:tcW w:w="597" w:type="pct"/>
            <w:shd w:val="clear" w:color="auto" w:fill="auto"/>
            <w:noWrap/>
            <w:hideMark/>
          </w:tcPr>
          <w:p w14:paraId="3C7B80B8" w14:textId="1AB4AFEC"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(0.00824)</w:t>
            </w:r>
          </w:p>
        </w:tc>
        <w:tc>
          <w:tcPr>
            <w:tcW w:w="597" w:type="pct"/>
            <w:shd w:val="clear" w:color="auto" w:fill="auto"/>
            <w:noWrap/>
            <w:hideMark/>
          </w:tcPr>
          <w:p w14:paraId="6905F586" w14:textId="0C245D2A"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(0.00810)</w:t>
            </w:r>
          </w:p>
        </w:tc>
        <w:tc>
          <w:tcPr>
            <w:tcW w:w="597" w:type="pct"/>
            <w:shd w:val="clear" w:color="auto" w:fill="auto"/>
            <w:noWrap/>
            <w:hideMark/>
          </w:tcPr>
          <w:p w14:paraId="24A8F7FD" w14:textId="0649F0DD"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(0.00946)</w:t>
            </w:r>
          </w:p>
        </w:tc>
        <w:tc>
          <w:tcPr>
            <w:tcW w:w="597" w:type="pct"/>
            <w:shd w:val="clear" w:color="auto" w:fill="auto"/>
            <w:noWrap/>
            <w:hideMark/>
          </w:tcPr>
          <w:p w14:paraId="013E6461" w14:textId="5B6EE5E7"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(0.0160)</w:t>
            </w:r>
          </w:p>
        </w:tc>
        <w:tc>
          <w:tcPr>
            <w:tcW w:w="594" w:type="pct"/>
            <w:shd w:val="clear" w:color="auto" w:fill="auto"/>
            <w:noWrap/>
            <w:hideMark/>
          </w:tcPr>
          <w:p w14:paraId="519D8AF2" w14:textId="0C8AFCC3"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(0.0201)</w:t>
            </w:r>
          </w:p>
        </w:tc>
      </w:tr>
      <w:tr w:rsidR="00C1693A" w:rsidRPr="00B06468" w14:paraId="29597EA9" w14:textId="77777777" w:rsidTr="00120D51">
        <w:trPr>
          <w:trHeight w:val="258"/>
        </w:trPr>
        <w:tc>
          <w:tcPr>
            <w:tcW w:w="1420" w:type="pct"/>
            <w:shd w:val="clear" w:color="auto" w:fill="F2F2F2" w:themeFill="background1" w:themeFillShade="F2"/>
            <w:noWrap/>
            <w:vAlign w:val="bottom"/>
            <w:hideMark/>
          </w:tcPr>
          <w:p w14:paraId="1EBD7971" w14:textId="77777777" w:rsidR="00C1693A" w:rsidRPr="00166361" w:rsidRDefault="00C1693A" w:rsidP="00C1693A">
            <w:pPr>
              <w:rPr>
                <w:rFonts w:ascii="NimbusRomNo9L" w:hAnsi="NimbusRomNo9L"/>
                <w:spacing w:val="-20"/>
                <w:sz w:val="20"/>
                <w:lang w:val="en-US"/>
              </w:rPr>
            </w:pPr>
            <w:r w:rsidRPr="00032D13">
              <w:rPr>
                <w:rFonts w:ascii="NimbusRomNo9L" w:hAnsi="NimbusRomNo9L"/>
                <w:spacing w:val="-20"/>
                <w:sz w:val="20"/>
                <w:lang w:val="en-US"/>
              </w:rPr>
              <w:t>Backlogs rate</w:t>
            </w:r>
          </w:p>
        </w:tc>
        <w:tc>
          <w:tcPr>
            <w:tcW w:w="597" w:type="pct"/>
            <w:shd w:val="clear" w:color="auto" w:fill="F2F2F2" w:themeFill="background1" w:themeFillShade="F2"/>
            <w:noWrap/>
            <w:hideMark/>
          </w:tcPr>
          <w:p w14:paraId="65E8B3C6" w14:textId="2CB55F85"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-0.0258***</w:t>
            </w:r>
          </w:p>
        </w:tc>
        <w:tc>
          <w:tcPr>
            <w:tcW w:w="597" w:type="pct"/>
            <w:shd w:val="clear" w:color="auto" w:fill="F2F2F2" w:themeFill="background1" w:themeFillShade="F2"/>
            <w:noWrap/>
            <w:hideMark/>
          </w:tcPr>
          <w:p w14:paraId="2B4596F6" w14:textId="3489C279"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-0.0223**</w:t>
            </w:r>
          </w:p>
        </w:tc>
        <w:tc>
          <w:tcPr>
            <w:tcW w:w="597" w:type="pct"/>
            <w:shd w:val="clear" w:color="auto" w:fill="F2F2F2" w:themeFill="background1" w:themeFillShade="F2"/>
            <w:noWrap/>
            <w:hideMark/>
          </w:tcPr>
          <w:p w14:paraId="27BD21A7" w14:textId="4109452B"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-0.0182***</w:t>
            </w:r>
          </w:p>
        </w:tc>
        <w:tc>
          <w:tcPr>
            <w:tcW w:w="597" w:type="pct"/>
            <w:shd w:val="clear" w:color="auto" w:fill="F2F2F2" w:themeFill="background1" w:themeFillShade="F2"/>
            <w:noWrap/>
            <w:hideMark/>
          </w:tcPr>
          <w:p w14:paraId="1DC0C5AF" w14:textId="3343F7FA"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-0.0181**</w:t>
            </w:r>
          </w:p>
        </w:tc>
        <w:tc>
          <w:tcPr>
            <w:tcW w:w="597" w:type="pct"/>
            <w:shd w:val="clear" w:color="auto" w:fill="F2F2F2" w:themeFill="background1" w:themeFillShade="F2"/>
            <w:noWrap/>
            <w:hideMark/>
          </w:tcPr>
          <w:p w14:paraId="076C7F07" w14:textId="2A7E0A25"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-0.0201**</w:t>
            </w:r>
          </w:p>
        </w:tc>
        <w:tc>
          <w:tcPr>
            <w:tcW w:w="594" w:type="pct"/>
            <w:shd w:val="clear" w:color="auto" w:fill="F2F2F2" w:themeFill="background1" w:themeFillShade="F2"/>
            <w:noWrap/>
            <w:hideMark/>
          </w:tcPr>
          <w:p w14:paraId="6851E8B6" w14:textId="0C52C460"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-0.0266***</w:t>
            </w:r>
          </w:p>
        </w:tc>
      </w:tr>
      <w:tr w:rsidR="00C1693A" w:rsidRPr="00B06468" w14:paraId="041CDA41" w14:textId="77777777" w:rsidTr="00120D51">
        <w:trPr>
          <w:trHeight w:val="258"/>
        </w:trPr>
        <w:tc>
          <w:tcPr>
            <w:tcW w:w="1420" w:type="pct"/>
            <w:shd w:val="clear" w:color="auto" w:fill="F2F2F2" w:themeFill="background1" w:themeFillShade="F2"/>
            <w:noWrap/>
            <w:hideMark/>
          </w:tcPr>
          <w:p w14:paraId="695CEC7D" w14:textId="77777777" w:rsidR="00C1693A" w:rsidRPr="00166361" w:rsidRDefault="00C1693A" w:rsidP="00C1693A">
            <w:pPr>
              <w:rPr>
                <w:rFonts w:ascii="NimbusRomNo9L" w:hAnsi="NimbusRomNo9L"/>
                <w:spacing w:val="-20"/>
                <w:sz w:val="20"/>
                <w:lang w:val="en-US"/>
              </w:rPr>
            </w:pPr>
          </w:p>
        </w:tc>
        <w:tc>
          <w:tcPr>
            <w:tcW w:w="597" w:type="pct"/>
            <w:shd w:val="clear" w:color="auto" w:fill="F2F2F2" w:themeFill="background1" w:themeFillShade="F2"/>
            <w:noWrap/>
            <w:hideMark/>
          </w:tcPr>
          <w:p w14:paraId="2CE9621C" w14:textId="7C9793DB"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(0.00777)</w:t>
            </w:r>
          </w:p>
        </w:tc>
        <w:tc>
          <w:tcPr>
            <w:tcW w:w="597" w:type="pct"/>
            <w:shd w:val="clear" w:color="auto" w:fill="F2F2F2" w:themeFill="background1" w:themeFillShade="F2"/>
            <w:noWrap/>
            <w:hideMark/>
          </w:tcPr>
          <w:p w14:paraId="106598D4" w14:textId="2EBA8A09"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(0.00886)</w:t>
            </w:r>
          </w:p>
        </w:tc>
        <w:tc>
          <w:tcPr>
            <w:tcW w:w="597" w:type="pct"/>
            <w:shd w:val="clear" w:color="auto" w:fill="F2F2F2" w:themeFill="background1" w:themeFillShade="F2"/>
            <w:noWrap/>
            <w:hideMark/>
          </w:tcPr>
          <w:p w14:paraId="24A4A986" w14:textId="661EA7A1"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(0.00681)</w:t>
            </w:r>
          </w:p>
        </w:tc>
        <w:tc>
          <w:tcPr>
            <w:tcW w:w="597" w:type="pct"/>
            <w:shd w:val="clear" w:color="auto" w:fill="F2F2F2" w:themeFill="background1" w:themeFillShade="F2"/>
            <w:noWrap/>
            <w:hideMark/>
          </w:tcPr>
          <w:p w14:paraId="5C084F79" w14:textId="62167E9A"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(0.00870)</w:t>
            </w:r>
          </w:p>
        </w:tc>
        <w:tc>
          <w:tcPr>
            <w:tcW w:w="597" w:type="pct"/>
            <w:shd w:val="clear" w:color="auto" w:fill="F2F2F2" w:themeFill="background1" w:themeFillShade="F2"/>
            <w:noWrap/>
            <w:hideMark/>
          </w:tcPr>
          <w:p w14:paraId="45DDADF9" w14:textId="6EF50217"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(0.00951)</w:t>
            </w:r>
          </w:p>
        </w:tc>
        <w:tc>
          <w:tcPr>
            <w:tcW w:w="594" w:type="pct"/>
            <w:shd w:val="clear" w:color="auto" w:fill="F2F2F2" w:themeFill="background1" w:themeFillShade="F2"/>
            <w:noWrap/>
            <w:hideMark/>
          </w:tcPr>
          <w:p w14:paraId="6467FB34" w14:textId="60281863"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(0.00917)</w:t>
            </w:r>
          </w:p>
        </w:tc>
      </w:tr>
      <w:tr w:rsidR="00C1693A" w:rsidRPr="00B06468" w14:paraId="6607A4CF" w14:textId="77777777" w:rsidTr="00120D51">
        <w:trPr>
          <w:trHeight w:val="258"/>
        </w:trPr>
        <w:tc>
          <w:tcPr>
            <w:tcW w:w="1420" w:type="pct"/>
            <w:shd w:val="clear" w:color="auto" w:fill="auto"/>
            <w:noWrap/>
            <w:vAlign w:val="bottom"/>
            <w:hideMark/>
          </w:tcPr>
          <w:p w14:paraId="61ED935A" w14:textId="77777777" w:rsidR="00C1693A" w:rsidRPr="00166361" w:rsidRDefault="00C1693A" w:rsidP="00C1693A">
            <w:pPr>
              <w:rPr>
                <w:rFonts w:ascii="NimbusRomNo9L" w:hAnsi="NimbusRomNo9L"/>
                <w:spacing w:val="-20"/>
                <w:sz w:val="20"/>
                <w:lang w:val="en-US"/>
              </w:rPr>
            </w:pPr>
            <w:r w:rsidRPr="00032D13">
              <w:rPr>
                <w:rFonts w:ascii="NimbusRomNo9L" w:hAnsi="NimbusRomNo9L"/>
                <w:spacing w:val="-20"/>
                <w:sz w:val="20"/>
                <w:lang w:val="en-US"/>
              </w:rPr>
              <w:t>Withdrawal rate</w:t>
            </w:r>
          </w:p>
        </w:tc>
        <w:tc>
          <w:tcPr>
            <w:tcW w:w="597" w:type="pct"/>
            <w:shd w:val="clear" w:color="auto" w:fill="auto"/>
            <w:noWrap/>
            <w:hideMark/>
          </w:tcPr>
          <w:p w14:paraId="723AD62F" w14:textId="1324A777"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0.509***</w:t>
            </w:r>
          </w:p>
        </w:tc>
        <w:tc>
          <w:tcPr>
            <w:tcW w:w="597" w:type="pct"/>
            <w:shd w:val="clear" w:color="auto" w:fill="auto"/>
            <w:noWrap/>
            <w:hideMark/>
          </w:tcPr>
          <w:p w14:paraId="5637B7E4" w14:textId="2F75A1ED"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0.388***</w:t>
            </w:r>
          </w:p>
        </w:tc>
        <w:tc>
          <w:tcPr>
            <w:tcW w:w="597" w:type="pct"/>
            <w:shd w:val="clear" w:color="auto" w:fill="auto"/>
            <w:noWrap/>
            <w:hideMark/>
          </w:tcPr>
          <w:p w14:paraId="3296988B" w14:textId="5FBE37CD"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0.406***</w:t>
            </w:r>
          </w:p>
        </w:tc>
        <w:tc>
          <w:tcPr>
            <w:tcW w:w="597" w:type="pct"/>
            <w:shd w:val="clear" w:color="auto" w:fill="auto"/>
            <w:noWrap/>
            <w:hideMark/>
          </w:tcPr>
          <w:p w14:paraId="5666E9DB" w14:textId="18A0A44D"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0.459***</w:t>
            </w:r>
          </w:p>
        </w:tc>
        <w:tc>
          <w:tcPr>
            <w:tcW w:w="597" w:type="pct"/>
            <w:shd w:val="clear" w:color="auto" w:fill="auto"/>
            <w:noWrap/>
            <w:hideMark/>
          </w:tcPr>
          <w:p w14:paraId="45265CD6" w14:textId="5A5F55B8"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0.530***</w:t>
            </w:r>
          </w:p>
        </w:tc>
        <w:tc>
          <w:tcPr>
            <w:tcW w:w="594" w:type="pct"/>
            <w:shd w:val="clear" w:color="auto" w:fill="auto"/>
            <w:noWrap/>
            <w:hideMark/>
          </w:tcPr>
          <w:p w14:paraId="6BC45542" w14:textId="3D3C246F"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0.581***</w:t>
            </w:r>
          </w:p>
        </w:tc>
      </w:tr>
      <w:tr w:rsidR="00C1693A" w:rsidRPr="00B06468" w14:paraId="62DCE481" w14:textId="77777777" w:rsidTr="00120D51">
        <w:trPr>
          <w:trHeight w:val="258"/>
        </w:trPr>
        <w:tc>
          <w:tcPr>
            <w:tcW w:w="1420" w:type="pct"/>
            <w:shd w:val="clear" w:color="auto" w:fill="auto"/>
            <w:noWrap/>
            <w:hideMark/>
          </w:tcPr>
          <w:p w14:paraId="4E4A7F53" w14:textId="77777777" w:rsidR="00C1693A" w:rsidRPr="00166361" w:rsidRDefault="00C1693A" w:rsidP="00C1693A">
            <w:pPr>
              <w:rPr>
                <w:rFonts w:ascii="NimbusRomNo9L" w:hAnsi="NimbusRomNo9L"/>
                <w:spacing w:val="-20"/>
                <w:sz w:val="20"/>
                <w:lang w:val="en-US"/>
              </w:rPr>
            </w:pPr>
          </w:p>
        </w:tc>
        <w:tc>
          <w:tcPr>
            <w:tcW w:w="597" w:type="pct"/>
            <w:shd w:val="clear" w:color="auto" w:fill="auto"/>
            <w:noWrap/>
            <w:hideMark/>
          </w:tcPr>
          <w:p w14:paraId="1B038319" w14:textId="297989E6"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(0.0590)</w:t>
            </w:r>
          </w:p>
        </w:tc>
        <w:tc>
          <w:tcPr>
            <w:tcW w:w="597" w:type="pct"/>
            <w:shd w:val="clear" w:color="auto" w:fill="auto"/>
            <w:noWrap/>
            <w:hideMark/>
          </w:tcPr>
          <w:p w14:paraId="70C917CB" w14:textId="032EAF01"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(0.0424)</w:t>
            </w:r>
          </w:p>
        </w:tc>
        <w:tc>
          <w:tcPr>
            <w:tcW w:w="597" w:type="pct"/>
            <w:shd w:val="clear" w:color="auto" w:fill="auto"/>
            <w:noWrap/>
            <w:hideMark/>
          </w:tcPr>
          <w:p w14:paraId="6DA2AC0C" w14:textId="6007B8D8"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(0.0408)</w:t>
            </w:r>
          </w:p>
        </w:tc>
        <w:tc>
          <w:tcPr>
            <w:tcW w:w="597" w:type="pct"/>
            <w:shd w:val="clear" w:color="auto" w:fill="auto"/>
            <w:noWrap/>
            <w:hideMark/>
          </w:tcPr>
          <w:p w14:paraId="14AF3861" w14:textId="169A2060"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(0.0429)</w:t>
            </w:r>
          </w:p>
        </w:tc>
        <w:tc>
          <w:tcPr>
            <w:tcW w:w="597" w:type="pct"/>
            <w:shd w:val="clear" w:color="auto" w:fill="auto"/>
            <w:noWrap/>
            <w:hideMark/>
          </w:tcPr>
          <w:p w14:paraId="2112A9FF" w14:textId="6492ECF0"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(0.107)</w:t>
            </w:r>
          </w:p>
        </w:tc>
        <w:tc>
          <w:tcPr>
            <w:tcW w:w="594" w:type="pct"/>
            <w:shd w:val="clear" w:color="auto" w:fill="auto"/>
            <w:noWrap/>
            <w:hideMark/>
          </w:tcPr>
          <w:p w14:paraId="64105D6C" w14:textId="437D3CA1"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(0.125)</w:t>
            </w:r>
          </w:p>
        </w:tc>
      </w:tr>
      <w:tr w:rsidR="00C1693A" w:rsidRPr="00B06468" w14:paraId="2E570CD8" w14:textId="77777777" w:rsidTr="00120D51">
        <w:trPr>
          <w:trHeight w:val="258"/>
        </w:trPr>
        <w:tc>
          <w:tcPr>
            <w:tcW w:w="1420" w:type="pct"/>
            <w:shd w:val="clear" w:color="auto" w:fill="F2F2F2" w:themeFill="background1" w:themeFillShade="F2"/>
            <w:noWrap/>
            <w:vAlign w:val="bottom"/>
            <w:hideMark/>
          </w:tcPr>
          <w:p w14:paraId="4F3714C2" w14:textId="77777777" w:rsidR="00C1693A" w:rsidRPr="00166361" w:rsidRDefault="00C1693A" w:rsidP="00C1693A">
            <w:pPr>
              <w:rPr>
                <w:rFonts w:ascii="NimbusRomNo9L" w:hAnsi="NimbusRomNo9L"/>
                <w:spacing w:val="-20"/>
                <w:sz w:val="20"/>
                <w:lang w:val="en-US"/>
              </w:rPr>
            </w:pPr>
            <w:r w:rsidRPr="00032D13">
              <w:rPr>
                <w:rFonts w:ascii="NimbusRomNo9L" w:hAnsi="NimbusRomNo9L"/>
                <w:spacing w:val="-20"/>
                <w:sz w:val="20"/>
                <w:lang w:val="en-US"/>
              </w:rPr>
              <w:t>Duration of cases (in months)</w:t>
            </w:r>
          </w:p>
        </w:tc>
        <w:tc>
          <w:tcPr>
            <w:tcW w:w="597" w:type="pct"/>
            <w:shd w:val="clear" w:color="auto" w:fill="F2F2F2" w:themeFill="background1" w:themeFillShade="F2"/>
            <w:noWrap/>
            <w:hideMark/>
          </w:tcPr>
          <w:p w14:paraId="0F2445E6" w14:textId="2D274076"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0.163</w:t>
            </w:r>
          </w:p>
        </w:tc>
        <w:tc>
          <w:tcPr>
            <w:tcW w:w="597" w:type="pct"/>
            <w:shd w:val="clear" w:color="auto" w:fill="F2F2F2" w:themeFill="background1" w:themeFillShade="F2"/>
            <w:noWrap/>
            <w:hideMark/>
          </w:tcPr>
          <w:p w14:paraId="7D9A3FD9" w14:textId="2B2A5D4F"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0.149</w:t>
            </w:r>
          </w:p>
        </w:tc>
        <w:tc>
          <w:tcPr>
            <w:tcW w:w="597" w:type="pct"/>
            <w:shd w:val="clear" w:color="auto" w:fill="F2F2F2" w:themeFill="background1" w:themeFillShade="F2"/>
            <w:noWrap/>
            <w:hideMark/>
          </w:tcPr>
          <w:p w14:paraId="219069FC" w14:textId="269C290E"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0.130</w:t>
            </w:r>
          </w:p>
        </w:tc>
        <w:tc>
          <w:tcPr>
            <w:tcW w:w="597" w:type="pct"/>
            <w:shd w:val="clear" w:color="auto" w:fill="F2F2F2" w:themeFill="background1" w:themeFillShade="F2"/>
            <w:noWrap/>
            <w:hideMark/>
          </w:tcPr>
          <w:p w14:paraId="3C3EAFA8" w14:textId="55E4D960"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0.119</w:t>
            </w:r>
          </w:p>
        </w:tc>
        <w:tc>
          <w:tcPr>
            <w:tcW w:w="597" w:type="pct"/>
            <w:shd w:val="clear" w:color="auto" w:fill="F2F2F2" w:themeFill="background1" w:themeFillShade="F2"/>
            <w:noWrap/>
            <w:hideMark/>
          </w:tcPr>
          <w:p w14:paraId="4BE581F8" w14:textId="4EFA3B8F"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0.121</w:t>
            </w:r>
          </w:p>
        </w:tc>
        <w:tc>
          <w:tcPr>
            <w:tcW w:w="594" w:type="pct"/>
            <w:shd w:val="clear" w:color="auto" w:fill="F2F2F2" w:themeFill="background1" w:themeFillShade="F2"/>
            <w:noWrap/>
            <w:hideMark/>
          </w:tcPr>
          <w:p w14:paraId="3EB7DAF0" w14:textId="54D0D6CB"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0.0700</w:t>
            </w:r>
          </w:p>
        </w:tc>
      </w:tr>
      <w:tr w:rsidR="00C1693A" w:rsidRPr="00B06468" w14:paraId="5B4A2B57" w14:textId="77777777" w:rsidTr="00120D51">
        <w:trPr>
          <w:trHeight w:val="258"/>
        </w:trPr>
        <w:tc>
          <w:tcPr>
            <w:tcW w:w="1420" w:type="pct"/>
            <w:shd w:val="clear" w:color="auto" w:fill="F2F2F2" w:themeFill="background1" w:themeFillShade="F2"/>
            <w:noWrap/>
            <w:hideMark/>
          </w:tcPr>
          <w:p w14:paraId="5C948446" w14:textId="77777777" w:rsidR="00C1693A" w:rsidRPr="00166361" w:rsidRDefault="00C1693A" w:rsidP="00C1693A">
            <w:pPr>
              <w:rPr>
                <w:rFonts w:ascii="NimbusRomNo9L" w:hAnsi="NimbusRomNo9L"/>
                <w:spacing w:val="-20"/>
                <w:sz w:val="20"/>
                <w:lang w:val="en-US"/>
              </w:rPr>
            </w:pPr>
          </w:p>
        </w:tc>
        <w:tc>
          <w:tcPr>
            <w:tcW w:w="597" w:type="pct"/>
            <w:shd w:val="clear" w:color="auto" w:fill="F2F2F2" w:themeFill="background1" w:themeFillShade="F2"/>
            <w:noWrap/>
            <w:hideMark/>
          </w:tcPr>
          <w:p w14:paraId="48A3480C" w14:textId="5534ECFE"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(0.118)</w:t>
            </w:r>
          </w:p>
        </w:tc>
        <w:tc>
          <w:tcPr>
            <w:tcW w:w="597" w:type="pct"/>
            <w:shd w:val="clear" w:color="auto" w:fill="F2F2F2" w:themeFill="background1" w:themeFillShade="F2"/>
            <w:noWrap/>
            <w:hideMark/>
          </w:tcPr>
          <w:p w14:paraId="3B0FCD4D" w14:textId="18FB6DDD"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(0.114)</w:t>
            </w:r>
          </w:p>
        </w:tc>
        <w:tc>
          <w:tcPr>
            <w:tcW w:w="597" w:type="pct"/>
            <w:shd w:val="clear" w:color="auto" w:fill="F2F2F2" w:themeFill="background1" w:themeFillShade="F2"/>
            <w:noWrap/>
            <w:hideMark/>
          </w:tcPr>
          <w:p w14:paraId="6843CDC0" w14:textId="59FB3263"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(0.0815)</w:t>
            </w:r>
          </w:p>
        </w:tc>
        <w:tc>
          <w:tcPr>
            <w:tcW w:w="597" w:type="pct"/>
            <w:shd w:val="clear" w:color="auto" w:fill="F2F2F2" w:themeFill="background1" w:themeFillShade="F2"/>
            <w:noWrap/>
            <w:hideMark/>
          </w:tcPr>
          <w:p w14:paraId="0C39233B" w14:textId="7A01FDD4"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(0.124)</w:t>
            </w:r>
          </w:p>
        </w:tc>
        <w:tc>
          <w:tcPr>
            <w:tcW w:w="597" w:type="pct"/>
            <w:shd w:val="clear" w:color="auto" w:fill="F2F2F2" w:themeFill="background1" w:themeFillShade="F2"/>
            <w:noWrap/>
            <w:hideMark/>
          </w:tcPr>
          <w:p w14:paraId="0709582B" w14:textId="2540140E"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(0.127)</w:t>
            </w:r>
          </w:p>
        </w:tc>
        <w:tc>
          <w:tcPr>
            <w:tcW w:w="594" w:type="pct"/>
            <w:shd w:val="clear" w:color="auto" w:fill="F2F2F2" w:themeFill="background1" w:themeFillShade="F2"/>
            <w:noWrap/>
            <w:hideMark/>
          </w:tcPr>
          <w:p w14:paraId="0C8812E9" w14:textId="21111A1C"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(0.108)</w:t>
            </w:r>
          </w:p>
        </w:tc>
      </w:tr>
      <w:tr w:rsidR="00C1693A" w:rsidRPr="00B06468" w14:paraId="34E9C13A" w14:textId="77777777" w:rsidTr="00120D51">
        <w:trPr>
          <w:trHeight w:val="258"/>
        </w:trPr>
        <w:tc>
          <w:tcPr>
            <w:tcW w:w="1420" w:type="pct"/>
            <w:shd w:val="clear" w:color="auto" w:fill="auto"/>
            <w:noWrap/>
            <w:hideMark/>
          </w:tcPr>
          <w:p w14:paraId="476D995F" w14:textId="77777777" w:rsidR="00C1693A" w:rsidRPr="00166361" w:rsidRDefault="00C1693A" w:rsidP="00C1693A">
            <w:pPr>
              <w:rPr>
                <w:rFonts w:ascii="NimbusRomNo9L" w:hAnsi="NimbusRomNo9L"/>
                <w:spacing w:val="-20"/>
                <w:sz w:val="20"/>
                <w:lang w:val="en-US"/>
              </w:rPr>
            </w:pPr>
            <w:r w:rsidRPr="00032D13">
              <w:rPr>
                <w:rFonts w:ascii="NimbusRomNo9L" w:hAnsi="NimbusRomNo9L"/>
                <w:spacing w:val="-20"/>
                <w:sz w:val="20"/>
                <w:lang w:val="en-US"/>
              </w:rPr>
              <w:t>Population density</w:t>
            </w:r>
          </w:p>
        </w:tc>
        <w:tc>
          <w:tcPr>
            <w:tcW w:w="597" w:type="pct"/>
            <w:shd w:val="clear" w:color="auto" w:fill="auto"/>
            <w:noWrap/>
            <w:hideMark/>
          </w:tcPr>
          <w:p w14:paraId="52A1B983" w14:textId="70591C4A"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-0.000267*</w:t>
            </w:r>
          </w:p>
        </w:tc>
        <w:tc>
          <w:tcPr>
            <w:tcW w:w="597" w:type="pct"/>
            <w:shd w:val="clear" w:color="auto" w:fill="auto"/>
            <w:noWrap/>
            <w:hideMark/>
          </w:tcPr>
          <w:p w14:paraId="2156B4ED" w14:textId="6A9E0C26"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-0.000107</w:t>
            </w:r>
          </w:p>
        </w:tc>
        <w:tc>
          <w:tcPr>
            <w:tcW w:w="597" w:type="pct"/>
            <w:shd w:val="clear" w:color="auto" w:fill="auto"/>
            <w:noWrap/>
            <w:hideMark/>
          </w:tcPr>
          <w:p w14:paraId="1667B5E0" w14:textId="0B5A8C66"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-0.000186*</w:t>
            </w:r>
          </w:p>
        </w:tc>
        <w:tc>
          <w:tcPr>
            <w:tcW w:w="597" w:type="pct"/>
            <w:shd w:val="clear" w:color="auto" w:fill="auto"/>
            <w:noWrap/>
            <w:hideMark/>
          </w:tcPr>
          <w:p w14:paraId="23B91AAF" w14:textId="560A69D7"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-0.000243</w:t>
            </w:r>
          </w:p>
        </w:tc>
        <w:tc>
          <w:tcPr>
            <w:tcW w:w="597" w:type="pct"/>
            <w:shd w:val="clear" w:color="auto" w:fill="auto"/>
            <w:noWrap/>
            <w:hideMark/>
          </w:tcPr>
          <w:p w14:paraId="0F4169EB" w14:textId="41F83A5E"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-0.000387**</w:t>
            </w:r>
          </w:p>
        </w:tc>
        <w:tc>
          <w:tcPr>
            <w:tcW w:w="594" w:type="pct"/>
            <w:shd w:val="clear" w:color="auto" w:fill="auto"/>
            <w:noWrap/>
            <w:hideMark/>
          </w:tcPr>
          <w:p w14:paraId="5B8914A4" w14:textId="486975DE"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-0.000540*</w:t>
            </w:r>
          </w:p>
        </w:tc>
      </w:tr>
      <w:tr w:rsidR="00C1693A" w:rsidRPr="00B06468" w14:paraId="1A7A0810" w14:textId="77777777" w:rsidTr="00120D51">
        <w:trPr>
          <w:trHeight w:val="258"/>
        </w:trPr>
        <w:tc>
          <w:tcPr>
            <w:tcW w:w="1420" w:type="pct"/>
            <w:shd w:val="clear" w:color="auto" w:fill="auto"/>
            <w:noWrap/>
            <w:hideMark/>
          </w:tcPr>
          <w:p w14:paraId="06A6AC42" w14:textId="77777777" w:rsidR="00C1693A" w:rsidRPr="00166361" w:rsidRDefault="00C1693A" w:rsidP="00C1693A">
            <w:pPr>
              <w:rPr>
                <w:rFonts w:ascii="NimbusRomNo9L" w:hAnsi="NimbusRomNo9L"/>
                <w:spacing w:val="-20"/>
                <w:sz w:val="20"/>
                <w:lang w:val="en-US"/>
              </w:rPr>
            </w:pPr>
          </w:p>
        </w:tc>
        <w:tc>
          <w:tcPr>
            <w:tcW w:w="597" w:type="pct"/>
            <w:shd w:val="clear" w:color="auto" w:fill="auto"/>
            <w:noWrap/>
            <w:hideMark/>
          </w:tcPr>
          <w:p w14:paraId="432B1FD1" w14:textId="52FB61AB"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(0.000160)</w:t>
            </w:r>
          </w:p>
        </w:tc>
        <w:tc>
          <w:tcPr>
            <w:tcW w:w="597" w:type="pct"/>
            <w:shd w:val="clear" w:color="auto" w:fill="auto"/>
            <w:noWrap/>
            <w:hideMark/>
          </w:tcPr>
          <w:p w14:paraId="68706579" w14:textId="4E8D6577"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(0.000117)</w:t>
            </w:r>
          </w:p>
        </w:tc>
        <w:tc>
          <w:tcPr>
            <w:tcW w:w="597" w:type="pct"/>
            <w:shd w:val="clear" w:color="auto" w:fill="auto"/>
            <w:noWrap/>
            <w:hideMark/>
          </w:tcPr>
          <w:p w14:paraId="3AF1B6E9" w14:textId="6F70DC73"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(0.000102)</w:t>
            </w:r>
          </w:p>
        </w:tc>
        <w:tc>
          <w:tcPr>
            <w:tcW w:w="597" w:type="pct"/>
            <w:shd w:val="clear" w:color="auto" w:fill="auto"/>
            <w:noWrap/>
            <w:hideMark/>
          </w:tcPr>
          <w:p w14:paraId="6602EE52" w14:textId="6557F831"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(0.000148)</w:t>
            </w:r>
          </w:p>
        </w:tc>
        <w:tc>
          <w:tcPr>
            <w:tcW w:w="597" w:type="pct"/>
            <w:shd w:val="clear" w:color="auto" w:fill="auto"/>
            <w:noWrap/>
            <w:hideMark/>
          </w:tcPr>
          <w:p w14:paraId="197DAC4A" w14:textId="7EAE35F1"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(0.000191)</w:t>
            </w:r>
          </w:p>
        </w:tc>
        <w:tc>
          <w:tcPr>
            <w:tcW w:w="594" w:type="pct"/>
            <w:shd w:val="clear" w:color="auto" w:fill="auto"/>
            <w:noWrap/>
            <w:hideMark/>
          </w:tcPr>
          <w:p w14:paraId="054746F6" w14:textId="65EFDB95"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(0.000305)</w:t>
            </w:r>
          </w:p>
        </w:tc>
      </w:tr>
      <w:tr w:rsidR="00C1693A" w:rsidRPr="00B06468" w14:paraId="001D53D0" w14:textId="77777777" w:rsidTr="00120D51">
        <w:trPr>
          <w:trHeight w:val="258"/>
        </w:trPr>
        <w:tc>
          <w:tcPr>
            <w:tcW w:w="1420" w:type="pct"/>
            <w:shd w:val="clear" w:color="auto" w:fill="F2F2F2" w:themeFill="background1" w:themeFillShade="F2"/>
            <w:noWrap/>
            <w:hideMark/>
          </w:tcPr>
          <w:p w14:paraId="5694063C" w14:textId="48F41060" w:rsidR="00C1693A" w:rsidRPr="00166361" w:rsidRDefault="008345A6" w:rsidP="00C1693A">
            <w:pPr>
              <w:rPr>
                <w:rFonts w:ascii="NimbusRomNo9L" w:hAnsi="NimbusRomNo9L"/>
                <w:spacing w:val="-20"/>
                <w:sz w:val="20"/>
                <w:lang w:val="en-US"/>
              </w:rPr>
            </w:pPr>
            <w:r w:rsidRPr="00032D13">
              <w:rPr>
                <w:rFonts w:ascii="NimbusRomNo9L" w:hAnsi="NimbusRomNo9L"/>
                <w:spacing w:val="-20"/>
                <w:sz w:val="20"/>
                <w:lang w:val="en-US"/>
              </w:rPr>
              <w:t>Unemployment</w:t>
            </w:r>
            <w:r w:rsidR="00C1693A" w:rsidRPr="00032D13">
              <w:rPr>
                <w:rFonts w:ascii="NimbusRomNo9L" w:hAnsi="NimbusRomNo9L"/>
                <w:spacing w:val="-20"/>
                <w:sz w:val="20"/>
                <w:lang w:val="en-US"/>
              </w:rPr>
              <w:t xml:space="preserve"> rate</w:t>
            </w:r>
          </w:p>
        </w:tc>
        <w:tc>
          <w:tcPr>
            <w:tcW w:w="597" w:type="pct"/>
            <w:shd w:val="clear" w:color="auto" w:fill="F2F2F2" w:themeFill="background1" w:themeFillShade="F2"/>
            <w:noWrap/>
            <w:hideMark/>
          </w:tcPr>
          <w:p w14:paraId="07BFFD06" w14:textId="345E341C"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0.260***</w:t>
            </w:r>
          </w:p>
        </w:tc>
        <w:tc>
          <w:tcPr>
            <w:tcW w:w="597" w:type="pct"/>
            <w:shd w:val="clear" w:color="auto" w:fill="F2F2F2" w:themeFill="background1" w:themeFillShade="F2"/>
            <w:noWrap/>
            <w:hideMark/>
          </w:tcPr>
          <w:p w14:paraId="6B5A7EC2" w14:textId="6C6D4B43"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0.218***</w:t>
            </w:r>
          </w:p>
        </w:tc>
        <w:tc>
          <w:tcPr>
            <w:tcW w:w="597" w:type="pct"/>
            <w:shd w:val="clear" w:color="auto" w:fill="F2F2F2" w:themeFill="background1" w:themeFillShade="F2"/>
            <w:noWrap/>
            <w:hideMark/>
          </w:tcPr>
          <w:p w14:paraId="09BDBF6F" w14:textId="2353C074"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0.261***</w:t>
            </w:r>
          </w:p>
        </w:tc>
        <w:tc>
          <w:tcPr>
            <w:tcW w:w="597" w:type="pct"/>
            <w:shd w:val="clear" w:color="auto" w:fill="F2F2F2" w:themeFill="background1" w:themeFillShade="F2"/>
            <w:noWrap/>
            <w:hideMark/>
          </w:tcPr>
          <w:p w14:paraId="4F65A89D" w14:textId="42384BF4"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0.263***</w:t>
            </w:r>
          </w:p>
        </w:tc>
        <w:tc>
          <w:tcPr>
            <w:tcW w:w="597" w:type="pct"/>
            <w:shd w:val="clear" w:color="auto" w:fill="F2F2F2" w:themeFill="background1" w:themeFillShade="F2"/>
            <w:noWrap/>
            <w:hideMark/>
          </w:tcPr>
          <w:p w14:paraId="0A027E15" w14:textId="52A31966"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0.209***</w:t>
            </w:r>
          </w:p>
        </w:tc>
        <w:tc>
          <w:tcPr>
            <w:tcW w:w="594" w:type="pct"/>
            <w:shd w:val="clear" w:color="auto" w:fill="F2F2F2" w:themeFill="background1" w:themeFillShade="F2"/>
            <w:noWrap/>
            <w:hideMark/>
          </w:tcPr>
          <w:p w14:paraId="1CABA673" w14:textId="17A31394"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0.204**</w:t>
            </w:r>
          </w:p>
        </w:tc>
      </w:tr>
      <w:tr w:rsidR="00C1693A" w:rsidRPr="00B06468" w14:paraId="0F28364A" w14:textId="77777777" w:rsidTr="00120D51">
        <w:trPr>
          <w:trHeight w:val="258"/>
        </w:trPr>
        <w:tc>
          <w:tcPr>
            <w:tcW w:w="1420" w:type="pct"/>
            <w:shd w:val="clear" w:color="auto" w:fill="F2F2F2" w:themeFill="background1" w:themeFillShade="F2"/>
            <w:noWrap/>
            <w:hideMark/>
          </w:tcPr>
          <w:p w14:paraId="0024F15D" w14:textId="77777777" w:rsidR="00C1693A" w:rsidRPr="00166361" w:rsidRDefault="00C1693A" w:rsidP="00C1693A">
            <w:pPr>
              <w:rPr>
                <w:rFonts w:ascii="NimbusRomNo9L" w:hAnsi="NimbusRomNo9L"/>
                <w:spacing w:val="-20"/>
                <w:sz w:val="20"/>
                <w:lang w:val="en-US"/>
              </w:rPr>
            </w:pPr>
          </w:p>
        </w:tc>
        <w:tc>
          <w:tcPr>
            <w:tcW w:w="597" w:type="pct"/>
            <w:shd w:val="clear" w:color="auto" w:fill="F2F2F2" w:themeFill="background1" w:themeFillShade="F2"/>
            <w:noWrap/>
            <w:hideMark/>
          </w:tcPr>
          <w:p w14:paraId="244C2301" w14:textId="446CAD61"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(0.0750)</w:t>
            </w:r>
          </w:p>
        </w:tc>
        <w:tc>
          <w:tcPr>
            <w:tcW w:w="597" w:type="pct"/>
            <w:shd w:val="clear" w:color="auto" w:fill="F2F2F2" w:themeFill="background1" w:themeFillShade="F2"/>
            <w:noWrap/>
            <w:hideMark/>
          </w:tcPr>
          <w:p w14:paraId="17E79147" w14:textId="0A8B566B"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(0.0576)</w:t>
            </w:r>
          </w:p>
        </w:tc>
        <w:tc>
          <w:tcPr>
            <w:tcW w:w="597" w:type="pct"/>
            <w:shd w:val="clear" w:color="auto" w:fill="F2F2F2" w:themeFill="background1" w:themeFillShade="F2"/>
            <w:noWrap/>
            <w:hideMark/>
          </w:tcPr>
          <w:p w14:paraId="29BD2042" w14:textId="0934500D"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(0.0564)</w:t>
            </w:r>
          </w:p>
        </w:tc>
        <w:tc>
          <w:tcPr>
            <w:tcW w:w="597" w:type="pct"/>
            <w:shd w:val="clear" w:color="auto" w:fill="F2F2F2" w:themeFill="background1" w:themeFillShade="F2"/>
            <w:noWrap/>
            <w:hideMark/>
          </w:tcPr>
          <w:p w14:paraId="578B3C6F" w14:textId="238CC6F4"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(0.0592)</w:t>
            </w:r>
          </w:p>
        </w:tc>
        <w:tc>
          <w:tcPr>
            <w:tcW w:w="597" w:type="pct"/>
            <w:shd w:val="clear" w:color="auto" w:fill="F2F2F2" w:themeFill="background1" w:themeFillShade="F2"/>
            <w:noWrap/>
            <w:hideMark/>
          </w:tcPr>
          <w:p w14:paraId="139A5637" w14:textId="61033532"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(0.0805)</w:t>
            </w:r>
          </w:p>
        </w:tc>
        <w:tc>
          <w:tcPr>
            <w:tcW w:w="594" w:type="pct"/>
            <w:shd w:val="clear" w:color="auto" w:fill="F2F2F2" w:themeFill="background1" w:themeFillShade="F2"/>
            <w:noWrap/>
            <w:hideMark/>
          </w:tcPr>
          <w:p w14:paraId="22EA3CB8" w14:textId="0AD330CA"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(0.0998)</w:t>
            </w:r>
          </w:p>
        </w:tc>
      </w:tr>
      <w:tr w:rsidR="00C1693A" w:rsidRPr="00B06468" w14:paraId="406458F4" w14:textId="77777777" w:rsidTr="00120D51">
        <w:trPr>
          <w:trHeight w:val="258"/>
        </w:trPr>
        <w:tc>
          <w:tcPr>
            <w:tcW w:w="1420" w:type="pct"/>
            <w:shd w:val="clear" w:color="auto" w:fill="auto"/>
            <w:noWrap/>
            <w:hideMark/>
          </w:tcPr>
          <w:p w14:paraId="14B76763" w14:textId="77777777" w:rsidR="00C1693A" w:rsidRPr="00166361" w:rsidRDefault="00C1693A" w:rsidP="00C1693A">
            <w:pPr>
              <w:rPr>
                <w:rFonts w:ascii="NimbusRomNo9L" w:hAnsi="NimbusRomNo9L"/>
                <w:spacing w:val="-20"/>
                <w:sz w:val="20"/>
                <w:lang w:val="en-US"/>
              </w:rPr>
            </w:pPr>
            <w:r w:rsidRPr="00032D13">
              <w:rPr>
                <w:rFonts w:ascii="NimbusRomNo9L" w:hAnsi="NimbusRomNo9L"/>
                <w:spacing w:val="-20"/>
                <w:sz w:val="20"/>
                <w:lang w:val="en-US"/>
              </w:rPr>
              <w:t>Gap rich and poor revenues</w:t>
            </w:r>
          </w:p>
        </w:tc>
        <w:tc>
          <w:tcPr>
            <w:tcW w:w="597" w:type="pct"/>
            <w:shd w:val="clear" w:color="auto" w:fill="auto"/>
            <w:noWrap/>
            <w:hideMark/>
          </w:tcPr>
          <w:p w14:paraId="5B0604C6" w14:textId="1572EABE"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0.000270***</w:t>
            </w:r>
          </w:p>
        </w:tc>
        <w:tc>
          <w:tcPr>
            <w:tcW w:w="597" w:type="pct"/>
            <w:shd w:val="clear" w:color="auto" w:fill="auto"/>
            <w:noWrap/>
            <w:hideMark/>
          </w:tcPr>
          <w:p w14:paraId="10F20888" w14:textId="5B4AC2A4"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0.000171***</w:t>
            </w:r>
          </w:p>
        </w:tc>
        <w:tc>
          <w:tcPr>
            <w:tcW w:w="597" w:type="pct"/>
            <w:shd w:val="clear" w:color="auto" w:fill="auto"/>
            <w:noWrap/>
            <w:hideMark/>
          </w:tcPr>
          <w:p w14:paraId="303E12C3" w14:textId="273C5297"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0.000174***</w:t>
            </w:r>
          </w:p>
        </w:tc>
        <w:tc>
          <w:tcPr>
            <w:tcW w:w="597" w:type="pct"/>
            <w:shd w:val="clear" w:color="auto" w:fill="auto"/>
            <w:noWrap/>
            <w:hideMark/>
          </w:tcPr>
          <w:p w14:paraId="58629602" w14:textId="3E1EC895"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0.000203***</w:t>
            </w:r>
          </w:p>
        </w:tc>
        <w:tc>
          <w:tcPr>
            <w:tcW w:w="597" w:type="pct"/>
            <w:shd w:val="clear" w:color="auto" w:fill="auto"/>
            <w:noWrap/>
            <w:hideMark/>
          </w:tcPr>
          <w:p w14:paraId="5921BC64" w14:textId="6466C033"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0.000311***</w:t>
            </w:r>
          </w:p>
        </w:tc>
        <w:tc>
          <w:tcPr>
            <w:tcW w:w="594" w:type="pct"/>
            <w:shd w:val="clear" w:color="auto" w:fill="auto"/>
            <w:noWrap/>
            <w:hideMark/>
          </w:tcPr>
          <w:p w14:paraId="7E453738" w14:textId="6F1A51E2"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0.000388***</w:t>
            </w:r>
          </w:p>
        </w:tc>
      </w:tr>
      <w:tr w:rsidR="00C1693A" w:rsidRPr="00B06468" w14:paraId="3495AA30" w14:textId="77777777" w:rsidTr="00120D51">
        <w:trPr>
          <w:trHeight w:val="258"/>
        </w:trPr>
        <w:tc>
          <w:tcPr>
            <w:tcW w:w="1420" w:type="pct"/>
            <w:shd w:val="clear" w:color="auto" w:fill="auto"/>
            <w:noWrap/>
            <w:hideMark/>
          </w:tcPr>
          <w:p w14:paraId="64B55AFC" w14:textId="77777777" w:rsidR="00C1693A" w:rsidRPr="00166361" w:rsidRDefault="00C1693A" w:rsidP="00C1693A">
            <w:pPr>
              <w:rPr>
                <w:rFonts w:ascii="NimbusRomNo9L" w:hAnsi="NimbusRomNo9L"/>
                <w:spacing w:val="-20"/>
                <w:sz w:val="20"/>
                <w:lang w:val="en-US"/>
              </w:rPr>
            </w:pPr>
          </w:p>
        </w:tc>
        <w:tc>
          <w:tcPr>
            <w:tcW w:w="597" w:type="pct"/>
            <w:shd w:val="clear" w:color="auto" w:fill="auto"/>
            <w:noWrap/>
            <w:hideMark/>
          </w:tcPr>
          <w:p w14:paraId="1C70674A" w14:textId="074D8F50"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(3.88e-05)</w:t>
            </w:r>
          </w:p>
        </w:tc>
        <w:tc>
          <w:tcPr>
            <w:tcW w:w="597" w:type="pct"/>
            <w:shd w:val="clear" w:color="auto" w:fill="auto"/>
            <w:noWrap/>
            <w:hideMark/>
          </w:tcPr>
          <w:p w14:paraId="1F375162" w14:textId="4C9D97B6"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(2.36e-05)</w:t>
            </w:r>
          </w:p>
        </w:tc>
        <w:tc>
          <w:tcPr>
            <w:tcW w:w="597" w:type="pct"/>
            <w:shd w:val="clear" w:color="auto" w:fill="auto"/>
            <w:noWrap/>
            <w:hideMark/>
          </w:tcPr>
          <w:p w14:paraId="2839EBBA" w14:textId="15170BE1"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(2.29e-05)</w:t>
            </w:r>
          </w:p>
        </w:tc>
        <w:tc>
          <w:tcPr>
            <w:tcW w:w="597" w:type="pct"/>
            <w:shd w:val="clear" w:color="auto" w:fill="auto"/>
            <w:noWrap/>
            <w:hideMark/>
          </w:tcPr>
          <w:p w14:paraId="51151137" w14:textId="279FDF6B"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(3.44e-05)</w:t>
            </w:r>
          </w:p>
        </w:tc>
        <w:tc>
          <w:tcPr>
            <w:tcW w:w="597" w:type="pct"/>
            <w:shd w:val="clear" w:color="auto" w:fill="auto"/>
            <w:noWrap/>
            <w:hideMark/>
          </w:tcPr>
          <w:p w14:paraId="3042523C" w14:textId="42727344"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(7.75e-05)</w:t>
            </w:r>
          </w:p>
        </w:tc>
        <w:tc>
          <w:tcPr>
            <w:tcW w:w="594" w:type="pct"/>
            <w:shd w:val="clear" w:color="auto" w:fill="auto"/>
            <w:noWrap/>
            <w:hideMark/>
          </w:tcPr>
          <w:p w14:paraId="7B5986CF" w14:textId="53F687BB"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(7.60e-05)</w:t>
            </w:r>
          </w:p>
        </w:tc>
      </w:tr>
      <w:tr w:rsidR="00C1693A" w:rsidRPr="00B06468" w14:paraId="0A213D4A" w14:textId="77777777" w:rsidTr="00120D51">
        <w:trPr>
          <w:trHeight w:val="258"/>
        </w:trPr>
        <w:tc>
          <w:tcPr>
            <w:tcW w:w="1420" w:type="pct"/>
            <w:shd w:val="clear" w:color="auto" w:fill="F2F2F2" w:themeFill="background1" w:themeFillShade="F2"/>
            <w:noWrap/>
            <w:hideMark/>
          </w:tcPr>
          <w:p w14:paraId="6CAEB7FF" w14:textId="77777777" w:rsidR="00C1693A" w:rsidRPr="00166361" w:rsidRDefault="00C1693A" w:rsidP="00C1693A">
            <w:pPr>
              <w:rPr>
                <w:rFonts w:ascii="NimbusRomNo9L" w:hAnsi="NimbusRomNo9L"/>
                <w:spacing w:val="-20"/>
                <w:sz w:val="20"/>
                <w:lang w:val="en-US"/>
              </w:rPr>
            </w:pPr>
            <w:r w:rsidRPr="00032D13">
              <w:rPr>
                <w:rFonts w:ascii="NimbusRomNo9L" w:hAnsi="NimbusRomNo9L"/>
                <w:spacing w:val="-20"/>
                <w:sz w:val="20"/>
                <w:lang w:val="en-US"/>
              </w:rPr>
              <w:t xml:space="preserve">Rate of individuals without diploma </w:t>
            </w:r>
          </w:p>
        </w:tc>
        <w:tc>
          <w:tcPr>
            <w:tcW w:w="597" w:type="pct"/>
            <w:shd w:val="clear" w:color="auto" w:fill="F2F2F2" w:themeFill="background1" w:themeFillShade="F2"/>
            <w:noWrap/>
            <w:hideMark/>
          </w:tcPr>
          <w:p w14:paraId="05D59332" w14:textId="31BD1B14"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0.0195</w:t>
            </w:r>
          </w:p>
        </w:tc>
        <w:tc>
          <w:tcPr>
            <w:tcW w:w="597" w:type="pct"/>
            <w:shd w:val="clear" w:color="auto" w:fill="F2F2F2" w:themeFill="background1" w:themeFillShade="F2"/>
            <w:noWrap/>
            <w:hideMark/>
          </w:tcPr>
          <w:p w14:paraId="6D7CABD2" w14:textId="15027891"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0.0229</w:t>
            </w:r>
          </w:p>
        </w:tc>
        <w:tc>
          <w:tcPr>
            <w:tcW w:w="597" w:type="pct"/>
            <w:shd w:val="clear" w:color="auto" w:fill="F2F2F2" w:themeFill="background1" w:themeFillShade="F2"/>
            <w:noWrap/>
            <w:hideMark/>
          </w:tcPr>
          <w:p w14:paraId="62D87C24" w14:textId="6EDADC08"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0.0126</w:t>
            </w:r>
          </w:p>
        </w:tc>
        <w:tc>
          <w:tcPr>
            <w:tcW w:w="597" w:type="pct"/>
            <w:shd w:val="clear" w:color="auto" w:fill="F2F2F2" w:themeFill="background1" w:themeFillShade="F2"/>
            <w:noWrap/>
            <w:hideMark/>
          </w:tcPr>
          <w:p w14:paraId="261F5DCD" w14:textId="4C702DF5"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-0.0392</w:t>
            </w:r>
          </w:p>
        </w:tc>
        <w:tc>
          <w:tcPr>
            <w:tcW w:w="597" w:type="pct"/>
            <w:shd w:val="clear" w:color="auto" w:fill="F2F2F2" w:themeFill="background1" w:themeFillShade="F2"/>
            <w:noWrap/>
            <w:hideMark/>
          </w:tcPr>
          <w:p w14:paraId="1C5E4A75" w14:textId="3F427BFF"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-0.0821</w:t>
            </w:r>
          </w:p>
        </w:tc>
        <w:tc>
          <w:tcPr>
            <w:tcW w:w="594" w:type="pct"/>
            <w:shd w:val="clear" w:color="auto" w:fill="F2F2F2" w:themeFill="background1" w:themeFillShade="F2"/>
            <w:noWrap/>
            <w:hideMark/>
          </w:tcPr>
          <w:p w14:paraId="685B1AD5" w14:textId="1438F213"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-0.0619</w:t>
            </w:r>
          </w:p>
        </w:tc>
      </w:tr>
      <w:tr w:rsidR="00C1693A" w:rsidRPr="00B06468" w14:paraId="0A034BA4" w14:textId="77777777" w:rsidTr="00120D51">
        <w:trPr>
          <w:trHeight w:val="258"/>
        </w:trPr>
        <w:tc>
          <w:tcPr>
            <w:tcW w:w="1420" w:type="pct"/>
            <w:shd w:val="clear" w:color="auto" w:fill="F2F2F2" w:themeFill="background1" w:themeFillShade="F2"/>
            <w:noWrap/>
            <w:hideMark/>
          </w:tcPr>
          <w:p w14:paraId="3839068A" w14:textId="77777777" w:rsidR="00C1693A" w:rsidRPr="00166361" w:rsidRDefault="00C1693A" w:rsidP="00C1693A">
            <w:pPr>
              <w:rPr>
                <w:rFonts w:ascii="NimbusRomNo9L" w:hAnsi="NimbusRomNo9L"/>
                <w:spacing w:val="-20"/>
                <w:sz w:val="20"/>
                <w:lang w:val="en-US"/>
              </w:rPr>
            </w:pPr>
          </w:p>
        </w:tc>
        <w:tc>
          <w:tcPr>
            <w:tcW w:w="597" w:type="pct"/>
            <w:shd w:val="clear" w:color="auto" w:fill="F2F2F2" w:themeFill="background1" w:themeFillShade="F2"/>
            <w:noWrap/>
            <w:hideMark/>
          </w:tcPr>
          <w:p w14:paraId="7EBCC0FC" w14:textId="3AC917CE"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(0.0535)</w:t>
            </w:r>
          </w:p>
        </w:tc>
        <w:tc>
          <w:tcPr>
            <w:tcW w:w="597" w:type="pct"/>
            <w:shd w:val="clear" w:color="auto" w:fill="F2F2F2" w:themeFill="background1" w:themeFillShade="F2"/>
            <w:noWrap/>
            <w:hideMark/>
          </w:tcPr>
          <w:p w14:paraId="2A44701F" w14:textId="3B458767"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(0.0409)</w:t>
            </w:r>
          </w:p>
        </w:tc>
        <w:tc>
          <w:tcPr>
            <w:tcW w:w="597" w:type="pct"/>
            <w:shd w:val="clear" w:color="auto" w:fill="F2F2F2" w:themeFill="background1" w:themeFillShade="F2"/>
            <w:noWrap/>
            <w:hideMark/>
          </w:tcPr>
          <w:p w14:paraId="1E8E1062" w14:textId="3F38B0DB"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(0.0321)</w:t>
            </w:r>
          </w:p>
        </w:tc>
        <w:tc>
          <w:tcPr>
            <w:tcW w:w="597" w:type="pct"/>
            <w:shd w:val="clear" w:color="auto" w:fill="F2F2F2" w:themeFill="background1" w:themeFillShade="F2"/>
            <w:noWrap/>
            <w:hideMark/>
          </w:tcPr>
          <w:p w14:paraId="4B173F24" w14:textId="0DBB7E6C"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(0.0490)</w:t>
            </w:r>
          </w:p>
        </w:tc>
        <w:tc>
          <w:tcPr>
            <w:tcW w:w="597" w:type="pct"/>
            <w:shd w:val="clear" w:color="auto" w:fill="F2F2F2" w:themeFill="background1" w:themeFillShade="F2"/>
            <w:noWrap/>
            <w:hideMark/>
          </w:tcPr>
          <w:p w14:paraId="55DE231D" w14:textId="757693E3"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(0.0851)</w:t>
            </w:r>
          </w:p>
        </w:tc>
        <w:tc>
          <w:tcPr>
            <w:tcW w:w="594" w:type="pct"/>
            <w:shd w:val="clear" w:color="auto" w:fill="F2F2F2" w:themeFill="background1" w:themeFillShade="F2"/>
            <w:noWrap/>
            <w:hideMark/>
          </w:tcPr>
          <w:p w14:paraId="45F603F9" w14:textId="681449A0"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(0.0871)</w:t>
            </w:r>
          </w:p>
        </w:tc>
      </w:tr>
      <w:tr w:rsidR="00C1693A" w:rsidRPr="00166361" w14:paraId="02AED553" w14:textId="77777777" w:rsidTr="00120D51">
        <w:trPr>
          <w:trHeight w:val="258"/>
        </w:trPr>
        <w:tc>
          <w:tcPr>
            <w:tcW w:w="1420" w:type="pct"/>
            <w:shd w:val="clear" w:color="auto" w:fill="auto"/>
            <w:noWrap/>
            <w:vAlign w:val="bottom"/>
            <w:hideMark/>
          </w:tcPr>
          <w:p w14:paraId="3B79806F" w14:textId="77777777" w:rsidR="00C1693A" w:rsidRPr="00166361" w:rsidRDefault="00C1693A" w:rsidP="00C1693A">
            <w:pPr>
              <w:rPr>
                <w:rFonts w:ascii="NimbusRomNo9L" w:hAnsi="NimbusRomNo9L"/>
                <w:spacing w:val="-20"/>
                <w:sz w:val="20"/>
                <w:lang w:val="en-US"/>
              </w:rPr>
            </w:pPr>
            <w:r w:rsidRPr="00166361">
              <w:rPr>
                <w:rFonts w:ascii="NimbusRomNo9L" w:hAnsi="NimbusRomNo9L"/>
                <w:spacing w:val="-20"/>
                <w:sz w:val="20"/>
                <w:lang w:val="en-US"/>
              </w:rPr>
              <w:t>Observations</w:t>
            </w:r>
          </w:p>
        </w:tc>
        <w:tc>
          <w:tcPr>
            <w:tcW w:w="597" w:type="pct"/>
            <w:shd w:val="clear" w:color="auto" w:fill="auto"/>
            <w:noWrap/>
            <w:hideMark/>
          </w:tcPr>
          <w:p w14:paraId="3F410275" w14:textId="641D439F"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1,160</w:t>
            </w:r>
          </w:p>
        </w:tc>
        <w:tc>
          <w:tcPr>
            <w:tcW w:w="597" w:type="pct"/>
            <w:shd w:val="clear" w:color="auto" w:fill="auto"/>
            <w:noWrap/>
            <w:hideMark/>
          </w:tcPr>
          <w:p w14:paraId="3C081E11" w14:textId="1F49EEF1"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1,160</w:t>
            </w:r>
          </w:p>
        </w:tc>
        <w:tc>
          <w:tcPr>
            <w:tcW w:w="597" w:type="pct"/>
            <w:shd w:val="clear" w:color="auto" w:fill="auto"/>
            <w:noWrap/>
            <w:hideMark/>
          </w:tcPr>
          <w:p w14:paraId="1E764AAB" w14:textId="75AB0585"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1,160</w:t>
            </w:r>
          </w:p>
        </w:tc>
        <w:tc>
          <w:tcPr>
            <w:tcW w:w="597" w:type="pct"/>
            <w:shd w:val="clear" w:color="auto" w:fill="auto"/>
            <w:noWrap/>
            <w:hideMark/>
          </w:tcPr>
          <w:p w14:paraId="3B1B4974" w14:textId="369D4E84"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1,160</w:t>
            </w:r>
          </w:p>
        </w:tc>
        <w:tc>
          <w:tcPr>
            <w:tcW w:w="597" w:type="pct"/>
            <w:shd w:val="clear" w:color="auto" w:fill="auto"/>
            <w:noWrap/>
            <w:hideMark/>
          </w:tcPr>
          <w:p w14:paraId="20DDBDFC" w14:textId="058806F6"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1,160</w:t>
            </w:r>
          </w:p>
        </w:tc>
        <w:tc>
          <w:tcPr>
            <w:tcW w:w="594" w:type="pct"/>
            <w:shd w:val="clear" w:color="auto" w:fill="auto"/>
            <w:noWrap/>
            <w:hideMark/>
          </w:tcPr>
          <w:p w14:paraId="75CE3407" w14:textId="1894F5F1" w:rsidR="00C1693A" w:rsidRPr="00166361" w:rsidRDefault="00C1693A" w:rsidP="00C1693A">
            <w:pPr>
              <w:jc w:val="center"/>
              <w:rPr>
                <w:rFonts w:ascii="NimbusRomNo9L" w:hAnsi="NimbusRomNo9L"/>
                <w:spacing w:val="-20"/>
                <w:sz w:val="20"/>
                <w:lang w:val="en-US"/>
              </w:rPr>
            </w:pPr>
            <w:r w:rsidRPr="00C1693A">
              <w:rPr>
                <w:rFonts w:ascii="NimbusRomNo9L" w:hAnsi="NimbusRomNo9L"/>
                <w:spacing w:val="-20"/>
                <w:sz w:val="20"/>
                <w:lang w:val="en-US"/>
              </w:rPr>
              <w:t>1,160</w:t>
            </w:r>
          </w:p>
        </w:tc>
      </w:tr>
      <w:tr w:rsidR="00C1693A" w:rsidRPr="00166361" w14:paraId="09F09A9E" w14:textId="77777777" w:rsidTr="00120D51">
        <w:trPr>
          <w:trHeight w:val="258"/>
        </w:trPr>
        <w:tc>
          <w:tcPr>
            <w:tcW w:w="1420" w:type="pct"/>
            <w:shd w:val="clear" w:color="auto" w:fill="auto"/>
            <w:noWrap/>
            <w:vAlign w:val="bottom"/>
          </w:tcPr>
          <w:p w14:paraId="083A9078" w14:textId="77777777" w:rsidR="00C1693A" w:rsidRPr="00166361" w:rsidRDefault="00C1693A" w:rsidP="00120D51">
            <w:pPr>
              <w:rPr>
                <w:rFonts w:ascii="NimbusRomNo9L" w:hAnsi="NimbusRomNo9L"/>
                <w:spacing w:val="-20"/>
                <w:sz w:val="20"/>
                <w:lang w:val="en-US"/>
              </w:rPr>
            </w:pPr>
            <w:r w:rsidRPr="00166361">
              <w:rPr>
                <w:rFonts w:ascii="NimbusRomNo9L" w:hAnsi="NimbusRomNo9L"/>
                <w:spacing w:val="-20"/>
                <w:sz w:val="20"/>
                <w:lang w:val="en-US"/>
              </w:rPr>
              <w:t>Year indicators</w:t>
            </w:r>
          </w:p>
        </w:tc>
        <w:tc>
          <w:tcPr>
            <w:tcW w:w="597" w:type="pct"/>
            <w:shd w:val="clear" w:color="auto" w:fill="auto"/>
            <w:noWrap/>
            <w:vAlign w:val="bottom"/>
          </w:tcPr>
          <w:p w14:paraId="49C511BB" w14:textId="77777777" w:rsidR="00C1693A" w:rsidRPr="00166361" w:rsidRDefault="00C1693A" w:rsidP="00120D51">
            <w:pPr>
              <w:jc w:val="center"/>
              <w:rPr>
                <w:rFonts w:ascii="NimbusRomNo9L" w:hAnsi="NimbusRomNo9L"/>
                <w:spacing w:val="-20"/>
                <w:sz w:val="20"/>
                <w:lang w:val="en-US"/>
              </w:rPr>
            </w:pPr>
            <w:r w:rsidRPr="00166361">
              <w:rPr>
                <w:rFonts w:ascii="NimbusRomNo9L" w:hAnsi="NimbusRomNo9L"/>
                <w:spacing w:val="-20"/>
                <w:sz w:val="20"/>
                <w:lang w:val="en-US"/>
              </w:rPr>
              <w:t>Yes</w:t>
            </w:r>
          </w:p>
        </w:tc>
        <w:tc>
          <w:tcPr>
            <w:tcW w:w="597" w:type="pct"/>
            <w:shd w:val="clear" w:color="auto" w:fill="auto"/>
            <w:noWrap/>
            <w:vAlign w:val="bottom"/>
          </w:tcPr>
          <w:p w14:paraId="2845FE01" w14:textId="77777777" w:rsidR="00C1693A" w:rsidRPr="00166361" w:rsidRDefault="00C1693A" w:rsidP="00120D51">
            <w:pPr>
              <w:jc w:val="center"/>
              <w:rPr>
                <w:rFonts w:ascii="NimbusRomNo9L" w:hAnsi="NimbusRomNo9L"/>
                <w:spacing w:val="-20"/>
                <w:sz w:val="20"/>
                <w:lang w:val="en-US"/>
              </w:rPr>
            </w:pPr>
            <w:r w:rsidRPr="00166361">
              <w:rPr>
                <w:rFonts w:ascii="NimbusRomNo9L" w:hAnsi="NimbusRomNo9L"/>
                <w:spacing w:val="-20"/>
                <w:sz w:val="20"/>
                <w:lang w:val="en-US"/>
              </w:rPr>
              <w:t>Yes</w:t>
            </w:r>
          </w:p>
        </w:tc>
        <w:tc>
          <w:tcPr>
            <w:tcW w:w="597" w:type="pct"/>
            <w:shd w:val="clear" w:color="auto" w:fill="auto"/>
            <w:noWrap/>
            <w:vAlign w:val="bottom"/>
          </w:tcPr>
          <w:p w14:paraId="202E3712" w14:textId="77777777" w:rsidR="00C1693A" w:rsidRPr="00166361" w:rsidRDefault="00C1693A" w:rsidP="00120D51">
            <w:pPr>
              <w:jc w:val="center"/>
              <w:rPr>
                <w:rFonts w:ascii="NimbusRomNo9L" w:hAnsi="NimbusRomNo9L"/>
                <w:spacing w:val="-20"/>
                <w:sz w:val="20"/>
                <w:lang w:val="en-US"/>
              </w:rPr>
            </w:pPr>
            <w:r w:rsidRPr="00166361">
              <w:rPr>
                <w:rFonts w:ascii="NimbusRomNo9L" w:hAnsi="NimbusRomNo9L"/>
                <w:spacing w:val="-20"/>
                <w:sz w:val="20"/>
                <w:lang w:val="en-US"/>
              </w:rPr>
              <w:t>Yes</w:t>
            </w:r>
          </w:p>
        </w:tc>
        <w:tc>
          <w:tcPr>
            <w:tcW w:w="597" w:type="pct"/>
            <w:shd w:val="clear" w:color="auto" w:fill="auto"/>
            <w:noWrap/>
            <w:vAlign w:val="bottom"/>
          </w:tcPr>
          <w:p w14:paraId="280364B0" w14:textId="77777777" w:rsidR="00C1693A" w:rsidRPr="00166361" w:rsidRDefault="00C1693A" w:rsidP="00120D51">
            <w:pPr>
              <w:jc w:val="center"/>
              <w:rPr>
                <w:rFonts w:ascii="NimbusRomNo9L" w:hAnsi="NimbusRomNo9L"/>
                <w:spacing w:val="-20"/>
                <w:sz w:val="20"/>
                <w:lang w:val="en-US"/>
              </w:rPr>
            </w:pPr>
            <w:r w:rsidRPr="00166361">
              <w:rPr>
                <w:rFonts w:ascii="NimbusRomNo9L" w:hAnsi="NimbusRomNo9L"/>
                <w:spacing w:val="-20"/>
                <w:sz w:val="20"/>
                <w:lang w:val="en-US"/>
              </w:rPr>
              <w:t>Yes</w:t>
            </w:r>
          </w:p>
        </w:tc>
        <w:tc>
          <w:tcPr>
            <w:tcW w:w="597" w:type="pct"/>
            <w:shd w:val="clear" w:color="auto" w:fill="auto"/>
            <w:noWrap/>
            <w:vAlign w:val="bottom"/>
          </w:tcPr>
          <w:p w14:paraId="253A81CA" w14:textId="77777777" w:rsidR="00C1693A" w:rsidRPr="00166361" w:rsidRDefault="00C1693A" w:rsidP="00120D51">
            <w:pPr>
              <w:jc w:val="center"/>
              <w:rPr>
                <w:rFonts w:ascii="NimbusRomNo9L" w:hAnsi="NimbusRomNo9L"/>
                <w:spacing w:val="-20"/>
                <w:sz w:val="20"/>
                <w:lang w:val="en-US"/>
              </w:rPr>
            </w:pPr>
            <w:r w:rsidRPr="00166361">
              <w:rPr>
                <w:rFonts w:ascii="NimbusRomNo9L" w:hAnsi="NimbusRomNo9L"/>
                <w:spacing w:val="-20"/>
                <w:sz w:val="20"/>
                <w:lang w:val="en-US"/>
              </w:rPr>
              <w:t>Yes</w:t>
            </w:r>
          </w:p>
        </w:tc>
        <w:tc>
          <w:tcPr>
            <w:tcW w:w="594" w:type="pct"/>
            <w:shd w:val="clear" w:color="auto" w:fill="auto"/>
            <w:noWrap/>
            <w:vAlign w:val="bottom"/>
          </w:tcPr>
          <w:p w14:paraId="5091F1A8" w14:textId="77777777" w:rsidR="00C1693A" w:rsidRPr="00166361" w:rsidRDefault="00C1693A" w:rsidP="00120D51">
            <w:pPr>
              <w:jc w:val="center"/>
              <w:rPr>
                <w:rFonts w:ascii="NimbusRomNo9L" w:hAnsi="NimbusRomNo9L"/>
                <w:spacing w:val="-20"/>
                <w:sz w:val="20"/>
                <w:lang w:val="en-US"/>
              </w:rPr>
            </w:pPr>
            <w:r w:rsidRPr="00166361">
              <w:rPr>
                <w:rFonts w:ascii="NimbusRomNo9L" w:hAnsi="NimbusRomNo9L"/>
                <w:spacing w:val="-20"/>
                <w:sz w:val="20"/>
                <w:lang w:val="en-US"/>
              </w:rPr>
              <w:t>Yes</w:t>
            </w:r>
          </w:p>
        </w:tc>
      </w:tr>
      <w:tr w:rsidR="00C1693A" w:rsidRPr="00166361" w14:paraId="744A98DC" w14:textId="77777777" w:rsidTr="00120D51">
        <w:trPr>
          <w:trHeight w:val="258"/>
        </w:trPr>
        <w:tc>
          <w:tcPr>
            <w:tcW w:w="1420" w:type="pct"/>
            <w:shd w:val="clear" w:color="auto" w:fill="auto"/>
            <w:noWrap/>
            <w:vAlign w:val="bottom"/>
            <w:hideMark/>
          </w:tcPr>
          <w:p w14:paraId="6E68580B" w14:textId="77777777" w:rsidR="00C1693A" w:rsidRPr="00166361" w:rsidRDefault="00C1693A" w:rsidP="00120D51">
            <w:pPr>
              <w:rPr>
                <w:rFonts w:ascii="NimbusRomNo9L" w:hAnsi="NimbusRomNo9L"/>
                <w:spacing w:val="-20"/>
                <w:sz w:val="20"/>
                <w:lang w:val="en-US"/>
              </w:rPr>
            </w:pPr>
            <w:r w:rsidRPr="00166361">
              <w:rPr>
                <w:rFonts w:ascii="NimbusRomNo9L" w:hAnsi="NimbusRomNo9L"/>
                <w:spacing w:val="-20"/>
                <w:sz w:val="20"/>
                <w:lang w:val="en-US"/>
              </w:rPr>
              <w:t>Adjusted R-squared</w:t>
            </w:r>
          </w:p>
        </w:tc>
        <w:tc>
          <w:tcPr>
            <w:tcW w:w="597" w:type="pct"/>
            <w:shd w:val="clear" w:color="auto" w:fill="auto"/>
            <w:noWrap/>
            <w:vAlign w:val="bottom"/>
            <w:hideMark/>
          </w:tcPr>
          <w:p w14:paraId="34068420" w14:textId="29E0A686" w:rsidR="00C1693A" w:rsidRPr="00166361" w:rsidRDefault="00C1693A" w:rsidP="00120D51">
            <w:pPr>
              <w:jc w:val="center"/>
              <w:rPr>
                <w:rFonts w:ascii="NimbusRomNo9L" w:hAnsi="NimbusRomNo9L"/>
                <w:spacing w:val="-20"/>
                <w:sz w:val="20"/>
                <w:lang w:val="en-US"/>
              </w:rPr>
            </w:pPr>
            <w:r w:rsidRPr="00166361">
              <w:rPr>
                <w:rFonts w:ascii="NimbusRomNo9L" w:hAnsi="NimbusRomNo9L"/>
                <w:spacing w:val="-20"/>
                <w:sz w:val="20"/>
                <w:lang w:val="en-US"/>
              </w:rPr>
              <w:t>0.</w:t>
            </w:r>
            <w:r>
              <w:rPr>
                <w:rFonts w:ascii="NimbusRomNo9L" w:hAnsi="NimbusRomNo9L"/>
                <w:spacing w:val="-20"/>
                <w:sz w:val="20"/>
                <w:lang w:val="en-US"/>
              </w:rPr>
              <w:t>834</w:t>
            </w:r>
          </w:p>
        </w:tc>
        <w:tc>
          <w:tcPr>
            <w:tcW w:w="597" w:type="pct"/>
            <w:shd w:val="clear" w:color="auto" w:fill="auto"/>
            <w:noWrap/>
            <w:vAlign w:val="bottom"/>
            <w:hideMark/>
          </w:tcPr>
          <w:p w14:paraId="79078947" w14:textId="77777777" w:rsidR="00C1693A" w:rsidRPr="00166361" w:rsidRDefault="00C1693A" w:rsidP="00120D51">
            <w:pPr>
              <w:jc w:val="center"/>
              <w:rPr>
                <w:rFonts w:ascii="NimbusRomNo9L" w:hAnsi="NimbusRomNo9L"/>
                <w:spacing w:val="-20"/>
                <w:sz w:val="20"/>
                <w:lang w:val="en-US"/>
              </w:rPr>
            </w:pPr>
            <w:r w:rsidRPr="00166361">
              <w:rPr>
                <w:rFonts w:ascii="NimbusRomNo9L" w:hAnsi="NimbusRomNo9L"/>
                <w:spacing w:val="-20"/>
                <w:sz w:val="20"/>
                <w:lang w:val="en-US"/>
              </w:rPr>
              <w:t>-</w:t>
            </w:r>
          </w:p>
        </w:tc>
        <w:tc>
          <w:tcPr>
            <w:tcW w:w="597" w:type="pct"/>
            <w:shd w:val="clear" w:color="auto" w:fill="auto"/>
            <w:noWrap/>
            <w:vAlign w:val="bottom"/>
            <w:hideMark/>
          </w:tcPr>
          <w:p w14:paraId="312A57D7" w14:textId="77777777" w:rsidR="00C1693A" w:rsidRPr="00166361" w:rsidRDefault="00C1693A" w:rsidP="00120D51">
            <w:pPr>
              <w:jc w:val="center"/>
              <w:rPr>
                <w:rFonts w:ascii="NimbusRomNo9L" w:hAnsi="NimbusRomNo9L"/>
                <w:spacing w:val="-20"/>
                <w:sz w:val="20"/>
                <w:lang w:val="en-US"/>
              </w:rPr>
            </w:pPr>
            <w:r w:rsidRPr="00166361">
              <w:rPr>
                <w:rFonts w:ascii="NimbusRomNo9L" w:hAnsi="NimbusRomNo9L"/>
                <w:spacing w:val="-20"/>
                <w:sz w:val="20"/>
                <w:lang w:val="en-US"/>
              </w:rPr>
              <w:t>-</w:t>
            </w:r>
          </w:p>
        </w:tc>
        <w:tc>
          <w:tcPr>
            <w:tcW w:w="597" w:type="pct"/>
            <w:shd w:val="clear" w:color="auto" w:fill="auto"/>
            <w:noWrap/>
            <w:vAlign w:val="bottom"/>
            <w:hideMark/>
          </w:tcPr>
          <w:p w14:paraId="40788E13" w14:textId="77777777" w:rsidR="00C1693A" w:rsidRPr="00166361" w:rsidRDefault="00C1693A" w:rsidP="00120D51">
            <w:pPr>
              <w:jc w:val="center"/>
              <w:rPr>
                <w:rFonts w:ascii="NimbusRomNo9L" w:hAnsi="NimbusRomNo9L"/>
                <w:spacing w:val="-20"/>
                <w:sz w:val="20"/>
                <w:lang w:val="en-US"/>
              </w:rPr>
            </w:pPr>
            <w:r w:rsidRPr="00166361">
              <w:rPr>
                <w:rFonts w:ascii="NimbusRomNo9L" w:hAnsi="NimbusRomNo9L"/>
                <w:spacing w:val="-20"/>
                <w:sz w:val="20"/>
                <w:lang w:val="en-US"/>
              </w:rPr>
              <w:t>-</w:t>
            </w:r>
          </w:p>
        </w:tc>
        <w:tc>
          <w:tcPr>
            <w:tcW w:w="597" w:type="pct"/>
            <w:shd w:val="clear" w:color="auto" w:fill="auto"/>
            <w:noWrap/>
            <w:vAlign w:val="bottom"/>
            <w:hideMark/>
          </w:tcPr>
          <w:p w14:paraId="6BEF46DE" w14:textId="77777777" w:rsidR="00C1693A" w:rsidRPr="00166361" w:rsidRDefault="00C1693A" w:rsidP="00120D51">
            <w:pPr>
              <w:jc w:val="center"/>
              <w:rPr>
                <w:rFonts w:ascii="NimbusRomNo9L" w:hAnsi="NimbusRomNo9L"/>
                <w:spacing w:val="-20"/>
                <w:sz w:val="20"/>
                <w:lang w:val="en-US"/>
              </w:rPr>
            </w:pPr>
            <w:r w:rsidRPr="00166361">
              <w:rPr>
                <w:rFonts w:ascii="NimbusRomNo9L" w:hAnsi="NimbusRomNo9L"/>
                <w:spacing w:val="-20"/>
                <w:sz w:val="20"/>
                <w:lang w:val="en-US"/>
              </w:rPr>
              <w:t>-</w:t>
            </w:r>
          </w:p>
        </w:tc>
        <w:tc>
          <w:tcPr>
            <w:tcW w:w="594" w:type="pct"/>
            <w:shd w:val="clear" w:color="auto" w:fill="auto"/>
            <w:noWrap/>
            <w:vAlign w:val="bottom"/>
            <w:hideMark/>
          </w:tcPr>
          <w:p w14:paraId="557E95ED" w14:textId="77777777" w:rsidR="00C1693A" w:rsidRPr="00166361" w:rsidRDefault="00C1693A" w:rsidP="00120D51">
            <w:pPr>
              <w:jc w:val="center"/>
              <w:rPr>
                <w:rFonts w:ascii="NimbusRomNo9L" w:hAnsi="NimbusRomNo9L"/>
                <w:spacing w:val="-20"/>
                <w:sz w:val="20"/>
                <w:lang w:val="en-US"/>
              </w:rPr>
            </w:pPr>
            <w:r w:rsidRPr="00166361">
              <w:rPr>
                <w:rFonts w:ascii="NimbusRomNo9L" w:hAnsi="NimbusRomNo9L"/>
                <w:spacing w:val="-20"/>
                <w:sz w:val="20"/>
                <w:lang w:val="en-US"/>
              </w:rPr>
              <w:t>-</w:t>
            </w:r>
          </w:p>
        </w:tc>
      </w:tr>
      <w:tr w:rsidR="00C1693A" w:rsidRPr="00166361" w14:paraId="5363F251" w14:textId="77777777" w:rsidTr="00120D51">
        <w:trPr>
          <w:trHeight w:val="258"/>
        </w:trPr>
        <w:tc>
          <w:tcPr>
            <w:tcW w:w="1420" w:type="pct"/>
            <w:shd w:val="clear" w:color="auto" w:fill="auto"/>
            <w:noWrap/>
            <w:vAlign w:val="bottom"/>
            <w:hideMark/>
          </w:tcPr>
          <w:p w14:paraId="6CD7221C" w14:textId="77777777" w:rsidR="00C1693A" w:rsidRPr="00166361" w:rsidRDefault="00C1693A" w:rsidP="00120D51">
            <w:pPr>
              <w:rPr>
                <w:rFonts w:ascii="NimbusRomNo9L" w:hAnsi="NimbusRomNo9L"/>
                <w:spacing w:val="-20"/>
                <w:sz w:val="20"/>
                <w:lang w:val="en-US"/>
              </w:rPr>
            </w:pPr>
            <w:r w:rsidRPr="00166361">
              <w:rPr>
                <w:rFonts w:ascii="NimbusRomNo9L" w:hAnsi="NimbusRomNo9L"/>
                <w:spacing w:val="-20"/>
                <w:sz w:val="20"/>
                <w:lang w:val="en-US"/>
              </w:rPr>
              <w:t>Quantile level</w:t>
            </w:r>
          </w:p>
        </w:tc>
        <w:tc>
          <w:tcPr>
            <w:tcW w:w="597" w:type="pct"/>
            <w:shd w:val="clear" w:color="auto" w:fill="auto"/>
            <w:noWrap/>
            <w:vAlign w:val="bottom"/>
            <w:hideMark/>
          </w:tcPr>
          <w:p w14:paraId="1444857C" w14:textId="77777777" w:rsidR="00C1693A" w:rsidRPr="00166361" w:rsidRDefault="00C1693A" w:rsidP="00120D51">
            <w:pPr>
              <w:jc w:val="center"/>
              <w:rPr>
                <w:rFonts w:ascii="NimbusRomNo9L" w:hAnsi="NimbusRomNo9L"/>
                <w:spacing w:val="-20"/>
                <w:sz w:val="20"/>
                <w:lang w:val="en-US"/>
              </w:rPr>
            </w:pPr>
            <w:r w:rsidRPr="00166361">
              <w:rPr>
                <w:rFonts w:ascii="NimbusRomNo9L" w:hAnsi="NimbusRomNo9L"/>
                <w:spacing w:val="-20"/>
                <w:sz w:val="20"/>
                <w:lang w:val="en-US"/>
              </w:rPr>
              <w:t>-</w:t>
            </w:r>
          </w:p>
        </w:tc>
        <w:tc>
          <w:tcPr>
            <w:tcW w:w="597" w:type="pct"/>
            <w:shd w:val="clear" w:color="auto" w:fill="auto"/>
            <w:noWrap/>
            <w:vAlign w:val="bottom"/>
            <w:hideMark/>
          </w:tcPr>
          <w:p w14:paraId="23C19C86" w14:textId="77777777" w:rsidR="00C1693A" w:rsidRPr="00166361" w:rsidRDefault="00C1693A" w:rsidP="00120D51">
            <w:pPr>
              <w:jc w:val="center"/>
              <w:rPr>
                <w:rFonts w:ascii="NimbusRomNo9L" w:hAnsi="NimbusRomNo9L"/>
                <w:spacing w:val="-20"/>
                <w:sz w:val="20"/>
                <w:lang w:val="en-US"/>
              </w:rPr>
            </w:pPr>
            <w:r w:rsidRPr="00166361">
              <w:rPr>
                <w:rFonts w:ascii="NimbusRomNo9L" w:hAnsi="NimbusRomNo9L"/>
                <w:spacing w:val="-20"/>
                <w:sz w:val="20"/>
                <w:lang w:val="en-US"/>
              </w:rPr>
              <w:t>0.150</w:t>
            </w:r>
          </w:p>
        </w:tc>
        <w:tc>
          <w:tcPr>
            <w:tcW w:w="597" w:type="pct"/>
            <w:shd w:val="clear" w:color="auto" w:fill="auto"/>
            <w:noWrap/>
            <w:vAlign w:val="bottom"/>
            <w:hideMark/>
          </w:tcPr>
          <w:p w14:paraId="559E762D" w14:textId="77777777" w:rsidR="00C1693A" w:rsidRPr="00166361" w:rsidRDefault="00C1693A" w:rsidP="00120D51">
            <w:pPr>
              <w:jc w:val="center"/>
              <w:rPr>
                <w:rFonts w:ascii="NimbusRomNo9L" w:hAnsi="NimbusRomNo9L"/>
                <w:spacing w:val="-20"/>
                <w:sz w:val="20"/>
                <w:lang w:val="en-US"/>
              </w:rPr>
            </w:pPr>
            <w:r w:rsidRPr="00166361">
              <w:rPr>
                <w:rFonts w:ascii="NimbusRomNo9L" w:hAnsi="NimbusRomNo9L"/>
                <w:spacing w:val="-20"/>
                <w:sz w:val="20"/>
                <w:lang w:val="en-US"/>
              </w:rPr>
              <w:t>0.250</w:t>
            </w:r>
          </w:p>
        </w:tc>
        <w:tc>
          <w:tcPr>
            <w:tcW w:w="597" w:type="pct"/>
            <w:shd w:val="clear" w:color="auto" w:fill="auto"/>
            <w:noWrap/>
            <w:vAlign w:val="bottom"/>
            <w:hideMark/>
          </w:tcPr>
          <w:p w14:paraId="3B2890B6" w14:textId="77777777" w:rsidR="00C1693A" w:rsidRPr="00166361" w:rsidRDefault="00C1693A" w:rsidP="00120D51">
            <w:pPr>
              <w:jc w:val="center"/>
              <w:rPr>
                <w:rFonts w:ascii="NimbusRomNo9L" w:hAnsi="NimbusRomNo9L"/>
                <w:spacing w:val="-20"/>
                <w:sz w:val="20"/>
                <w:lang w:val="en-US"/>
              </w:rPr>
            </w:pPr>
            <w:r w:rsidRPr="00166361">
              <w:rPr>
                <w:rFonts w:ascii="NimbusRomNo9L" w:hAnsi="NimbusRomNo9L"/>
                <w:spacing w:val="-20"/>
                <w:sz w:val="20"/>
                <w:lang w:val="en-US"/>
              </w:rPr>
              <w:t>0.500</w:t>
            </w:r>
          </w:p>
        </w:tc>
        <w:tc>
          <w:tcPr>
            <w:tcW w:w="597" w:type="pct"/>
            <w:shd w:val="clear" w:color="auto" w:fill="auto"/>
            <w:noWrap/>
            <w:vAlign w:val="bottom"/>
            <w:hideMark/>
          </w:tcPr>
          <w:p w14:paraId="1E447355" w14:textId="77777777" w:rsidR="00C1693A" w:rsidRPr="00166361" w:rsidRDefault="00C1693A" w:rsidP="00120D51">
            <w:pPr>
              <w:jc w:val="center"/>
              <w:rPr>
                <w:rFonts w:ascii="NimbusRomNo9L" w:hAnsi="NimbusRomNo9L"/>
                <w:spacing w:val="-20"/>
                <w:sz w:val="20"/>
                <w:lang w:val="en-US"/>
              </w:rPr>
            </w:pPr>
            <w:r w:rsidRPr="00166361">
              <w:rPr>
                <w:rFonts w:ascii="NimbusRomNo9L" w:hAnsi="NimbusRomNo9L"/>
                <w:spacing w:val="-20"/>
                <w:sz w:val="20"/>
                <w:lang w:val="en-US"/>
              </w:rPr>
              <w:t>0.750</w:t>
            </w:r>
          </w:p>
        </w:tc>
        <w:tc>
          <w:tcPr>
            <w:tcW w:w="594" w:type="pct"/>
            <w:shd w:val="clear" w:color="auto" w:fill="auto"/>
            <w:noWrap/>
            <w:vAlign w:val="bottom"/>
            <w:hideMark/>
          </w:tcPr>
          <w:p w14:paraId="430935DB" w14:textId="77777777" w:rsidR="00C1693A" w:rsidRPr="00166361" w:rsidRDefault="00C1693A" w:rsidP="00120D51">
            <w:pPr>
              <w:jc w:val="center"/>
              <w:rPr>
                <w:rFonts w:ascii="NimbusRomNo9L" w:hAnsi="NimbusRomNo9L"/>
                <w:spacing w:val="-20"/>
                <w:sz w:val="20"/>
                <w:lang w:val="en-US"/>
              </w:rPr>
            </w:pPr>
            <w:r w:rsidRPr="00166361">
              <w:rPr>
                <w:rFonts w:ascii="NimbusRomNo9L" w:hAnsi="NimbusRomNo9L"/>
                <w:spacing w:val="-20"/>
                <w:sz w:val="20"/>
                <w:lang w:val="en-US"/>
              </w:rPr>
              <w:t>0.850</w:t>
            </w:r>
          </w:p>
        </w:tc>
      </w:tr>
    </w:tbl>
    <w:p w14:paraId="3B449060" w14:textId="24981F91" w:rsidR="009E6692" w:rsidRPr="009E6692" w:rsidRDefault="009E6692" w:rsidP="009E6692">
      <w:pPr>
        <w:widowControl w:val="0"/>
        <w:autoSpaceDE w:val="0"/>
        <w:autoSpaceDN w:val="0"/>
        <w:adjustRightInd w:val="0"/>
        <w:jc w:val="center"/>
        <w:rPr>
          <w:sz w:val="21"/>
          <w:lang w:val="en-US"/>
        </w:rPr>
      </w:pPr>
      <w:r w:rsidRPr="009E6692">
        <w:rPr>
          <w:sz w:val="21"/>
          <w:lang w:val="en-US"/>
        </w:rPr>
        <w:t>Bootstrapped – adjusted clustering at id and year level- errors in parentheses</w:t>
      </w:r>
    </w:p>
    <w:p w14:paraId="5063994D" w14:textId="77777777" w:rsidR="009E6692" w:rsidRPr="009E6692" w:rsidRDefault="009E6692" w:rsidP="009E6692">
      <w:pPr>
        <w:widowControl w:val="0"/>
        <w:autoSpaceDE w:val="0"/>
        <w:autoSpaceDN w:val="0"/>
        <w:adjustRightInd w:val="0"/>
        <w:jc w:val="center"/>
        <w:rPr>
          <w:sz w:val="21"/>
          <w:lang w:val="en-US"/>
        </w:rPr>
      </w:pPr>
      <w:r w:rsidRPr="009E6692">
        <w:rPr>
          <w:sz w:val="21"/>
          <w:lang w:val="en-US"/>
        </w:rPr>
        <w:t>*** p&lt;0.01, ** p&lt;0.05, * p&lt;0.1</w:t>
      </w:r>
    </w:p>
    <w:p w14:paraId="4B7EC969" w14:textId="08F17AC0" w:rsidR="0092594B" w:rsidRPr="00EE38F6" w:rsidRDefault="0092594B" w:rsidP="0092594B">
      <w:pPr>
        <w:spacing w:before="240" w:after="240"/>
        <w:jc w:val="both"/>
        <w:rPr>
          <w:rFonts w:ascii="NimbusRomNo9L" w:hAnsi="NimbusRomNo9L"/>
          <w:sz w:val="18"/>
          <w:szCs w:val="20"/>
          <w:lang w:val="en-US"/>
        </w:rPr>
      </w:pPr>
      <w:r>
        <w:rPr>
          <w:rFonts w:ascii="NimbusRomNo9L" w:hAnsi="NimbusRomNo9L"/>
          <w:sz w:val="18"/>
          <w:szCs w:val="20"/>
          <w:lang w:val="en-US"/>
        </w:rPr>
        <w:t>N</w:t>
      </w:r>
      <w:r w:rsidRPr="00F003EF">
        <w:rPr>
          <w:rFonts w:ascii="NimbusRomNo9L" w:hAnsi="NimbusRomNo9L"/>
          <w:sz w:val="18"/>
          <w:szCs w:val="20"/>
          <w:lang w:val="en-US"/>
        </w:rPr>
        <w:t xml:space="preserve">ote: The table presents the first and second stage (2SLS) and the smoothed instrumental variable empirical coefficients based on a panel dataset of </w:t>
      </w:r>
      <w:r>
        <w:rPr>
          <w:rFonts w:ascii="NimbusRomNo9L" w:hAnsi="NimbusRomNo9L"/>
          <w:sz w:val="18"/>
          <w:szCs w:val="20"/>
          <w:lang w:val="en-US"/>
        </w:rPr>
        <w:t>145</w:t>
      </w:r>
      <w:r w:rsidRPr="00F003EF">
        <w:rPr>
          <w:rFonts w:ascii="NimbusRomNo9L" w:hAnsi="NimbusRomNo9L"/>
          <w:sz w:val="18"/>
          <w:szCs w:val="20"/>
          <w:lang w:val="en-US"/>
        </w:rPr>
        <w:t xml:space="preserve"> Tribunals de Grande Instance from 2012 to 2019. </w:t>
      </w:r>
    </w:p>
    <w:p w14:paraId="44D6F5B8" w14:textId="047B5366" w:rsidR="00267587" w:rsidRPr="00166361" w:rsidRDefault="00267587" w:rsidP="00267587">
      <w:pPr>
        <w:pStyle w:val="Title"/>
        <w:rPr>
          <w:lang w:val="en-US"/>
        </w:rPr>
      </w:pPr>
      <w:r w:rsidRPr="00166361">
        <w:rPr>
          <w:lang w:val="en-US"/>
        </w:rPr>
        <w:t>4. Discussion</w:t>
      </w:r>
    </w:p>
    <w:p w14:paraId="7D1D6468" w14:textId="77777777" w:rsidR="00FE0E51" w:rsidRDefault="00FE0E51" w:rsidP="00FE0E51">
      <w:pPr>
        <w:ind w:firstLine="567"/>
        <w:jc w:val="both"/>
        <w:rPr>
          <w:rFonts w:ascii="NimbusRomNo9L" w:hAnsi="NimbusRomNo9L"/>
          <w:lang w:val="en-US"/>
        </w:rPr>
      </w:pPr>
      <w:r w:rsidRPr="00FE0E51">
        <w:rPr>
          <w:rFonts w:ascii="NimbusRomNo9L" w:hAnsi="NimbusRomNo9L"/>
          <w:lang w:val="en-US"/>
        </w:rPr>
        <w:t xml:space="preserve">The empirical coefficients in Section 3 tables support several interesting conclusions. </w:t>
      </w:r>
    </w:p>
    <w:p w14:paraId="307A56D8" w14:textId="41E69DAB" w:rsidR="00FE0E51" w:rsidRPr="00FE0E51" w:rsidRDefault="00FE0E51" w:rsidP="00FE0E51">
      <w:pPr>
        <w:ind w:firstLine="567"/>
        <w:jc w:val="both"/>
        <w:rPr>
          <w:rFonts w:ascii="NimbusRomNo9L" w:hAnsi="NimbusRomNo9L"/>
          <w:lang w:val="en-US"/>
        </w:rPr>
      </w:pPr>
      <w:r w:rsidRPr="00FE0E51">
        <w:rPr>
          <w:rFonts w:ascii="NimbusRomNo9L" w:hAnsi="NimbusRomNo9L"/>
          <w:bCs/>
          <w:lang w:val="en-US"/>
        </w:rPr>
        <w:t>Firstly, the positive and statistically significant first-stage coefficients confirm the hypothesis that the French legal profession developed historically at the intersection of social and institutional factors (</w:t>
      </w:r>
      <w:proofErr w:type="spellStart"/>
      <w:r w:rsidRPr="00FE0E51">
        <w:rPr>
          <w:rFonts w:ascii="NimbusRomNo9L" w:hAnsi="NimbusRomNo9L"/>
          <w:bCs/>
          <w:lang w:val="en-US"/>
        </w:rPr>
        <w:t>Houllemare</w:t>
      </w:r>
      <w:proofErr w:type="spellEnd"/>
      <w:r w:rsidRPr="00FE0E51">
        <w:rPr>
          <w:rFonts w:ascii="NimbusRomNo9L" w:hAnsi="NimbusRomNo9L"/>
          <w:bCs/>
          <w:lang w:val="en-US"/>
        </w:rPr>
        <w:t>, 2016).</w:t>
      </w:r>
      <w:r w:rsidRPr="00FE0E51">
        <w:rPr>
          <w:rFonts w:ascii="NimbusRomNo9L" w:hAnsi="NimbusRomNo9L"/>
          <w:lang w:val="en-US"/>
        </w:rPr>
        <w:t xml:space="preserve"> Even after excluding major or unusual courts, the number of lawyers per inhabitant in 1865 positively correlates with current lawyer concentration. This aligns with the literature highlighting the unique nature of the French legal profession (Gauthier, 2014), marked by long-standing monopolies (Lejeune, </w:t>
      </w:r>
      <w:r w:rsidRPr="00FE0E51">
        <w:rPr>
          <w:rFonts w:ascii="NimbusRomNo9L" w:hAnsi="NimbusRomNo9L"/>
          <w:lang w:val="en-US"/>
        </w:rPr>
        <w:lastRenderedPageBreak/>
        <w:t>2010</w:t>
      </w:r>
      <w:r w:rsidR="00FA0E7B">
        <w:rPr>
          <w:rFonts w:ascii="NimbusRomNo9L" w:hAnsi="NimbusRomNo9L"/>
          <w:lang w:val="en-US"/>
        </w:rPr>
        <w:t xml:space="preserve">; </w:t>
      </w:r>
      <w:proofErr w:type="spellStart"/>
      <w:r w:rsidR="00FA0E7B" w:rsidRPr="00AD567A">
        <w:rPr>
          <w:rFonts w:ascii="NimbusRomNo9L" w:hAnsi="NimbusRomNo9L"/>
          <w:lang w:val="en-US"/>
        </w:rPr>
        <w:t>Willemez</w:t>
      </w:r>
      <w:proofErr w:type="spellEnd"/>
      <w:r w:rsidR="00FA0E7B" w:rsidRPr="00AD567A">
        <w:rPr>
          <w:rFonts w:ascii="NimbusRomNo9L" w:hAnsi="NimbusRomNo9L"/>
          <w:lang w:val="en-US"/>
        </w:rPr>
        <w:t>, 1999</w:t>
      </w:r>
      <w:r w:rsidRPr="00FE0E51">
        <w:rPr>
          <w:rFonts w:ascii="NimbusRomNo9L" w:hAnsi="NimbusRomNo9L"/>
          <w:lang w:val="en-US"/>
        </w:rPr>
        <w:t>)</w:t>
      </w:r>
      <w:r w:rsidR="00FA0E7B">
        <w:rPr>
          <w:rFonts w:ascii="NimbusRomNo9L" w:hAnsi="NimbusRomNo9L"/>
          <w:lang w:val="en-US"/>
        </w:rPr>
        <w:t xml:space="preserve"> that shaped</w:t>
      </w:r>
      <w:r w:rsidR="00FA0E7B" w:rsidRPr="00AD567A">
        <w:rPr>
          <w:rFonts w:ascii="NimbusRomNo9L" w:hAnsi="NimbusRomNo9L"/>
          <w:lang w:val="en-US"/>
        </w:rPr>
        <w:t xml:space="preserve"> French society (</w:t>
      </w:r>
      <w:proofErr w:type="spellStart"/>
      <w:r w:rsidR="00FA0E7B" w:rsidRPr="00AD567A">
        <w:rPr>
          <w:rFonts w:ascii="NimbusRomNo9L" w:hAnsi="NimbusRomNo9L"/>
          <w:lang w:val="en-US"/>
        </w:rPr>
        <w:t>Assier-Andrieu</w:t>
      </w:r>
      <w:proofErr w:type="spellEnd"/>
      <w:r w:rsidR="00FA0E7B" w:rsidRPr="00AD567A">
        <w:rPr>
          <w:rFonts w:ascii="NimbusRomNo9L" w:hAnsi="NimbusRomNo9L"/>
          <w:lang w:val="en-US"/>
        </w:rPr>
        <w:t>, 2011).</w:t>
      </w:r>
      <w:r w:rsidRPr="00FE0E51">
        <w:rPr>
          <w:rFonts w:ascii="NimbusRomNo9L" w:hAnsi="NimbusRomNo9L"/>
          <w:lang w:val="en-US"/>
        </w:rPr>
        <w:t xml:space="preserve"> Notably, this historical feature demonstrates effectiveness as an instrumental variable, addressing the endogeneity inherent in lawyer concentration (</w:t>
      </w:r>
      <w:proofErr w:type="spellStart"/>
      <w:r w:rsidRPr="00FE0E51">
        <w:rPr>
          <w:rFonts w:ascii="NimbusRomNo9L" w:hAnsi="NimbusRomNo9L"/>
          <w:lang w:val="en-US"/>
        </w:rPr>
        <w:t>Andriosopoulos</w:t>
      </w:r>
      <w:proofErr w:type="spellEnd"/>
      <w:r w:rsidRPr="00FE0E51">
        <w:rPr>
          <w:rFonts w:ascii="NimbusRomNo9L" w:hAnsi="NimbusRomNo9L"/>
          <w:lang w:val="en-US"/>
        </w:rPr>
        <w:t xml:space="preserve"> et al., 2023; </w:t>
      </w:r>
      <w:proofErr w:type="spellStart"/>
      <w:r w:rsidRPr="00FE0E51">
        <w:rPr>
          <w:rFonts w:ascii="NimbusRomNo9L" w:hAnsi="NimbusRomNo9L"/>
          <w:lang w:val="en-US"/>
        </w:rPr>
        <w:t>Poppe</w:t>
      </w:r>
      <w:proofErr w:type="spellEnd"/>
      <w:r w:rsidRPr="00FE0E51">
        <w:rPr>
          <w:rFonts w:ascii="NimbusRomNo9L" w:hAnsi="NimbusRomNo9L"/>
          <w:lang w:val="en-US"/>
        </w:rPr>
        <w:t xml:space="preserve"> &amp; </w:t>
      </w:r>
      <w:proofErr w:type="spellStart"/>
      <w:r w:rsidRPr="00FE0E51">
        <w:rPr>
          <w:rFonts w:ascii="NimbusRomNo9L" w:hAnsi="NimbusRomNo9L"/>
          <w:lang w:val="en-US"/>
        </w:rPr>
        <w:t>Rachlinski</w:t>
      </w:r>
      <w:proofErr w:type="spellEnd"/>
      <w:r w:rsidRPr="00FE0E51">
        <w:rPr>
          <w:rFonts w:ascii="NimbusRomNo9L" w:hAnsi="NimbusRomNo9L"/>
          <w:lang w:val="en-US"/>
        </w:rPr>
        <w:t>, 2015)</w:t>
      </w:r>
      <w:r w:rsidR="00FA0E7B">
        <w:rPr>
          <w:rFonts w:ascii="NimbusRomNo9L" w:hAnsi="NimbusRomNo9L"/>
          <w:lang w:val="en-US"/>
        </w:rPr>
        <w:t xml:space="preserve"> and showing </w:t>
      </w:r>
      <w:r>
        <w:rPr>
          <w:rFonts w:ascii="NimbusRomNo9L" w:hAnsi="NimbusRomNo9L"/>
          <w:lang w:val="en-US"/>
        </w:rPr>
        <w:t>a form of</w:t>
      </w:r>
      <w:r w:rsidRPr="00AD567A">
        <w:rPr>
          <w:rFonts w:ascii="NimbusRomNo9L" w:hAnsi="NimbusRomNo9L"/>
          <w:lang w:val="en-US"/>
        </w:rPr>
        <w:t xml:space="preserve"> path of dependence (Wagner et al., 2014)</w:t>
      </w:r>
    </w:p>
    <w:p w14:paraId="7711E284" w14:textId="77777777" w:rsidR="00FE0E51" w:rsidRPr="00FE0E51" w:rsidRDefault="00FE0E51" w:rsidP="00FE0E51">
      <w:pPr>
        <w:ind w:firstLine="567"/>
        <w:jc w:val="both"/>
        <w:rPr>
          <w:rFonts w:ascii="NimbusRomNo9L" w:hAnsi="NimbusRomNo9L"/>
          <w:lang w:val="en-US"/>
        </w:rPr>
      </w:pPr>
      <w:r w:rsidRPr="00FE0E51">
        <w:rPr>
          <w:rFonts w:ascii="NimbusRomNo9L" w:hAnsi="NimbusRomNo9L"/>
          <w:lang w:val="en-US"/>
        </w:rPr>
        <w:t>The results also suggest higher lawyer concentration in areas with dense populations and slower courts. This aligns with France's competitive spatial use (</w:t>
      </w:r>
      <w:proofErr w:type="spellStart"/>
      <w:r w:rsidRPr="00FE0E51">
        <w:rPr>
          <w:rFonts w:ascii="NimbusRomNo9L" w:hAnsi="NimbusRomNo9L"/>
          <w:lang w:val="en-US"/>
        </w:rPr>
        <w:t>Darly</w:t>
      </w:r>
      <w:proofErr w:type="spellEnd"/>
      <w:r w:rsidRPr="00FE0E51">
        <w:rPr>
          <w:rFonts w:ascii="NimbusRomNo9L" w:hAnsi="NimbusRomNo9L"/>
          <w:lang w:val="en-US"/>
        </w:rPr>
        <w:t>, 2008), lower trust (Lieberman, 1981), and higher conflict potential in dense areas (Eisenberg et al., 2012). It suggests possible influences of court reputation (Zacharias, 2008), complex reasoning needs (</w:t>
      </w:r>
      <w:proofErr w:type="spellStart"/>
      <w:r w:rsidRPr="00FE0E51">
        <w:rPr>
          <w:rFonts w:ascii="NimbusRomNo9L" w:hAnsi="NimbusRomNo9L"/>
          <w:lang w:val="en-US"/>
        </w:rPr>
        <w:t>Meijers</w:t>
      </w:r>
      <w:proofErr w:type="spellEnd"/>
      <w:r w:rsidRPr="00FE0E51">
        <w:rPr>
          <w:rFonts w:ascii="NimbusRomNo9L" w:hAnsi="NimbusRomNo9L"/>
          <w:lang w:val="en-US"/>
        </w:rPr>
        <w:t>, 1948), and anti-disturbance strategies (</w:t>
      </w:r>
      <w:proofErr w:type="spellStart"/>
      <w:r w:rsidRPr="00FE0E51">
        <w:rPr>
          <w:rFonts w:ascii="NimbusRomNo9L" w:hAnsi="NimbusRomNo9L"/>
          <w:lang w:val="en-US"/>
        </w:rPr>
        <w:t>Chavent-Leclère</w:t>
      </w:r>
      <w:proofErr w:type="spellEnd"/>
      <w:r w:rsidRPr="00FE0E51">
        <w:rPr>
          <w:rFonts w:ascii="NimbusRomNo9L" w:hAnsi="NimbusRomNo9L"/>
          <w:lang w:val="en-US"/>
        </w:rPr>
        <w:t xml:space="preserve"> et al., 2020) through legal means (Perrot et al., 2017).</w:t>
      </w:r>
    </w:p>
    <w:p w14:paraId="23D8726F" w14:textId="53830D5D" w:rsidR="00F54E3F" w:rsidRDefault="00FE0E51" w:rsidP="00FA0E7B">
      <w:pPr>
        <w:ind w:firstLine="567"/>
        <w:jc w:val="both"/>
        <w:rPr>
          <w:rFonts w:ascii="NimbusRomNo9L" w:hAnsi="NimbusRomNo9L"/>
          <w:lang w:val="en-US"/>
        </w:rPr>
      </w:pPr>
      <w:r w:rsidRPr="00FE0E51">
        <w:rPr>
          <w:rFonts w:ascii="NimbusRomNo9L" w:hAnsi="NimbusRomNo9L"/>
          <w:lang w:val="en-US"/>
        </w:rPr>
        <w:t>Conversely, lower lawyer concentration occurs in areas with higher backlogs, judicial abandonment, unemployment, low education, and inequality, reflecting spatial injustice in France (Lévy et al., 2018). This may be due to regional differences in isolation (</w:t>
      </w:r>
      <w:proofErr w:type="spellStart"/>
      <w:r w:rsidRPr="00FE0E51">
        <w:rPr>
          <w:rFonts w:ascii="NimbusRomNo9L" w:hAnsi="NimbusRomNo9L"/>
          <w:lang w:val="en-US"/>
        </w:rPr>
        <w:t>Reynès</w:t>
      </w:r>
      <w:proofErr w:type="spellEnd"/>
      <w:r w:rsidRPr="00FE0E51">
        <w:rPr>
          <w:rFonts w:ascii="NimbusRomNo9L" w:hAnsi="NimbusRomNo9L"/>
          <w:lang w:val="en-US"/>
        </w:rPr>
        <w:t>, 2018), disadvantage (Yates et al., 2001), and financial accessibility (</w:t>
      </w:r>
      <w:proofErr w:type="spellStart"/>
      <w:r w:rsidRPr="00FE0E51">
        <w:rPr>
          <w:rFonts w:ascii="NimbusRomNo9L" w:hAnsi="NimbusRomNo9L"/>
          <w:lang w:val="en-US"/>
        </w:rPr>
        <w:t>Songer</w:t>
      </w:r>
      <w:proofErr w:type="spellEnd"/>
      <w:r w:rsidRPr="00FE0E51">
        <w:rPr>
          <w:rFonts w:ascii="NimbusRomNo9L" w:hAnsi="NimbusRomNo9L"/>
          <w:lang w:val="en-US"/>
        </w:rPr>
        <w:t xml:space="preserve"> et al., 1995), leading to unequal access to legal rights (Bouquet, 2018).</w:t>
      </w:r>
    </w:p>
    <w:p w14:paraId="2DEC55BF" w14:textId="5B98A41D" w:rsidR="00BD44D7" w:rsidRDefault="00023B9D" w:rsidP="00BD44D7">
      <w:pPr>
        <w:ind w:firstLine="567"/>
        <w:jc w:val="both"/>
        <w:rPr>
          <w:rFonts w:ascii="NimbusRomNo9L" w:hAnsi="NimbusRomNo9L"/>
          <w:lang w:val="en-US"/>
        </w:rPr>
      </w:pPr>
      <w:r>
        <w:rPr>
          <w:rFonts w:ascii="NimbusRomNo9L" w:hAnsi="NimbusRomNo9L"/>
          <w:lang w:val="en-US"/>
        </w:rPr>
        <w:t xml:space="preserve">Eventually, we </w:t>
      </w:r>
      <w:r w:rsidRPr="00023B9D">
        <w:rPr>
          <w:rFonts w:ascii="NimbusRomNo9L" w:hAnsi="NimbusRomNo9L"/>
          <w:lang w:val="en-US"/>
        </w:rPr>
        <w:t xml:space="preserve">tested the hypothesis of </w:t>
      </w:r>
      <w:r w:rsidRPr="00023B9D">
        <w:rPr>
          <w:rFonts w:ascii="NimbusRomNo9L" w:hAnsi="NimbusRomNo9L"/>
          <w:bCs/>
          <w:lang w:val="en-US"/>
        </w:rPr>
        <w:t>exogeneity</w:t>
      </w:r>
      <w:r w:rsidRPr="00023B9D">
        <w:rPr>
          <w:rFonts w:ascii="NimbusRomNo9L" w:hAnsi="NimbusRomNo9L"/>
          <w:lang w:val="en-US"/>
        </w:rPr>
        <w:t xml:space="preserve"> (no correlation between the error term and the instrument) using </w:t>
      </w:r>
      <w:r>
        <w:rPr>
          <w:rFonts w:ascii="NimbusRomNo9L" w:hAnsi="NimbusRomNo9L"/>
          <w:lang w:val="en-US"/>
        </w:rPr>
        <w:t xml:space="preserve">the </w:t>
      </w:r>
      <w:proofErr w:type="spellStart"/>
      <w:r w:rsidRPr="00B26A2C">
        <w:rPr>
          <w:rFonts w:ascii="NimbusRomNo9L" w:hAnsi="NimbusRomNo9L"/>
          <w:lang w:val="en-US"/>
        </w:rPr>
        <w:t>D'Haultfoeuille</w:t>
      </w:r>
      <w:proofErr w:type="spellEnd"/>
      <w:r w:rsidRPr="00B26A2C">
        <w:rPr>
          <w:rFonts w:ascii="NimbusRomNo9L" w:hAnsi="NimbusRomNo9L"/>
          <w:lang w:val="en-US"/>
        </w:rPr>
        <w:t xml:space="preserve"> et al.</w:t>
      </w:r>
      <w:r>
        <w:rPr>
          <w:rFonts w:ascii="NimbusRomNo9L" w:hAnsi="NimbusRomNo9L"/>
          <w:lang w:val="en-US"/>
        </w:rPr>
        <w:t xml:space="preserve"> </w:t>
      </w:r>
      <w:r w:rsidRPr="00023B9D">
        <w:rPr>
          <w:rFonts w:ascii="NimbusRomNo9L" w:hAnsi="NimbusRomNo9L"/>
          <w:lang w:val="en-US"/>
        </w:rPr>
        <w:t xml:space="preserve">test </w:t>
      </w:r>
      <w:r>
        <w:rPr>
          <w:rFonts w:ascii="NimbusRomNo9L" w:hAnsi="NimbusRomNo9L"/>
          <w:lang w:val="en-US"/>
        </w:rPr>
        <w:t xml:space="preserve">(2021) and we </w:t>
      </w:r>
      <w:r w:rsidR="00BD44D7">
        <w:rPr>
          <w:rFonts w:ascii="NimbusRomNo9L" w:hAnsi="NimbusRomNo9L"/>
          <w:lang w:val="en-US"/>
        </w:rPr>
        <w:t>fail to reject</w:t>
      </w:r>
      <w:r>
        <w:rPr>
          <w:rFonts w:ascii="NimbusRomNo9L" w:hAnsi="NimbusRomNo9L"/>
          <w:lang w:val="en-US"/>
        </w:rPr>
        <w:t>,</w:t>
      </w:r>
      <w:r w:rsidRPr="00023B9D">
        <w:rPr>
          <w:rFonts w:ascii="NimbusRomNo9L" w:hAnsi="NimbusRomNo9L"/>
          <w:lang w:val="en-US"/>
        </w:rPr>
        <w:t xml:space="preserve"> with a </w:t>
      </w:r>
      <w:r w:rsidRPr="00023B9D">
        <w:rPr>
          <w:rFonts w:ascii="NimbusRomNo9L" w:hAnsi="NimbusRomNo9L"/>
          <w:bCs/>
          <w:lang w:val="en-US"/>
        </w:rPr>
        <w:t>99% confidence level</w:t>
      </w:r>
      <w:r>
        <w:rPr>
          <w:rFonts w:ascii="NimbusRomNo9L" w:hAnsi="NimbusRomNo9L"/>
          <w:lang w:val="en-US"/>
        </w:rPr>
        <w:t xml:space="preserve">, </w:t>
      </w:r>
      <w:r w:rsidRPr="00023B9D">
        <w:rPr>
          <w:rFonts w:ascii="NimbusRomNo9L" w:hAnsi="NimbusRomNo9L"/>
          <w:lang w:val="en-US"/>
        </w:rPr>
        <w:t>t</w:t>
      </w:r>
      <w:r w:rsidR="00BD44D7">
        <w:rPr>
          <w:rFonts w:ascii="NimbusRomNo9L" w:hAnsi="NimbusRomNo9L"/>
          <w:lang w:val="en-US"/>
        </w:rPr>
        <w:t>hat e</w:t>
      </w:r>
      <w:r w:rsidR="00BD44D7" w:rsidRPr="00BD44D7">
        <w:rPr>
          <w:rFonts w:ascii="NimbusRomNo9L" w:hAnsi="NimbusRomNo9L"/>
          <w:lang w:val="en-US"/>
        </w:rPr>
        <w:t xml:space="preserve">xclusion restriction is </w:t>
      </w:r>
      <w:proofErr w:type="spellStart"/>
      <w:r w:rsidR="00BD44D7" w:rsidRPr="00BD44D7">
        <w:rPr>
          <w:rFonts w:ascii="NimbusRomNo9L" w:hAnsi="NimbusRomNo9L"/>
          <w:lang w:val="en-US"/>
        </w:rPr>
        <w:t>satified</w:t>
      </w:r>
      <w:proofErr w:type="spellEnd"/>
      <w:r w:rsidRPr="00023B9D">
        <w:rPr>
          <w:rFonts w:ascii="NimbusRomNo9L" w:hAnsi="NimbusRomNo9L"/>
          <w:lang w:val="en-US"/>
        </w:rPr>
        <w:t>. This supports our claim that the instrument is correlated with the outcome variable (current lawyer concentration) but not directly causing it, which is essential for an instrumental variable.</w:t>
      </w:r>
      <w:r w:rsidR="00BD44D7">
        <w:rPr>
          <w:rFonts w:ascii="NimbusRomNo9L" w:hAnsi="NimbusRomNo9L"/>
          <w:lang w:val="en-US"/>
        </w:rPr>
        <w:t xml:space="preserve"> </w:t>
      </w:r>
      <w:r w:rsidR="00BD44D7" w:rsidRPr="00BD44D7">
        <w:rPr>
          <w:rFonts w:ascii="NimbusRomNo9L" w:hAnsi="NimbusRomNo9L"/>
          <w:lang w:val="en-US"/>
        </w:rPr>
        <w:t xml:space="preserve">Finally, we evaluated the </w:t>
      </w:r>
      <w:r w:rsidR="00BD44D7" w:rsidRPr="00BD44D7">
        <w:rPr>
          <w:rFonts w:ascii="NimbusRomNo9L" w:hAnsi="NimbusRomNo9L"/>
          <w:bCs/>
          <w:lang w:val="en-US"/>
        </w:rPr>
        <w:t>strength</w:t>
      </w:r>
      <w:r w:rsidR="00BD44D7" w:rsidRPr="00BD44D7">
        <w:rPr>
          <w:rFonts w:ascii="NimbusRomNo9L" w:hAnsi="NimbusRomNo9L"/>
          <w:lang w:val="en-US"/>
        </w:rPr>
        <w:t xml:space="preserve"> of the instrument using the </w:t>
      </w:r>
      <w:proofErr w:type="spellStart"/>
      <w:r w:rsidR="00BD44D7" w:rsidRPr="00BD44D7">
        <w:rPr>
          <w:rFonts w:ascii="NimbusRomNo9L" w:hAnsi="NimbusRomNo9L"/>
          <w:bCs/>
          <w:lang w:val="en-US"/>
        </w:rPr>
        <w:t>Kleibergen-Paap</w:t>
      </w:r>
      <w:proofErr w:type="spellEnd"/>
      <w:r w:rsidR="00BD44D7" w:rsidRPr="00BD44D7">
        <w:rPr>
          <w:rFonts w:ascii="NimbusRomNo9L" w:hAnsi="NimbusRomNo9L"/>
          <w:bCs/>
          <w:lang w:val="en-US"/>
        </w:rPr>
        <w:t xml:space="preserve"> F-statistic</w:t>
      </w:r>
      <w:r w:rsidR="00BD44D7">
        <w:rPr>
          <w:rFonts w:ascii="NimbusRomNo9L" w:hAnsi="NimbusRomNo9L"/>
          <w:lang w:val="en-US"/>
        </w:rPr>
        <w:t xml:space="preserve">, </w:t>
      </w:r>
      <w:proofErr w:type="spellStart"/>
      <w:r w:rsidR="00BD44D7" w:rsidRPr="00BD44D7">
        <w:rPr>
          <w:rFonts w:ascii="NimbusRomNo9L" w:hAnsi="NimbusRomNo9L"/>
          <w:bCs/>
          <w:lang w:val="en-US"/>
        </w:rPr>
        <w:t>Cragg</w:t>
      </w:r>
      <w:proofErr w:type="spellEnd"/>
      <w:r w:rsidR="00BD44D7" w:rsidRPr="00BD44D7">
        <w:rPr>
          <w:rFonts w:ascii="NimbusRomNo9L" w:hAnsi="NimbusRomNo9L"/>
          <w:bCs/>
          <w:lang w:val="en-US"/>
        </w:rPr>
        <w:t>-Donald Wald F-statistic</w:t>
      </w:r>
      <w:r w:rsidR="00BD44D7">
        <w:rPr>
          <w:rFonts w:ascii="NimbusRomNo9L" w:hAnsi="NimbusRomNo9L"/>
          <w:bCs/>
          <w:lang w:val="en-US"/>
        </w:rPr>
        <w:t xml:space="preserve"> and the </w:t>
      </w:r>
      <w:r w:rsidR="00BD44D7" w:rsidRPr="00BD44D7">
        <w:rPr>
          <w:rFonts w:ascii="NimbusRomNo9L" w:hAnsi="NimbusRomNo9L"/>
          <w:bCs/>
          <w:lang w:val="en-US"/>
        </w:rPr>
        <w:t>Montiel-Pflueger effective F statistic</w:t>
      </w:r>
      <w:r w:rsidR="00BD44D7" w:rsidRPr="00BD44D7">
        <w:rPr>
          <w:rFonts w:ascii="NimbusRomNo9L" w:hAnsi="NimbusRomNo9L"/>
          <w:lang w:val="en-US"/>
        </w:rPr>
        <w:t xml:space="preserve">. </w:t>
      </w:r>
      <w:r w:rsidR="00BD44D7">
        <w:rPr>
          <w:rFonts w:ascii="NimbusRomNo9L" w:hAnsi="NimbusRomNo9L"/>
          <w:lang w:val="en-US"/>
        </w:rPr>
        <w:t xml:space="preserve">The </w:t>
      </w:r>
      <w:r w:rsidR="00BD44D7" w:rsidRPr="00BD44D7">
        <w:rPr>
          <w:rFonts w:ascii="NimbusRomNo9L" w:hAnsi="NimbusRomNo9L"/>
          <w:lang w:val="en-US"/>
        </w:rPr>
        <w:t>strength test results suggest the instrument operates as expected and is not significantly influenced by other factors, reducing concerns about biased estimates</w:t>
      </w:r>
      <w:r w:rsidR="00BD44D7">
        <w:rPr>
          <w:rFonts w:ascii="NimbusRomNo9L" w:hAnsi="NimbusRomNo9L"/>
          <w:lang w:val="en-US"/>
        </w:rPr>
        <w:t>.</w:t>
      </w:r>
    </w:p>
    <w:p w14:paraId="09DCC22F" w14:textId="708CA86B" w:rsidR="001102DB" w:rsidRPr="00BD44D7" w:rsidRDefault="001102DB" w:rsidP="00BB7543">
      <w:pPr>
        <w:ind w:firstLine="567"/>
        <w:jc w:val="both"/>
        <w:rPr>
          <w:rFonts w:ascii="NimbusRomNo9L" w:hAnsi="NimbusRomNo9L"/>
          <w:lang w:val="en-US"/>
        </w:rPr>
      </w:pPr>
      <w:r w:rsidRPr="001102DB">
        <w:rPr>
          <w:rFonts w:ascii="NimbusRomNo9L" w:hAnsi="NimbusRomNo9L"/>
          <w:bCs/>
          <w:lang w:val="en-US"/>
        </w:rPr>
        <w:t xml:space="preserve">Interestingly, the results maintain their sign and statistical significance across all specifications, even when excluding courts with exceptionally high lawyer concentration or those recently modified by legislation. This consistency suggests that the observed relationship </w:t>
      </w:r>
      <w:r w:rsidR="00BB7543" w:rsidRPr="001102DB">
        <w:rPr>
          <w:rFonts w:ascii="NimbusRomNo9L" w:hAnsi="NimbusRomNo9L"/>
          <w:bCs/>
          <w:lang w:val="en-US"/>
        </w:rPr>
        <w:t>between lawyer’s</w:t>
      </w:r>
      <w:r w:rsidRPr="001102DB">
        <w:rPr>
          <w:rFonts w:ascii="NimbusRomNo9L" w:hAnsi="NimbusRomNo9L"/>
          <w:bCs/>
          <w:lang w:val="en-US"/>
        </w:rPr>
        <w:t xml:space="preserve"> concentration </w:t>
      </w:r>
      <w:r w:rsidR="00BB7543">
        <w:rPr>
          <w:rFonts w:ascii="NimbusRomNo9L" w:hAnsi="NimbusRomNo9L"/>
          <w:bCs/>
          <w:lang w:val="en-US"/>
        </w:rPr>
        <w:t xml:space="preserve">in 1865 </w:t>
      </w:r>
      <w:r w:rsidRPr="001102DB">
        <w:rPr>
          <w:rFonts w:ascii="NimbusRomNo9L" w:hAnsi="NimbusRomNo9L"/>
          <w:bCs/>
          <w:lang w:val="en-US"/>
        </w:rPr>
        <w:t xml:space="preserve">and the </w:t>
      </w:r>
      <w:r w:rsidR="00BB7543">
        <w:rPr>
          <w:rFonts w:ascii="NimbusRomNo9L" w:hAnsi="NimbusRomNo9L"/>
          <w:bCs/>
          <w:lang w:val="en-US"/>
        </w:rPr>
        <w:t xml:space="preserve">current </w:t>
      </w:r>
      <w:r>
        <w:rPr>
          <w:rFonts w:ascii="NimbusRomNo9L" w:hAnsi="NimbusRomNo9L"/>
          <w:bCs/>
          <w:lang w:val="en-US"/>
        </w:rPr>
        <w:t xml:space="preserve">density of lawyers </w:t>
      </w:r>
      <w:r w:rsidR="00BB7543">
        <w:rPr>
          <w:rFonts w:ascii="NimbusRomNo9L" w:hAnsi="NimbusRomNo9L"/>
          <w:bCs/>
          <w:lang w:val="en-US"/>
        </w:rPr>
        <w:t>(2012-2019)</w:t>
      </w:r>
      <w:r w:rsidRPr="001102DB">
        <w:rPr>
          <w:rFonts w:ascii="NimbusRomNo9L" w:hAnsi="NimbusRomNo9L"/>
          <w:bCs/>
          <w:lang w:val="en-US"/>
        </w:rPr>
        <w:t xml:space="preserve"> is not driven by these specific court types or recent policy changes. It strengthens the argument that </w:t>
      </w:r>
      <w:r w:rsidR="00BB7543">
        <w:rPr>
          <w:rFonts w:ascii="NimbusRomNo9L" w:hAnsi="NimbusRomNo9L"/>
          <w:bCs/>
          <w:lang w:val="en-US"/>
        </w:rPr>
        <w:t xml:space="preserve">the legal profession </w:t>
      </w:r>
      <w:r w:rsidRPr="001102DB">
        <w:rPr>
          <w:rFonts w:ascii="NimbusRomNo9L" w:hAnsi="NimbusRomNo9L"/>
          <w:bCs/>
          <w:lang w:val="en-US"/>
        </w:rPr>
        <w:t>reflects a broader and more persistent pattern in the French legal system</w:t>
      </w:r>
      <w:r w:rsidR="00DA3660">
        <w:rPr>
          <w:rFonts w:ascii="NimbusRomNo9L" w:hAnsi="NimbusRomNo9L"/>
          <w:bCs/>
          <w:lang w:val="en-US"/>
        </w:rPr>
        <w:t xml:space="preserve"> (see the Appendix for some placebo test)</w:t>
      </w:r>
      <w:r w:rsidRPr="001102DB">
        <w:rPr>
          <w:rFonts w:ascii="NimbusRomNo9L" w:hAnsi="NimbusRomNo9L"/>
          <w:bCs/>
          <w:lang w:val="en-US"/>
        </w:rPr>
        <w:t>.</w:t>
      </w:r>
    </w:p>
    <w:p w14:paraId="54A45AB5" w14:textId="77777777" w:rsidR="0098024F" w:rsidRDefault="00BB7543" w:rsidP="0098024F">
      <w:pPr>
        <w:ind w:firstLine="567"/>
        <w:jc w:val="both"/>
        <w:rPr>
          <w:rFonts w:ascii="NimbusRomNo9L" w:hAnsi="NimbusRomNo9L"/>
          <w:lang w:val="en-US"/>
        </w:rPr>
      </w:pPr>
      <w:r w:rsidRPr="00BB7543">
        <w:rPr>
          <w:rFonts w:ascii="NimbusRomNo9L" w:hAnsi="NimbusRomNo9L"/>
          <w:bCs/>
          <w:lang w:val="en-US"/>
        </w:rPr>
        <w:t>The relationship between lawyer concentration and rejection rates, which constitutes the central focus of our analysis, warrants a dedicated discussion.</w:t>
      </w:r>
    </w:p>
    <w:p w14:paraId="22A85351" w14:textId="0FA7E7B5" w:rsidR="00F51D98" w:rsidRPr="000B49E3" w:rsidRDefault="0098024F" w:rsidP="00F51D98">
      <w:pPr>
        <w:ind w:firstLine="567"/>
        <w:jc w:val="both"/>
        <w:rPr>
          <w:rFonts w:ascii="NimbusRomNo9L" w:hAnsi="NimbusRomNo9L"/>
          <w:lang w:val="en-US"/>
        </w:rPr>
      </w:pPr>
      <w:r w:rsidRPr="00FD0EE3">
        <w:rPr>
          <w:rFonts w:ascii="NimbusRomNo9L" w:hAnsi="NimbusRomNo9L"/>
          <w:lang w:val="en-US"/>
        </w:rPr>
        <w:t>Lawyer concentration has a </w:t>
      </w:r>
      <w:r w:rsidRPr="00FD0EE3">
        <w:rPr>
          <w:rFonts w:ascii="NimbusRomNo9L" w:hAnsi="NimbusRomNo9L"/>
          <w:bCs/>
          <w:lang w:val="en-US"/>
        </w:rPr>
        <w:t>positive and statistically significant</w:t>
      </w:r>
      <w:r w:rsidRPr="00FD0EE3">
        <w:rPr>
          <w:rFonts w:ascii="NimbusRomNo9L" w:hAnsi="NimbusRomNo9L"/>
          <w:lang w:val="en-US"/>
        </w:rPr>
        <w:t> association with rejection rates across all models.</w:t>
      </w:r>
      <w:r w:rsidR="00FD0EE3" w:rsidRPr="00FD0EE3">
        <w:rPr>
          <w:rFonts w:ascii="NimbusRomNo9L" w:hAnsi="NimbusRomNo9L"/>
          <w:lang w:val="en-US"/>
        </w:rPr>
        <w:t xml:space="preserve"> Excluding specific courts with high lawyer concentration or recent legislative changes </w:t>
      </w:r>
      <w:r w:rsidR="00FD0EE3" w:rsidRPr="00FD0EE3">
        <w:rPr>
          <w:rFonts w:ascii="NimbusRomNo9L" w:hAnsi="NimbusRomNo9L"/>
          <w:bCs/>
          <w:lang w:val="en-US"/>
        </w:rPr>
        <w:t>does not affect the main findings</w:t>
      </w:r>
      <w:r w:rsidR="00FD0EE3" w:rsidRPr="00FD0EE3">
        <w:rPr>
          <w:rFonts w:ascii="NimbusRomNo9L" w:hAnsi="NimbusRomNo9L"/>
          <w:lang w:val="en-US"/>
        </w:rPr>
        <w:t> regarding lawyer concentration's positive impact on rejection rates</w:t>
      </w:r>
      <w:r w:rsidR="00FD0EE3">
        <w:rPr>
          <w:rFonts w:ascii="NimbusRomNo9L" w:hAnsi="NimbusRomNo9L"/>
          <w:lang w:val="en-US"/>
        </w:rPr>
        <w:t xml:space="preserve">. </w:t>
      </w:r>
      <w:r w:rsidR="00FD0EE3" w:rsidRPr="00FD0EE3">
        <w:rPr>
          <w:rFonts w:ascii="NimbusRomNo9L" w:hAnsi="NimbusRomNo9L"/>
          <w:lang w:val="en-US"/>
        </w:rPr>
        <w:t>Even when excluding major cities known for high lawyer density, the sign and significance of the coefficient for lawyer concentration remains consistent. This suggests the observed relationship is not driven solely by these specific urban contexts.</w:t>
      </w:r>
      <w:r w:rsidR="00F51D98">
        <w:rPr>
          <w:rFonts w:ascii="NimbusRomNo9L" w:hAnsi="NimbusRomNo9L"/>
          <w:lang w:val="en-US"/>
        </w:rPr>
        <w:t xml:space="preserve"> </w:t>
      </w:r>
      <w:r w:rsidR="00F51D98" w:rsidRPr="000B49E3">
        <w:rPr>
          <w:rFonts w:ascii="NimbusRomNo9L" w:hAnsi="NimbusRomNo9L"/>
          <w:lang w:val="en-US"/>
        </w:rPr>
        <w:t>Several explanations could underpin this observed relationship.</w:t>
      </w:r>
    </w:p>
    <w:p w14:paraId="4C3D4B8E" w14:textId="490517A9" w:rsidR="000B49E3" w:rsidRDefault="000B49E3" w:rsidP="000B49E3">
      <w:pPr>
        <w:ind w:firstLine="567"/>
        <w:jc w:val="both"/>
        <w:rPr>
          <w:rFonts w:ascii="NimbusRomNo9L" w:hAnsi="NimbusRomNo9L"/>
          <w:lang w:val="en-US"/>
        </w:rPr>
      </w:pPr>
      <w:r w:rsidRPr="000B49E3">
        <w:rPr>
          <w:rFonts w:ascii="NimbusRomNo9L" w:hAnsi="NimbusRomNo9L"/>
          <w:lang w:val="en-US"/>
        </w:rPr>
        <w:t>In the first place, the legal market is characterized by dispersed competition and high labor intensiveness (Jovanovič,2018). This creates an environment where intense competition may incentivize lawyers to translate even minor issues into legal claims (</w:t>
      </w:r>
      <w:proofErr w:type="spellStart"/>
      <w:r w:rsidRPr="000B49E3">
        <w:rPr>
          <w:rFonts w:ascii="NimbusRomNo9L" w:hAnsi="NimbusRomNo9L"/>
          <w:lang w:val="en-US"/>
        </w:rPr>
        <w:t>Sandefur</w:t>
      </w:r>
      <w:proofErr w:type="spellEnd"/>
      <w:r w:rsidRPr="000B49E3">
        <w:rPr>
          <w:rFonts w:ascii="NimbusRomNo9L" w:hAnsi="NimbusRomNo9L"/>
          <w:lang w:val="en-US"/>
        </w:rPr>
        <w:t>, 2001),</w:t>
      </w:r>
      <w:r w:rsidR="009273A1">
        <w:rPr>
          <w:rFonts w:ascii="NimbusRomNo9L" w:hAnsi="NimbusRomNo9L"/>
          <w:lang w:val="en-US"/>
        </w:rPr>
        <w:t xml:space="preserve"> </w:t>
      </w:r>
      <w:r w:rsidRPr="000B49E3">
        <w:rPr>
          <w:rFonts w:ascii="NimbusRomNo9L" w:hAnsi="NimbusRomNo9L"/>
          <w:lang w:val="en-US"/>
        </w:rPr>
        <w:t>potentially contributing to an increase in filings that eventually face rejection.</w:t>
      </w:r>
      <w:r w:rsidR="009273A1">
        <w:rPr>
          <w:rFonts w:ascii="NimbusRomNo9L" w:hAnsi="NimbusRomNo9L"/>
          <w:lang w:val="en-US"/>
        </w:rPr>
        <w:t xml:space="preserve"> </w:t>
      </w:r>
      <w:r w:rsidRPr="000B49E3">
        <w:rPr>
          <w:rFonts w:ascii="NimbusRomNo9L" w:hAnsi="NimbusRomNo9L"/>
          <w:lang w:val="en-US"/>
        </w:rPr>
        <w:t>Additionally, research suggests that increased lawyer density might not translate to improved client outcomes (Worden et al., 2018), further supporting the link with higher rejection rates.</w:t>
      </w:r>
    </w:p>
    <w:p w14:paraId="49E8144A" w14:textId="77777777" w:rsidR="000B49E3" w:rsidRDefault="000B49E3" w:rsidP="000B49E3">
      <w:pPr>
        <w:ind w:firstLine="567"/>
        <w:jc w:val="both"/>
        <w:rPr>
          <w:rFonts w:ascii="NimbusRomNo9L" w:hAnsi="NimbusRomNo9L"/>
          <w:lang w:val="en-US"/>
        </w:rPr>
      </w:pPr>
      <w:r>
        <w:rPr>
          <w:rFonts w:ascii="NimbusRomNo9L" w:hAnsi="NimbusRomNo9L"/>
          <w:lang w:val="en-US"/>
        </w:rPr>
        <w:lastRenderedPageBreak/>
        <w:t xml:space="preserve">In the second place, </w:t>
      </w:r>
      <w:r w:rsidRPr="000B49E3">
        <w:rPr>
          <w:rFonts w:ascii="NimbusRomNo9L" w:hAnsi="NimbusRomNo9L"/>
          <w:lang w:val="en-US"/>
        </w:rPr>
        <w:t>concentrated legal markets might encourage the filing of frivolous lawsuits</w:t>
      </w:r>
      <w:r>
        <w:rPr>
          <w:rFonts w:ascii="NimbusRomNo9L" w:hAnsi="NimbusRomNo9L"/>
          <w:lang w:val="en-US"/>
        </w:rPr>
        <w:t xml:space="preserve"> (</w:t>
      </w:r>
      <w:proofErr w:type="spellStart"/>
      <w:r w:rsidRPr="00166361">
        <w:rPr>
          <w:rFonts w:ascii="NimbusRomNo9L" w:hAnsi="NimbusRomNo9L"/>
          <w:lang w:val="en-US"/>
        </w:rPr>
        <w:t>Doriat-Duban</w:t>
      </w:r>
      <w:proofErr w:type="spellEnd"/>
      <w:r w:rsidRPr="00166361">
        <w:rPr>
          <w:rFonts w:ascii="NimbusRomNo9L" w:hAnsi="NimbusRomNo9L"/>
          <w:lang w:val="en-US"/>
        </w:rPr>
        <w:t xml:space="preserve"> et al., 2020</w:t>
      </w:r>
      <w:r>
        <w:rPr>
          <w:rFonts w:ascii="NimbusRomNo9L" w:hAnsi="NimbusRomNo9L"/>
          <w:lang w:val="en-US"/>
        </w:rPr>
        <w:t>)</w:t>
      </w:r>
      <w:r w:rsidRPr="000B49E3">
        <w:rPr>
          <w:rFonts w:ascii="NimbusRomNo9L" w:hAnsi="NimbusRomNo9L"/>
          <w:lang w:val="en-US"/>
        </w:rPr>
        <w:t>. This could be due to the competitive pressure on lawyers to generate income or the belief that judges in such environments are more susceptible to pressure tactics.</w:t>
      </w:r>
      <w:r>
        <w:rPr>
          <w:rFonts w:ascii="NimbusRomNo9L" w:hAnsi="NimbusRomNo9L"/>
          <w:lang w:val="en-US"/>
        </w:rPr>
        <w:t xml:space="preserve"> </w:t>
      </w:r>
      <w:r w:rsidRPr="000B49E3">
        <w:rPr>
          <w:rFonts w:ascii="NimbusRomNo9L" w:hAnsi="NimbusRomNo9L"/>
          <w:lang w:val="en-US"/>
        </w:rPr>
        <w:t>Higher rejection rates could thus reflect the court system filtering out these non-meritorious claims.</w:t>
      </w:r>
      <w:r>
        <w:rPr>
          <w:rFonts w:ascii="NimbusRomNo9L" w:hAnsi="NimbusRomNo9L"/>
          <w:lang w:val="en-US"/>
        </w:rPr>
        <w:t xml:space="preserve"> </w:t>
      </w:r>
    </w:p>
    <w:p w14:paraId="018C70E8" w14:textId="190B9BB9" w:rsidR="000B49E3" w:rsidRPr="000B49E3" w:rsidRDefault="000B49E3" w:rsidP="000B49E3">
      <w:pPr>
        <w:ind w:firstLine="567"/>
        <w:jc w:val="both"/>
        <w:rPr>
          <w:rFonts w:ascii="NimbusRomNo9L" w:hAnsi="NimbusRomNo9L"/>
          <w:lang w:val="en-US"/>
        </w:rPr>
      </w:pPr>
      <w:r>
        <w:rPr>
          <w:rFonts w:ascii="NimbusRomNo9L" w:hAnsi="NimbusRomNo9L"/>
          <w:lang w:val="en-US"/>
        </w:rPr>
        <w:t xml:space="preserve">Eventually, </w:t>
      </w:r>
      <w:r w:rsidRPr="000B49E3">
        <w:rPr>
          <w:rFonts w:ascii="NimbusRomNo9L" w:hAnsi="NimbusRomNo9L"/>
          <w:lang w:val="en-US"/>
        </w:rPr>
        <w:t>concentrated legal markets can lead to various market failures, such as excessive litigation and inefficient resource allocation</w:t>
      </w:r>
      <w:r>
        <w:rPr>
          <w:rFonts w:ascii="NimbusRomNo9L" w:hAnsi="NimbusRomNo9L"/>
          <w:lang w:val="en-US"/>
        </w:rPr>
        <w:t xml:space="preserve"> (</w:t>
      </w:r>
      <w:proofErr w:type="spellStart"/>
      <w:r w:rsidRPr="000B49E3">
        <w:rPr>
          <w:rFonts w:ascii="NimbusRomNo9L" w:hAnsi="NimbusRomNo9L"/>
          <w:lang w:val="en-US"/>
        </w:rPr>
        <w:t>Stucke</w:t>
      </w:r>
      <w:proofErr w:type="spellEnd"/>
      <w:r>
        <w:rPr>
          <w:rFonts w:ascii="NimbusRomNo9L" w:hAnsi="NimbusRomNo9L"/>
          <w:lang w:val="en-US"/>
        </w:rPr>
        <w:t xml:space="preserve">, </w:t>
      </w:r>
      <w:r w:rsidRPr="000B49E3">
        <w:rPr>
          <w:rFonts w:ascii="NimbusRomNo9L" w:hAnsi="NimbusRomNo9L"/>
          <w:lang w:val="en-US"/>
        </w:rPr>
        <w:t>2013). This can ultimately reduce social welfare (Cao,2008) as resources are spent on cases with low chances of success. The higher rejection rates you observe could be a symptom of these broader market inefficiencies.</w:t>
      </w:r>
    </w:p>
    <w:p w14:paraId="354B5758" w14:textId="335D6A20" w:rsidR="00120D51" w:rsidRDefault="000B49E3" w:rsidP="000B49E3">
      <w:pPr>
        <w:ind w:firstLine="567"/>
        <w:jc w:val="both"/>
        <w:rPr>
          <w:rFonts w:ascii="NimbusRomNo9L" w:hAnsi="NimbusRomNo9L"/>
          <w:lang w:val="en-US"/>
        </w:rPr>
      </w:pPr>
      <w:r>
        <w:rPr>
          <w:rFonts w:ascii="NimbusRomNo9L" w:hAnsi="NimbusRomNo9L"/>
          <w:lang w:val="en-US"/>
        </w:rPr>
        <w:t xml:space="preserve">The control variables suggest </w:t>
      </w:r>
      <w:r w:rsidR="00120D51">
        <w:rPr>
          <w:rFonts w:ascii="NimbusRomNo9L" w:hAnsi="NimbusRomNo9L"/>
          <w:lang w:val="en-US"/>
        </w:rPr>
        <w:t>different important results.</w:t>
      </w:r>
    </w:p>
    <w:p w14:paraId="0A1670C2" w14:textId="77777777" w:rsidR="00120D51" w:rsidRDefault="00120D51" w:rsidP="00120D51">
      <w:pPr>
        <w:ind w:firstLine="567"/>
        <w:jc w:val="both"/>
        <w:rPr>
          <w:rFonts w:ascii="NimbusRomNo9L" w:hAnsi="NimbusRomNo9L"/>
          <w:lang w:val="en-US"/>
        </w:rPr>
      </w:pPr>
      <w:r w:rsidRPr="00120D51">
        <w:rPr>
          <w:rFonts w:ascii="NimbusRomNo9L" w:hAnsi="NimbusRomNo9L"/>
          <w:lang w:val="en-US"/>
        </w:rPr>
        <w:t xml:space="preserve">The </w:t>
      </w:r>
      <w:r w:rsidRPr="00120D51">
        <w:rPr>
          <w:rFonts w:ascii="NimbusRomNo9L" w:hAnsi="NimbusRomNo9L"/>
          <w:bCs/>
          <w:lang w:val="en-US"/>
        </w:rPr>
        <w:t>negative and consistent</w:t>
      </w:r>
      <w:r w:rsidRPr="00120D51">
        <w:rPr>
          <w:rFonts w:ascii="NimbusRomNo9L" w:hAnsi="NimbusRomNo9L"/>
          <w:lang w:val="en-US"/>
        </w:rPr>
        <w:t xml:space="preserve"> association between backlog rates and rejection rates suggests that areas with a </w:t>
      </w:r>
      <w:r w:rsidRPr="00120D51">
        <w:rPr>
          <w:rFonts w:ascii="NimbusRomNo9L" w:hAnsi="NimbusRomNo9L"/>
          <w:bCs/>
          <w:lang w:val="en-US"/>
        </w:rPr>
        <w:t>higher backlog of cases</w:t>
      </w:r>
      <w:r w:rsidRPr="00120D51">
        <w:rPr>
          <w:rFonts w:ascii="NimbusRomNo9L" w:hAnsi="NimbusRomNo9L"/>
          <w:lang w:val="en-US"/>
        </w:rPr>
        <w:t xml:space="preserve"> tend to have </w:t>
      </w:r>
      <w:r w:rsidRPr="00120D51">
        <w:rPr>
          <w:rFonts w:ascii="NimbusRomNo9L" w:hAnsi="NimbusRomNo9L"/>
          <w:bCs/>
          <w:lang w:val="en-US"/>
        </w:rPr>
        <w:t>fewer rejections</w:t>
      </w:r>
      <w:r w:rsidRPr="00120D51">
        <w:rPr>
          <w:rFonts w:ascii="NimbusRomNo9L" w:hAnsi="NimbusRomNo9L"/>
          <w:lang w:val="en-US"/>
        </w:rPr>
        <w:t>. This could be due to several factors. Backlogs potentially indicate overburdened court systems, where judges prioritize clearing older cases rather than accepting new ones. This might lead to stricter scrutiny of new filings, resulting in higher rejection rates for cases deemed weak or lacking merit.</w:t>
      </w:r>
      <w:r>
        <w:rPr>
          <w:rFonts w:ascii="NimbusRomNo9L" w:hAnsi="NimbusRomNo9L"/>
          <w:lang w:val="en-US"/>
        </w:rPr>
        <w:t xml:space="preserve"> Furthermore, in</w:t>
      </w:r>
      <w:r w:rsidRPr="00120D51">
        <w:rPr>
          <w:rFonts w:ascii="NimbusRomNo9L" w:hAnsi="NimbusRomNo9L"/>
          <w:lang w:val="en-US"/>
        </w:rPr>
        <w:t xml:space="preserve"> congested courts, lawyers might strategically delay certain cases, anticipating that backlogs will force their eventual dismissal (even without formal rejection). This behavior could contribute to lower observed rejection rates for newer cases within the system.</w:t>
      </w:r>
    </w:p>
    <w:p w14:paraId="7623D685" w14:textId="19F06CBD" w:rsidR="00120D51" w:rsidRDefault="00120D51" w:rsidP="00120D51">
      <w:pPr>
        <w:ind w:firstLine="567"/>
        <w:jc w:val="both"/>
        <w:rPr>
          <w:rFonts w:ascii="NimbusRomNo9L" w:hAnsi="NimbusRomNo9L"/>
          <w:lang w:val="en-US"/>
        </w:rPr>
      </w:pPr>
      <w:r w:rsidRPr="00120D51">
        <w:rPr>
          <w:rFonts w:ascii="NimbusRomNo9L" w:hAnsi="NimbusRomNo9L"/>
          <w:lang w:val="en-US"/>
        </w:rPr>
        <w:t xml:space="preserve">The </w:t>
      </w:r>
      <w:r w:rsidRPr="00120D51">
        <w:rPr>
          <w:rFonts w:ascii="NimbusRomNo9L" w:hAnsi="NimbusRomNo9L"/>
          <w:bCs/>
          <w:lang w:val="en-US"/>
        </w:rPr>
        <w:t>positive and consistent</w:t>
      </w:r>
      <w:r w:rsidRPr="00120D51">
        <w:rPr>
          <w:rFonts w:ascii="NimbusRomNo9L" w:hAnsi="NimbusRomNo9L"/>
          <w:lang w:val="en-US"/>
        </w:rPr>
        <w:t xml:space="preserve"> association between lawsuit withdrawal rate and rejection rates seems counterintuitive. However, several explanations could come into play. On the one hand, in areas with high withdrawal rates, it's possible that many plaintiffs lose faith in the legal system due to factors like delays, costs, or perceived inefficacy. This may lead them to withdraw their cases before facing formal rejection, effectively contributing to the observed correlation.</w:t>
      </w:r>
      <w:r>
        <w:rPr>
          <w:rFonts w:ascii="NimbusRomNo9L" w:hAnsi="NimbusRomNo9L"/>
          <w:lang w:val="en-US"/>
        </w:rPr>
        <w:t xml:space="preserve"> On the other </w:t>
      </w:r>
      <w:proofErr w:type="spellStart"/>
      <w:r>
        <w:rPr>
          <w:rFonts w:ascii="NimbusRomNo9L" w:hAnsi="NimbusRomNo9L"/>
          <w:lang w:val="en-US"/>
        </w:rPr>
        <w:t>had</w:t>
      </w:r>
      <w:proofErr w:type="spellEnd"/>
      <w:r>
        <w:rPr>
          <w:rFonts w:ascii="NimbusRomNo9L" w:hAnsi="NimbusRomNo9L"/>
          <w:lang w:val="en-US"/>
        </w:rPr>
        <w:t>, h</w:t>
      </w:r>
      <w:r w:rsidRPr="00120D51">
        <w:rPr>
          <w:rFonts w:ascii="NimbusRomNo9L" w:hAnsi="NimbusRomNo9L"/>
          <w:lang w:val="en-US"/>
        </w:rPr>
        <w:t>igh withdrawal rates could also reflect a strategic shift from plaintiffs. They might initiate lawsuits to pressure opponents or obtain concessions without aiming for a formal court judgement, leading to withdrawals before reaching rejection or resolution.</w:t>
      </w:r>
    </w:p>
    <w:p w14:paraId="3DB2F7E7" w14:textId="11BA5273" w:rsidR="00120D51" w:rsidRPr="0080288D" w:rsidRDefault="00120D51" w:rsidP="00120D51">
      <w:pPr>
        <w:ind w:firstLine="567"/>
        <w:jc w:val="both"/>
        <w:rPr>
          <w:rFonts w:ascii="NimbusRomNo9L" w:hAnsi="NimbusRomNo9L"/>
          <w:lang w:val="en-US"/>
        </w:rPr>
      </w:pPr>
      <w:r w:rsidRPr="00120D51">
        <w:rPr>
          <w:rFonts w:ascii="NimbusRomNo9L" w:hAnsi="NimbusRomNo9L"/>
          <w:lang w:val="en-US"/>
        </w:rPr>
        <w:t xml:space="preserve">The positive and consistent relationship between </w:t>
      </w:r>
      <w:r w:rsidRPr="00120D51">
        <w:rPr>
          <w:rFonts w:ascii="NimbusRomNo9L" w:hAnsi="NimbusRomNo9L"/>
          <w:bCs/>
          <w:lang w:val="en-US"/>
        </w:rPr>
        <w:t>unemployment rate, inequality indicators, and rejection rates</w:t>
      </w:r>
      <w:r w:rsidRPr="00120D51">
        <w:rPr>
          <w:rFonts w:ascii="NimbusRomNo9L" w:hAnsi="NimbusRomNo9L"/>
          <w:lang w:val="en-US"/>
        </w:rPr>
        <w:t xml:space="preserve"> presents a complex situation. </w:t>
      </w:r>
    </w:p>
    <w:p w14:paraId="5DF3DA60" w14:textId="77777777" w:rsidR="00120D51" w:rsidRPr="00120D51" w:rsidRDefault="00120D51" w:rsidP="00120D51">
      <w:pPr>
        <w:ind w:firstLine="567"/>
        <w:jc w:val="both"/>
        <w:rPr>
          <w:rFonts w:ascii="NimbusRomNo9L" w:hAnsi="NimbusRomNo9L"/>
          <w:lang w:val="en-US"/>
        </w:rPr>
      </w:pPr>
      <w:r w:rsidRPr="00120D51">
        <w:rPr>
          <w:rFonts w:ascii="NimbusRomNo9L" w:hAnsi="NimbusRomNo9L"/>
          <w:lang w:val="en-US"/>
        </w:rPr>
        <w:t>Higher unemployment and inequality might correlate with limited access to legal resources and support, leading to poorly prepared and ultimately rejected cases. Additionally, individuals from disadvantaged backgrounds might be more likely to pursue weak claims due to desperation or limited alternatives.</w:t>
      </w:r>
    </w:p>
    <w:p w14:paraId="4CC73C1A" w14:textId="526FC615" w:rsidR="000B487D" w:rsidRPr="00166361" w:rsidRDefault="00120D51" w:rsidP="00D63435">
      <w:pPr>
        <w:ind w:firstLine="567"/>
        <w:jc w:val="both"/>
        <w:rPr>
          <w:rFonts w:ascii="NimbusRomNo9L" w:hAnsi="NimbusRomNo9L"/>
          <w:lang w:val="en-US"/>
        </w:rPr>
      </w:pPr>
      <w:r w:rsidRPr="00D63435">
        <w:rPr>
          <w:rFonts w:ascii="NimbusRomNo9L" w:hAnsi="NimbusRomNo9L"/>
          <w:lang w:val="en-US"/>
        </w:rPr>
        <w:t>It's important to consider potential selection bias, where areas with higher unemployment and inequality might also have other characteristics affecting rejection rates (e.g., specific types of disputes, court practices). Further research is needed to disentangle these complex interrelationships</w:t>
      </w:r>
      <w:r w:rsidR="00D63435">
        <w:rPr>
          <w:rFonts w:ascii="NimbusRomNo9L" w:hAnsi="NimbusRomNo9L"/>
          <w:lang w:val="en-US"/>
        </w:rPr>
        <w:t xml:space="preserve">, which might signal </w:t>
      </w:r>
      <w:r w:rsidR="000B487D" w:rsidRPr="00166361">
        <w:rPr>
          <w:rFonts w:ascii="NimbusRomNo9L" w:hAnsi="NimbusRomNo9L"/>
          <w:lang w:val="en-US"/>
        </w:rPr>
        <w:t xml:space="preserve">room for </w:t>
      </w:r>
      <w:r w:rsidR="00D63435">
        <w:rPr>
          <w:rFonts w:ascii="NimbusRomNo9L" w:hAnsi="NimbusRomNo9L"/>
          <w:lang w:val="en-US"/>
        </w:rPr>
        <w:t xml:space="preserve">the </w:t>
      </w:r>
      <w:r w:rsidR="000B487D" w:rsidRPr="00166361">
        <w:rPr>
          <w:rFonts w:ascii="NimbusRomNo9L" w:hAnsi="NimbusRomNo9L"/>
          <w:lang w:val="en-US"/>
        </w:rPr>
        <w:t>reputation</w:t>
      </w:r>
      <w:r w:rsidR="00D63435">
        <w:rPr>
          <w:rFonts w:ascii="NimbusRomNo9L" w:hAnsi="NimbusRomNo9L"/>
          <w:lang w:val="en-US"/>
        </w:rPr>
        <w:t>al</w:t>
      </w:r>
      <w:r w:rsidR="000B487D" w:rsidRPr="00166361">
        <w:rPr>
          <w:rFonts w:ascii="NimbusRomNo9L" w:hAnsi="NimbusRomNo9L"/>
          <w:lang w:val="en-US"/>
        </w:rPr>
        <w:t xml:space="preserve"> and compliance issues mentioned in the literature (Dothan, 2014).</w:t>
      </w:r>
    </w:p>
    <w:p w14:paraId="12599B66" w14:textId="06BF8920" w:rsidR="000B487D" w:rsidRPr="00166361" w:rsidRDefault="000B487D" w:rsidP="000B487D">
      <w:pPr>
        <w:pStyle w:val="Title"/>
        <w:rPr>
          <w:lang w:val="en-US"/>
        </w:rPr>
      </w:pPr>
      <w:r w:rsidRPr="00166361">
        <w:rPr>
          <w:lang w:val="en-US"/>
        </w:rPr>
        <w:t xml:space="preserve">5. Conclusions </w:t>
      </w:r>
    </w:p>
    <w:p w14:paraId="438D64E5" w14:textId="77777777" w:rsidR="00BD69F7" w:rsidRPr="004C2F87" w:rsidRDefault="00BD69F7" w:rsidP="00BD69F7">
      <w:pPr>
        <w:ind w:firstLine="567"/>
        <w:jc w:val="both"/>
        <w:rPr>
          <w:rFonts w:ascii="NimbusRomNo9L" w:hAnsi="NimbusRomNo9L"/>
          <w:lang w:val="en-US"/>
        </w:rPr>
      </w:pPr>
      <w:r w:rsidRPr="00BD69F7">
        <w:rPr>
          <w:rFonts w:ascii="NimbusRomNo9L" w:hAnsi="NimbusRomNo9L"/>
          <w:lang w:val="en-US"/>
        </w:rPr>
        <w:t xml:space="preserve">This analysis has explored the relationship between lawyer concentration and rejection rates in the French legal system. </w:t>
      </w:r>
      <w:r w:rsidRPr="004C2F87">
        <w:rPr>
          <w:rFonts w:ascii="NimbusRomNo9L" w:hAnsi="NimbusRomNo9L"/>
          <w:lang w:val="en-US"/>
        </w:rPr>
        <w:t xml:space="preserve">We found a </w:t>
      </w:r>
      <w:r w:rsidRPr="004C2F87">
        <w:rPr>
          <w:rFonts w:ascii="NimbusRomNo9L" w:hAnsi="NimbusRomNo9L"/>
          <w:bCs/>
          <w:lang w:val="en-US"/>
        </w:rPr>
        <w:t>positive and statistically significant association</w:t>
      </w:r>
      <w:r w:rsidRPr="004C2F87">
        <w:rPr>
          <w:rFonts w:ascii="NimbusRomNo9L" w:hAnsi="NimbusRomNo9L"/>
          <w:lang w:val="en-US"/>
        </w:rPr>
        <w:t>, suggesting that areas with more lawyers per capita experience higher rates of case rejection. While this finding seems straightforward, its implications demand nuanced interpretation and consideration of broader contexts.</w:t>
      </w:r>
    </w:p>
    <w:p w14:paraId="22647B70" w14:textId="77777777" w:rsidR="00BD69F7" w:rsidRPr="004C2F87" w:rsidRDefault="00BD69F7" w:rsidP="00BD69F7">
      <w:pPr>
        <w:ind w:firstLine="567"/>
        <w:jc w:val="both"/>
        <w:rPr>
          <w:rFonts w:ascii="NimbusRomNo9L" w:hAnsi="NimbusRomNo9L"/>
          <w:lang w:val="en-US"/>
        </w:rPr>
      </w:pPr>
      <w:r w:rsidRPr="004C2F87">
        <w:rPr>
          <w:rFonts w:ascii="NimbusRomNo9L" w:hAnsi="NimbusRomNo9L"/>
          <w:lang w:val="en-US"/>
        </w:rPr>
        <w:lastRenderedPageBreak/>
        <w:t xml:space="preserve">Several theories explain this link. Increased competition in a </w:t>
      </w:r>
      <w:r w:rsidRPr="004C2F87">
        <w:rPr>
          <w:rFonts w:ascii="NimbusRomNo9L" w:hAnsi="NimbusRomNo9L"/>
          <w:bCs/>
          <w:lang w:val="en-US"/>
        </w:rPr>
        <w:t>saturated legal market</w:t>
      </w:r>
      <w:r w:rsidRPr="004C2F87">
        <w:rPr>
          <w:rFonts w:ascii="NimbusRomNo9L" w:hAnsi="NimbusRomNo9L"/>
          <w:lang w:val="en-US"/>
        </w:rPr>
        <w:t xml:space="preserve"> might incentivize lawyers to frame even minor issues as legal problems (</w:t>
      </w:r>
      <w:proofErr w:type="spellStart"/>
      <w:r w:rsidRPr="004C2F87">
        <w:rPr>
          <w:rFonts w:ascii="NimbusRomNo9L" w:hAnsi="NimbusRomNo9L"/>
          <w:lang w:val="en-US"/>
        </w:rPr>
        <w:t>Sandefur</w:t>
      </w:r>
      <w:proofErr w:type="spellEnd"/>
      <w:r w:rsidRPr="004C2F87">
        <w:rPr>
          <w:rFonts w:ascii="NimbusRomNo9L" w:hAnsi="NimbusRomNo9L"/>
          <w:lang w:val="en-US"/>
        </w:rPr>
        <w:t>, 2001), potentially contributing to an influx of weaker claims ultimately rejected by the courts. This aligns with arguments by Krieger &amp; Neumann (2015) regarding potential issues in legal strategies employed when lawyer concentration is high.</w:t>
      </w:r>
    </w:p>
    <w:p w14:paraId="03E02DCA" w14:textId="6C1381AD" w:rsidR="00BD69F7" w:rsidRPr="004C2F87" w:rsidRDefault="00BD69F7" w:rsidP="00BD69F7">
      <w:pPr>
        <w:ind w:firstLine="567"/>
        <w:jc w:val="both"/>
        <w:rPr>
          <w:rFonts w:ascii="NimbusRomNo9L" w:hAnsi="NimbusRomNo9L"/>
          <w:lang w:val="en-US"/>
        </w:rPr>
      </w:pPr>
      <w:r w:rsidRPr="004C2F87">
        <w:rPr>
          <w:rFonts w:ascii="NimbusRomNo9L" w:hAnsi="NimbusRomNo9L"/>
          <w:lang w:val="en-US"/>
        </w:rPr>
        <w:t xml:space="preserve">While French lawyers traditionally play a </w:t>
      </w:r>
      <w:r w:rsidRPr="004C2F87">
        <w:rPr>
          <w:rFonts w:ascii="NimbusRomNo9L" w:hAnsi="NimbusRomNo9L"/>
          <w:bCs/>
          <w:lang w:val="en-US"/>
        </w:rPr>
        <w:t>limited, technical role</w:t>
      </w:r>
      <w:r w:rsidRPr="004C2F87">
        <w:rPr>
          <w:rFonts w:ascii="NimbusRomNo9L" w:hAnsi="NimbusRomNo9L"/>
          <w:lang w:val="en-US"/>
        </w:rPr>
        <w:t xml:space="preserve"> in proceedings (</w:t>
      </w:r>
      <w:proofErr w:type="spellStart"/>
      <w:r w:rsidRPr="004C2F87">
        <w:rPr>
          <w:rFonts w:ascii="NimbusRomNo9L" w:hAnsi="NimbusRomNo9L"/>
          <w:lang w:val="en-US"/>
        </w:rPr>
        <w:t>Blasi</w:t>
      </w:r>
      <w:proofErr w:type="spellEnd"/>
      <w:r w:rsidRPr="004C2F87">
        <w:rPr>
          <w:rFonts w:ascii="NimbusRomNo9L" w:hAnsi="NimbusRomNo9L"/>
          <w:lang w:val="en-US"/>
        </w:rPr>
        <w:t>, 1995), and safeguards exist against professional misconduct (</w:t>
      </w:r>
      <w:proofErr w:type="spellStart"/>
      <w:r w:rsidRPr="004C2F87">
        <w:rPr>
          <w:rFonts w:ascii="NimbusRomNo9L" w:hAnsi="NimbusRomNo9L"/>
          <w:lang w:val="en-US"/>
        </w:rPr>
        <w:t>Motala</w:t>
      </w:r>
      <w:proofErr w:type="spellEnd"/>
      <w:r w:rsidRPr="004C2F87">
        <w:rPr>
          <w:rFonts w:ascii="NimbusRomNo9L" w:hAnsi="NimbusRomNo9L"/>
          <w:lang w:val="en-US"/>
        </w:rPr>
        <w:t>, 2001), the competitive pressures of a large, dispersed legal market</w:t>
      </w:r>
      <w:r w:rsidR="004C2F87">
        <w:rPr>
          <w:rFonts w:ascii="NimbusRomNo9L" w:hAnsi="NimbusRomNo9L"/>
          <w:lang w:val="en-US"/>
        </w:rPr>
        <w:t xml:space="preserve"> (</w:t>
      </w:r>
      <w:r w:rsidRPr="004C2F87">
        <w:rPr>
          <w:rFonts w:ascii="NimbusRomNo9L" w:hAnsi="NimbusRomNo9L"/>
          <w:lang w:val="en-US"/>
        </w:rPr>
        <w:t>Bessy</w:t>
      </w:r>
      <w:r w:rsidR="004C2F87">
        <w:rPr>
          <w:rFonts w:ascii="NimbusRomNo9L" w:hAnsi="NimbusRomNo9L"/>
          <w:lang w:val="en-US"/>
        </w:rPr>
        <w:t xml:space="preserve">, </w:t>
      </w:r>
      <w:r w:rsidRPr="004C2F87">
        <w:rPr>
          <w:rFonts w:ascii="NimbusRomNo9L" w:hAnsi="NimbusRomNo9L"/>
          <w:lang w:val="en-US"/>
        </w:rPr>
        <w:t>2016)</w:t>
      </w:r>
      <w:r w:rsidR="004C2F87">
        <w:rPr>
          <w:rFonts w:ascii="NimbusRomNo9L" w:hAnsi="NimbusRomNo9L"/>
          <w:lang w:val="en-US"/>
        </w:rPr>
        <w:t xml:space="preserve"> </w:t>
      </w:r>
      <w:r w:rsidRPr="004C2F87">
        <w:rPr>
          <w:rFonts w:ascii="NimbusRomNo9L" w:hAnsi="NimbusRomNo9L"/>
          <w:lang w:val="en-US"/>
        </w:rPr>
        <w:t>may still create challenges. Overzealous pursuit of cases fueled by competition, even if not fraudulent, could ultimately burden the justice system with frivolous claims and contribute to inefficiencies.</w:t>
      </w:r>
    </w:p>
    <w:p w14:paraId="4A495767" w14:textId="77777777" w:rsidR="00BD69F7" w:rsidRPr="004C2F87" w:rsidRDefault="00BD69F7" w:rsidP="00BD69F7">
      <w:pPr>
        <w:ind w:firstLine="567"/>
        <w:jc w:val="both"/>
        <w:rPr>
          <w:rFonts w:ascii="NimbusRomNo9L" w:hAnsi="NimbusRomNo9L"/>
          <w:lang w:val="en-US"/>
        </w:rPr>
      </w:pPr>
      <w:r w:rsidRPr="004C2F87">
        <w:rPr>
          <w:rFonts w:ascii="NimbusRomNo9L" w:hAnsi="NimbusRomNo9L"/>
          <w:lang w:val="en-US"/>
        </w:rPr>
        <w:t xml:space="preserve">Our findings raise crucial questions about how to </w:t>
      </w:r>
      <w:r w:rsidRPr="004C2F87">
        <w:rPr>
          <w:rFonts w:ascii="NimbusRomNo9L" w:hAnsi="NimbusRomNo9L"/>
          <w:bCs/>
          <w:lang w:val="en-US"/>
        </w:rPr>
        <w:t>balance lawyer concentration with efficient and accessible justice</w:t>
      </w:r>
      <w:r w:rsidRPr="004C2F87">
        <w:rPr>
          <w:rFonts w:ascii="NimbusRomNo9L" w:hAnsi="NimbusRomNo9L"/>
          <w:lang w:val="en-US"/>
        </w:rPr>
        <w:t>. While lawyer density can offer benefits in terms of choice and expertise, excessively concentrated markets might present drawbacks. Further research could explore the factors underlying these relationships, investigate the specific types of rejected cases in high-lawyer areas, and evaluate potential policy interventions to mitigate potential negative consequences.</w:t>
      </w:r>
    </w:p>
    <w:p w14:paraId="2D1B2D8B" w14:textId="369EB973" w:rsidR="004C2F87" w:rsidRDefault="00BD69F7" w:rsidP="004C2F87">
      <w:pPr>
        <w:ind w:firstLine="567"/>
        <w:jc w:val="both"/>
        <w:rPr>
          <w:rFonts w:ascii="NimbusRomNo9L" w:hAnsi="NimbusRomNo9L"/>
          <w:lang w:val="en-US"/>
        </w:rPr>
      </w:pPr>
      <w:r w:rsidRPr="004C2F87">
        <w:rPr>
          <w:rFonts w:ascii="NimbusRomNo9L" w:hAnsi="NimbusRomNo9L"/>
          <w:lang w:val="en-US"/>
        </w:rPr>
        <w:t xml:space="preserve">Ultimately, ensuring a </w:t>
      </w:r>
      <w:r w:rsidRPr="004C2F87">
        <w:rPr>
          <w:rFonts w:ascii="NimbusRomNo9L" w:hAnsi="NimbusRomNo9L"/>
          <w:bCs/>
          <w:lang w:val="en-US"/>
        </w:rPr>
        <w:t>healthy balance</w:t>
      </w:r>
      <w:r w:rsidRPr="004C2F87">
        <w:rPr>
          <w:rFonts w:ascii="NimbusRomNo9L" w:hAnsi="NimbusRomNo9L"/>
          <w:lang w:val="en-US"/>
        </w:rPr>
        <w:t xml:space="preserve"> between lawyer density and a well-functioning justice system requires careful consideration of the economic, social, and legal contexts involved. This study provides a starting point for further exploration, aiming to contribute to a legal system that effectively serves the needs of its citizens while maintaining a healthy and ethical professional environment for lawyers.</w:t>
      </w:r>
    </w:p>
    <w:p w14:paraId="10433E8C" w14:textId="12C6B4D1" w:rsidR="007C7967" w:rsidRPr="007C7967" w:rsidRDefault="007C7967" w:rsidP="007C7967">
      <w:pPr>
        <w:ind w:firstLine="567"/>
        <w:jc w:val="both"/>
        <w:rPr>
          <w:rFonts w:ascii="NimbusRomNo9L" w:hAnsi="NimbusRomNo9L"/>
          <w:lang w:val="en-US"/>
        </w:rPr>
      </w:pPr>
      <w:r w:rsidRPr="007C7967">
        <w:rPr>
          <w:rFonts w:ascii="NimbusRomNo9L" w:hAnsi="NimbusRomNo9L"/>
          <w:lang w:val="en-US"/>
        </w:rPr>
        <w:t>While exploring the relationship between lawyer concentration and rejection rates has yielded valuable insights, acknowledging and discussing the limitations of our research is equally important. Transparency about these limitations builds trust in our findings and allows for a more nuanced understanding of their applicability and</w:t>
      </w:r>
      <w:r w:rsidR="00EB30B0">
        <w:rPr>
          <w:rFonts w:ascii="NimbusRomNo9L" w:hAnsi="NimbusRomNo9L"/>
          <w:lang w:val="en-US"/>
        </w:rPr>
        <w:t xml:space="preserve"> </w:t>
      </w:r>
      <w:r w:rsidRPr="007C7967">
        <w:rPr>
          <w:rFonts w:ascii="NimbusRomNo9L" w:hAnsi="NimbusRomNo9L"/>
          <w:lang w:val="en-US"/>
        </w:rPr>
        <w:t>generalizability.</w:t>
      </w:r>
    </w:p>
    <w:p w14:paraId="6AAA868C" w14:textId="6B37332E" w:rsidR="005418D1" w:rsidRDefault="007C7967" w:rsidP="005418D1">
      <w:pPr>
        <w:ind w:firstLine="567"/>
        <w:jc w:val="both"/>
        <w:rPr>
          <w:rFonts w:ascii="NimbusRomNo9L" w:hAnsi="NimbusRomNo9L"/>
          <w:lang w:val="en-US"/>
        </w:rPr>
      </w:pPr>
      <w:r w:rsidRPr="007C7967">
        <w:rPr>
          <w:rFonts w:ascii="NimbusRomNo9L" w:hAnsi="NimbusRomNo9L"/>
          <w:lang w:val="en-US"/>
        </w:rPr>
        <w:t xml:space="preserve">The dataset timeframe, restricted by large-scale geographical reforms affecting French tribunals, imposes a specific lens through which we view our results. It's crucial to consider how these reforms might have influenced lawyer distribution, court practices, and ultimately, rejection rates. </w:t>
      </w:r>
      <w:r w:rsidR="005418D1">
        <w:rPr>
          <w:rFonts w:ascii="NimbusRomNo9L" w:hAnsi="NimbusRomNo9L"/>
          <w:lang w:val="en-US"/>
        </w:rPr>
        <w:t>At the same time, t</w:t>
      </w:r>
      <w:r w:rsidR="005418D1" w:rsidRPr="005418D1">
        <w:rPr>
          <w:rFonts w:ascii="NimbusRomNo9L" w:hAnsi="NimbusRomNo9L"/>
          <w:lang w:val="en-US"/>
        </w:rPr>
        <w:t xml:space="preserve">he need to comply with criminal law and protect individual privacy restricts the use of detailed, judge-level data. While aggregated data offers valuable insights, it necessarily masks individual variations and distinctions within the system. </w:t>
      </w:r>
    </w:p>
    <w:p w14:paraId="328ECA76" w14:textId="68F26072" w:rsidR="005418D1" w:rsidRDefault="005418D1" w:rsidP="005418D1">
      <w:pPr>
        <w:ind w:firstLine="567"/>
        <w:jc w:val="both"/>
        <w:rPr>
          <w:rFonts w:ascii="NimbusRomNo9L" w:hAnsi="NimbusRomNo9L"/>
          <w:lang w:val="en-US"/>
        </w:rPr>
      </w:pPr>
      <w:r w:rsidRPr="005418D1">
        <w:rPr>
          <w:rFonts w:ascii="NimbusRomNo9L" w:hAnsi="NimbusRomNo9L"/>
          <w:lang w:val="en-US"/>
        </w:rPr>
        <w:t xml:space="preserve">Eventually, choosing the 2SLS and SIVQR methods to address endogeneity and quantile analysis was a well-considered decision based on current best practices. However, no model is without limitations. It's essential to acknowledge potential criticisms, such as the sensitivity of 2SLS to instrument validity and the assumptions underlying SIVQR. </w:t>
      </w:r>
    </w:p>
    <w:p w14:paraId="192E44A2" w14:textId="2C16EDB4" w:rsidR="000B487D" w:rsidRPr="00166361" w:rsidRDefault="005418D1" w:rsidP="00040330">
      <w:pPr>
        <w:ind w:firstLine="567"/>
        <w:jc w:val="both"/>
        <w:rPr>
          <w:rFonts w:ascii="NimbusRomNo9L" w:hAnsi="NimbusRomNo9L"/>
          <w:lang w:val="en-US"/>
        </w:rPr>
      </w:pPr>
      <w:r w:rsidRPr="005418D1">
        <w:rPr>
          <w:rFonts w:ascii="NimbusRomNo9L" w:hAnsi="NimbusRomNo9L"/>
          <w:lang w:val="en-US"/>
        </w:rPr>
        <w:t>Future studies could investigate longer timeframes, explore finer-grained data disaggregation while respecting privacy concerns, and experiment with alternative models to achieve a more comprehensive understanding of the complex relationship between lawyer concentration and rejection rates.</w:t>
      </w:r>
      <w:r w:rsidR="00040330">
        <w:rPr>
          <w:rFonts w:ascii="NimbusRomNo9L" w:hAnsi="NimbusRomNo9L"/>
          <w:lang w:val="en-US"/>
        </w:rPr>
        <w:t xml:space="preserve"> Additionally, </w:t>
      </w:r>
      <w:r w:rsidR="007C7967">
        <w:rPr>
          <w:rFonts w:ascii="NimbusRomNo9L" w:hAnsi="NimbusRomNo9L"/>
          <w:lang w:val="en-US"/>
        </w:rPr>
        <w:t>f</w:t>
      </w:r>
      <w:r w:rsidR="000B487D" w:rsidRPr="00166361">
        <w:rPr>
          <w:rFonts w:ascii="NimbusRomNo9L" w:hAnsi="NimbusRomNo9L"/>
          <w:lang w:val="en-US"/>
        </w:rPr>
        <w:t>uture studies could explore whether an increased number of lawyers can hinder courts' prompt decisions and whether judges' excessive workload affects legal proceedings.</w:t>
      </w:r>
    </w:p>
    <w:p w14:paraId="1F0BB479" w14:textId="77777777" w:rsidR="000B487D" w:rsidRPr="00166361" w:rsidRDefault="000B487D" w:rsidP="000B487D">
      <w:pPr>
        <w:ind w:firstLine="567"/>
        <w:jc w:val="both"/>
        <w:rPr>
          <w:rFonts w:ascii="NimbusRomNo9L" w:hAnsi="NimbusRomNo9L"/>
          <w:lang w:val="en-US"/>
        </w:rPr>
      </w:pPr>
      <w:r w:rsidRPr="00166361">
        <w:rPr>
          <w:rFonts w:ascii="NimbusRomNo9L" w:hAnsi="NimbusRomNo9L"/>
          <w:lang w:val="en-US"/>
        </w:rPr>
        <w:br w:type="page"/>
      </w:r>
    </w:p>
    <w:p w14:paraId="103353B7" w14:textId="341AE021" w:rsidR="00267587" w:rsidRPr="00166361" w:rsidRDefault="00800903" w:rsidP="00800903">
      <w:pPr>
        <w:pStyle w:val="Title"/>
        <w:rPr>
          <w:lang w:val="en-US"/>
        </w:rPr>
      </w:pPr>
      <w:r w:rsidRPr="00166361">
        <w:rPr>
          <w:lang w:val="en-US"/>
        </w:rPr>
        <w:lastRenderedPageBreak/>
        <w:t>Bibliography</w:t>
      </w:r>
    </w:p>
    <w:p w14:paraId="308B8177" w14:textId="77777777"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166361">
        <w:rPr>
          <w:rFonts w:ascii="NimbusRomNo9L" w:eastAsia="Times New Roman" w:hAnsi="NimbusRomNo9L" w:cs="Times New Roman"/>
          <w:spacing w:val="-10"/>
          <w:lang w:val="en-US"/>
        </w:rPr>
        <w:t xml:space="preserve">Abel, R.L. 2012. What does and should influence the number of </w:t>
      </w:r>
      <w:proofErr w:type="gramStart"/>
      <w:r w:rsidRPr="00166361">
        <w:rPr>
          <w:rFonts w:ascii="NimbusRomNo9L" w:eastAsia="Times New Roman" w:hAnsi="NimbusRomNo9L" w:cs="Times New Roman"/>
          <w:spacing w:val="-10"/>
          <w:lang w:val="en-US"/>
        </w:rPr>
        <w:t>lawyers?,</w:t>
      </w:r>
      <w:proofErr w:type="gramEnd"/>
      <w:r w:rsidRPr="00166361">
        <w:rPr>
          <w:rFonts w:ascii="NimbusRomNo9L" w:eastAsia="Times New Roman" w:hAnsi="NimbusRomNo9L" w:cs="Times New Roman"/>
          <w:spacing w:val="-10"/>
          <w:lang w:val="en-US"/>
        </w:rPr>
        <w:t xml:space="preserve"> </w:t>
      </w:r>
      <w:r w:rsidRPr="00166361">
        <w:rPr>
          <w:rFonts w:ascii="NimbusRomNo9L" w:eastAsia="Times New Roman" w:hAnsi="NimbusRomNo9L" w:cs="Times New Roman"/>
          <w:i/>
          <w:spacing w:val="-10"/>
          <w:lang w:val="en-US"/>
        </w:rPr>
        <w:t>International Journal of the Legal Profession</w:t>
      </w:r>
      <w:r w:rsidRPr="00166361">
        <w:rPr>
          <w:rFonts w:ascii="NimbusRomNo9L" w:eastAsia="Times New Roman" w:hAnsi="NimbusRomNo9L" w:cs="Times New Roman"/>
          <w:spacing w:val="-10"/>
          <w:lang w:val="en-US"/>
        </w:rPr>
        <w:t>, 19(2–3): 131–146.</w:t>
      </w:r>
    </w:p>
    <w:p w14:paraId="72F26E9F" w14:textId="7D387C96"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proofErr w:type="spellStart"/>
      <w:r w:rsidRPr="00166361">
        <w:rPr>
          <w:rFonts w:ascii="NimbusRomNo9L" w:eastAsia="Times New Roman" w:hAnsi="NimbusRomNo9L" w:cs="Times New Roman"/>
          <w:spacing w:val="-10"/>
          <w:lang w:val="en-US"/>
        </w:rPr>
        <w:t>Acciarri</w:t>
      </w:r>
      <w:proofErr w:type="spellEnd"/>
      <w:r w:rsidRPr="00166361">
        <w:rPr>
          <w:rFonts w:ascii="NimbusRomNo9L" w:eastAsia="Times New Roman" w:hAnsi="NimbusRomNo9L" w:cs="Times New Roman"/>
          <w:spacing w:val="-10"/>
          <w:lang w:val="en-US"/>
        </w:rPr>
        <w:t xml:space="preserve">, H.A. and N. </w:t>
      </w:r>
      <w:proofErr w:type="spellStart"/>
      <w:r w:rsidRPr="00166361">
        <w:rPr>
          <w:rFonts w:ascii="NimbusRomNo9L" w:eastAsia="Times New Roman" w:hAnsi="NimbusRomNo9L" w:cs="Times New Roman"/>
          <w:spacing w:val="-10"/>
          <w:lang w:val="en-US"/>
        </w:rPr>
        <w:t>Garoupa</w:t>
      </w:r>
      <w:proofErr w:type="spellEnd"/>
      <w:r w:rsidRPr="00166361">
        <w:rPr>
          <w:rFonts w:ascii="NimbusRomNo9L" w:eastAsia="Times New Roman" w:hAnsi="NimbusRomNo9L" w:cs="Times New Roman"/>
          <w:spacing w:val="-10"/>
          <w:lang w:val="en-US"/>
        </w:rPr>
        <w:t xml:space="preserve">. 2013. On the Judicial Interest Rate: Towards a Law and Economic Theory. </w:t>
      </w:r>
      <w:r w:rsidRPr="00166361">
        <w:rPr>
          <w:rFonts w:ascii="NimbusRomNo9L" w:eastAsia="Times New Roman" w:hAnsi="NimbusRomNo9L" w:cs="Times New Roman"/>
          <w:i/>
          <w:iCs/>
          <w:spacing w:val="-10"/>
          <w:lang w:val="en-US"/>
        </w:rPr>
        <w:t>Journal of European Tort Law</w:t>
      </w:r>
      <w:r w:rsidRPr="00166361">
        <w:rPr>
          <w:rFonts w:ascii="NimbusRomNo9L" w:eastAsia="Times New Roman" w:hAnsi="NimbusRomNo9L" w:cs="Times New Roman"/>
          <w:spacing w:val="-10"/>
          <w:lang w:val="en-US"/>
        </w:rPr>
        <w:t xml:space="preserve">, 4(1): 34-62. </w:t>
      </w:r>
    </w:p>
    <w:p w14:paraId="598AB309" w14:textId="7B108BC9" w:rsidR="00800903" w:rsidRPr="00166361" w:rsidRDefault="00800903" w:rsidP="00800903">
      <w:pPr>
        <w:pStyle w:val="ListParagraph"/>
        <w:numPr>
          <w:ilvl w:val="0"/>
          <w:numId w:val="4"/>
        </w:numPr>
        <w:ind w:left="284" w:hanging="283"/>
        <w:jc w:val="both"/>
        <w:rPr>
          <w:rFonts w:ascii="NimbusRomNo9L" w:eastAsia="Times New Roman" w:hAnsi="NimbusRomNo9L" w:cs="Times New Roman"/>
          <w:spacing w:val="-10"/>
          <w:lang w:val="en-US"/>
        </w:rPr>
      </w:pPr>
      <w:proofErr w:type="spellStart"/>
      <w:r w:rsidRPr="00EE38F6">
        <w:rPr>
          <w:rFonts w:ascii="NimbusRomNo9L" w:eastAsia="Times New Roman" w:hAnsi="NimbusRomNo9L" w:cs="Times New Roman"/>
          <w:spacing w:val="-10"/>
          <w:lang w:val="fr-FR"/>
        </w:rPr>
        <w:t>Acemoglu</w:t>
      </w:r>
      <w:proofErr w:type="spellEnd"/>
      <w:r w:rsidRPr="00EE38F6">
        <w:rPr>
          <w:rFonts w:ascii="NimbusRomNo9L" w:eastAsia="Times New Roman" w:hAnsi="NimbusRomNo9L" w:cs="Times New Roman"/>
          <w:spacing w:val="-10"/>
          <w:lang w:val="fr-FR"/>
        </w:rPr>
        <w:t xml:space="preserve">, D.G, De </w:t>
      </w:r>
      <w:proofErr w:type="spellStart"/>
      <w:r w:rsidRPr="00EE38F6">
        <w:rPr>
          <w:rFonts w:ascii="NimbusRomNo9L" w:eastAsia="Times New Roman" w:hAnsi="NimbusRomNo9L" w:cs="Times New Roman"/>
          <w:spacing w:val="-10"/>
          <w:lang w:val="fr-FR"/>
        </w:rPr>
        <w:t>Feo</w:t>
      </w:r>
      <w:proofErr w:type="spellEnd"/>
      <w:r w:rsidRPr="00EE38F6">
        <w:rPr>
          <w:rFonts w:ascii="NimbusRomNo9L" w:eastAsia="Times New Roman" w:hAnsi="NimbusRomNo9L" w:cs="Times New Roman"/>
          <w:spacing w:val="-10"/>
          <w:lang w:val="fr-FR"/>
        </w:rPr>
        <w:t xml:space="preserve">, G., De Luca, G. and </w:t>
      </w:r>
      <w:proofErr w:type="spellStart"/>
      <w:r w:rsidRPr="00EE38F6">
        <w:rPr>
          <w:rFonts w:ascii="NimbusRomNo9L" w:eastAsia="Times New Roman" w:hAnsi="NimbusRomNo9L" w:cs="Times New Roman"/>
          <w:spacing w:val="-10"/>
          <w:lang w:val="fr-FR"/>
        </w:rPr>
        <w:t>Russo</w:t>
      </w:r>
      <w:proofErr w:type="spellEnd"/>
      <w:r w:rsidRPr="00EE38F6">
        <w:rPr>
          <w:rFonts w:ascii="NimbusRomNo9L" w:eastAsia="Times New Roman" w:hAnsi="NimbusRomNo9L" w:cs="Times New Roman"/>
          <w:spacing w:val="-10"/>
          <w:lang w:val="fr-FR"/>
        </w:rPr>
        <w:t xml:space="preserve">, G. 2022. </w:t>
      </w:r>
      <w:r w:rsidRPr="00166361">
        <w:rPr>
          <w:rFonts w:ascii="NimbusRomNo9L" w:eastAsia="Times New Roman" w:hAnsi="NimbusRomNo9L" w:cs="Times New Roman"/>
          <w:spacing w:val="-10"/>
          <w:lang w:val="en-US"/>
        </w:rPr>
        <w:t xml:space="preserve">War, Socialism, and the Rise of Fascism: </w:t>
      </w:r>
      <w:proofErr w:type="gramStart"/>
      <w:r w:rsidRPr="00166361">
        <w:rPr>
          <w:rFonts w:ascii="NimbusRomNo9L" w:eastAsia="Times New Roman" w:hAnsi="NimbusRomNo9L" w:cs="Times New Roman"/>
          <w:spacing w:val="-10"/>
          <w:lang w:val="en-US"/>
        </w:rPr>
        <w:t>an</w:t>
      </w:r>
      <w:proofErr w:type="gramEnd"/>
      <w:r w:rsidRPr="00166361">
        <w:rPr>
          <w:rFonts w:ascii="NimbusRomNo9L" w:eastAsia="Times New Roman" w:hAnsi="NimbusRomNo9L" w:cs="Times New Roman"/>
          <w:spacing w:val="-10"/>
          <w:lang w:val="en-US"/>
        </w:rPr>
        <w:t xml:space="preserve"> Empirical Exploration, </w:t>
      </w:r>
      <w:r w:rsidRPr="00166361">
        <w:rPr>
          <w:rFonts w:ascii="NimbusRomNo9L" w:eastAsia="Times New Roman" w:hAnsi="NimbusRomNo9L" w:cs="Times New Roman"/>
          <w:i/>
          <w:spacing w:val="-10"/>
          <w:lang w:val="en-US"/>
        </w:rPr>
        <w:t>The Quarterly Journal of Economics</w:t>
      </w:r>
      <w:r w:rsidRPr="00166361">
        <w:rPr>
          <w:rFonts w:ascii="NimbusRomNo9L" w:eastAsia="Times New Roman" w:hAnsi="NimbusRomNo9L" w:cs="Times New Roman"/>
          <w:spacing w:val="-10"/>
          <w:lang w:val="en-US"/>
        </w:rPr>
        <w:t>, 137(2): 1233–1296.</w:t>
      </w:r>
    </w:p>
    <w:p w14:paraId="3903420D" w14:textId="528FD35A"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166361">
        <w:rPr>
          <w:rFonts w:ascii="NimbusRomNo9L" w:eastAsia="Times New Roman" w:hAnsi="NimbusRomNo9L" w:cs="Times New Roman"/>
          <w:spacing w:val="-10"/>
          <w:lang w:val="en-US"/>
        </w:rPr>
        <w:t xml:space="preserve">Acorn, A. and J. </w:t>
      </w:r>
      <w:proofErr w:type="spellStart"/>
      <w:r w:rsidRPr="00166361">
        <w:rPr>
          <w:rFonts w:ascii="NimbusRomNo9L" w:eastAsia="Times New Roman" w:hAnsi="NimbusRomNo9L" w:cs="Times New Roman"/>
          <w:spacing w:val="-10"/>
          <w:lang w:val="en-US"/>
        </w:rPr>
        <w:t>Buttuls</w:t>
      </w:r>
      <w:proofErr w:type="spellEnd"/>
      <w:r w:rsidRPr="00166361">
        <w:rPr>
          <w:rFonts w:ascii="NimbusRomNo9L" w:eastAsia="Times New Roman" w:hAnsi="NimbusRomNo9L" w:cs="Times New Roman"/>
          <w:spacing w:val="-10"/>
          <w:lang w:val="en-US"/>
        </w:rPr>
        <w:t>. 2013. The Not Now Habit: Procrastination, Legal Ethics and Legal Education</w:t>
      </w:r>
      <w:r w:rsidR="00221787" w:rsidRPr="00166361">
        <w:rPr>
          <w:rFonts w:ascii="NimbusRomNo9L" w:eastAsia="Times New Roman" w:hAnsi="NimbusRomNo9L" w:cs="Times New Roman"/>
          <w:spacing w:val="-10"/>
          <w:lang w:val="en-US"/>
        </w:rPr>
        <w:t>.</w:t>
      </w:r>
      <w:r w:rsidRPr="00166361">
        <w:rPr>
          <w:rFonts w:ascii="NimbusRomNo9L" w:eastAsia="Times New Roman" w:hAnsi="NimbusRomNo9L" w:cs="Times New Roman"/>
          <w:spacing w:val="-10"/>
          <w:lang w:val="en-US"/>
        </w:rPr>
        <w:t xml:space="preserve"> </w:t>
      </w:r>
      <w:r w:rsidRPr="00166361">
        <w:rPr>
          <w:rFonts w:ascii="NimbusRomNo9L" w:eastAsia="Times New Roman" w:hAnsi="NimbusRomNo9L" w:cs="Times New Roman"/>
          <w:i/>
          <w:iCs/>
          <w:spacing w:val="-10"/>
          <w:lang w:val="en-US"/>
        </w:rPr>
        <w:t>Legal Ethics</w:t>
      </w:r>
      <w:r w:rsidRPr="00166361">
        <w:rPr>
          <w:rFonts w:ascii="NimbusRomNo9L" w:eastAsia="Times New Roman" w:hAnsi="NimbusRomNo9L" w:cs="Times New Roman"/>
          <w:spacing w:val="-10"/>
          <w:lang w:val="en-US"/>
        </w:rPr>
        <w:t xml:space="preserve">, 16(1): 73-96. </w:t>
      </w:r>
    </w:p>
    <w:p w14:paraId="4AFA4968" w14:textId="77777777" w:rsidR="0003498F" w:rsidRPr="0003498F" w:rsidRDefault="0003498F" w:rsidP="0003498F">
      <w:pPr>
        <w:pStyle w:val="ListParagraph"/>
        <w:numPr>
          <w:ilvl w:val="0"/>
          <w:numId w:val="4"/>
        </w:numPr>
        <w:ind w:left="284" w:hanging="283"/>
        <w:jc w:val="both"/>
        <w:rPr>
          <w:rFonts w:ascii="NimbusRomNo9L" w:eastAsia="Times New Roman" w:hAnsi="NimbusRomNo9L" w:cs="Times New Roman"/>
          <w:spacing w:val="-10"/>
          <w:lang w:val="en-US"/>
        </w:rPr>
      </w:pPr>
      <w:proofErr w:type="spellStart"/>
      <w:r w:rsidRPr="0003498F">
        <w:rPr>
          <w:rFonts w:ascii="NimbusRomNo9L" w:eastAsia="Times New Roman" w:hAnsi="NimbusRomNo9L" w:cs="Times New Roman"/>
          <w:spacing w:val="-10"/>
          <w:lang w:val="en-US"/>
        </w:rPr>
        <w:t>Agmon</w:t>
      </w:r>
      <w:proofErr w:type="spellEnd"/>
      <w:r w:rsidRPr="0003498F">
        <w:rPr>
          <w:rFonts w:ascii="NimbusRomNo9L" w:eastAsia="Times New Roman" w:hAnsi="NimbusRomNo9L" w:cs="Times New Roman"/>
          <w:spacing w:val="-10"/>
          <w:lang w:val="en-US"/>
        </w:rPr>
        <w:t xml:space="preserve">, S. (2021). Undercutting Justice–Why legal representation should not be allocated by the market. </w:t>
      </w:r>
      <w:r w:rsidRPr="0003498F">
        <w:rPr>
          <w:rFonts w:ascii="NimbusRomNo9L" w:eastAsia="Times New Roman" w:hAnsi="NimbusRomNo9L" w:cs="Times New Roman"/>
          <w:i/>
          <w:spacing w:val="-10"/>
          <w:lang w:val="en-US"/>
        </w:rPr>
        <w:t>Politics, Philosophy &amp; Economics</w:t>
      </w:r>
      <w:r w:rsidRPr="0003498F">
        <w:rPr>
          <w:rFonts w:ascii="NimbusRomNo9L" w:eastAsia="Times New Roman" w:hAnsi="NimbusRomNo9L" w:cs="Times New Roman"/>
          <w:spacing w:val="-10"/>
          <w:lang w:val="en-US"/>
        </w:rPr>
        <w:t>, 20(1), 99-123.</w:t>
      </w:r>
    </w:p>
    <w:p w14:paraId="44545A68" w14:textId="77777777" w:rsidR="00C5375A" w:rsidRPr="00C5375A" w:rsidRDefault="00C5375A" w:rsidP="00800903">
      <w:pPr>
        <w:pStyle w:val="ListParagraph"/>
        <w:numPr>
          <w:ilvl w:val="0"/>
          <w:numId w:val="4"/>
        </w:numPr>
        <w:ind w:left="284" w:hanging="283"/>
        <w:jc w:val="both"/>
        <w:rPr>
          <w:rFonts w:ascii="Times New Roman" w:eastAsia="Times New Roman" w:hAnsi="Times New Roman" w:cs="Times New Roman"/>
          <w:spacing w:val="-10"/>
          <w:lang w:val="en-US"/>
        </w:rPr>
      </w:pPr>
      <w:proofErr w:type="spellStart"/>
      <w:r w:rsidRPr="00C5375A">
        <w:rPr>
          <w:rFonts w:ascii="NimbusRomNo9L" w:eastAsia="Times New Roman" w:hAnsi="NimbusRomNo9L" w:cs="Times New Roman"/>
          <w:spacing w:val="-10"/>
          <w:lang w:val="en-US"/>
        </w:rPr>
        <w:t>Andriosopoulos</w:t>
      </w:r>
      <w:proofErr w:type="spellEnd"/>
      <w:r w:rsidRPr="00C5375A">
        <w:rPr>
          <w:rFonts w:ascii="NimbusRomNo9L" w:eastAsia="Times New Roman" w:hAnsi="NimbusRomNo9L" w:cs="Times New Roman"/>
          <w:spacing w:val="-10"/>
          <w:lang w:val="en-US"/>
        </w:rPr>
        <w:t xml:space="preserve">, D., </w:t>
      </w:r>
      <w:proofErr w:type="spellStart"/>
      <w:r w:rsidRPr="00C5375A">
        <w:rPr>
          <w:rFonts w:ascii="NimbusRomNo9L" w:eastAsia="Times New Roman" w:hAnsi="NimbusRomNo9L" w:cs="Times New Roman"/>
          <w:spacing w:val="-10"/>
          <w:lang w:val="en-US"/>
        </w:rPr>
        <w:t>Czarnowski</w:t>
      </w:r>
      <w:proofErr w:type="spellEnd"/>
      <w:r w:rsidRPr="00C5375A">
        <w:rPr>
          <w:rFonts w:ascii="NimbusRomNo9L" w:eastAsia="Times New Roman" w:hAnsi="NimbusRomNo9L" w:cs="Times New Roman"/>
          <w:spacing w:val="-10"/>
          <w:lang w:val="en-US"/>
        </w:rPr>
        <w:t xml:space="preserve">, P., &amp; Marshall, A. (2023). Do corporate lawyers matter? Evidence from patents. </w:t>
      </w:r>
      <w:r w:rsidRPr="00C5375A">
        <w:rPr>
          <w:rFonts w:ascii="NimbusRomNo9L" w:eastAsia="Times New Roman" w:hAnsi="NimbusRomNo9L" w:cs="Times New Roman"/>
          <w:i/>
          <w:spacing w:val="-10"/>
          <w:lang w:val="en-US"/>
        </w:rPr>
        <w:t>Journal of Corporate Finance</w:t>
      </w:r>
      <w:r w:rsidRPr="00C5375A">
        <w:rPr>
          <w:rFonts w:ascii="NimbusRomNo9L" w:eastAsia="Times New Roman" w:hAnsi="NimbusRomNo9L" w:cs="Times New Roman"/>
          <w:spacing w:val="-10"/>
          <w:lang w:val="en-US"/>
        </w:rPr>
        <w:t xml:space="preserve">, 83, 102473. </w:t>
      </w:r>
    </w:p>
    <w:p w14:paraId="4D09C822" w14:textId="5F7C72FE"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proofErr w:type="spellStart"/>
      <w:r w:rsidRPr="00166361">
        <w:rPr>
          <w:rFonts w:ascii="NimbusRomNo9L" w:eastAsia="Times New Roman" w:hAnsi="NimbusRomNo9L" w:cs="Times New Roman"/>
          <w:spacing w:val="-10"/>
          <w:lang w:val="en-US"/>
        </w:rPr>
        <w:t>Ariola</w:t>
      </w:r>
      <w:proofErr w:type="spellEnd"/>
      <w:r w:rsidRPr="00166361">
        <w:rPr>
          <w:rFonts w:ascii="NimbusRomNo9L" w:eastAsia="Times New Roman" w:hAnsi="NimbusRomNo9L" w:cs="Times New Roman"/>
          <w:spacing w:val="-10"/>
          <w:lang w:val="en-US"/>
        </w:rPr>
        <w:t xml:space="preserve">, L.M., D.A. </w:t>
      </w:r>
      <w:proofErr w:type="spellStart"/>
      <w:r w:rsidRPr="00166361">
        <w:rPr>
          <w:rFonts w:ascii="NimbusRomNo9L" w:eastAsia="Times New Roman" w:hAnsi="NimbusRomNo9L" w:cs="Times New Roman"/>
          <w:spacing w:val="-10"/>
          <w:lang w:val="en-US"/>
        </w:rPr>
        <w:t>DeMasi</w:t>
      </w:r>
      <w:proofErr w:type="spellEnd"/>
      <w:r w:rsidRPr="00166361">
        <w:rPr>
          <w:rFonts w:ascii="NimbusRomNo9L" w:eastAsia="Times New Roman" w:hAnsi="NimbusRomNo9L" w:cs="Times New Roman"/>
          <w:spacing w:val="-10"/>
          <w:lang w:val="en-US"/>
        </w:rPr>
        <w:t xml:space="preserve">, E.D.III </w:t>
      </w:r>
      <w:proofErr w:type="spellStart"/>
      <w:r w:rsidRPr="00166361">
        <w:rPr>
          <w:rFonts w:ascii="NimbusRomNo9L" w:eastAsia="Times New Roman" w:hAnsi="NimbusRomNo9L" w:cs="Times New Roman"/>
          <w:spacing w:val="-10"/>
          <w:lang w:val="en-US"/>
        </w:rPr>
        <w:t>Loughman</w:t>
      </w:r>
      <w:proofErr w:type="spellEnd"/>
      <w:r w:rsidRPr="00166361">
        <w:rPr>
          <w:rFonts w:ascii="NimbusRomNo9L" w:eastAsia="Times New Roman" w:hAnsi="NimbusRomNo9L" w:cs="Times New Roman"/>
          <w:spacing w:val="-10"/>
          <w:lang w:val="en-US"/>
        </w:rPr>
        <w:t xml:space="preserve"> and T.G. Reynolds. 1979. The Speedy Trial Act: An Empirical Study. </w:t>
      </w:r>
      <w:r w:rsidRPr="00166361">
        <w:rPr>
          <w:rFonts w:ascii="NimbusRomNo9L" w:eastAsia="Times New Roman" w:hAnsi="NimbusRomNo9L" w:cs="Times New Roman"/>
          <w:i/>
          <w:iCs/>
          <w:spacing w:val="-10"/>
          <w:lang w:val="en-US"/>
        </w:rPr>
        <w:t>Fordham Law Review</w:t>
      </w:r>
      <w:r w:rsidRPr="00166361">
        <w:rPr>
          <w:rFonts w:ascii="NimbusRomNo9L" w:eastAsia="Times New Roman" w:hAnsi="NimbusRomNo9L" w:cs="Times New Roman"/>
          <w:spacing w:val="-10"/>
          <w:lang w:val="en-US"/>
        </w:rPr>
        <w:t xml:space="preserve">, 47(5): 713-770. </w:t>
      </w:r>
    </w:p>
    <w:p w14:paraId="0B4FB146" w14:textId="77777777"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proofErr w:type="spellStart"/>
      <w:r w:rsidRPr="00EE38F6">
        <w:rPr>
          <w:rFonts w:ascii="NimbusRomNo9L" w:eastAsia="Times New Roman" w:hAnsi="NimbusRomNo9L" w:cs="Times New Roman"/>
          <w:spacing w:val="-10"/>
          <w:lang w:val="fr-FR"/>
        </w:rPr>
        <w:t>Assier</w:t>
      </w:r>
      <w:proofErr w:type="spellEnd"/>
      <w:r w:rsidRPr="00EE38F6">
        <w:rPr>
          <w:rFonts w:ascii="NimbusRomNo9L" w:eastAsia="Times New Roman" w:hAnsi="NimbusRomNo9L" w:cs="Times New Roman"/>
          <w:spacing w:val="-10"/>
          <w:lang w:val="fr-FR"/>
        </w:rPr>
        <w:t xml:space="preserve"> Andrieu, L. 2011. </w:t>
      </w:r>
      <w:r w:rsidRPr="00EE38F6">
        <w:rPr>
          <w:rFonts w:ascii="NimbusRomNo9L" w:eastAsia="Times New Roman" w:hAnsi="NimbusRomNo9L" w:cs="Times New Roman"/>
          <w:i/>
          <w:iCs/>
          <w:spacing w:val="-10"/>
          <w:lang w:val="fr-FR"/>
        </w:rPr>
        <w:t xml:space="preserve">Les </w:t>
      </w:r>
      <w:proofErr w:type="gramStart"/>
      <w:r w:rsidRPr="00EE38F6">
        <w:rPr>
          <w:rFonts w:ascii="NimbusRomNo9L" w:eastAsia="Times New Roman" w:hAnsi="NimbusRomNo9L" w:cs="Times New Roman"/>
          <w:i/>
          <w:iCs/>
          <w:spacing w:val="-10"/>
          <w:lang w:val="fr-FR"/>
        </w:rPr>
        <w:t>avocats:</w:t>
      </w:r>
      <w:proofErr w:type="gramEnd"/>
      <w:r w:rsidRPr="00EE38F6">
        <w:rPr>
          <w:rFonts w:ascii="NimbusRomNo9L" w:eastAsia="Times New Roman" w:hAnsi="NimbusRomNo9L" w:cs="Times New Roman"/>
          <w:i/>
          <w:iCs/>
          <w:spacing w:val="-10"/>
          <w:lang w:val="fr-FR"/>
        </w:rPr>
        <w:t xml:space="preserve"> </w:t>
      </w:r>
      <w:proofErr w:type="spellStart"/>
      <w:r w:rsidRPr="00EE38F6">
        <w:rPr>
          <w:rFonts w:ascii="NimbusRomNo9L" w:eastAsia="Times New Roman" w:hAnsi="NimbusRomNo9L" w:cs="Times New Roman"/>
          <w:i/>
          <w:iCs/>
          <w:spacing w:val="-10"/>
          <w:lang w:val="fr-FR"/>
        </w:rPr>
        <w:t>Identite</w:t>
      </w:r>
      <w:proofErr w:type="spellEnd"/>
      <w:r w:rsidRPr="00EE38F6">
        <w:rPr>
          <w:rFonts w:ascii="NimbusRomNo9L" w:eastAsia="Times New Roman" w:hAnsi="NimbusRomNo9L" w:cs="Times New Roman"/>
          <w:i/>
          <w:iCs/>
          <w:spacing w:val="-10"/>
          <w:lang w:val="fr-FR"/>
        </w:rPr>
        <w:t>́, culture et devenir</w:t>
      </w:r>
      <w:r w:rsidRPr="00EE38F6">
        <w:rPr>
          <w:rFonts w:ascii="NimbusRomNo9L" w:eastAsia="Times New Roman" w:hAnsi="NimbusRomNo9L" w:cs="Times New Roman"/>
          <w:spacing w:val="-10"/>
          <w:lang w:val="fr-FR"/>
        </w:rPr>
        <w:t xml:space="preserve">. </w:t>
      </w:r>
      <w:r w:rsidRPr="00166361">
        <w:rPr>
          <w:rFonts w:ascii="NimbusRomNo9L" w:eastAsia="Times New Roman" w:hAnsi="NimbusRomNo9L" w:cs="Times New Roman"/>
          <w:spacing w:val="-10"/>
          <w:lang w:val="en-US"/>
        </w:rPr>
        <w:t xml:space="preserve">Paris: </w:t>
      </w:r>
      <w:proofErr w:type="spellStart"/>
      <w:r w:rsidRPr="00166361">
        <w:rPr>
          <w:rFonts w:ascii="NimbusRomNo9L" w:eastAsia="Times New Roman" w:hAnsi="NimbusRomNo9L" w:cs="Times New Roman"/>
          <w:spacing w:val="-10"/>
          <w:lang w:val="en-US"/>
        </w:rPr>
        <w:t>Lextenso</w:t>
      </w:r>
      <w:proofErr w:type="spellEnd"/>
      <w:r w:rsidRPr="00166361">
        <w:rPr>
          <w:rFonts w:ascii="NimbusRomNo9L" w:eastAsia="Times New Roman" w:hAnsi="NimbusRomNo9L" w:cs="Times New Roman"/>
          <w:spacing w:val="-10"/>
          <w:lang w:val="en-US"/>
        </w:rPr>
        <w:t xml:space="preserve"> </w:t>
      </w:r>
      <w:proofErr w:type="spellStart"/>
      <w:r w:rsidRPr="00166361">
        <w:rPr>
          <w:rFonts w:ascii="NimbusRomNo9L" w:eastAsia="Times New Roman" w:hAnsi="NimbusRomNo9L" w:cs="Times New Roman"/>
          <w:spacing w:val="-10"/>
          <w:lang w:val="en-US"/>
        </w:rPr>
        <w:t>Editeurs</w:t>
      </w:r>
      <w:proofErr w:type="spellEnd"/>
      <w:r w:rsidRPr="00166361">
        <w:rPr>
          <w:rFonts w:ascii="NimbusRomNo9L" w:eastAsia="Times New Roman" w:hAnsi="NimbusRomNo9L" w:cs="Times New Roman"/>
          <w:spacing w:val="-10"/>
          <w:lang w:val="en-US"/>
        </w:rPr>
        <w:t xml:space="preserve">. </w:t>
      </w:r>
    </w:p>
    <w:p w14:paraId="421463D7" w14:textId="77777777" w:rsidR="00B13BBD" w:rsidRPr="00B13BBD" w:rsidRDefault="00B13BBD" w:rsidP="00B13BBD">
      <w:pPr>
        <w:pStyle w:val="ListParagraph"/>
        <w:numPr>
          <w:ilvl w:val="0"/>
          <w:numId w:val="4"/>
        </w:numPr>
        <w:ind w:left="284" w:hanging="283"/>
        <w:jc w:val="both"/>
        <w:rPr>
          <w:rFonts w:ascii="NimbusRomNo9L" w:hAnsi="NimbusRomNo9L"/>
          <w:spacing w:val="-10"/>
        </w:rPr>
      </w:pPr>
      <w:proofErr w:type="spellStart"/>
      <w:r w:rsidRPr="00B13BBD">
        <w:rPr>
          <w:rFonts w:ascii="NimbusRomNo9L" w:hAnsi="NimbusRomNo9L"/>
          <w:spacing w:val="-10"/>
          <w:lang w:val="en-US"/>
        </w:rPr>
        <w:t>Bachmeier</w:t>
      </w:r>
      <w:proofErr w:type="spellEnd"/>
      <w:r w:rsidRPr="00B13BBD">
        <w:rPr>
          <w:rFonts w:ascii="NimbusRomNo9L" w:hAnsi="NimbusRomNo9L"/>
          <w:spacing w:val="-10"/>
          <w:lang w:val="en-US"/>
        </w:rPr>
        <w:t xml:space="preserve">, L., </w:t>
      </w:r>
      <w:proofErr w:type="spellStart"/>
      <w:r w:rsidRPr="00B13BBD">
        <w:rPr>
          <w:rFonts w:ascii="NimbusRomNo9L" w:hAnsi="NimbusRomNo9L"/>
          <w:spacing w:val="-10"/>
          <w:lang w:val="en-US"/>
        </w:rPr>
        <w:t>Gaughan</w:t>
      </w:r>
      <w:proofErr w:type="spellEnd"/>
      <w:r w:rsidRPr="00B13BBD">
        <w:rPr>
          <w:rFonts w:ascii="NimbusRomNo9L" w:hAnsi="NimbusRomNo9L"/>
          <w:spacing w:val="-10"/>
          <w:lang w:val="en-US"/>
        </w:rPr>
        <w:t xml:space="preserve">, P., &amp; Swanson, N. R. (2004). The volume of federal litigation and the macroeconomy. </w:t>
      </w:r>
      <w:r w:rsidRPr="00B13BBD">
        <w:rPr>
          <w:rFonts w:ascii="NimbusRomNo9L" w:hAnsi="NimbusRomNo9L"/>
          <w:i/>
          <w:iCs/>
          <w:spacing w:val="-10"/>
        </w:rPr>
        <w:t xml:space="preserve">International </w:t>
      </w:r>
      <w:proofErr w:type="spellStart"/>
      <w:r w:rsidRPr="00B13BBD">
        <w:rPr>
          <w:rFonts w:ascii="NimbusRomNo9L" w:hAnsi="NimbusRomNo9L"/>
          <w:i/>
          <w:iCs/>
          <w:spacing w:val="-10"/>
        </w:rPr>
        <w:t>Review</w:t>
      </w:r>
      <w:proofErr w:type="spellEnd"/>
      <w:r w:rsidRPr="00B13BBD">
        <w:rPr>
          <w:rFonts w:ascii="NimbusRomNo9L" w:hAnsi="NimbusRomNo9L"/>
          <w:i/>
          <w:iCs/>
          <w:spacing w:val="-10"/>
        </w:rPr>
        <w:t xml:space="preserve"> of Law and </w:t>
      </w:r>
      <w:proofErr w:type="spellStart"/>
      <w:r w:rsidRPr="00B13BBD">
        <w:rPr>
          <w:rFonts w:ascii="NimbusRomNo9L" w:hAnsi="NimbusRomNo9L"/>
          <w:i/>
          <w:iCs/>
          <w:spacing w:val="-10"/>
        </w:rPr>
        <w:t>Economics</w:t>
      </w:r>
      <w:proofErr w:type="spellEnd"/>
      <w:r w:rsidRPr="00B13BBD">
        <w:rPr>
          <w:rFonts w:ascii="NimbusRomNo9L" w:hAnsi="NimbusRomNo9L"/>
          <w:spacing w:val="-10"/>
        </w:rPr>
        <w:t xml:space="preserve">, </w:t>
      </w:r>
      <w:r w:rsidRPr="00B13BBD">
        <w:rPr>
          <w:rFonts w:ascii="NimbusRomNo9L" w:hAnsi="NimbusRomNo9L"/>
          <w:i/>
          <w:iCs/>
          <w:spacing w:val="-10"/>
        </w:rPr>
        <w:t>24</w:t>
      </w:r>
      <w:r w:rsidRPr="00B13BBD">
        <w:rPr>
          <w:rFonts w:ascii="NimbusRomNo9L" w:hAnsi="NimbusRomNo9L"/>
          <w:spacing w:val="-10"/>
        </w:rPr>
        <w:t>(2), 191-207.</w:t>
      </w:r>
    </w:p>
    <w:p w14:paraId="0B5073A5" w14:textId="234709D9" w:rsidR="00800903" w:rsidRPr="00166361" w:rsidRDefault="00B13BBD" w:rsidP="00B13BBD">
      <w:pPr>
        <w:pStyle w:val="ListParagraph"/>
        <w:numPr>
          <w:ilvl w:val="0"/>
          <w:numId w:val="4"/>
        </w:numPr>
        <w:ind w:left="284" w:hanging="283"/>
        <w:jc w:val="both"/>
        <w:rPr>
          <w:rFonts w:ascii="NimbusRomNo9L" w:eastAsia="Times New Roman" w:hAnsi="NimbusRomNo9L" w:cs="Times New Roman"/>
          <w:spacing w:val="-10"/>
          <w:lang w:val="en-US"/>
        </w:rPr>
      </w:pPr>
      <w:r w:rsidRPr="00B13BBD">
        <w:rPr>
          <w:rFonts w:ascii="NimbusRomNo9L" w:eastAsia="Times New Roman" w:hAnsi="NimbusRomNo9L" w:cs="Times New Roman"/>
          <w:spacing w:val="-10"/>
          <w:lang w:val="fr-FR"/>
        </w:rPr>
        <w:t xml:space="preserve"> </w:t>
      </w:r>
      <w:proofErr w:type="spellStart"/>
      <w:r w:rsidR="00800903" w:rsidRPr="00EE38F6">
        <w:rPr>
          <w:rFonts w:ascii="NimbusRomNo9L" w:eastAsia="Times New Roman" w:hAnsi="NimbusRomNo9L" w:cs="Times New Roman"/>
          <w:spacing w:val="-10"/>
          <w:lang w:val="fr-FR"/>
        </w:rPr>
        <w:t>Baudel</w:t>
      </w:r>
      <w:proofErr w:type="spellEnd"/>
      <w:r w:rsidR="00800903" w:rsidRPr="00EE38F6">
        <w:rPr>
          <w:rFonts w:ascii="NimbusRomNo9L" w:eastAsia="Times New Roman" w:hAnsi="NimbusRomNo9L" w:cs="Times New Roman"/>
          <w:spacing w:val="-10"/>
          <w:lang w:val="fr-FR"/>
        </w:rPr>
        <w:t xml:space="preserve"> J.M. 2006. L’accès à la justice : la situation en France. </w:t>
      </w:r>
      <w:r w:rsidR="00800903" w:rsidRPr="00166361">
        <w:rPr>
          <w:rFonts w:ascii="NimbusRomNo9L" w:eastAsia="Times New Roman" w:hAnsi="NimbusRomNo9L" w:cs="Times New Roman"/>
          <w:i/>
          <w:spacing w:val="-10"/>
          <w:lang w:val="en-US"/>
        </w:rPr>
        <w:t xml:space="preserve">Revue </w:t>
      </w:r>
      <w:proofErr w:type="spellStart"/>
      <w:r w:rsidR="00800903" w:rsidRPr="00166361">
        <w:rPr>
          <w:rFonts w:ascii="NimbusRomNo9L" w:eastAsia="Times New Roman" w:hAnsi="NimbusRomNo9L" w:cs="Times New Roman"/>
          <w:i/>
          <w:spacing w:val="-10"/>
          <w:lang w:val="en-US"/>
        </w:rPr>
        <w:t>internationale</w:t>
      </w:r>
      <w:proofErr w:type="spellEnd"/>
      <w:r w:rsidR="00800903" w:rsidRPr="00166361">
        <w:rPr>
          <w:rFonts w:ascii="NimbusRomNo9L" w:eastAsia="Times New Roman" w:hAnsi="NimbusRomNo9L" w:cs="Times New Roman"/>
          <w:i/>
          <w:spacing w:val="-10"/>
          <w:lang w:val="en-US"/>
        </w:rPr>
        <w:t xml:space="preserve"> de droit </w:t>
      </w:r>
      <w:proofErr w:type="spellStart"/>
      <w:r w:rsidR="00800903" w:rsidRPr="00166361">
        <w:rPr>
          <w:rFonts w:ascii="NimbusRomNo9L" w:eastAsia="Times New Roman" w:hAnsi="NimbusRomNo9L" w:cs="Times New Roman"/>
          <w:i/>
          <w:spacing w:val="-10"/>
          <w:lang w:val="en-US"/>
        </w:rPr>
        <w:t>comparé</w:t>
      </w:r>
      <w:proofErr w:type="spellEnd"/>
      <w:r w:rsidR="00800903" w:rsidRPr="00166361">
        <w:rPr>
          <w:rFonts w:ascii="NimbusRomNo9L" w:eastAsia="Times New Roman" w:hAnsi="NimbusRomNo9L" w:cs="Times New Roman"/>
          <w:spacing w:val="-10"/>
          <w:lang w:val="en-US"/>
        </w:rPr>
        <w:t>, 58(2): 477-491.</w:t>
      </w:r>
    </w:p>
    <w:p w14:paraId="287130AC" w14:textId="77777777"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166361">
        <w:rPr>
          <w:rFonts w:ascii="NimbusRomNo9L" w:eastAsia="Times New Roman" w:hAnsi="NimbusRomNo9L" w:cs="Times New Roman"/>
          <w:spacing w:val="-10"/>
          <w:lang w:val="en-US"/>
        </w:rPr>
        <w:t xml:space="preserve">Bell, D.A. 1994. </w:t>
      </w:r>
      <w:r w:rsidRPr="00166361">
        <w:rPr>
          <w:rFonts w:ascii="NimbusRomNo9L" w:eastAsia="Times New Roman" w:hAnsi="NimbusRomNo9L" w:cs="Times New Roman"/>
          <w:i/>
          <w:iCs/>
          <w:spacing w:val="-10"/>
          <w:lang w:val="en-US"/>
        </w:rPr>
        <w:t>Lawyers and Citizens: The Making of a Political Elite in Old Regime France</w:t>
      </w:r>
      <w:r w:rsidRPr="00166361">
        <w:rPr>
          <w:rFonts w:ascii="NimbusRomNo9L" w:eastAsia="Times New Roman" w:hAnsi="NimbusRomNo9L" w:cs="Times New Roman"/>
          <w:spacing w:val="-10"/>
          <w:lang w:val="en-US"/>
        </w:rPr>
        <w:t xml:space="preserve">. Oxford: Oxford University Press. </w:t>
      </w:r>
    </w:p>
    <w:p w14:paraId="19650503" w14:textId="5D47A71F"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166361">
        <w:rPr>
          <w:rFonts w:ascii="NimbusRomNo9L" w:eastAsia="Times New Roman" w:hAnsi="NimbusRomNo9L" w:cs="Times New Roman"/>
          <w:spacing w:val="-10"/>
          <w:lang w:val="en-US"/>
        </w:rPr>
        <w:t xml:space="preserve">Belli, M.M. 1981. The Law’s Delays: Reforming Unnecessary Delay in Civil Litigation. </w:t>
      </w:r>
      <w:r w:rsidRPr="00166361">
        <w:rPr>
          <w:rFonts w:ascii="NimbusRomNo9L" w:eastAsia="Times New Roman" w:hAnsi="NimbusRomNo9L" w:cs="Times New Roman"/>
          <w:i/>
          <w:iCs/>
          <w:spacing w:val="-10"/>
          <w:lang w:val="en-US"/>
        </w:rPr>
        <w:t>Journal of Legislation</w:t>
      </w:r>
      <w:r w:rsidRPr="00166361">
        <w:rPr>
          <w:rFonts w:ascii="NimbusRomNo9L" w:eastAsia="Times New Roman" w:hAnsi="NimbusRomNo9L" w:cs="Times New Roman"/>
          <w:spacing w:val="-10"/>
          <w:lang w:val="en-US"/>
        </w:rPr>
        <w:t xml:space="preserve">, 8(1): 16-29. </w:t>
      </w:r>
    </w:p>
    <w:p w14:paraId="537E055A" w14:textId="1B8D7193" w:rsidR="00800903" w:rsidRPr="00166361" w:rsidRDefault="00800903" w:rsidP="00800903">
      <w:pPr>
        <w:pStyle w:val="ListParagraph"/>
        <w:numPr>
          <w:ilvl w:val="0"/>
          <w:numId w:val="4"/>
        </w:numPr>
        <w:ind w:left="284" w:hanging="283"/>
        <w:jc w:val="both"/>
        <w:rPr>
          <w:rFonts w:ascii="NimbusRomNo9L" w:eastAsia="Times New Roman" w:hAnsi="NimbusRomNo9L" w:cs="Times New Roman"/>
          <w:spacing w:val="-10"/>
          <w:lang w:val="en-US"/>
        </w:rPr>
      </w:pPr>
      <w:proofErr w:type="spellStart"/>
      <w:r w:rsidRPr="00EE38F6">
        <w:rPr>
          <w:rFonts w:ascii="NimbusRomNo9L" w:eastAsia="Times New Roman" w:hAnsi="NimbusRomNo9L" w:cs="Times New Roman"/>
          <w:spacing w:val="-10"/>
          <w:lang w:val="fr-FR"/>
        </w:rPr>
        <w:t>Bessy</w:t>
      </w:r>
      <w:proofErr w:type="spellEnd"/>
      <w:r w:rsidRPr="00EE38F6">
        <w:rPr>
          <w:rFonts w:ascii="NimbusRomNo9L" w:eastAsia="Times New Roman" w:hAnsi="NimbusRomNo9L" w:cs="Times New Roman"/>
          <w:spacing w:val="-10"/>
          <w:lang w:val="fr-FR"/>
        </w:rPr>
        <w:t>, C. 2016. Transformation du marché du travail des avocats et nouveaux intermédiaires du recrutement</w:t>
      </w:r>
      <w:r w:rsidR="00221787" w:rsidRPr="00EE38F6">
        <w:rPr>
          <w:rFonts w:ascii="NimbusRomNo9L" w:eastAsia="Times New Roman" w:hAnsi="NimbusRomNo9L" w:cs="Times New Roman"/>
          <w:spacing w:val="-10"/>
          <w:lang w:val="fr-FR"/>
        </w:rPr>
        <w:t>.</w:t>
      </w:r>
      <w:r w:rsidRPr="00EE38F6">
        <w:rPr>
          <w:rFonts w:ascii="NimbusRomNo9L" w:eastAsia="Times New Roman" w:hAnsi="NimbusRomNo9L" w:cs="Times New Roman"/>
          <w:spacing w:val="-10"/>
          <w:lang w:val="fr-FR"/>
        </w:rPr>
        <w:t> </w:t>
      </w:r>
      <w:r w:rsidRPr="00166361">
        <w:rPr>
          <w:rFonts w:ascii="NimbusRomNo9L" w:eastAsia="Times New Roman" w:hAnsi="NimbusRomNo9L" w:cs="Times New Roman"/>
          <w:i/>
          <w:spacing w:val="-10"/>
          <w:lang w:val="en-US"/>
        </w:rPr>
        <w:t xml:space="preserve">Droit et </w:t>
      </w:r>
      <w:proofErr w:type="spellStart"/>
      <w:r w:rsidRPr="00166361">
        <w:rPr>
          <w:rFonts w:ascii="NimbusRomNo9L" w:eastAsia="Times New Roman" w:hAnsi="NimbusRomNo9L" w:cs="Times New Roman"/>
          <w:i/>
          <w:spacing w:val="-10"/>
          <w:lang w:val="en-US"/>
        </w:rPr>
        <w:t>société</w:t>
      </w:r>
      <w:proofErr w:type="spellEnd"/>
      <w:r w:rsidRPr="00166361">
        <w:rPr>
          <w:rFonts w:ascii="NimbusRomNo9L" w:eastAsia="Times New Roman" w:hAnsi="NimbusRomNo9L" w:cs="Times New Roman"/>
          <w:spacing w:val="-10"/>
          <w:lang w:val="en-US"/>
        </w:rPr>
        <w:t xml:space="preserve">, </w:t>
      </w:r>
      <w:proofErr w:type="gramStart"/>
      <w:r w:rsidRPr="00166361">
        <w:rPr>
          <w:rFonts w:ascii="NimbusRomNo9L" w:eastAsia="Times New Roman" w:hAnsi="NimbusRomNo9L" w:cs="Times New Roman"/>
          <w:spacing w:val="-10"/>
          <w:lang w:val="en-US"/>
        </w:rPr>
        <w:t>92 :</w:t>
      </w:r>
      <w:proofErr w:type="gramEnd"/>
      <w:r w:rsidRPr="00166361">
        <w:rPr>
          <w:rFonts w:ascii="NimbusRomNo9L" w:eastAsia="Times New Roman" w:hAnsi="NimbusRomNo9L" w:cs="Times New Roman"/>
          <w:spacing w:val="-10"/>
          <w:lang w:val="en-US"/>
        </w:rPr>
        <w:t xml:space="preserve"> 201-227.</w:t>
      </w:r>
    </w:p>
    <w:p w14:paraId="24A02F8E" w14:textId="3ECD3D29"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proofErr w:type="spellStart"/>
      <w:r w:rsidRPr="00166361">
        <w:rPr>
          <w:rFonts w:ascii="NimbusRomNo9L" w:eastAsia="Times New Roman" w:hAnsi="NimbusRomNo9L" w:cs="Times New Roman"/>
          <w:spacing w:val="-10"/>
          <w:lang w:val="en-US"/>
        </w:rPr>
        <w:t>Bielen</w:t>
      </w:r>
      <w:proofErr w:type="spellEnd"/>
      <w:r w:rsidRPr="00166361">
        <w:rPr>
          <w:rFonts w:ascii="NimbusRomNo9L" w:eastAsia="Times New Roman" w:hAnsi="NimbusRomNo9L" w:cs="Times New Roman"/>
          <w:spacing w:val="-10"/>
          <w:lang w:val="en-US"/>
        </w:rPr>
        <w:t xml:space="preserve">, S. and W. </w:t>
      </w:r>
      <w:proofErr w:type="spellStart"/>
      <w:r w:rsidRPr="00166361">
        <w:rPr>
          <w:rFonts w:ascii="NimbusRomNo9L" w:eastAsia="Times New Roman" w:hAnsi="NimbusRomNo9L" w:cs="Times New Roman"/>
          <w:spacing w:val="-10"/>
          <w:lang w:val="en-US"/>
        </w:rPr>
        <w:t>Vereeck</w:t>
      </w:r>
      <w:proofErr w:type="spellEnd"/>
      <w:r w:rsidRPr="00166361">
        <w:rPr>
          <w:rFonts w:ascii="NimbusRomNo9L" w:eastAsia="Times New Roman" w:hAnsi="NimbusRomNo9L" w:cs="Times New Roman"/>
          <w:spacing w:val="-10"/>
          <w:lang w:val="en-US"/>
        </w:rPr>
        <w:t>, L. 2017. Testing the lawyer-induced litigation hypothesis in Europe</w:t>
      </w:r>
      <w:r w:rsidR="00221787" w:rsidRPr="00166361">
        <w:rPr>
          <w:rFonts w:ascii="NimbusRomNo9L" w:eastAsia="Times New Roman" w:hAnsi="NimbusRomNo9L" w:cs="Times New Roman"/>
          <w:spacing w:val="-10"/>
          <w:lang w:val="en-US"/>
        </w:rPr>
        <w:t>.</w:t>
      </w:r>
      <w:r w:rsidRPr="00166361">
        <w:rPr>
          <w:rFonts w:ascii="NimbusRomNo9L" w:eastAsia="Times New Roman" w:hAnsi="NimbusRomNo9L" w:cs="Times New Roman"/>
          <w:spacing w:val="-10"/>
          <w:lang w:val="en-US"/>
        </w:rPr>
        <w:t xml:space="preserve"> </w:t>
      </w:r>
      <w:r w:rsidRPr="00166361">
        <w:rPr>
          <w:rFonts w:ascii="NimbusRomNo9L" w:eastAsia="Times New Roman" w:hAnsi="NimbusRomNo9L" w:cs="Times New Roman"/>
          <w:i/>
          <w:spacing w:val="-10"/>
          <w:lang w:val="en-US"/>
        </w:rPr>
        <w:t>Applied Economics</w:t>
      </w:r>
      <w:r w:rsidRPr="00166361">
        <w:rPr>
          <w:rFonts w:ascii="NimbusRomNo9L" w:eastAsia="Times New Roman" w:hAnsi="NimbusRomNo9L" w:cs="Times New Roman"/>
          <w:spacing w:val="-10"/>
          <w:lang w:val="en-US"/>
        </w:rPr>
        <w:t xml:space="preserve">, 50(16): 1837-1851. </w:t>
      </w:r>
    </w:p>
    <w:p w14:paraId="304D169B" w14:textId="193ACCBB"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proofErr w:type="spellStart"/>
      <w:r w:rsidRPr="00166361">
        <w:rPr>
          <w:rFonts w:ascii="NimbusRomNo9L" w:eastAsia="Times New Roman" w:hAnsi="NimbusRomNo9L" w:cs="Times New Roman"/>
          <w:spacing w:val="-10"/>
          <w:lang w:val="en-US"/>
        </w:rPr>
        <w:t>Bielen</w:t>
      </w:r>
      <w:proofErr w:type="spellEnd"/>
      <w:r w:rsidRPr="00166361">
        <w:rPr>
          <w:rFonts w:ascii="NimbusRomNo9L" w:eastAsia="Times New Roman" w:hAnsi="NimbusRomNo9L" w:cs="Times New Roman"/>
          <w:spacing w:val="-10"/>
          <w:lang w:val="en-US"/>
        </w:rPr>
        <w:t xml:space="preserve">, S., P. Ludo., W. </w:t>
      </w:r>
      <w:proofErr w:type="spellStart"/>
      <w:r w:rsidRPr="00166361">
        <w:rPr>
          <w:rFonts w:ascii="NimbusRomNo9L" w:eastAsia="Times New Roman" w:hAnsi="NimbusRomNo9L" w:cs="Times New Roman"/>
          <w:spacing w:val="-10"/>
          <w:lang w:val="en-US"/>
        </w:rPr>
        <w:t>Marneffe</w:t>
      </w:r>
      <w:proofErr w:type="spellEnd"/>
      <w:r w:rsidRPr="00166361">
        <w:rPr>
          <w:rFonts w:ascii="NimbusRomNo9L" w:eastAsia="Times New Roman" w:hAnsi="NimbusRomNo9L" w:cs="Times New Roman"/>
          <w:spacing w:val="-10"/>
          <w:lang w:val="en-US"/>
        </w:rPr>
        <w:t xml:space="preserve"> and L. </w:t>
      </w:r>
      <w:proofErr w:type="spellStart"/>
      <w:r w:rsidRPr="00166361">
        <w:rPr>
          <w:rFonts w:ascii="NimbusRomNo9L" w:eastAsia="Times New Roman" w:hAnsi="NimbusRomNo9L" w:cs="Times New Roman"/>
          <w:spacing w:val="-10"/>
          <w:lang w:val="en-US"/>
        </w:rPr>
        <w:t>Vereeck</w:t>
      </w:r>
      <w:proofErr w:type="spellEnd"/>
      <w:r w:rsidRPr="00166361">
        <w:rPr>
          <w:rFonts w:ascii="NimbusRomNo9L" w:eastAsia="Times New Roman" w:hAnsi="NimbusRomNo9L" w:cs="Times New Roman"/>
          <w:spacing w:val="-10"/>
          <w:lang w:val="en-US"/>
        </w:rPr>
        <w:t xml:space="preserve">. 2018. Backlogs and litigation rates: Testing congestion equilibrium across European judiciaries. </w:t>
      </w:r>
      <w:r w:rsidRPr="00166361">
        <w:rPr>
          <w:rFonts w:ascii="NimbusRomNo9L" w:eastAsia="Times New Roman" w:hAnsi="NimbusRomNo9L" w:cs="Times New Roman"/>
          <w:i/>
          <w:iCs/>
          <w:spacing w:val="-10"/>
          <w:lang w:val="en-US"/>
        </w:rPr>
        <w:t>International Review of Law and Economics</w:t>
      </w:r>
      <w:r w:rsidRPr="00166361">
        <w:rPr>
          <w:rFonts w:ascii="NimbusRomNo9L" w:eastAsia="Times New Roman" w:hAnsi="NimbusRomNo9L" w:cs="Times New Roman"/>
          <w:spacing w:val="-10"/>
          <w:lang w:val="en-US"/>
        </w:rPr>
        <w:t xml:space="preserve">, 53: 9-22. </w:t>
      </w:r>
    </w:p>
    <w:p w14:paraId="727BDA9F" w14:textId="77777777" w:rsidR="00AF119D" w:rsidRPr="00AF119D" w:rsidRDefault="00800903" w:rsidP="00AF119D">
      <w:pPr>
        <w:pStyle w:val="ListParagraph"/>
        <w:numPr>
          <w:ilvl w:val="0"/>
          <w:numId w:val="4"/>
        </w:numPr>
        <w:ind w:left="284" w:hanging="283"/>
        <w:jc w:val="both"/>
        <w:rPr>
          <w:rFonts w:ascii="Times New Roman" w:eastAsia="Times New Roman" w:hAnsi="Times New Roman" w:cs="Times New Roman"/>
          <w:spacing w:val="-10"/>
          <w:lang w:val="en-US"/>
        </w:rPr>
      </w:pPr>
      <w:r w:rsidRPr="00166361">
        <w:rPr>
          <w:rFonts w:ascii="NimbusRomNo9L" w:eastAsia="Times New Roman" w:hAnsi="NimbusRomNo9L" w:cs="Times New Roman"/>
          <w:spacing w:val="-10"/>
          <w:lang w:val="en-US"/>
        </w:rPr>
        <w:t>Blasi, G.L. 1995. What Lawyers Know: Lawyering Expertise, Cognitive Science, and the Functions of Theory</w:t>
      </w:r>
      <w:r w:rsidR="00221787" w:rsidRPr="00166361">
        <w:rPr>
          <w:rFonts w:ascii="NimbusRomNo9L" w:eastAsia="Times New Roman" w:hAnsi="NimbusRomNo9L" w:cs="Times New Roman"/>
          <w:spacing w:val="-10"/>
          <w:lang w:val="en-US"/>
        </w:rPr>
        <w:t>.</w:t>
      </w:r>
      <w:r w:rsidRPr="00166361">
        <w:rPr>
          <w:rFonts w:ascii="NimbusRomNo9L" w:eastAsia="Times New Roman" w:hAnsi="NimbusRomNo9L" w:cs="Times New Roman"/>
          <w:spacing w:val="-10"/>
          <w:lang w:val="en-US"/>
        </w:rPr>
        <w:t xml:space="preserve"> </w:t>
      </w:r>
      <w:r w:rsidRPr="00166361">
        <w:rPr>
          <w:rFonts w:ascii="NimbusRomNo9L" w:eastAsia="Times New Roman" w:hAnsi="NimbusRomNo9L" w:cs="Times New Roman"/>
          <w:i/>
          <w:iCs/>
          <w:spacing w:val="-10"/>
          <w:lang w:val="en-US"/>
        </w:rPr>
        <w:t>Journal of Legal Education</w:t>
      </w:r>
      <w:r w:rsidRPr="00166361">
        <w:rPr>
          <w:rFonts w:ascii="NimbusRomNo9L" w:eastAsia="Times New Roman" w:hAnsi="NimbusRomNo9L" w:cs="Times New Roman"/>
          <w:spacing w:val="-10"/>
          <w:lang w:val="en-US"/>
        </w:rPr>
        <w:t xml:space="preserve">, 45(3): 314-397. </w:t>
      </w:r>
    </w:p>
    <w:p w14:paraId="5A0AFCBF" w14:textId="705E7358" w:rsidR="00AF119D" w:rsidRPr="00AF119D" w:rsidRDefault="00890C21" w:rsidP="00AF119D">
      <w:pPr>
        <w:pStyle w:val="ListParagraph"/>
        <w:numPr>
          <w:ilvl w:val="0"/>
          <w:numId w:val="4"/>
        </w:numPr>
        <w:ind w:left="284" w:hanging="283"/>
        <w:jc w:val="both"/>
        <w:rPr>
          <w:rFonts w:ascii="Times New Roman" w:eastAsia="Times New Roman" w:hAnsi="Times New Roman" w:cs="Times New Roman"/>
          <w:spacing w:val="-10"/>
          <w:lang w:val="en-US"/>
        </w:rPr>
      </w:pPr>
      <w:proofErr w:type="spellStart"/>
      <w:r w:rsidRPr="00AF119D">
        <w:rPr>
          <w:rFonts w:ascii="NimbusRomNo9L" w:hAnsi="NimbusRomNo9L"/>
          <w:spacing w:val="-10"/>
          <w:lang w:val="en-US"/>
        </w:rPr>
        <w:t>Boigeol</w:t>
      </w:r>
      <w:proofErr w:type="spellEnd"/>
      <w:r w:rsidRPr="00AF119D">
        <w:rPr>
          <w:rFonts w:ascii="NimbusRomNo9L" w:hAnsi="NimbusRomNo9L"/>
          <w:spacing w:val="-10"/>
          <w:lang w:val="en-US"/>
        </w:rPr>
        <w:t xml:space="preserve">, A. (2003). </w:t>
      </w:r>
      <w:r w:rsidRPr="00AF119D">
        <w:rPr>
          <w:rFonts w:ascii="NimbusRomNo9L" w:hAnsi="NimbusRomNo9L"/>
          <w:i/>
          <w:spacing w:val="-10"/>
          <w:lang w:val="en-US"/>
        </w:rPr>
        <w:t>The rise of lawyers in France</w:t>
      </w:r>
      <w:r w:rsidRPr="00AF119D">
        <w:rPr>
          <w:rFonts w:ascii="NimbusRomNo9L" w:hAnsi="NimbusRomNo9L"/>
          <w:spacing w:val="-10"/>
          <w:lang w:val="en-US"/>
        </w:rPr>
        <w:t xml:space="preserve">. </w:t>
      </w:r>
      <w:r w:rsidRPr="00AF119D">
        <w:rPr>
          <w:rFonts w:ascii="NimbusRomNo9L" w:hAnsi="NimbusRomNo9L"/>
          <w:spacing w:val="-10"/>
          <w:lang w:val="it-IT"/>
        </w:rPr>
        <w:t xml:space="preserve">In L. Friedman, &amp; R. </w:t>
      </w:r>
      <w:proofErr w:type="spellStart"/>
      <w:r w:rsidRPr="00AF119D">
        <w:rPr>
          <w:rFonts w:ascii="NimbusRomNo9L" w:hAnsi="NimbusRomNo9L"/>
          <w:spacing w:val="-10"/>
          <w:lang w:val="it-IT"/>
        </w:rPr>
        <w:t>Perez-Perdomo</w:t>
      </w:r>
      <w:proofErr w:type="spellEnd"/>
      <w:r w:rsidRPr="00AF119D">
        <w:rPr>
          <w:rFonts w:ascii="NimbusRomNo9L" w:hAnsi="NimbusRomNo9L"/>
          <w:spacing w:val="-10"/>
          <w:lang w:val="it-IT"/>
        </w:rPr>
        <w:t xml:space="preserve"> (</w:t>
      </w:r>
      <w:proofErr w:type="spellStart"/>
      <w:r w:rsidRPr="00AF119D">
        <w:rPr>
          <w:rFonts w:ascii="NimbusRomNo9L" w:hAnsi="NimbusRomNo9L"/>
          <w:spacing w:val="-10"/>
          <w:lang w:val="it-IT"/>
        </w:rPr>
        <w:t>eds</w:t>
      </w:r>
      <w:proofErr w:type="spellEnd"/>
      <w:r w:rsidRPr="00AF119D">
        <w:rPr>
          <w:rFonts w:ascii="NimbusRomNo9L" w:hAnsi="NimbusRomNo9L"/>
          <w:spacing w:val="-10"/>
          <w:lang w:val="it-IT"/>
        </w:rPr>
        <w:t xml:space="preserve">.). </w:t>
      </w:r>
      <w:r w:rsidRPr="00AF119D">
        <w:rPr>
          <w:rFonts w:ascii="NimbusRomNo9L" w:hAnsi="NimbusRomNo9L"/>
          <w:i/>
          <w:iCs/>
          <w:spacing w:val="-10"/>
          <w:lang w:val="en-US"/>
        </w:rPr>
        <w:t>Legal culture in the age of globalization: Latin America and Latin Europe</w:t>
      </w:r>
      <w:r w:rsidRPr="00AF119D">
        <w:rPr>
          <w:rFonts w:ascii="NimbusRomNo9L" w:hAnsi="NimbusRomNo9L"/>
          <w:spacing w:val="-10"/>
          <w:lang w:val="en-US"/>
        </w:rPr>
        <w:t>, 185-219.</w:t>
      </w:r>
      <w:r w:rsidR="00AF119D" w:rsidRPr="00AF119D">
        <w:rPr>
          <w:rFonts w:ascii="NimbusRomNo9L" w:hAnsi="NimbusRomNo9L"/>
          <w:spacing w:val="-10"/>
          <w:lang w:val="en-US"/>
        </w:rPr>
        <w:t xml:space="preserve"> </w:t>
      </w:r>
      <w:r w:rsidR="00AF119D">
        <w:t xml:space="preserve">Stanford : Stanford </w:t>
      </w:r>
      <w:proofErr w:type="spellStart"/>
      <w:r w:rsidR="00AF119D">
        <w:t>University</w:t>
      </w:r>
      <w:proofErr w:type="spellEnd"/>
      <w:r w:rsidR="00AF119D">
        <w:t xml:space="preserve"> </w:t>
      </w:r>
      <w:proofErr w:type="spellStart"/>
      <w:r w:rsidR="00AF119D">
        <w:t>Press</w:t>
      </w:r>
      <w:proofErr w:type="spellEnd"/>
    </w:p>
    <w:p w14:paraId="0F018EFA" w14:textId="5AF9DD0D"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EE38F6">
        <w:rPr>
          <w:rFonts w:ascii="NimbusRomNo9L" w:eastAsia="Times New Roman" w:hAnsi="NimbusRomNo9L" w:cs="Times New Roman"/>
          <w:spacing w:val="-10"/>
          <w:lang w:val="fr-FR"/>
        </w:rPr>
        <w:t xml:space="preserve">Bouquet, B. 2018. </w:t>
      </w:r>
      <w:proofErr w:type="spellStart"/>
      <w:r w:rsidRPr="00EE38F6">
        <w:rPr>
          <w:rFonts w:ascii="NimbusRomNo9L" w:eastAsia="Times New Roman" w:hAnsi="NimbusRomNo9L" w:cs="Times New Roman"/>
          <w:spacing w:val="-10"/>
          <w:lang w:val="fr-FR"/>
        </w:rPr>
        <w:t>Pauvrete</w:t>
      </w:r>
      <w:proofErr w:type="spellEnd"/>
      <w:r w:rsidRPr="00EE38F6">
        <w:rPr>
          <w:rFonts w:ascii="NimbusRomNo9L" w:eastAsia="Times New Roman" w:hAnsi="NimbusRomNo9L" w:cs="Times New Roman"/>
          <w:spacing w:val="-10"/>
          <w:lang w:val="fr-FR"/>
        </w:rPr>
        <w:t xml:space="preserve">́, </w:t>
      </w:r>
      <w:proofErr w:type="spellStart"/>
      <w:r w:rsidRPr="00EE38F6">
        <w:rPr>
          <w:rFonts w:ascii="NimbusRomNo9L" w:eastAsia="Times New Roman" w:hAnsi="NimbusRomNo9L" w:cs="Times New Roman"/>
          <w:spacing w:val="-10"/>
          <w:lang w:val="fr-FR"/>
        </w:rPr>
        <w:t>précarite</w:t>
      </w:r>
      <w:proofErr w:type="spellEnd"/>
      <w:r w:rsidRPr="00EE38F6">
        <w:rPr>
          <w:rFonts w:ascii="NimbusRomNo9L" w:eastAsia="Times New Roman" w:hAnsi="NimbusRomNo9L" w:cs="Times New Roman"/>
          <w:spacing w:val="-10"/>
          <w:lang w:val="fr-FR"/>
        </w:rPr>
        <w:t xml:space="preserve">́, </w:t>
      </w:r>
      <w:proofErr w:type="spellStart"/>
      <w:r w:rsidRPr="00EE38F6">
        <w:rPr>
          <w:rFonts w:ascii="NimbusRomNo9L" w:eastAsia="Times New Roman" w:hAnsi="NimbusRomNo9L" w:cs="Times New Roman"/>
          <w:spacing w:val="-10"/>
          <w:lang w:val="fr-FR"/>
        </w:rPr>
        <w:t>solidarite</w:t>
      </w:r>
      <w:proofErr w:type="spellEnd"/>
      <w:r w:rsidRPr="00EE38F6">
        <w:rPr>
          <w:rFonts w:ascii="NimbusRomNo9L" w:eastAsia="Times New Roman" w:hAnsi="NimbusRomNo9L" w:cs="Times New Roman"/>
          <w:spacing w:val="-10"/>
          <w:lang w:val="fr-FR"/>
        </w:rPr>
        <w:t xml:space="preserve">́ en milieu </w:t>
      </w:r>
      <w:proofErr w:type="gramStart"/>
      <w:r w:rsidRPr="00EE38F6">
        <w:rPr>
          <w:rFonts w:ascii="NimbusRomNo9L" w:eastAsia="Times New Roman" w:hAnsi="NimbusRomNo9L" w:cs="Times New Roman"/>
          <w:spacing w:val="-10"/>
          <w:lang w:val="fr-FR"/>
        </w:rPr>
        <w:t>rural:</w:t>
      </w:r>
      <w:proofErr w:type="gramEnd"/>
      <w:r w:rsidRPr="00EE38F6">
        <w:rPr>
          <w:rFonts w:ascii="NimbusRomNo9L" w:eastAsia="Times New Roman" w:hAnsi="NimbusRomNo9L" w:cs="Times New Roman"/>
          <w:spacing w:val="-10"/>
          <w:lang w:val="fr-FR"/>
        </w:rPr>
        <w:t xml:space="preserve"> Rapport du CGAAER et de l’IGAS, 2009. </w:t>
      </w:r>
      <w:proofErr w:type="spellStart"/>
      <w:r w:rsidRPr="00166361">
        <w:rPr>
          <w:rFonts w:ascii="NimbusRomNo9L" w:eastAsia="Times New Roman" w:hAnsi="NimbusRomNo9L" w:cs="Times New Roman"/>
          <w:spacing w:val="-10"/>
          <w:lang w:val="en-US"/>
        </w:rPr>
        <w:t>Synthèse</w:t>
      </w:r>
      <w:proofErr w:type="spellEnd"/>
      <w:r w:rsidR="00221787" w:rsidRPr="00166361">
        <w:rPr>
          <w:rFonts w:ascii="NimbusRomNo9L" w:eastAsia="Times New Roman" w:hAnsi="NimbusRomNo9L" w:cs="Times New Roman"/>
          <w:spacing w:val="-10"/>
          <w:lang w:val="en-US"/>
        </w:rPr>
        <w:t>.</w:t>
      </w:r>
      <w:r w:rsidRPr="00166361">
        <w:rPr>
          <w:rFonts w:ascii="NimbusRomNo9L" w:eastAsia="Times New Roman" w:hAnsi="NimbusRomNo9L" w:cs="Times New Roman"/>
          <w:spacing w:val="-10"/>
          <w:lang w:val="en-US"/>
        </w:rPr>
        <w:t xml:space="preserve"> </w:t>
      </w:r>
      <w:r w:rsidRPr="00166361">
        <w:rPr>
          <w:rFonts w:ascii="NimbusRomNo9L" w:eastAsia="Times New Roman" w:hAnsi="NimbusRomNo9L" w:cs="Times New Roman"/>
          <w:i/>
          <w:iCs/>
          <w:spacing w:val="-10"/>
          <w:lang w:val="en-US"/>
        </w:rPr>
        <w:t xml:space="preserve">Vie </w:t>
      </w:r>
      <w:proofErr w:type="spellStart"/>
      <w:r w:rsidRPr="00166361">
        <w:rPr>
          <w:rFonts w:ascii="NimbusRomNo9L" w:eastAsia="Times New Roman" w:hAnsi="NimbusRomNo9L" w:cs="Times New Roman"/>
          <w:i/>
          <w:iCs/>
          <w:spacing w:val="-10"/>
          <w:lang w:val="en-US"/>
        </w:rPr>
        <w:t>sociale</w:t>
      </w:r>
      <w:proofErr w:type="spellEnd"/>
      <w:r w:rsidRPr="00166361">
        <w:rPr>
          <w:rFonts w:ascii="NimbusRomNo9L" w:eastAsia="Times New Roman" w:hAnsi="NimbusRomNo9L" w:cs="Times New Roman"/>
          <w:spacing w:val="-10"/>
          <w:lang w:val="en-US"/>
        </w:rPr>
        <w:t xml:space="preserve">, 2: 145-150. </w:t>
      </w:r>
    </w:p>
    <w:p w14:paraId="49D6B907" w14:textId="77777777"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166361">
        <w:rPr>
          <w:rFonts w:ascii="NimbusRomNo9L" w:eastAsia="Times New Roman" w:hAnsi="NimbusRomNo9L" w:cs="Times New Roman"/>
          <w:spacing w:val="-10"/>
          <w:lang w:val="en-US"/>
        </w:rPr>
        <w:t xml:space="preserve">Brickman, L. 2011. </w:t>
      </w:r>
      <w:r w:rsidRPr="00166361">
        <w:rPr>
          <w:rFonts w:ascii="NimbusRomNo9L" w:eastAsia="Times New Roman" w:hAnsi="NimbusRomNo9L" w:cs="Times New Roman"/>
          <w:i/>
          <w:iCs/>
          <w:spacing w:val="-10"/>
          <w:lang w:val="en-US"/>
        </w:rPr>
        <w:t>Lawyer Barons: What Their Contingency Fees Really Cost America</w:t>
      </w:r>
      <w:r w:rsidRPr="00166361">
        <w:rPr>
          <w:rFonts w:ascii="NimbusRomNo9L" w:eastAsia="Times New Roman" w:hAnsi="NimbusRomNo9L" w:cs="Times New Roman"/>
          <w:spacing w:val="-10"/>
          <w:lang w:val="en-US"/>
        </w:rPr>
        <w:t xml:space="preserve">. Cambridge: Cambridge University Press. </w:t>
      </w:r>
    </w:p>
    <w:p w14:paraId="4D8521D3" w14:textId="13EE5C27"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proofErr w:type="spellStart"/>
      <w:r w:rsidRPr="00EE38F6">
        <w:rPr>
          <w:rFonts w:ascii="NimbusRomNo9L" w:eastAsia="Times New Roman" w:hAnsi="NimbusRomNo9L" w:cs="Times New Roman"/>
          <w:spacing w:val="-10"/>
          <w:lang w:val="it-IT"/>
        </w:rPr>
        <w:t>Buonanno</w:t>
      </w:r>
      <w:proofErr w:type="spellEnd"/>
      <w:r w:rsidRPr="00EE38F6">
        <w:rPr>
          <w:rFonts w:ascii="NimbusRomNo9L" w:eastAsia="Times New Roman" w:hAnsi="NimbusRomNo9L" w:cs="Times New Roman"/>
          <w:spacing w:val="-10"/>
          <w:lang w:val="it-IT"/>
        </w:rPr>
        <w:t xml:space="preserve">, P. and M.M. </w:t>
      </w:r>
      <w:proofErr w:type="spellStart"/>
      <w:r w:rsidRPr="00EE38F6">
        <w:rPr>
          <w:rFonts w:ascii="NimbusRomNo9L" w:eastAsia="Times New Roman" w:hAnsi="NimbusRomNo9L" w:cs="Times New Roman"/>
          <w:spacing w:val="-10"/>
          <w:lang w:val="it-IT"/>
        </w:rPr>
        <w:t>Galizzi</w:t>
      </w:r>
      <w:proofErr w:type="spellEnd"/>
      <w:r w:rsidRPr="00EE38F6">
        <w:rPr>
          <w:rFonts w:ascii="NimbusRomNo9L" w:eastAsia="Times New Roman" w:hAnsi="NimbusRomNo9L" w:cs="Times New Roman"/>
          <w:spacing w:val="-10"/>
          <w:lang w:val="it-IT"/>
        </w:rPr>
        <w:t xml:space="preserve">. </w:t>
      </w:r>
      <w:r w:rsidRPr="00166361">
        <w:rPr>
          <w:rFonts w:ascii="NimbusRomNo9L" w:eastAsia="Times New Roman" w:hAnsi="NimbusRomNo9L" w:cs="Times New Roman"/>
          <w:spacing w:val="-10"/>
          <w:lang w:val="en-US"/>
        </w:rPr>
        <w:t xml:space="preserve">2012. </w:t>
      </w:r>
      <w:proofErr w:type="spellStart"/>
      <w:r w:rsidRPr="00166361">
        <w:rPr>
          <w:rFonts w:ascii="NimbusRomNo9L" w:eastAsia="Times New Roman" w:hAnsi="NimbusRomNo9L" w:cs="Times New Roman"/>
          <w:spacing w:val="-10"/>
          <w:lang w:val="en-US"/>
        </w:rPr>
        <w:t>Advocatus</w:t>
      </w:r>
      <w:proofErr w:type="spellEnd"/>
      <w:r w:rsidRPr="00166361">
        <w:rPr>
          <w:rFonts w:ascii="NimbusRomNo9L" w:eastAsia="Times New Roman" w:hAnsi="NimbusRomNo9L" w:cs="Times New Roman"/>
          <w:spacing w:val="-10"/>
          <w:lang w:val="en-US"/>
        </w:rPr>
        <w:t xml:space="preserve">, et non </w:t>
      </w:r>
      <w:proofErr w:type="spellStart"/>
      <w:r w:rsidRPr="00166361">
        <w:rPr>
          <w:rFonts w:ascii="NimbusRomNo9L" w:eastAsia="Times New Roman" w:hAnsi="NimbusRomNo9L" w:cs="Times New Roman"/>
          <w:spacing w:val="-10"/>
          <w:lang w:val="en-US"/>
        </w:rPr>
        <w:t>latro</w:t>
      </w:r>
      <w:proofErr w:type="spellEnd"/>
      <w:r w:rsidRPr="00166361">
        <w:rPr>
          <w:rFonts w:ascii="NimbusRomNo9L" w:eastAsia="Times New Roman" w:hAnsi="NimbusRomNo9L" w:cs="Times New Roman"/>
          <w:spacing w:val="-10"/>
          <w:lang w:val="en-US"/>
        </w:rPr>
        <w:t>? Testing the Supplier- Induced-Demand Hypothesis for Italian Courts of Justice</w:t>
      </w:r>
      <w:r w:rsidR="00221787" w:rsidRPr="00166361">
        <w:rPr>
          <w:rFonts w:ascii="NimbusRomNo9L" w:eastAsia="Times New Roman" w:hAnsi="NimbusRomNo9L" w:cs="Times New Roman"/>
          <w:spacing w:val="-10"/>
          <w:lang w:val="en-US"/>
        </w:rPr>
        <w:t>.</w:t>
      </w:r>
      <w:r w:rsidRPr="00166361">
        <w:rPr>
          <w:rFonts w:ascii="NimbusRomNo9L" w:eastAsia="Times New Roman" w:hAnsi="NimbusRomNo9L" w:cs="Times New Roman"/>
          <w:spacing w:val="-10"/>
          <w:lang w:val="en-US"/>
        </w:rPr>
        <w:t xml:space="preserve"> </w:t>
      </w:r>
      <w:r w:rsidRPr="00166361">
        <w:rPr>
          <w:rFonts w:ascii="NimbusRomNo9L" w:eastAsia="Times New Roman" w:hAnsi="NimbusRomNo9L" w:cs="Times New Roman"/>
          <w:i/>
          <w:iCs/>
          <w:spacing w:val="-10"/>
          <w:lang w:val="en-US"/>
        </w:rPr>
        <w:t>Review of Law &amp; Economics</w:t>
      </w:r>
      <w:r w:rsidRPr="00166361">
        <w:rPr>
          <w:rFonts w:ascii="NimbusRomNo9L" w:eastAsia="Times New Roman" w:hAnsi="NimbusRomNo9L" w:cs="Times New Roman"/>
          <w:spacing w:val="-10"/>
          <w:lang w:val="en-US"/>
        </w:rPr>
        <w:t xml:space="preserve">, 10(3): 285-322. </w:t>
      </w:r>
    </w:p>
    <w:p w14:paraId="076F8528" w14:textId="25530106"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166361">
        <w:rPr>
          <w:rFonts w:ascii="NimbusRomNo9L" w:eastAsia="Times New Roman" w:hAnsi="NimbusRomNo9L" w:cs="Times New Roman"/>
          <w:spacing w:val="-10"/>
          <w:lang w:val="en-US"/>
        </w:rPr>
        <w:t xml:space="preserve">Bun, M. and M. De </w:t>
      </w:r>
      <w:proofErr w:type="spellStart"/>
      <w:r w:rsidRPr="00166361">
        <w:rPr>
          <w:rFonts w:ascii="NimbusRomNo9L" w:eastAsia="Times New Roman" w:hAnsi="NimbusRomNo9L" w:cs="Times New Roman"/>
          <w:spacing w:val="-10"/>
          <w:lang w:val="en-US"/>
        </w:rPr>
        <w:t>Haan</w:t>
      </w:r>
      <w:proofErr w:type="spellEnd"/>
      <w:r w:rsidRPr="00166361">
        <w:rPr>
          <w:rFonts w:ascii="NimbusRomNo9L" w:eastAsia="Times New Roman" w:hAnsi="NimbusRomNo9L" w:cs="Times New Roman"/>
          <w:spacing w:val="-10"/>
          <w:lang w:val="en-US"/>
        </w:rPr>
        <w:t xml:space="preserve">. 2010. Weak instruments and the first stage F-statistic in IV models with a </w:t>
      </w:r>
      <w:proofErr w:type="spellStart"/>
      <w:r w:rsidRPr="00166361">
        <w:rPr>
          <w:rFonts w:ascii="NimbusRomNo9L" w:eastAsia="Times New Roman" w:hAnsi="NimbusRomNo9L" w:cs="Times New Roman"/>
          <w:spacing w:val="-10"/>
          <w:lang w:val="en-US"/>
        </w:rPr>
        <w:t>nonscalar</w:t>
      </w:r>
      <w:proofErr w:type="spellEnd"/>
      <w:r w:rsidRPr="00166361">
        <w:rPr>
          <w:rFonts w:ascii="NimbusRomNo9L" w:eastAsia="Times New Roman" w:hAnsi="NimbusRomNo9L" w:cs="Times New Roman"/>
          <w:spacing w:val="-10"/>
          <w:lang w:val="en-US"/>
        </w:rPr>
        <w:t xml:space="preserve"> error covariance structure. </w:t>
      </w:r>
      <w:proofErr w:type="spellStart"/>
      <w:r w:rsidRPr="00166361">
        <w:rPr>
          <w:rFonts w:ascii="NimbusRomNo9L" w:eastAsia="Times New Roman" w:hAnsi="NimbusRomNo9L" w:cs="Times New Roman"/>
          <w:i/>
          <w:iCs/>
          <w:spacing w:val="-10"/>
          <w:lang w:val="en-US"/>
        </w:rPr>
        <w:t>Uva</w:t>
      </w:r>
      <w:proofErr w:type="spellEnd"/>
      <w:r w:rsidRPr="00166361">
        <w:rPr>
          <w:rFonts w:ascii="NimbusRomNo9L" w:eastAsia="Times New Roman" w:hAnsi="NimbusRomNo9L" w:cs="Times New Roman"/>
          <w:i/>
          <w:iCs/>
          <w:spacing w:val="-10"/>
          <w:lang w:val="en-US"/>
        </w:rPr>
        <w:t xml:space="preserve"> Economics Discussion Paper No. 02</w:t>
      </w:r>
      <w:r w:rsidRPr="00166361">
        <w:rPr>
          <w:rFonts w:ascii="NimbusRomNo9L" w:eastAsia="Times New Roman" w:hAnsi="NimbusRomNo9L" w:cs="Times New Roman"/>
          <w:spacing w:val="-10"/>
          <w:lang w:val="en-US"/>
        </w:rPr>
        <w:t xml:space="preserve">. </w:t>
      </w:r>
    </w:p>
    <w:p w14:paraId="3EEB1B4F" w14:textId="538883A2" w:rsidR="00D145B4" w:rsidRPr="002A1C39" w:rsidRDefault="00D145B4" w:rsidP="00D145B4">
      <w:pPr>
        <w:pStyle w:val="ListParagraph"/>
        <w:numPr>
          <w:ilvl w:val="0"/>
          <w:numId w:val="4"/>
        </w:numPr>
        <w:ind w:left="284" w:hanging="283"/>
        <w:jc w:val="both"/>
        <w:rPr>
          <w:rFonts w:ascii="NimbusRomNo9L" w:hAnsi="NimbusRomNo9L"/>
          <w:spacing w:val="-10"/>
          <w:lang w:val="en-US"/>
        </w:rPr>
      </w:pPr>
      <w:r w:rsidRPr="00D145B4">
        <w:rPr>
          <w:rFonts w:ascii="NimbusRomNo9L" w:hAnsi="NimbusRomNo9L"/>
          <w:spacing w:val="-10"/>
          <w:lang w:val="en-US"/>
        </w:rPr>
        <w:t xml:space="preserve">Burke, T. F. (2002). </w:t>
      </w:r>
      <w:r w:rsidRPr="00D145B4">
        <w:rPr>
          <w:rFonts w:ascii="NimbusRomNo9L" w:hAnsi="NimbusRomNo9L"/>
          <w:i/>
          <w:iCs/>
          <w:spacing w:val="-10"/>
          <w:lang w:val="en-US"/>
        </w:rPr>
        <w:t>Lawyers, lawsuits, and legal rights: The battle over litigation in American society</w:t>
      </w:r>
      <w:r w:rsidRPr="00D145B4">
        <w:rPr>
          <w:rFonts w:ascii="NimbusRomNo9L" w:hAnsi="NimbusRomNo9L"/>
          <w:spacing w:val="-10"/>
          <w:lang w:val="en-US"/>
        </w:rPr>
        <w:t xml:space="preserve">. </w:t>
      </w:r>
      <w:r w:rsidRPr="002A1C39">
        <w:rPr>
          <w:rFonts w:ascii="NimbusRomNo9L" w:hAnsi="NimbusRomNo9L"/>
          <w:spacing w:val="-10"/>
          <w:lang w:val="en-US"/>
        </w:rPr>
        <w:t>University of California Press.</w:t>
      </w:r>
    </w:p>
    <w:p w14:paraId="5C53F96A" w14:textId="61F9A688" w:rsidR="00800903" w:rsidRPr="00166361" w:rsidRDefault="00B13BBD" w:rsidP="00D145B4">
      <w:pPr>
        <w:pStyle w:val="ListParagraph"/>
        <w:numPr>
          <w:ilvl w:val="0"/>
          <w:numId w:val="4"/>
        </w:numPr>
        <w:ind w:left="284" w:hanging="283"/>
        <w:jc w:val="both"/>
        <w:rPr>
          <w:rFonts w:ascii="Times New Roman" w:eastAsia="Times New Roman" w:hAnsi="Times New Roman" w:cs="Times New Roman"/>
          <w:spacing w:val="-10"/>
          <w:lang w:val="en-US"/>
        </w:rPr>
      </w:pPr>
      <w:proofErr w:type="spellStart"/>
      <w:r w:rsidRPr="00B13BBD">
        <w:rPr>
          <w:rFonts w:ascii="NimbusRomNo9L" w:eastAsia="Times New Roman" w:hAnsi="NimbusRomNo9L" w:cs="Times New Roman"/>
          <w:spacing w:val="-10"/>
          <w:lang w:val="it-IT"/>
        </w:rPr>
        <w:t>B</w:t>
      </w:r>
      <w:r w:rsidR="00800903" w:rsidRPr="00EE38F6">
        <w:rPr>
          <w:rFonts w:ascii="NimbusRomNo9L" w:eastAsia="Times New Roman" w:hAnsi="NimbusRomNo9L" w:cs="Times New Roman"/>
          <w:spacing w:val="-10"/>
          <w:lang w:val="it-IT"/>
        </w:rPr>
        <w:t>uscaglia</w:t>
      </w:r>
      <w:proofErr w:type="spellEnd"/>
      <w:r w:rsidR="00800903" w:rsidRPr="00EE38F6">
        <w:rPr>
          <w:rFonts w:ascii="NimbusRomNo9L" w:eastAsia="Times New Roman" w:hAnsi="NimbusRomNo9L" w:cs="Times New Roman"/>
          <w:spacing w:val="-10"/>
          <w:lang w:val="it-IT"/>
        </w:rPr>
        <w:t xml:space="preserve">, E. and T. </w:t>
      </w:r>
      <w:proofErr w:type="spellStart"/>
      <w:r w:rsidR="00800903" w:rsidRPr="00EE38F6">
        <w:rPr>
          <w:rFonts w:ascii="NimbusRomNo9L" w:eastAsia="Times New Roman" w:hAnsi="NimbusRomNo9L" w:cs="Times New Roman"/>
          <w:spacing w:val="-10"/>
          <w:lang w:val="it-IT"/>
        </w:rPr>
        <w:t>Ulen</w:t>
      </w:r>
      <w:proofErr w:type="spellEnd"/>
      <w:r w:rsidR="00800903" w:rsidRPr="00EE38F6">
        <w:rPr>
          <w:rFonts w:ascii="NimbusRomNo9L" w:eastAsia="Times New Roman" w:hAnsi="NimbusRomNo9L" w:cs="Times New Roman"/>
          <w:spacing w:val="-10"/>
          <w:lang w:val="it-IT"/>
        </w:rPr>
        <w:t xml:space="preserve">. 1997. </w:t>
      </w:r>
      <w:r w:rsidR="00800903" w:rsidRPr="00166361">
        <w:rPr>
          <w:rFonts w:ascii="NimbusRomNo9L" w:eastAsia="Times New Roman" w:hAnsi="NimbusRomNo9L" w:cs="Times New Roman"/>
          <w:spacing w:val="-10"/>
          <w:lang w:val="en-US"/>
        </w:rPr>
        <w:t xml:space="preserve">A quantitative assessment of the efficiency of the judicial sector in Latin America. </w:t>
      </w:r>
      <w:r w:rsidR="00800903" w:rsidRPr="00166361">
        <w:rPr>
          <w:rFonts w:ascii="NimbusRomNo9L" w:eastAsia="Times New Roman" w:hAnsi="NimbusRomNo9L" w:cs="Times New Roman"/>
          <w:i/>
          <w:iCs/>
          <w:spacing w:val="-10"/>
          <w:lang w:val="en-US"/>
        </w:rPr>
        <w:t>International Review of Law and Economics</w:t>
      </w:r>
      <w:r w:rsidR="00800903" w:rsidRPr="00166361">
        <w:rPr>
          <w:rFonts w:ascii="NimbusRomNo9L" w:eastAsia="Times New Roman" w:hAnsi="NimbusRomNo9L" w:cs="Times New Roman"/>
          <w:spacing w:val="-10"/>
          <w:lang w:val="en-US"/>
        </w:rPr>
        <w:t xml:space="preserve">, 17(2): 275–291. </w:t>
      </w:r>
    </w:p>
    <w:p w14:paraId="2C49DA0F" w14:textId="77777777" w:rsidR="006C336B" w:rsidRPr="006C336B" w:rsidRDefault="006C336B" w:rsidP="00800903">
      <w:pPr>
        <w:pStyle w:val="ListParagraph"/>
        <w:numPr>
          <w:ilvl w:val="0"/>
          <w:numId w:val="4"/>
        </w:numPr>
        <w:ind w:left="284" w:hanging="283"/>
        <w:jc w:val="both"/>
        <w:rPr>
          <w:rFonts w:ascii="NimbusRomNo9L" w:eastAsia="Times New Roman" w:hAnsi="NimbusRomNo9L" w:cs="Times New Roman"/>
          <w:spacing w:val="-10"/>
          <w:lang w:val="it-IT"/>
        </w:rPr>
      </w:pPr>
      <w:r w:rsidRPr="0080288D">
        <w:rPr>
          <w:rFonts w:ascii="NimbusRomNo9L" w:eastAsia="Times New Roman" w:hAnsi="NimbusRomNo9L" w:cs="Times New Roman"/>
          <w:spacing w:val="-10"/>
          <w:lang w:val="en-US"/>
        </w:rPr>
        <w:lastRenderedPageBreak/>
        <w:t xml:space="preserve">Calhoun, J. B. (1962). Population density and social pathology. </w:t>
      </w:r>
      <w:proofErr w:type="spellStart"/>
      <w:r w:rsidRPr="006C336B">
        <w:rPr>
          <w:rFonts w:ascii="NimbusRomNo9L" w:eastAsia="Times New Roman" w:hAnsi="NimbusRomNo9L" w:cs="Times New Roman"/>
          <w:i/>
          <w:spacing w:val="-10"/>
          <w:lang w:val="it-IT"/>
        </w:rPr>
        <w:t>Scientific</w:t>
      </w:r>
      <w:proofErr w:type="spellEnd"/>
      <w:r w:rsidRPr="006C336B">
        <w:rPr>
          <w:rFonts w:ascii="NimbusRomNo9L" w:eastAsia="Times New Roman" w:hAnsi="NimbusRomNo9L" w:cs="Times New Roman"/>
          <w:i/>
          <w:spacing w:val="-10"/>
          <w:lang w:val="it-IT"/>
        </w:rPr>
        <w:t xml:space="preserve"> American</w:t>
      </w:r>
      <w:r w:rsidRPr="006C336B">
        <w:rPr>
          <w:rFonts w:ascii="NimbusRomNo9L" w:eastAsia="Times New Roman" w:hAnsi="NimbusRomNo9L" w:cs="Times New Roman"/>
          <w:spacing w:val="-10"/>
          <w:lang w:val="it-IT"/>
        </w:rPr>
        <w:t xml:space="preserve">, 206(2), 139-149. </w:t>
      </w:r>
    </w:p>
    <w:p w14:paraId="006A9A99" w14:textId="6791AA63" w:rsidR="00C333D0" w:rsidRPr="00C333D0" w:rsidRDefault="00C333D0" w:rsidP="00C333D0">
      <w:pPr>
        <w:pStyle w:val="ListParagraph"/>
        <w:numPr>
          <w:ilvl w:val="0"/>
          <w:numId w:val="4"/>
        </w:numPr>
        <w:ind w:left="284" w:hanging="283"/>
        <w:jc w:val="both"/>
        <w:rPr>
          <w:rFonts w:ascii="NimbusRomNo9L" w:hAnsi="NimbusRomNo9L"/>
          <w:spacing w:val="-10"/>
          <w:lang w:val="fr-FR"/>
        </w:rPr>
      </w:pPr>
      <w:r w:rsidRPr="00C333D0">
        <w:rPr>
          <w:rFonts w:ascii="NimbusRomNo9L" w:hAnsi="NimbusRomNo9L"/>
          <w:spacing w:val="-10"/>
          <w:lang w:val="en-US"/>
        </w:rPr>
        <w:t xml:space="preserve">Cantrell, D. J. (2001). Justice for interests of the poor: The problem of navigating the system without counsel. </w:t>
      </w:r>
      <w:proofErr w:type="spellStart"/>
      <w:r w:rsidRPr="00C333D0">
        <w:rPr>
          <w:rFonts w:ascii="NimbusRomNo9L" w:hAnsi="NimbusRomNo9L"/>
          <w:i/>
          <w:iCs/>
          <w:spacing w:val="-10"/>
          <w:lang w:val="fr-FR"/>
        </w:rPr>
        <w:t>Fordham</w:t>
      </w:r>
      <w:proofErr w:type="spellEnd"/>
      <w:r w:rsidRPr="00C333D0">
        <w:rPr>
          <w:rFonts w:ascii="NimbusRomNo9L" w:hAnsi="NimbusRomNo9L"/>
          <w:i/>
          <w:iCs/>
          <w:spacing w:val="-10"/>
          <w:lang w:val="fr-FR"/>
        </w:rPr>
        <w:t xml:space="preserve"> L</w:t>
      </w:r>
      <w:r>
        <w:rPr>
          <w:rFonts w:ascii="NimbusRomNo9L" w:hAnsi="NimbusRomNo9L"/>
          <w:i/>
          <w:iCs/>
          <w:spacing w:val="-10"/>
          <w:lang w:val="fr-FR"/>
        </w:rPr>
        <w:t xml:space="preserve">aw </w:t>
      </w:r>
      <w:proofErr w:type="spellStart"/>
      <w:r w:rsidRPr="00C333D0">
        <w:rPr>
          <w:rFonts w:ascii="NimbusRomNo9L" w:hAnsi="NimbusRomNo9L"/>
          <w:i/>
          <w:iCs/>
          <w:spacing w:val="-10"/>
          <w:lang w:val="fr-FR"/>
        </w:rPr>
        <w:t>Rev</w:t>
      </w:r>
      <w:r>
        <w:rPr>
          <w:rFonts w:ascii="NimbusRomNo9L" w:hAnsi="NimbusRomNo9L"/>
          <w:i/>
          <w:iCs/>
          <w:spacing w:val="-10"/>
          <w:lang w:val="fr-FR"/>
        </w:rPr>
        <w:t>iew</w:t>
      </w:r>
      <w:proofErr w:type="spellEnd"/>
      <w:r w:rsidRPr="00C333D0">
        <w:rPr>
          <w:rFonts w:ascii="NimbusRomNo9L" w:hAnsi="NimbusRomNo9L"/>
          <w:spacing w:val="-10"/>
          <w:lang w:val="fr-FR"/>
        </w:rPr>
        <w:t xml:space="preserve">, </w:t>
      </w:r>
      <w:r w:rsidRPr="00C333D0">
        <w:rPr>
          <w:rFonts w:ascii="NimbusRomNo9L" w:hAnsi="NimbusRomNo9L"/>
          <w:i/>
          <w:iCs/>
          <w:spacing w:val="-10"/>
          <w:lang w:val="fr-FR"/>
        </w:rPr>
        <w:t>70</w:t>
      </w:r>
      <w:r w:rsidRPr="00C333D0">
        <w:rPr>
          <w:rFonts w:ascii="NimbusRomNo9L" w:hAnsi="NimbusRomNo9L"/>
          <w:spacing w:val="-10"/>
          <w:lang w:val="fr-FR"/>
        </w:rPr>
        <w:t>, 1573.</w:t>
      </w:r>
    </w:p>
    <w:p w14:paraId="1C9445F4" w14:textId="39705947" w:rsidR="00800903" w:rsidRPr="006C336B" w:rsidRDefault="00800903" w:rsidP="00C333D0">
      <w:pPr>
        <w:pStyle w:val="ListParagraph"/>
        <w:numPr>
          <w:ilvl w:val="0"/>
          <w:numId w:val="4"/>
        </w:numPr>
        <w:ind w:left="284" w:hanging="283"/>
        <w:jc w:val="both"/>
        <w:rPr>
          <w:rFonts w:ascii="NimbusRomNo9L" w:eastAsia="Times New Roman" w:hAnsi="NimbusRomNo9L" w:cs="Times New Roman"/>
          <w:spacing w:val="-10"/>
          <w:lang w:val="it-IT"/>
        </w:rPr>
      </w:pPr>
      <w:r w:rsidRPr="0080288D">
        <w:rPr>
          <w:rFonts w:ascii="NimbusRomNo9L" w:eastAsia="Times New Roman" w:hAnsi="NimbusRomNo9L" w:cs="Times New Roman"/>
          <w:spacing w:val="-10"/>
          <w:lang w:val="en-US"/>
        </w:rPr>
        <w:t xml:space="preserve">Cao, J. 2008. Is Competition Always </w:t>
      </w:r>
      <w:proofErr w:type="gramStart"/>
      <w:r w:rsidRPr="0080288D">
        <w:rPr>
          <w:rFonts w:ascii="NimbusRomNo9L" w:eastAsia="Times New Roman" w:hAnsi="NimbusRomNo9L" w:cs="Times New Roman"/>
          <w:spacing w:val="-10"/>
          <w:lang w:val="en-US"/>
        </w:rPr>
        <w:t>Effective?:</w:t>
      </w:r>
      <w:proofErr w:type="gramEnd"/>
      <w:r w:rsidRPr="0080288D">
        <w:rPr>
          <w:rFonts w:ascii="NimbusRomNo9L" w:eastAsia="Times New Roman" w:hAnsi="NimbusRomNo9L" w:cs="Times New Roman"/>
          <w:spacing w:val="-10"/>
          <w:lang w:val="en-US"/>
        </w:rPr>
        <w:t xml:space="preserve"> The Theoretical Basis of Excessive Competition. </w:t>
      </w:r>
      <w:proofErr w:type="spellStart"/>
      <w:r w:rsidRPr="006C336B">
        <w:rPr>
          <w:rFonts w:ascii="NimbusRomNo9L" w:eastAsia="Times New Roman" w:hAnsi="NimbusRomNo9L" w:cs="Times New Roman"/>
          <w:i/>
          <w:spacing w:val="-10"/>
          <w:lang w:val="it-IT"/>
        </w:rPr>
        <w:t>Chinese</w:t>
      </w:r>
      <w:proofErr w:type="spellEnd"/>
      <w:r w:rsidRPr="006C336B">
        <w:rPr>
          <w:rFonts w:ascii="NimbusRomNo9L" w:eastAsia="Times New Roman" w:hAnsi="NimbusRomNo9L" w:cs="Times New Roman"/>
          <w:i/>
          <w:spacing w:val="-10"/>
          <w:lang w:val="it-IT"/>
        </w:rPr>
        <w:t xml:space="preserve"> Economy</w:t>
      </w:r>
      <w:r w:rsidRPr="006C336B">
        <w:rPr>
          <w:rFonts w:ascii="NimbusRomNo9L" w:eastAsia="Times New Roman" w:hAnsi="NimbusRomNo9L" w:cs="Times New Roman"/>
          <w:spacing w:val="-10"/>
          <w:lang w:val="it-IT"/>
        </w:rPr>
        <w:t>, 41(4), 77-104.</w:t>
      </w:r>
    </w:p>
    <w:p w14:paraId="7F4C7170" w14:textId="18BDDA5E"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proofErr w:type="spellStart"/>
      <w:r w:rsidRPr="00EE38F6">
        <w:rPr>
          <w:rFonts w:ascii="NimbusRomNo9L" w:eastAsia="Times New Roman" w:hAnsi="NimbusRomNo9L" w:cs="Times New Roman"/>
          <w:spacing w:val="-10"/>
          <w:lang w:val="it-IT"/>
        </w:rPr>
        <w:t>Carmignani</w:t>
      </w:r>
      <w:proofErr w:type="spellEnd"/>
      <w:r w:rsidRPr="00EE38F6">
        <w:rPr>
          <w:rFonts w:ascii="NimbusRomNo9L" w:eastAsia="Times New Roman" w:hAnsi="NimbusRomNo9L" w:cs="Times New Roman"/>
          <w:spacing w:val="-10"/>
          <w:lang w:val="it-IT"/>
        </w:rPr>
        <w:t xml:space="preserve">, A., and S. Giacomelli. </w:t>
      </w:r>
      <w:r w:rsidRPr="00166361">
        <w:rPr>
          <w:rFonts w:ascii="NimbusRomNo9L" w:eastAsia="Times New Roman" w:hAnsi="NimbusRomNo9L" w:cs="Times New Roman"/>
          <w:spacing w:val="-10"/>
          <w:lang w:val="en-US"/>
        </w:rPr>
        <w:t xml:space="preserve">2009. Italian civil justice: regional disparities. </w:t>
      </w:r>
      <w:r w:rsidRPr="00166361">
        <w:rPr>
          <w:rFonts w:ascii="NimbusRomNo9L" w:eastAsia="Times New Roman" w:hAnsi="NimbusRomNo9L" w:cs="Times New Roman"/>
          <w:i/>
          <w:iCs/>
          <w:spacing w:val="-10"/>
          <w:lang w:val="en-US"/>
        </w:rPr>
        <w:t>Bank of Italy Occasional Paper</w:t>
      </w:r>
      <w:r w:rsidRPr="00166361">
        <w:rPr>
          <w:rFonts w:ascii="NimbusRomNo9L" w:eastAsia="Times New Roman" w:hAnsi="NimbusRomNo9L" w:cs="Times New Roman"/>
          <w:spacing w:val="-10"/>
          <w:lang w:val="en-US"/>
        </w:rPr>
        <w:t xml:space="preserve">, n. 40. </w:t>
      </w:r>
    </w:p>
    <w:p w14:paraId="32A8C0B0" w14:textId="466EF721"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proofErr w:type="spellStart"/>
      <w:r w:rsidRPr="00166361">
        <w:rPr>
          <w:rFonts w:ascii="NimbusRomNo9L" w:eastAsia="Times New Roman" w:hAnsi="NimbusRomNo9L" w:cs="Times New Roman"/>
          <w:spacing w:val="-10"/>
          <w:lang w:val="en-US"/>
        </w:rPr>
        <w:t>Chavent-Leclère</w:t>
      </w:r>
      <w:proofErr w:type="spellEnd"/>
      <w:r w:rsidRPr="00166361">
        <w:rPr>
          <w:rFonts w:ascii="NimbusRomNo9L" w:eastAsia="Times New Roman" w:hAnsi="NimbusRomNo9L" w:cs="Times New Roman"/>
          <w:spacing w:val="-10"/>
          <w:lang w:val="en-US"/>
        </w:rPr>
        <w:t xml:space="preserve">, A.S., Y. </w:t>
      </w:r>
      <w:proofErr w:type="spellStart"/>
      <w:r w:rsidRPr="00166361">
        <w:rPr>
          <w:rFonts w:ascii="NimbusRomNo9L" w:eastAsia="Times New Roman" w:hAnsi="NimbusRomNo9L" w:cs="Times New Roman"/>
          <w:spacing w:val="-10"/>
          <w:lang w:val="en-US"/>
        </w:rPr>
        <w:t>Marique</w:t>
      </w:r>
      <w:proofErr w:type="spellEnd"/>
      <w:r w:rsidRPr="00166361">
        <w:rPr>
          <w:rFonts w:ascii="NimbusRomNo9L" w:eastAsia="Times New Roman" w:hAnsi="NimbusRomNo9L" w:cs="Times New Roman"/>
          <w:spacing w:val="-10"/>
          <w:lang w:val="en-US"/>
        </w:rPr>
        <w:t xml:space="preserve"> and M. </w:t>
      </w:r>
      <w:proofErr w:type="spellStart"/>
      <w:r w:rsidRPr="00166361">
        <w:rPr>
          <w:rFonts w:ascii="NimbusRomNo9L" w:eastAsia="Times New Roman" w:hAnsi="NimbusRomNo9L" w:cs="Times New Roman"/>
          <w:spacing w:val="-10"/>
          <w:lang w:val="en-US"/>
        </w:rPr>
        <w:t>Roccati</w:t>
      </w:r>
      <w:proofErr w:type="spellEnd"/>
      <w:r w:rsidRPr="00166361">
        <w:rPr>
          <w:rFonts w:ascii="NimbusRomNo9L" w:eastAsia="Times New Roman" w:hAnsi="NimbusRomNo9L" w:cs="Times New Roman"/>
          <w:spacing w:val="-10"/>
          <w:lang w:val="en-US"/>
        </w:rPr>
        <w:t xml:space="preserve">. 2020. Access </w:t>
      </w:r>
      <w:proofErr w:type="gramStart"/>
      <w:r w:rsidRPr="00166361">
        <w:rPr>
          <w:rFonts w:ascii="NimbusRomNo9L" w:eastAsia="Times New Roman" w:hAnsi="NimbusRomNo9L" w:cs="Times New Roman"/>
          <w:spacing w:val="-10"/>
          <w:lang w:val="en-US"/>
        </w:rPr>
        <w:t>To</w:t>
      </w:r>
      <w:proofErr w:type="gramEnd"/>
      <w:r w:rsidRPr="00166361">
        <w:rPr>
          <w:rFonts w:ascii="NimbusRomNo9L" w:eastAsia="Times New Roman" w:hAnsi="NimbusRomNo9L" w:cs="Times New Roman"/>
          <w:spacing w:val="-10"/>
          <w:lang w:val="en-US"/>
        </w:rPr>
        <w:t xml:space="preserve"> Justice In France. In </w:t>
      </w:r>
      <w:r w:rsidRPr="00166361">
        <w:rPr>
          <w:rFonts w:ascii="NimbusRomNo9L" w:eastAsia="Times New Roman" w:hAnsi="NimbusRomNo9L" w:cs="Times New Roman"/>
          <w:i/>
          <w:iCs/>
          <w:spacing w:val="-10"/>
          <w:lang w:val="en-US"/>
        </w:rPr>
        <w:t xml:space="preserve">Access to Justice. Global Access to Justice Project </w:t>
      </w:r>
      <w:r w:rsidRPr="00166361">
        <w:rPr>
          <w:rFonts w:ascii="NimbusRomNo9L" w:eastAsia="Times New Roman" w:hAnsi="NimbusRomNo9L" w:cs="Times New Roman"/>
          <w:spacing w:val="-10"/>
          <w:lang w:val="en-US"/>
        </w:rPr>
        <w:t xml:space="preserve">edited by A. Paterson; B. Garth; A. </w:t>
      </w:r>
      <w:proofErr w:type="spellStart"/>
      <w:r w:rsidRPr="00166361">
        <w:rPr>
          <w:rFonts w:ascii="NimbusRomNo9L" w:eastAsia="Times New Roman" w:hAnsi="NimbusRomNo9L" w:cs="Times New Roman"/>
          <w:spacing w:val="-10"/>
          <w:lang w:val="en-US"/>
        </w:rPr>
        <w:t>Cleber</w:t>
      </w:r>
      <w:proofErr w:type="spellEnd"/>
      <w:r w:rsidRPr="00166361">
        <w:rPr>
          <w:rFonts w:ascii="NimbusRomNo9L" w:eastAsia="Times New Roman" w:hAnsi="NimbusRomNo9L" w:cs="Times New Roman"/>
          <w:spacing w:val="-10"/>
          <w:lang w:val="en-US"/>
        </w:rPr>
        <w:t xml:space="preserve">; E. </w:t>
      </w:r>
      <w:proofErr w:type="spellStart"/>
      <w:r w:rsidRPr="00166361">
        <w:rPr>
          <w:rFonts w:ascii="NimbusRomNo9L" w:eastAsia="Times New Roman" w:hAnsi="NimbusRomNo9L" w:cs="Times New Roman"/>
          <w:spacing w:val="-10"/>
          <w:lang w:val="en-US"/>
        </w:rPr>
        <w:t>Diogo</w:t>
      </w:r>
      <w:proofErr w:type="spellEnd"/>
      <w:r w:rsidRPr="00166361">
        <w:rPr>
          <w:rFonts w:ascii="NimbusRomNo9L" w:eastAsia="Times New Roman" w:hAnsi="NimbusRomNo9L" w:cs="Times New Roman"/>
          <w:spacing w:val="-10"/>
          <w:lang w:val="en-US"/>
        </w:rPr>
        <w:t>; J. Earl Jr. Available at: https://globalaccesstojustice.com/global- overview-</w:t>
      </w:r>
      <w:proofErr w:type="spellStart"/>
      <w:r w:rsidRPr="00166361">
        <w:rPr>
          <w:rFonts w:ascii="NimbusRomNo9L" w:eastAsia="Times New Roman" w:hAnsi="NimbusRomNo9L" w:cs="Times New Roman"/>
          <w:spacing w:val="-10"/>
          <w:lang w:val="en-US"/>
        </w:rPr>
        <w:t>france</w:t>
      </w:r>
      <w:proofErr w:type="spellEnd"/>
      <w:r w:rsidRPr="00166361">
        <w:rPr>
          <w:rFonts w:ascii="NimbusRomNo9L" w:eastAsia="Times New Roman" w:hAnsi="NimbusRomNo9L" w:cs="Times New Roman"/>
          <w:spacing w:val="-10"/>
          <w:lang w:val="en-US"/>
        </w:rPr>
        <w:t>/?</w:t>
      </w:r>
      <w:proofErr w:type="spellStart"/>
      <w:r w:rsidRPr="00166361">
        <w:rPr>
          <w:rFonts w:ascii="NimbusRomNo9L" w:eastAsia="Times New Roman" w:hAnsi="NimbusRomNo9L" w:cs="Times New Roman"/>
          <w:spacing w:val="-10"/>
          <w:lang w:val="en-US"/>
        </w:rPr>
        <w:t>lang</w:t>
      </w:r>
      <w:proofErr w:type="spellEnd"/>
      <w:r w:rsidRPr="00166361">
        <w:rPr>
          <w:rFonts w:ascii="NimbusRomNo9L" w:eastAsia="Times New Roman" w:hAnsi="NimbusRomNo9L" w:cs="Times New Roman"/>
          <w:spacing w:val="-10"/>
          <w:lang w:val="en-US"/>
        </w:rPr>
        <w:t xml:space="preserve">=it. </w:t>
      </w:r>
    </w:p>
    <w:p w14:paraId="0EF4E21A" w14:textId="2A0B828F"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proofErr w:type="spellStart"/>
      <w:r w:rsidRPr="00166361">
        <w:rPr>
          <w:rFonts w:ascii="NimbusRomNo9L" w:eastAsia="Times New Roman" w:hAnsi="NimbusRomNo9L" w:cs="Times New Roman"/>
          <w:spacing w:val="-10"/>
          <w:lang w:val="en-US"/>
        </w:rPr>
        <w:t>Chernozhukov</w:t>
      </w:r>
      <w:proofErr w:type="spellEnd"/>
      <w:r w:rsidRPr="00166361">
        <w:rPr>
          <w:rFonts w:ascii="NimbusRomNo9L" w:eastAsia="Times New Roman" w:hAnsi="NimbusRomNo9L" w:cs="Times New Roman"/>
          <w:spacing w:val="-10"/>
          <w:lang w:val="en-US"/>
        </w:rPr>
        <w:t xml:space="preserve">, V. and C. Hansen. 2005. An IV Model of Quantile Treatment Effects. </w:t>
      </w:r>
      <w:proofErr w:type="spellStart"/>
      <w:r w:rsidRPr="00166361">
        <w:rPr>
          <w:rFonts w:ascii="NimbusRomNo9L" w:eastAsia="Times New Roman" w:hAnsi="NimbusRomNo9L" w:cs="Times New Roman"/>
          <w:i/>
          <w:iCs/>
          <w:spacing w:val="-10"/>
          <w:lang w:val="en-US"/>
        </w:rPr>
        <w:t>Econometrica</w:t>
      </w:r>
      <w:proofErr w:type="spellEnd"/>
      <w:r w:rsidRPr="00166361">
        <w:rPr>
          <w:rFonts w:ascii="NimbusRomNo9L" w:eastAsia="Times New Roman" w:hAnsi="NimbusRomNo9L" w:cs="Times New Roman"/>
          <w:spacing w:val="-10"/>
          <w:lang w:val="en-US"/>
        </w:rPr>
        <w:t xml:space="preserve">, 73(1): 245-261. </w:t>
      </w:r>
    </w:p>
    <w:p w14:paraId="6392C1D4" w14:textId="169C6C10"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proofErr w:type="spellStart"/>
      <w:r w:rsidRPr="00166361">
        <w:rPr>
          <w:rFonts w:ascii="NimbusRomNo9L" w:eastAsia="Times New Roman" w:hAnsi="NimbusRomNo9L" w:cs="Times New Roman"/>
          <w:spacing w:val="-10"/>
          <w:lang w:val="en-US"/>
        </w:rPr>
        <w:t>Chernozhukov</w:t>
      </w:r>
      <w:proofErr w:type="spellEnd"/>
      <w:r w:rsidRPr="00166361">
        <w:rPr>
          <w:rFonts w:ascii="NimbusRomNo9L" w:eastAsia="Times New Roman" w:hAnsi="NimbusRomNo9L" w:cs="Times New Roman"/>
          <w:spacing w:val="-10"/>
          <w:lang w:val="en-US"/>
        </w:rPr>
        <w:t xml:space="preserve">, V. and C. Hansen. 2006. Instrumental quantile regression inference for structural and treatment effect models. </w:t>
      </w:r>
      <w:r w:rsidRPr="00166361">
        <w:rPr>
          <w:rFonts w:ascii="NimbusRomNo9L" w:eastAsia="Times New Roman" w:hAnsi="NimbusRomNo9L" w:cs="Times New Roman"/>
          <w:i/>
          <w:iCs/>
          <w:spacing w:val="-10"/>
          <w:lang w:val="en-US"/>
        </w:rPr>
        <w:t>Journal of Econometrics</w:t>
      </w:r>
      <w:r w:rsidRPr="00166361">
        <w:rPr>
          <w:rFonts w:ascii="NimbusRomNo9L" w:eastAsia="Times New Roman" w:hAnsi="NimbusRomNo9L" w:cs="Times New Roman"/>
          <w:spacing w:val="-10"/>
          <w:lang w:val="en-US"/>
        </w:rPr>
        <w:t xml:space="preserve">, 132(2): 491-525. </w:t>
      </w:r>
    </w:p>
    <w:p w14:paraId="3BC01B4E" w14:textId="20BC9D7D" w:rsidR="0062712C" w:rsidRPr="0062712C" w:rsidRDefault="0062712C" w:rsidP="0062712C">
      <w:pPr>
        <w:pStyle w:val="ListParagraph"/>
        <w:numPr>
          <w:ilvl w:val="0"/>
          <w:numId w:val="4"/>
        </w:numPr>
        <w:ind w:left="284" w:hanging="283"/>
        <w:jc w:val="both"/>
        <w:rPr>
          <w:rFonts w:ascii="NimbusRomNo9L" w:hAnsi="NimbusRomNo9L"/>
          <w:spacing w:val="-10"/>
          <w:lang w:val="en-US"/>
        </w:rPr>
      </w:pPr>
      <w:r w:rsidRPr="0062712C">
        <w:rPr>
          <w:rFonts w:ascii="NimbusRomNo9L" w:hAnsi="NimbusRomNo9L"/>
          <w:spacing w:val="-10"/>
          <w:lang w:val="en-US"/>
        </w:rPr>
        <w:t xml:space="preserve">Chopra, S. (2010). Does the high unemployment rate impact plaintiffs’ win rates in employment </w:t>
      </w:r>
      <w:proofErr w:type="gramStart"/>
      <w:r w:rsidRPr="0062712C">
        <w:rPr>
          <w:rFonts w:ascii="NimbusRomNo9L" w:hAnsi="NimbusRomNo9L"/>
          <w:spacing w:val="-10"/>
          <w:lang w:val="en-US"/>
        </w:rPr>
        <w:t>cases?.</w:t>
      </w:r>
      <w:proofErr w:type="gramEnd"/>
      <w:r>
        <w:rPr>
          <w:rFonts w:ascii="NimbusRomNo9L" w:hAnsi="NimbusRomNo9L"/>
          <w:spacing w:val="-10"/>
          <w:lang w:val="en-US"/>
        </w:rPr>
        <w:t xml:space="preserve"> </w:t>
      </w:r>
      <w:r w:rsidRPr="0062712C">
        <w:rPr>
          <w:rFonts w:ascii="NimbusRomNo9L" w:hAnsi="NimbusRomNo9L"/>
          <w:i/>
          <w:spacing w:val="-10"/>
          <w:lang w:val="en-US"/>
        </w:rPr>
        <w:t>Plaintiff magazine</w:t>
      </w:r>
      <w:r>
        <w:rPr>
          <w:rFonts w:ascii="NimbusRomNo9L" w:hAnsi="NimbusRomNo9L"/>
          <w:spacing w:val="-10"/>
          <w:lang w:val="en-US"/>
        </w:rPr>
        <w:t xml:space="preserve"> (December </w:t>
      </w:r>
      <w:proofErr w:type="gramStart"/>
      <w:r>
        <w:rPr>
          <w:rFonts w:ascii="NimbusRomNo9L" w:hAnsi="NimbusRomNo9L"/>
          <w:spacing w:val="-10"/>
          <w:lang w:val="en-US"/>
        </w:rPr>
        <w:t>2010:,</w:t>
      </w:r>
      <w:proofErr w:type="gramEnd"/>
      <w:r>
        <w:rPr>
          <w:rFonts w:ascii="NimbusRomNo9L" w:hAnsi="NimbusRomNo9L"/>
          <w:spacing w:val="-10"/>
          <w:lang w:val="en-US"/>
        </w:rPr>
        <w:t xml:space="preserve"> 1-7.</w:t>
      </w:r>
    </w:p>
    <w:p w14:paraId="1022DFAC" w14:textId="6F74508E" w:rsidR="00800903" w:rsidRPr="00166361" w:rsidRDefault="00800903" w:rsidP="0062712C">
      <w:pPr>
        <w:pStyle w:val="ListParagraph"/>
        <w:numPr>
          <w:ilvl w:val="0"/>
          <w:numId w:val="4"/>
        </w:numPr>
        <w:ind w:left="284" w:hanging="283"/>
        <w:jc w:val="both"/>
        <w:rPr>
          <w:rFonts w:ascii="Times New Roman" w:eastAsia="Times New Roman" w:hAnsi="Times New Roman" w:cs="Times New Roman"/>
          <w:spacing w:val="-10"/>
          <w:lang w:val="en-US"/>
        </w:rPr>
      </w:pPr>
      <w:proofErr w:type="spellStart"/>
      <w:r w:rsidRPr="00166361">
        <w:rPr>
          <w:rFonts w:ascii="NimbusRomNo9L" w:eastAsia="Times New Roman" w:hAnsi="NimbusRomNo9L" w:cs="Times New Roman"/>
          <w:spacing w:val="-10"/>
          <w:lang w:val="en-US"/>
        </w:rPr>
        <w:t>Clemenz</w:t>
      </w:r>
      <w:proofErr w:type="spellEnd"/>
      <w:r w:rsidRPr="00166361">
        <w:rPr>
          <w:rFonts w:ascii="NimbusRomNo9L" w:eastAsia="Times New Roman" w:hAnsi="NimbusRomNo9L" w:cs="Times New Roman"/>
          <w:spacing w:val="-10"/>
          <w:lang w:val="en-US"/>
        </w:rPr>
        <w:t xml:space="preserve">, G. and K. </w:t>
      </w:r>
      <w:proofErr w:type="spellStart"/>
      <w:r w:rsidRPr="00166361">
        <w:rPr>
          <w:rFonts w:ascii="NimbusRomNo9L" w:eastAsia="Times New Roman" w:hAnsi="NimbusRomNo9L" w:cs="Times New Roman"/>
          <w:spacing w:val="-10"/>
          <w:lang w:val="en-US"/>
        </w:rPr>
        <w:t>Gugler</w:t>
      </w:r>
      <w:proofErr w:type="spellEnd"/>
      <w:r w:rsidRPr="00166361">
        <w:rPr>
          <w:rFonts w:ascii="NimbusRomNo9L" w:eastAsia="Times New Roman" w:hAnsi="NimbusRomNo9L" w:cs="Times New Roman"/>
          <w:spacing w:val="-10"/>
          <w:lang w:val="en-US"/>
        </w:rPr>
        <w:t xml:space="preserve">. 2015. Macroeconomic Development and Civil Litigation. </w:t>
      </w:r>
      <w:r w:rsidRPr="00166361">
        <w:rPr>
          <w:rFonts w:ascii="NimbusRomNo9L" w:eastAsia="Times New Roman" w:hAnsi="NimbusRomNo9L" w:cs="Times New Roman"/>
          <w:i/>
          <w:iCs/>
          <w:spacing w:val="-10"/>
          <w:lang w:val="en-US"/>
        </w:rPr>
        <w:t>European Journal of Law and Economics</w:t>
      </w:r>
      <w:r w:rsidRPr="00166361">
        <w:rPr>
          <w:rFonts w:ascii="NimbusRomNo9L" w:eastAsia="Times New Roman" w:hAnsi="NimbusRomNo9L" w:cs="Times New Roman"/>
          <w:spacing w:val="-10"/>
          <w:lang w:val="en-US"/>
        </w:rPr>
        <w:t xml:space="preserve">, 9(3): 215-230. </w:t>
      </w:r>
    </w:p>
    <w:p w14:paraId="6B4F705F" w14:textId="7078E9EA" w:rsidR="00892A57" w:rsidRPr="00892A57" w:rsidRDefault="00892A57" w:rsidP="00892A57">
      <w:pPr>
        <w:pStyle w:val="ListParagraph"/>
        <w:numPr>
          <w:ilvl w:val="0"/>
          <w:numId w:val="4"/>
        </w:numPr>
        <w:ind w:left="284" w:hanging="283"/>
        <w:jc w:val="both"/>
        <w:rPr>
          <w:rFonts w:ascii="NimbusRomNo9L" w:hAnsi="NimbusRomNo9L"/>
          <w:spacing w:val="-10"/>
          <w:lang w:val="fr-FR"/>
        </w:rPr>
      </w:pPr>
      <w:r w:rsidRPr="00892A57">
        <w:rPr>
          <w:rFonts w:ascii="NimbusRomNo9L" w:hAnsi="NimbusRomNo9L"/>
          <w:spacing w:val="-10"/>
          <w:lang w:val="fr-FR"/>
        </w:rPr>
        <w:t>Cohen-</w:t>
      </w:r>
      <w:proofErr w:type="spellStart"/>
      <w:r w:rsidRPr="00892A57">
        <w:rPr>
          <w:rFonts w:ascii="NimbusRomNo9L" w:hAnsi="NimbusRomNo9L"/>
          <w:spacing w:val="-10"/>
          <w:lang w:val="fr-FR"/>
        </w:rPr>
        <w:t>Tanugi</w:t>
      </w:r>
      <w:proofErr w:type="spellEnd"/>
      <w:r w:rsidRPr="00892A57">
        <w:rPr>
          <w:rFonts w:ascii="NimbusRomNo9L" w:hAnsi="NimbusRomNo9L"/>
          <w:spacing w:val="-10"/>
          <w:lang w:val="fr-FR"/>
        </w:rPr>
        <w:t xml:space="preserve">, L. (1989) </w:t>
      </w:r>
      <w:r w:rsidRPr="00892A57">
        <w:rPr>
          <w:rFonts w:ascii="NimbusRomNo9L" w:hAnsi="NimbusRomNo9L"/>
          <w:i/>
          <w:spacing w:val="-10"/>
          <w:lang w:val="fr-FR"/>
        </w:rPr>
        <w:t>La Métamorphose de la démocratie</w:t>
      </w:r>
      <w:r w:rsidRPr="00892A57">
        <w:rPr>
          <w:rFonts w:ascii="NimbusRomNo9L" w:hAnsi="NimbusRomNo9L"/>
          <w:spacing w:val="-10"/>
          <w:lang w:val="fr-FR"/>
        </w:rPr>
        <w:t xml:space="preserve">. </w:t>
      </w:r>
      <w:proofErr w:type="gramStart"/>
      <w:r w:rsidRPr="00892A57">
        <w:rPr>
          <w:rFonts w:ascii="NimbusRomNo9L" w:hAnsi="NimbusRomNo9L"/>
          <w:spacing w:val="-10"/>
          <w:lang w:val="fr-FR"/>
        </w:rPr>
        <w:t>Paris:</w:t>
      </w:r>
      <w:proofErr w:type="gramEnd"/>
      <w:r w:rsidRPr="00892A57">
        <w:rPr>
          <w:rFonts w:ascii="NimbusRomNo9L" w:hAnsi="NimbusRomNo9L"/>
          <w:spacing w:val="-10"/>
          <w:lang w:val="fr-FR"/>
        </w:rPr>
        <w:t xml:space="preserve"> Editions Odile Jacob. </w:t>
      </w:r>
    </w:p>
    <w:p w14:paraId="24EB946A" w14:textId="6196D363" w:rsidR="00800903" w:rsidRPr="00166361" w:rsidRDefault="00892A57" w:rsidP="00892A57">
      <w:pPr>
        <w:pStyle w:val="ListParagraph"/>
        <w:numPr>
          <w:ilvl w:val="0"/>
          <w:numId w:val="4"/>
        </w:numPr>
        <w:ind w:left="284" w:hanging="283"/>
        <w:jc w:val="both"/>
        <w:rPr>
          <w:rFonts w:ascii="NimbusRomNo9L" w:eastAsia="Times New Roman" w:hAnsi="NimbusRomNo9L" w:cs="Times New Roman"/>
          <w:spacing w:val="-10"/>
          <w:lang w:val="en-US"/>
        </w:rPr>
      </w:pPr>
      <w:r w:rsidRPr="0080288D">
        <w:rPr>
          <w:rFonts w:ascii="NimbusRomNo9L" w:eastAsia="Times New Roman" w:hAnsi="NimbusRomNo9L" w:cs="Times New Roman"/>
          <w:spacing w:val="-10"/>
          <w:lang w:val="it-IT"/>
        </w:rPr>
        <w:t xml:space="preserve"> </w:t>
      </w:r>
      <w:r w:rsidR="00800903" w:rsidRPr="00EE38F6">
        <w:rPr>
          <w:rFonts w:ascii="NimbusRomNo9L" w:eastAsia="Times New Roman" w:hAnsi="NimbusRomNo9L" w:cs="Times New Roman"/>
          <w:spacing w:val="-10"/>
          <w:lang w:val="it-IT"/>
        </w:rPr>
        <w:t xml:space="preserve">D’Agostino, E., Sironi, E. and </w:t>
      </w:r>
      <w:proofErr w:type="spellStart"/>
      <w:r w:rsidR="00800903" w:rsidRPr="00EE38F6">
        <w:rPr>
          <w:rFonts w:ascii="NimbusRomNo9L" w:eastAsia="Times New Roman" w:hAnsi="NimbusRomNo9L" w:cs="Times New Roman"/>
          <w:spacing w:val="-10"/>
          <w:lang w:val="it-IT"/>
        </w:rPr>
        <w:t>Sobbrio</w:t>
      </w:r>
      <w:proofErr w:type="spellEnd"/>
      <w:r w:rsidR="00800903" w:rsidRPr="00EE38F6">
        <w:rPr>
          <w:rFonts w:ascii="NimbusRomNo9L" w:eastAsia="Times New Roman" w:hAnsi="NimbusRomNo9L" w:cs="Times New Roman"/>
          <w:spacing w:val="-10"/>
          <w:lang w:val="it-IT"/>
        </w:rPr>
        <w:t xml:space="preserve">, G. 2012. </w:t>
      </w:r>
      <w:r w:rsidR="00800903" w:rsidRPr="00166361">
        <w:rPr>
          <w:rFonts w:ascii="NimbusRomNo9L" w:eastAsia="Times New Roman" w:hAnsi="NimbusRomNo9L" w:cs="Times New Roman"/>
          <w:spacing w:val="-10"/>
          <w:lang w:val="en-US"/>
        </w:rPr>
        <w:t xml:space="preserve">Lawyers and legal disputes. Evidence from Italy, </w:t>
      </w:r>
      <w:r w:rsidR="00800903" w:rsidRPr="00166361">
        <w:rPr>
          <w:rFonts w:ascii="NimbusRomNo9L" w:eastAsia="Times New Roman" w:hAnsi="NimbusRomNo9L" w:cs="Times New Roman"/>
          <w:i/>
          <w:spacing w:val="-10"/>
          <w:lang w:val="en-US"/>
        </w:rPr>
        <w:t>Applied Economics Letters</w:t>
      </w:r>
      <w:r w:rsidR="00800903" w:rsidRPr="00166361">
        <w:rPr>
          <w:rFonts w:ascii="NimbusRomNo9L" w:eastAsia="Times New Roman" w:hAnsi="NimbusRomNo9L" w:cs="Times New Roman"/>
          <w:spacing w:val="-10"/>
          <w:lang w:val="en-US"/>
        </w:rPr>
        <w:t>, 19: 1349–1352.</w:t>
      </w:r>
    </w:p>
    <w:p w14:paraId="7CA9728F" w14:textId="4FA8A6CD"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proofErr w:type="spellStart"/>
      <w:r w:rsidRPr="00166361">
        <w:rPr>
          <w:rFonts w:ascii="Times New Roman" w:eastAsia="Times New Roman" w:hAnsi="Times New Roman" w:cs="Times New Roman"/>
          <w:spacing w:val="-10"/>
          <w:lang w:val="en-US"/>
        </w:rPr>
        <w:t>D’Haultfœuille</w:t>
      </w:r>
      <w:proofErr w:type="spellEnd"/>
      <w:r w:rsidRPr="00166361">
        <w:rPr>
          <w:rFonts w:ascii="Times New Roman" w:eastAsia="Times New Roman" w:hAnsi="Times New Roman" w:cs="Times New Roman"/>
          <w:spacing w:val="-10"/>
          <w:lang w:val="en-US"/>
        </w:rPr>
        <w:t xml:space="preserve">, X., </w:t>
      </w:r>
      <w:proofErr w:type="spellStart"/>
      <w:r w:rsidRPr="00166361">
        <w:rPr>
          <w:rFonts w:ascii="Times New Roman" w:eastAsia="Times New Roman" w:hAnsi="Times New Roman" w:cs="Times New Roman"/>
          <w:spacing w:val="-10"/>
          <w:lang w:val="en-US"/>
        </w:rPr>
        <w:t>Hoderlein</w:t>
      </w:r>
      <w:proofErr w:type="spellEnd"/>
      <w:r w:rsidRPr="00166361">
        <w:rPr>
          <w:rFonts w:ascii="Times New Roman" w:eastAsia="Times New Roman" w:hAnsi="Times New Roman" w:cs="Times New Roman"/>
          <w:spacing w:val="-10"/>
          <w:lang w:val="en-US"/>
        </w:rPr>
        <w:t xml:space="preserve">, S. and Sasaki, Y. 2021. Testing and relaxing the exclusion restriction in the control function approach, </w:t>
      </w:r>
      <w:r w:rsidRPr="00166361">
        <w:rPr>
          <w:rFonts w:ascii="Times New Roman" w:eastAsia="Times New Roman" w:hAnsi="Times New Roman" w:cs="Times New Roman"/>
          <w:i/>
          <w:spacing w:val="-10"/>
          <w:lang w:val="en-US"/>
        </w:rPr>
        <w:t>Journal of Econometrics</w:t>
      </w:r>
      <w:r w:rsidRPr="00166361">
        <w:rPr>
          <w:rFonts w:ascii="Times New Roman" w:eastAsia="Times New Roman" w:hAnsi="Times New Roman" w:cs="Times New Roman"/>
          <w:spacing w:val="-10"/>
          <w:lang w:val="en-US"/>
        </w:rPr>
        <w:t xml:space="preserve">, </w:t>
      </w:r>
      <w:hyperlink r:id="rId8" w:history="1">
        <w:r w:rsidRPr="00166361">
          <w:rPr>
            <w:rStyle w:val="Hyperlink"/>
            <w:rFonts w:ascii="Times New Roman" w:eastAsia="Times New Roman" w:hAnsi="Times New Roman" w:cs="Times New Roman"/>
            <w:lang w:val="en-US"/>
          </w:rPr>
          <w:t>https://doi.org/10.1016/j.jeconom.2020.09.012</w:t>
        </w:r>
      </w:hyperlink>
      <w:r w:rsidRPr="00166361">
        <w:rPr>
          <w:rFonts w:ascii="Times New Roman" w:eastAsia="Times New Roman" w:hAnsi="Times New Roman" w:cs="Times New Roman"/>
          <w:spacing w:val="-10"/>
          <w:lang w:val="en-US"/>
        </w:rPr>
        <w:t>.</w:t>
      </w:r>
    </w:p>
    <w:p w14:paraId="0B9CBFCE" w14:textId="407EA3FF"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proofErr w:type="spellStart"/>
      <w:r w:rsidRPr="00EE38F6">
        <w:rPr>
          <w:rFonts w:ascii="NimbusRomNo9L" w:eastAsia="Times New Roman" w:hAnsi="NimbusRomNo9L" w:cs="Times New Roman"/>
          <w:spacing w:val="-10"/>
          <w:lang w:val="fr-FR"/>
        </w:rPr>
        <w:t>Darly</w:t>
      </w:r>
      <w:proofErr w:type="spellEnd"/>
      <w:r w:rsidRPr="00EE38F6">
        <w:rPr>
          <w:rFonts w:ascii="NimbusRomNo9L" w:eastAsia="Times New Roman" w:hAnsi="NimbusRomNo9L" w:cs="Times New Roman"/>
          <w:spacing w:val="-10"/>
          <w:lang w:val="fr-FR"/>
        </w:rPr>
        <w:t xml:space="preserve">, S. 2008. La </w:t>
      </w:r>
      <w:proofErr w:type="spellStart"/>
      <w:r w:rsidRPr="00EE38F6">
        <w:rPr>
          <w:rFonts w:ascii="NimbusRomNo9L" w:eastAsia="Times New Roman" w:hAnsi="NimbusRomNo9L" w:cs="Times New Roman"/>
          <w:spacing w:val="-10"/>
          <w:lang w:val="fr-FR"/>
        </w:rPr>
        <w:t>spatialite</w:t>
      </w:r>
      <w:proofErr w:type="spellEnd"/>
      <w:r w:rsidRPr="00EE38F6">
        <w:rPr>
          <w:rFonts w:ascii="NimbusRomNo9L" w:eastAsia="Times New Roman" w:hAnsi="NimbusRomNo9L" w:cs="Times New Roman"/>
          <w:spacing w:val="-10"/>
          <w:lang w:val="fr-FR"/>
        </w:rPr>
        <w:t xml:space="preserve">́ des conflits d’usage au sein des zones </w:t>
      </w:r>
      <w:proofErr w:type="spellStart"/>
      <w:r w:rsidRPr="00EE38F6">
        <w:rPr>
          <w:rFonts w:ascii="NimbusRomNo9L" w:eastAsia="Times New Roman" w:hAnsi="NimbusRomNo9L" w:cs="Times New Roman"/>
          <w:spacing w:val="-10"/>
          <w:lang w:val="fr-FR"/>
        </w:rPr>
        <w:t>périurbaines</w:t>
      </w:r>
      <w:proofErr w:type="spellEnd"/>
      <w:r w:rsidRPr="00EE38F6">
        <w:rPr>
          <w:rFonts w:ascii="NimbusRomNo9L" w:eastAsia="Times New Roman" w:hAnsi="NimbusRomNo9L" w:cs="Times New Roman"/>
          <w:spacing w:val="-10"/>
          <w:lang w:val="fr-FR"/>
        </w:rPr>
        <w:t xml:space="preserve"> en </w:t>
      </w:r>
      <w:proofErr w:type="spellStart"/>
      <w:r w:rsidRPr="00EE38F6">
        <w:rPr>
          <w:rFonts w:ascii="NimbusRomNo9L" w:eastAsia="Times New Roman" w:hAnsi="NimbusRomNo9L" w:cs="Times New Roman"/>
          <w:spacing w:val="-10"/>
          <w:lang w:val="fr-FR"/>
        </w:rPr>
        <w:t>Île</w:t>
      </w:r>
      <w:proofErr w:type="spellEnd"/>
      <w:r w:rsidRPr="00EE38F6">
        <w:rPr>
          <w:rFonts w:ascii="NimbusRomNo9L" w:eastAsia="Times New Roman" w:hAnsi="NimbusRomNo9L" w:cs="Times New Roman"/>
          <w:spacing w:val="-10"/>
          <w:lang w:val="fr-FR"/>
        </w:rPr>
        <w:t xml:space="preserve"> de-</w:t>
      </w:r>
      <w:proofErr w:type="gramStart"/>
      <w:r w:rsidRPr="00EE38F6">
        <w:rPr>
          <w:rFonts w:ascii="NimbusRomNo9L" w:eastAsia="Times New Roman" w:hAnsi="NimbusRomNo9L" w:cs="Times New Roman"/>
          <w:spacing w:val="-10"/>
          <w:lang w:val="fr-FR"/>
        </w:rPr>
        <w:t>France:</w:t>
      </w:r>
      <w:proofErr w:type="gramEnd"/>
      <w:r w:rsidRPr="00EE38F6">
        <w:rPr>
          <w:rFonts w:ascii="NimbusRomNo9L" w:eastAsia="Times New Roman" w:hAnsi="NimbusRomNo9L" w:cs="Times New Roman"/>
          <w:spacing w:val="-10"/>
          <w:lang w:val="fr-FR"/>
        </w:rPr>
        <w:t xml:space="preserve"> analyse empirique d’une </w:t>
      </w:r>
      <w:proofErr w:type="spellStart"/>
      <w:r w:rsidRPr="00EE38F6">
        <w:rPr>
          <w:rFonts w:ascii="NimbusRomNo9L" w:eastAsia="Times New Roman" w:hAnsi="NimbusRomNo9L" w:cs="Times New Roman"/>
          <w:spacing w:val="-10"/>
          <w:lang w:val="fr-FR"/>
        </w:rPr>
        <w:t>modalite</w:t>
      </w:r>
      <w:proofErr w:type="spellEnd"/>
      <w:r w:rsidRPr="00EE38F6">
        <w:rPr>
          <w:rFonts w:ascii="NimbusRomNo9L" w:eastAsia="Times New Roman" w:hAnsi="NimbusRomNo9L" w:cs="Times New Roman"/>
          <w:spacing w:val="-10"/>
          <w:lang w:val="fr-FR"/>
        </w:rPr>
        <w:t xml:space="preserve">́ peu connue de la gouvernance des territoires. </w:t>
      </w:r>
      <w:proofErr w:type="spellStart"/>
      <w:r w:rsidRPr="00166361">
        <w:rPr>
          <w:rFonts w:ascii="NimbusRomNo9L" w:eastAsia="Times New Roman" w:hAnsi="NimbusRomNo9L" w:cs="Times New Roman"/>
          <w:i/>
          <w:iCs/>
          <w:spacing w:val="-10"/>
          <w:lang w:val="en-US"/>
        </w:rPr>
        <w:t>Norois</w:t>
      </w:r>
      <w:proofErr w:type="spellEnd"/>
      <w:r w:rsidRPr="00166361">
        <w:rPr>
          <w:rFonts w:ascii="NimbusRomNo9L" w:eastAsia="Times New Roman" w:hAnsi="NimbusRomNo9L" w:cs="Times New Roman"/>
          <w:spacing w:val="-10"/>
          <w:lang w:val="en-US"/>
        </w:rPr>
        <w:t xml:space="preserve">, 209: 127-146. </w:t>
      </w:r>
    </w:p>
    <w:p w14:paraId="1776EC06" w14:textId="77777777"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proofErr w:type="spellStart"/>
      <w:r w:rsidRPr="00166361">
        <w:rPr>
          <w:rFonts w:ascii="NimbusRomNo9L" w:eastAsia="Times New Roman" w:hAnsi="NimbusRomNo9L" w:cs="Times New Roman"/>
          <w:spacing w:val="-10"/>
          <w:lang w:val="en-US"/>
        </w:rPr>
        <w:t>Deffains</w:t>
      </w:r>
      <w:proofErr w:type="spellEnd"/>
      <w:r w:rsidRPr="00166361">
        <w:rPr>
          <w:rFonts w:ascii="NimbusRomNo9L" w:eastAsia="Times New Roman" w:hAnsi="NimbusRomNo9L" w:cs="Times New Roman"/>
          <w:spacing w:val="-10"/>
          <w:lang w:val="en-US"/>
        </w:rPr>
        <w:t>, B</w:t>
      </w:r>
      <w:r w:rsidRPr="00166361">
        <w:rPr>
          <w:rFonts w:ascii="Times New Roman" w:eastAsia="Times New Roman" w:hAnsi="Times New Roman" w:cs="Times New Roman"/>
          <w:spacing w:val="-10"/>
          <w:lang w:val="en-US"/>
        </w:rPr>
        <w:t xml:space="preserve">. and Thierry, J.B. 2014. </w:t>
      </w:r>
      <w:r w:rsidRPr="00EE38F6">
        <w:rPr>
          <w:rFonts w:ascii="Times New Roman" w:eastAsia="Times New Roman" w:hAnsi="Times New Roman" w:cs="Times New Roman"/>
          <w:spacing w:val="-10"/>
          <w:lang w:val="fr-FR"/>
        </w:rPr>
        <w:t xml:space="preserve">Faut-il ouvrir ou restreindre les conditions d’accès à la profession d’avocat ? </w:t>
      </w:r>
      <w:r w:rsidRPr="00166361">
        <w:rPr>
          <w:rFonts w:ascii="Times New Roman" w:eastAsia="Times New Roman" w:hAnsi="Times New Roman" w:cs="Times New Roman"/>
          <w:i/>
          <w:spacing w:val="-10"/>
          <w:lang w:val="en-US"/>
        </w:rPr>
        <w:t xml:space="preserve">La </w:t>
      </w:r>
      <w:proofErr w:type="spellStart"/>
      <w:r w:rsidRPr="00166361">
        <w:rPr>
          <w:rFonts w:ascii="Times New Roman" w:eastAsia="Times New Roman" w:hAnsi="Times New Roman" w:cs="Times New Roman"/>
          <w:i/>
          <w:spacing w:val="-10"/>
          <w:lang w:val="en-US"/>
        </w:rPr>
        <w:t>semaine</w:t>
      </w:r>
      <w:proofErr w:type="spellEnd"/>
      <w:r w:rsidRPr="00166361">
        <w:rPr>
          <w:rFonts w:ascii="Times New Roman" w:eastAsia="Times New Roman" w:hAnsi="Times New Roman" w:cs="Times New Roman"/>
          <w:i/>
          <w:spacing w:val="-10"/>
          <w:lang w:val="en-US"/>
        </w:rPr>
        <w:t xml:space="preserve"> </w:t>
      </w:r>
      <w:proofErr w:type="spellStart"/>
      <w:r w:rsidRPr="00166361">
        <w:rPr>
          <w:rFonts w:ascii="Times New Roman" w:eastAsia="Times New Roman" w:hAnsi="Times New Roman" w:cs="Times New Roman"/>
          <w:i/>
          <w:spacing w:val="-10"/>
          <w:lang w:val="en-US"/>
        </w:rPr>
        <w:t>juridique</w:t>
      </w:r>
      <w:proofErr w:type="spellEnd"/>
      <w:r w:rsidRPr="00166361">
        <w:rPr>
          <w:rFonts w:ascii="Times New Roman" w:eastAsia="Times New Roman" w:hAnsi="Times New Roman" w:cs="Times New Roman"/>
          <w:i/>
          <w:spacing w:val="-10"/>
          <w:lang w:val="en-US"/>
        </w:rPr>
        <w:t xml:space="preserve">, </w:t>
      </w:r>
      <w:proofErr w:type="spellStart"/>
      <w:r w:rsidRPr="00166361">
        <w:rPr>
          <w:rFonts w:ascii="Times New Roman" w:eastAsia="Times New Roman" w:hAnsi="Times New Roman" w:cs="Times New Roman"/>
          <w:i/>
          <w:spacing w:val="-10"/>
          <w:lang w:val="en-US"/>
        </w:rPr>
        <w:t>Édition</w:t>
      </w:r>
      <w:proofErr w:type="spellEnd"/>
      <w:r w:rsidRPr="00166361">
        <w:rPr>
          <w:rFonts w:ascii="Times New Roman" w:eastAsia="Times New Roman" w:hAnsi="Times New Roman" w:cs="Times New Roman"/>
          <w:i/>
          <w:spacing w:val="-10"/>
          <w:lang w:val="en-US"/>
        </w:rPr>
        <w:t xml:space="preserve"> </w:t>
      </w:r>
      <w:proofErr w:type="spellStart"/>
      <w:r w:rsidRPr="00166361">
        <w:rPr>
          <w:rFonts w:ascii="Times New Roman" w:eastAsia="Times New Roman" w:hAnsi="Times New Roman" w:cs="Times New Roman"/>
          <w:i/>
          <w:spacing w:val="-10"/>
          <w:lang w:val="en-US"/>
        </w:rPr>
        <w:t>générale</w:t>
      </w:r>
      <w:proofErr w:type="spellEnd"/>
      <w:r w:rsidRPr="00166361">
        <w:rPr>
          <w:rFonts w:ascii="Times New Roman" w:eastAsia="Times New Roman" w:hAnsi="Times New Roman" w:cs="Times New Roman"/>
          <w:i/>
          <w:spacing w:val="-10"/>
          <w:lang w:val="en-US"/>
        </w:rPr>
        <w:t>, n. 1-2</w:t>
      </w:r>
      <w:r w:rsidRPr="00166361">
        <w:rPr>
          <w:rFonts w:ascii="Times New Roman" w:eastAsia="Times New Roman" w:hAnsi="Times New Roman" w:cs="Times New Roman"/>
          <w:spacing w:val="-10"/>
          <w:lang w:val="en-US"/>
        </w:rPr>
        <w:t>: 47-52.</w:t>
      </w:r>
    </w:p>
    <w:p w14:paraId="41EBEE3F" w14:textId="7E7AA22E"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proofErr w:type="spellStart"/>
      <w:r w:rsidRPr="00166361">
        <w:rPr>
          <w:rFonts w:ascii="NimbusRomNo9L" w:eastAsia="Times New Roman" w:hAnsi="NimbusRomNo9L" w:cs="Times New Roman"/>
          <w:spacing w:val="-10"/>
          <w:lang w:val="en-US"/>
        </w:rPr>
        <w:t>Dewatripont</w:t>
      </w:r>
      <w:proofErr w:type="spellEnd"/>
      <w:r w:rsidRPr="00166361">
        <w:rPr>
          <w:rFonts w:ascii="NimbusRomNo9L" w:eastAsia="Times New Roman" w:hAnsi="NimbusRomNo9L" w:cs="Times New Roman"/>
          <w:spacing w:val="-10"/>
          <w:lang w:val="en-US"/>
        </w:rPr>
        <w:t xml:space="preserve">, M. and J. </w:t>
      </w:r>
      <w:proofErr w:type="spellStart"/>
      <w:r w:rsidRPr="00166361">
        <w:rPr>
          <w:rFonts w:ascii="NimbusRomNo9L" w:eastAsia="Times New Roman" w:hAnsi="NimbusRomNo9L" w:cs="Times New Roman"/>
          <w:spacing w:val="-10"/>
          <w:lang w:val="en-US"/>
        </w:rPr>
        <w:t>Tirole</w:t>
      </w:r>
      <w:proofErr w:type="spellEnd"/>
      <w:r w:rsidRPr="00166361">
        <w:rPr>
          <w:rFonts w:ascii="NimbusRomNo9L" w:eastAsia="Times New Roman" w:hAnsi="NimbusRomNo9L" w:cs="Times New Roman"/>
          <w:spacing w:val="-10"/>
          <w:lang w:val="en-US"/>
        </w:rPr>
        <w:t xml:space="preserve">. 1999. Advocates. </w:t>
      </w:r>
      <w:r w:rsidRPr="00166361">
        <w:rPr>
          <w:rFonts w:ascii="NimbusRomNo9L" w:eastAsia="Times New Roman" w:hAnsi="NimbusRomNo9L" w:cs="Times New Roman"/>
          <w:i/>
          <w:iCs/>
          <w:spacing w:val="-10"/>
          <w:lang w:val="en-US"/>
        </w:rPr>
        <w:t>Journal of Political Economy</w:t>
      </w:r>
      <w:r w:rsidRPr="00166361">
        <w:rPr>
          <w:rFonts w:ascii="NimbusRomNo9L" w:eastAsia="Times New Roman" w:hAnsi="NimbusRomNo9L" w:cs="Times New Roman"/>
          <w:spacing w:val="-10"/>
          <w:lang w:val="en-US"/>
        </w:rPr>
        <w:t xml:space="preserve">, 107(1): 1-39. </w:t>
      </w:r>
    </w:p>
    <w:p w14:paraId="131FAD06" w14:textId="41ACB9BE"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166361">
        <w:rPr>
          <w:rFonts w:ascii="NimbusRomNo9L" w:eastAsia="Times New Roman" w:hAnsi="NimbusRomNo9L" w:cs="Times New Roman"/>
          <w:spacing w:val="-10"/>
          <w:lang w:val="en-US"/>
        </w:rPr>
        <w:t xml:space="preserve">Di Vita, G. 2010. Production of laws and delays in court decisions. </w:t>
      </w:r>
      <w:r w:rsidRPr="00166361">
        <w:rPr>
          <w:rFonts w:ascii="NimbusRomNo9L" w:eastAsia="Times New Roman" w:hAnsi="NimbusRomNo9L" w:cs="Times New Roman"/>
          <w:i/>
          <w:iCs/>
          <w:spacing w:val="-10"/>
          <w:lang w:val="en-US"/>
        </w:rPr>
        <w:t>International Review of Law and Economics</w:t>
      </w:r>
      <w:r w:rsidRPr="00166361">
        <w:rPr>
          <w:rFonts w:ascii="NimbusRomNo9L" w:eastAsia="Times New Roman" w:hAnsi="NimbusRomNo9L" w:cs="Times New Roman"/>
          <w:spacing w:val="-10"/>
          <w:lang w:val="en-US"/>
        </w:rPr>
        <w:t xml:space="preserve">, 30(3): 276-281. </w:t>
      </w:r>
    </w:p>
    <w:p w14:paraId="413D7341" w14:textId="1A5E91C1"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proofErr w:type="spellStart"/>
      <w:r w:rsidRPr="00EE38F6">
        <w:rPr>
          <w:rFonts w:ascii="NimbusRomNo9L" w:eastAsia="Times New Roman" w:hAnsi="NimbusRomNo9L" w:cs="Times New Roman"/>
          <w:spacing w:val="-10"/>
          <w:lang w:val="fr-FR"/>
        </w:rPr>
        <w:t>Djankov</w:t>
      </w:r>
      <w:proofErr w:type="spellEnd"/>
      <w:r w:rsidRPr="00EE38F6">
        <w:rPr>
          <w:rFonts w:ascii="NimbusRomNo9L" w:eastAsia="Times New Roman" w:hAnsi="NimbusRomNo9L" w:cs="Times New Roman"/>
          <w:spacing w:val="-10"/>
          <w:lang w:val="fr-FR"/>
        </w:rPr>
        <w:t xml:space="preserve">, S., R. La Porta, F. Lopez-de-Silanes and A. </w:t>
      </w:r>
      <w:proofErr w:type="spellStart"/>
      <w:r w:rsidRPr="00EE38F6">
        <w:rPr>
          <w:rFonts w:ascii="NimbusRomNo9L" w:eastAsia="Times New Roman" w:hAnsi="NimbusRomNo9L" w:cs="Times New Roman"/>
          <w:spacing w:val="-10"/>
          <w:lang w:val="fr-FR"/>
        </w:rPr>
        <w:t>Shleifer</w:t>
      </w:r>
      <w:proofErr w:type="spellEnd"/>
      <w:r w:rsidRPr="00EE38F6">
        <w:rPr>
          <w:rFonts w:ascii="NimbusRomNo9L" w:eastAsia="Times New Roman" w:hAnsi="NimbusRomNo9L" w:cs="Times New Roman"/>
          <w:spacing w:val="-10"/>
          <w:lang w:val="fr-FR"/>
        </w:rPr>
        <w:t xml:space="preserve">. </w:t>
      </w:r>
      <w:r w:rsidRPr="00166361">
        <w:rPr>
          <w:rFonts w:ascii="NimbusRomNo9L" w:eastAsia="Times New Roman" w:hAnsi="NimbusRomNo9L" w:cs="Times New Roman"/>
          <w:spacing w:val="-10"/>
          <w:lang w:val="en-US"/>
        </w:rPr>
        <w:t xml:space="preserve">2003. Courts. </w:t>
      </w:r>
      <w:r w:rsidRPr="00166361">
        <w:rPr>
          <w:rFonts w:ascii="NimbusRomNo9L" w:eastAsia="Times New Roman" w:hAnsi="NimbusRomNo9L" w:cs="Times New Roman"/>
          <w:i/>
          <w:iCs/>
          <w:spacing w:val="-10"/>
          <w:lang w:val="en-US"/>
        </w:rPr>
        <w:t>The Quarterly Journal of Economics</w:t>
      </w:r>
      <w:r w:rsidRPr="00166361">
        <w:rPr>
          <w:rFonts w:ascii="NimbusRomNo9L" w:eastAsia="Times New Roman" w:hAnsi="NimbusRomNo9L" w:cs="Times New Roman"/>
          <w:spacing w:val="-10"/>
          <w:lang w:val="en-US"/>
        </w:rPr>
        <w:t xml:space="preserve">, 118(2): 453–517. </w:t>
      </w:r>
    </w:p>
    <w:p w14:paraId="6D7B67AB" w14:textId="390A69E3" w:rsidR="00800903" w:rsidRPr="00166361" w:rsidRDefault="00800903" w:rsidP="00800903">
      <w:pPr>
        <w:pStyle w:val="ListParagraph"/>
        <w:numPr>
          <w:ilvl w:val="0"/>
          <w:numId w:val="4"/>
        </w:numPr>
        <w:ind w:left="284" w:hanging="283"/>
        <w:jc w:val="both"/>
        <w:rPr>
          <w:rFonts w:ascii="NimbusRomNo9L" w:eastAsia="Times New Roman" w:hAnsi="NimbusRomNo9L" w:cs="Times New Roman"/>
          <w:spacing w:val="-10"/>
          <w:lang w:val="en-US"/>
        </w:rPr>
      </w:pPr>
      <w:r w:rsidRPr="00166361">
        <w:rPr>
          <w:rFonts w:ascii="NimbusRomNo9L" w:eastAsia="Times New Roman" w:hAnsi="NimbusRomNo9L" w:cs="Times New Roman"/>
          <w:spacing w:val="-10"/>
          <w:lang w:val="en-US"/>
        </w:rPr>
        <w:t>Dothan, S. 2014. Reputation and Judicial Tactics: A Theory of National and International Courts. Cambridge: Cambridge University Press.</w:t>
      </w:r>
    </w:p>
    <w:p w14:paraId="3244E9E8" w14:textId="5F8CFBF6" w:rsidR="00800903" w:rsidRPr="00EE38F6" w:rsidRDefault="00800903" w:rsidP="00800903">
      <w:pPr>
        <w:pStyle w:val="NormalWeb"/>
        <w:numPr>
          <w:ilvl w:val="0"/>
          <w:numId w:val="4"/>
        </w:numPr>
        <w:spacing w:before="100" w:beforeAutospacing="1" w:after="100" w:afterAutospacing="1"/>
        <w:ind w:left="284" w:hanging="283"/>
        <w:rPr>
          <w:spacing w:val="-10"/>
        </w:rPr>
      </w:pPr>
      <w:proofErr w:type="spellStart"/>
      <w:r w:rsidRPr="00166361">
        <w:rPr>
          <w:rFonts w:ascii="TimesNewRomanPSMT" w:hAnsi="TimesNewRomanPSMT"/>
          <w:spacing w:val="-10"/>
          <w:lang w:val="en-US"/>
        </w:rPr>
        <w:t>Doriat-Duban</w:t>
      </w:r>
      <w:proofErr w:type="spellEnd"/>
      <w:r w:rsidRPr="00166361">
        <w:rPr>
          <w:rFonts w:ascii="TimesNewRomanPSMT" w:hAnsi="TimesNewRomanPSMT"/>
          <w:spacing w:val="-10"/>
          <w:lang w:val="en-US"/>
        </w:rPr>
        <w:t xml:space="preserve">, M., Y. </w:t>
      </w:r>
      <w:proofErr w:type="spellStart"/>
      <w:r w:rsidRPr="00166361">
        <w:rPr>
          <w:rFonts w:ascii="TimesNewRomanPSMT" w:hAnsi="TimesNewRomanPSMT"/>
          <w:spacing w:val="-10"/>
          <w:lang w:val="en-US"/>
        </w:rPr>
        <w:t>Gabuthy</w:t>
      </w:r>
      <w:proofErr w:type="spellEnd"/>
      <w:r w:rsidRPr="00166361">
        <w:rPr>
          <w:rFonts w:ascii="TimesNewRomanPSMT" w:hAnsi="TimesNewRomanPSMT"/>
          <w:spacing w:val="-10"/>
          <w:lang w:val="en-US"/>
        </w:rPr>
        <w:t xml:space="preserve"> and E.A. Lambert.  </w:t>
      </w:r>
      <w:r w:rsidRPr="00EE38F6">
        <w:rPr>
          <w:rFonts w:ascii="TimesNewRomanPSMT" w:hAnsi="TimesNewRomanPSMT"/>
          <w:spacing w:val="-10"/>
        </w:rPr>
        <w:t xml:space="preserve">2020. Actions en justice et rémunération des avocats : une revue de la littérature. </w:t>
      </w:r>
      <w:r w:rsidRPr="00EE38F6">
        <w:rPr>
          <w:rFonts w:ascii="TimesNewRomanPSMT" w:hAnsi="TimesNewRomanPSMT"/>
          <w:i/>
          <w:spacing w:val="-10"/>
        </w:rPr>
        <w:t xml:space="preserve">Revue économique, </w:t>
      </w:r>
      <w:r w:rsidRPr="00EE38F6">
        <w:rPr>
          <w:rFonts w:ascii="TimesNewRomanPSMT" w:hAnsi="TimesNewRomanPSMT"/>
          <w:spacing w:val="-10"/>
        </w:rPr>
        <w:t>71(3) : 557-590.</w:t>
      </w:r>
    </w:p>
    <w:p w14:paraId="18CE3A95" w14:textId="3EAAE5AF"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166361">
        <w:rPr>
          <w:rFonts w:ascii="NimbusRomNo9L" w:eastAsia="Times New Roman" w:hAnsi="NimbusRomNo9L" w:cs="Times New Roman"/>
          <w:spacing w:val="-10"/>
          <w:lang w:val="en-US"/>
        </w:rPr>
        <w:t xml:space="preserve">Economides, K. 2018. Procedural Delay in the Developing Middle East. </w:t>
      </w:r>
      <w:r w:rsidRPr="00166361">
        <w:rPr>
          <w:rFonts w:ascii="NimbusRomNo9L" w:eastAsia="Times New Roman" w:hAnsi="NimbusRomNo9L" w:cs="Times New Roman"/>
          <w:i/>
          <w:iCs/>
          <w:spacing w:val="-10"/>
          <w:lang w:val="en-US"/>
        </w:rPr>
        <w:t>Law and Development Review</w:t>
      </w:r>
      <w:r w:rsidRPr="00166361">
        <w:rPr>
          <w:rFonts w:ascii="NimbusRomNo9L" w:eastAsia="Times New Roman" w:hAnsi="NimbusRomNo9L" w:cs="Times New Roman"/>
          <w:spacing w:val="-10"/>
          <w:lang w:val="en-US"/>
        </w:rPr>
        <w:t xml:space="preserve">, 11(1): 97-125. </w:t>
      </w:r>
    </w:p>
    <w:p w14:paraId="3DE30047" w14:textId="77777777" w:rsidR="00A306FB" w:rsidRPr="00A306FB" w:rsidRDefault="00A306FB" w:rsidP="00A306FB">
      <w:pPr>
        <w:pStyle w:val="ListParagraph"/>
        <w:numPr>
          <w:ilvl w:val="0"/>
          <w:numId w:val="4"/>
        </w:numPr>
        <w:ind w:left="284" w:hanging="283"/>
        <w:rPr>
          <w:rFonts w:ascii="NimbusRomNo9L" w:hAnsi="NimbusRomNo9L"/>
          <w:spacing w:val="-10"/>
          <w:lang w:val="fr-FR"/>
        </w:rPr>
      </w:pPr>
      <w:r w:rsidRPr="00A306FB">
        <w:rPr>
          <w:rFonts w:ascii="NimbusRomNo9L" w:hAnsi="NimbusRomNo9L"/>
          <w:spacing w:val="-10"/>
          <w:lang w:val="en-US"/>
        </w:rPr>
        <w:t xml:space="preserve">Eggers, A. C., </w:t>
      </w:r>
      <w:proofErr w:type="spellStart"/>
      <w:r w:rsidRPr="00A306FB">
        <w:rPr>
          <w:rFonts w:ascii="NimbusRomNo9L" w:hAnsi="NimbusRomNo9L"/>
          <w:spacing w:val="-10"/>
          <w:lang w:val="en-US"/>
        </w:rPr>
        <w:t>Tuñón</w:t>
      </w:r>
      <w:proofErr w:type="spellEnd"/>
      <w:r w:rsidRPr="00A306FB">
        <w:rPr>
          <w:rFonts w:ascii="NimbusRomNo9L" w:hAnsi="NimbusRomNo9L"/>
          <w:spacing w:val="-10"/>
          <w:lang w:val="en-US"/>
        </w:rPr>
        <w:t xml:space="preserve">, G., &amp; Dafoe, A. (2023). Placebo tests for causal inference. </w:t>
      </w:r>
      <w:r w:rsidRPr="00A306FB">
        <w:rPr>
          <w:rFonts w:ascii="NimbusRomNo9L" w:hAnsi="NimbusRomNo9L"/>
          <w:i/>
          <w:iCs/>
          <w:spacing w:val="-10"/>
          <w:lang w:val="fr-FR"/>
        </w:rPr>
        <w:t xml:space="preserve">American Journal of </w:t>
      </w:r>
      <w:proofErr w:type="spellStart"/>
      <w:r w:rsidRPr="00A306FB">
        <w:rPr>
          <w:rFonts w:ascii="NimbusRomNo9L" w:hAnsi="NimbusRomNo9L"/>
          <w:i/>
          <w:iCs/>
          <w:spacing w:val="-10"/>
          <w:lang w:val="fr-FR"/>
        </w:rPr>
        <w:t>Political</w:t>
      </w:r>
      <w:proofErr w:type="spellEnd"/>
      <w:r w:rsidRPr="00A306FB">
        <w:rPr>
          <w:rFonts w:ascii="NimbusRomNo9L" w:hAnsi="NimbusRomNo9L"/>
          <w:i/>
          <w:iCs/>
          <w:spacing w:val="-10"/>
          <w:lang w:val="fr-FR"/>
        </w:rPr>
        <w:t xml:space="preserve"> Science</w:t>
      </w:r>
      <w:r w:rsidRPr="00A306FB">
        <w:rPr>
          <w:rFonts w:ascii="NimbusRomNo9L" w:hAnsi="NimbusRomNo9L"/>
          <w:spacing w:val="-10"/>
          <w:lang w:val="fr-FR"/>
        </w:rPr>
        <w:t xml:space="preserve">. </w:t>
      </w:r>
    </w:p>
    <w:p w14:paraId="3AAA1CAD" w14:textId="4787FD3F"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166361">
        <w:rPr>
          <w:rFonts w:ascii="NimbusRomNo9L" w:eastAsia="Times New Roman" w:hAnsi="NimbusRomNo9L" w:cs="Times New Roman"/>
          <w:spacing w:val="-10"/>
          <w:lang w:val="en-US"/>
        </w:rPr>
        <w:t xml:space="preserve">Eisenberg, T., S. </w:t>
      </w:r>
      <w:proofErr w:type="spellStart"/>
      <w:r w:rsidRPr="00166361">
        <w:rPr>
          <w:rFonts w:ascii="NimbusRomNo9L" w:eastAsia="Times New Roman" w:hAnsi="NimbusRomNo9L" w:cs="Times New Roman"/>
          <w:spacing w:val="-10"/>
          <w:lang w:val="en-US"/>
        </w:rPr>
        <w:t>Kalantry</w:t>
      </w:r>
      <w:proofErr w:type="spellEnd"/>
      <w:r w:rsidRPr="00166361">
        <w:rPr>
          <w:rFonts w:ascii="NimbusRomNo9L" w:eastAsia="Times New Roman" w:hAnsi="NimbusRomNo9L" w:cs="Times New Roman"/>
          <w:spacing w:val="-10"/>
          <w:lang w:val="en-US"/>
        </w:rPr>
        <w:t xml:space="preserve"> and N. Robinson. 201</w:t>
      </w:r>
      <w:r w:rsidR="006C336B">
        <w:rPr>
          <w:rFonts w:ascii="NimbusRomNo9L" w:eastAsia="Times New Roman" w:hAnsi="NimbusRomNo9L" w:cs="Times New Roman"/>
          <w:spacing w:val="-10"/>
          <w:lang w:val="en-US"/>
        </w:rPr>
        <w:t>2</w:t>
      </w:r>
      <w:r w:rsidRPr="00166361">
        <w:rPr>
          <w:rFonts w:ascii="NimbusRomNo9L" w:eastAsia="Times New Roman" w:hAnsi="NimbusRomNo9L" w:cs="Times New Roman"/>
          <w:spacing w:val="-10"/>
          <w:lang w:val="en-US"/>
        </w:rPr>
        <w:t xml:space="preserve">. Litigation as a Measure of Well- Being. </w:t>
      </w:r>
      <w:r w:rsidRPr="00166361">
        <w:rPr>
          <w:rFonts w:ascii="NimbusRomNo9L" w:eastAsia="Times New Roman" w:hAnsi="NimbusRomNo9L" w:cs="Times New Roman"/>
          <w:i/>
          <w:iCs/>
          <w:spacing w:val="-10"/>
          <w:lang w:val="en-US"/>
        </w:rPr>
        <w:t>DePaul Law Review</w:t>
      </w:r>
      <w:r w:rsidRPr="00166361">
        <w:rPr>
          <w:rFonts w:ascii="NimbusRomNo9L" w:eastAsia="Times New Roman" w:hAnsi="NimbusRomNo9L" w:cs="Times New Roman"/>
          <w:spacing w:val="-10"/>
          <w:lang w:val="en-US"/>
        </w:rPr>
        <w:t xml:space="preserve">, 62: 247-292. </w:t>
      </w:r>
    </w:p>
    <w:p w14:paraId="2B1AFBAE" w14:textId="7C968840"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proofErr w:type="spellStart"/>
      <w:r w:rsidRPr="00166361">
        <w:rPr>
          <w:rFonts w:ascii="NimbusRomNo9L" w:eastAsia="Times New Roman" w:hAnsi="NimbusRomNo9L" w:cs="Times New Roman"/>
          <w:spacing w:val="-10"/>
          <w:lang w:val="en-US"/>
        </w:rPr>
        <w:t>Felli</w:t>
      </w:r>
      <w:proofErr w:type="spellEnd"/>
      <w:r w:rsidRPr="00166361">
        <w:rPr>
          <w:rFonts w:ascii="NimbusRomNo9L" w:eastAsia="Times New Roman" w:hAnsi="NimbusRomNo9L" w:cs="Times New Roman"/>
          <w:spacing w:val="-10"/>
          <w:lang w:val="en-US"/>
        </w:rPr>
        <w:t xml:space="preserve">, E.L., D.A. London-Bedoya, N. </w:t>
      </w:r>
      <w:proofErr w:type="spellStart"/>
      <w:r w:rsidRPr="00166361">
        <w:rPr>
          <w:rFonts w:ascii="NimbusRomNo9L" w:eastAsia="Times New Roman" w:hAnsi="NimbusRomNo9L" w:cs="Times New Roman"/>
          <w:spacing w:val="-10"/>
          <w:lang w:val="en-US"/>
        </w:rPr>
        <w:t>Solferino</w:t>
      </w:r>
      <w:proofErr w:type="spellEnd"/>
      <w:r w:rsidRPr="00166361">
        <w:rPr>
          <w:rFonts w:ascii="NimbusRomNo9L" w:eastAsia="Times New Roman" w:hAnsi="NimbusRomNo9L" w:cs="Times New Roman"/>
          <w:spacing w:val="-10"/>
          <w:lang w:val="en-US"/>
        </w:rPr>
        <w:t xml:space="preserve"> and G. </w:t>
      </w:r>
      <w:proofErr w:type="spellStart"/>
      <w:r w:rsidRPr="00166361">
        <w:rPr>
          <w:rFonts w:ascii="NimbusRomNo9L" w:eastAsia="Times New Roman" w:hAnsi="NimbusRomNo9L" w:cs="Times New Roman"/>
          <w:spacing w:val="-10"/>
          <w:lang w:val="en-US"/>
        </w:rPr>
        <w:t>Tria</w:t>
      </w:r>
      <w:proofErr w:type="spellEnd"/>
      <w:r w:rsidRPr="00166361">
        <w:rPr>
          <w:rFonts w:ascii="NimbusRomNo9L" w:eastAsia="Times New Roman" w:hAnsi="NimbusRomNo9L" w:cs="Times New Roman"/>
          <w:spacing w:val="-10"/>
          <w:lang w:val="en-US"/>
        </w:rPr>
        <w:t xml:space="preserve">. 2008. The ’Demand for Justice’ in Italy: Civil Litigation and the Judicial System, in </w:t>
      </w:r>
      <w:r w:rsidRPr="00166361">
        <w:rPr>
          <w:rFonts w:ascii="NimbusRomNo9L" w:eastAsia="Times New Roman" w:hAnsi="NimbusRomNo9L" w:cs="Times New Roman"/>
          <w:i/>
          <w:iCs/>
          <w:spacing w:val="-10"/>
          <w:lang w:val="en-US"/>
        </w:rPr>
        <w:t xml:space="preserve">Italian Institutional Reforms: A Public Choice Perspective </w:t>
      </w:r>
      <w:r w:rsidRPr="00166361">
        <w:rPr>
          <w:rFonts w:ascii="NimbusRomNo9L" w:eastAsia="Times New Roman" w:hAnsi="NimbusRomNo9L" w:cs="Times New Roman"/>
          <w:spacing w:val="-10"/>
          <w:lang w:val="en-US"/>
        </w:rPr>
        <w:t xml:space="preserve">edited by F. Padovano and R. </w:t>
      </w:r>
      <w:proofErr w:type="spellStart"/>
      <w:r w:rsidRPr="00166361">
        <w:rPr>
          <w:rFonts w:ascii="NimbusRomNo9L" w:eastAsia="Times New Roman" w:hAnsi="NimbusRomNo9L" w:cs="Times New Roman"/>
          <w:spacing w:val="-10"/>
          <w:lang w:val="en-US"/>
        </w:rPr>
        <w:t>Ricciuti</w:t>
      </w:r>
      <w:proofErr w:type="spellEnd"/>
      <w:r w:rsidRPr="00166361">
        <w:rPr>
          <w:rFonts w:ascii="NimbusRomNo9L" w:eastAsia="Times New Roman" w:hAnsi="NimbusRomNo9L" w:cs="Times New Roman"/>
          <w:spacing w:val="-10"/>
          <w:lang w:val="en-US"/>
        </w:rPr>
        <w:t xml:space="preserve">: 155-177. New York: Springer. </w:t>
      </w:r>
    </w:p>
    <w:p w14:paraId="45360C17" w14:textId="35F5F138"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166361">
        <w:rPr>
          <w:rFonts w:ascii="NimbusRomNo9L" w:eastAsia="Times New Roman" w:hAnsi="NimbusRomNo9L" w:cs="Times New Roman"/>
          <w:spacing w:val="-10"/>
          <w:lang w:val="en-US"/>
        </w:rPr>
        <w:lastRenderedPageBreak/>
        <w:t xml:space="preserve">Fenn, P. and N. Rickman. 1999. Delay and Settlement in Litigation. </w:t>
      </w:r>
      <w:r w:rsidRPr="00166361">
        <w:rPr>
          <w:rFonts w:ascii="NimbusRomNo9L" w:eastAsia="Times New Roman" w:hAnsi="NimbusRomNo9L" w:cs="Times New Roman"/>
          <w:i/>
          <w:iCs/>
          <w:spacing w:val="-10"/>
          <w:lang w:val="en-US"/>
        </w:rPr>
        <w:t>The Economic Journal</w:t>
      </w:r>
      <w:r w:rsidRPr="00166361">
        <w:rPr>
          <w:rFonts w:ascii="NimbusRomNo9L" w:eastAsia="Times New Roman" w:hAnsi="NimbusRomNo9L" w:cs="Times New Roman"/>
          <w:spacing w:val="-10"/>
          <w:lang w:val="en-US"/>
        </w:rPr>
        <w:t xml:space="preserve">, 109 (457): 476–491. </w:t>
      </w:r>
    </w:p>
    <w:p w14:paraId="457AABF1" w14:textId="3733AF76"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166361">
        <w:rPr>
          <w:rFonts w:ascii="NimbusRomNo9L" w:eastAsia="Times New Roman" w:hAnsi="NimbusRomNo9L" w:cs="Times New Roman"/>
          <w:spacing w:val="-10"/>
          <w:lang w:val="en-US"/>
        </w:rPr>
        <w:t xml:space="preserve">Fernandes, M., E. Guerre and E. Horta. 2021. Smoothing Quantile Regressions. </w:t>
      </w:r>
      <w:r w:rsidRPr="00166361">
        <w:rPr>
          <w:rFonts w:ascii="NimbusRomNo9L" w:eastAsia="Times New Roman" w:hAnsi="NimbusRomNo9L" w:cs="Times New Roman"/>
          <w:i/>
          <w:iCs/>
          <w:spacing w:val="-10"/>
          <w:lang w:val="en-US"/>
        </w:rPr>
        <w:t>Journal of Business &amp; Economic Statistics</w:t>
      </w:r>
      <w:r w:rsidRPr="00166361">
        <w:rPr>
          <w:rFonts w:ascii="NimbusRomNo9L" w:eastAsia="Times New Roman" w:hAnsi="NimbusRomNo9L" w:cs="Times New Roman"/>
          <w:spacing w:val="-10"/>
          <w:lang w:val="en-US"/>
        </w:rPr>
        <w:t xml:space="preserve">, 39(1): 338-357. </w:t>
      </w:r>
    </w:p>
    <w:p w14:paraId="0E23115F" w14:textId="54DF0B98"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EE38F6">
        <w:rPr>
          <w:rFonts w:ascii="NimbusRomNo9L" w:eastAsia="Times New Roman" w:hAnsi="NimbusRomNo9L" w:cs="Times New Roman"/>
          <w:spacing w:val="-10"/>
          <w:lang w:val="it-IT"/>
        </w:rPr>
        <w:t xml:space="preserve">Finocchiaro Castro, M. and C. Guccio. </w:t>
      </w:r>
      <w:r w:rsidRPr="00166361">
        <w:rPr>
          <w:rFonts w:ascii="NimbusRomNo9L" w:eastAsia="Times New Roman" w:hAnsi="NimbusRomNo9L" w:cs="Times New Roman"/>
          <w:spacing w:val="-10"/>
          <w:lang w:val="en-US"/>
        </w:rPr>
        <w:t xml:space="preserve">2014. Searching for the source of technical inefficiency in Italian judicial districts: an empirical investigation. </w:t>
      </w:r>
      <w:r w:rsidRPr="00166361">
        <w:rPr>
          <w:rFonts w:ascii="NimbusRomNo9L" w:eastAsia="Times New Roman" w:hAnsi="NimbusRomNo9L" w:cs="Times New Roman"/>
          <w:i/>
          <w:iCs/>
          <w:spacing w:val="-10"/>
          <w:lang w:val="en-US"/>
        </w:rPr>
        <w:t>European Journal of Law and Economics</w:t>
      </w:r>
      <w:r w:rsidRPr="00166361">
        <w:rPr>
          <w:rFonts w:ascii="NimbusRomNo9L" w:eastAsia="Times New Roman" w:hAnsi="NimbusRomNo9L" w:cs="Times New Roman"/>
          <w:spacing w:val="-10"/>
          <w:lang w:val="en-US"/>
        </w:rPr>
        <w:t xml:space="preserve">, 38(3): 369-391. </w:t>
      </w:r>
    </w:p>
    <w:p w14:paraId="725E34A9" w14:textId="0BCCBC3C"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166361">
        <w:rPr>
          <w:rFonts w:ascii="NimbusRomNo9L" w:eastAsia="Times New Roman" w:hAnsi="NimbusRomNo9L" w:cs="Times New Roman"/>
          <w:spacing w:val="-10"/>
          <w:lang w:val="en-US"/>
        </w:rPr>
        <w:t xml:space="preserve">Flanders, S. 1980. Modeling court delay. </w:t>
      </w:r>
      <w:r w:rsidRPr="00166361">
        <w:rPr>
          <w:rFonts w:ascii="NimbusRomNo9L" w:eastAsia="Times New Roman" w:hAnsi="NimbusRomNo9L" w:cs="Times New Roman"/>
          <w:i/>
          <w:iCs/>
          <w:spacing w:val="-10"/>
          <w:lang w:val="en-US"/>
        </w:rPr>
        <w:t>Law &amp; Policy Quarterly</w:t>
      </w:r>
      <w:r w:rsidRPr="00166361">
        <w:rPr>
          <w:rFonts w:ascii="NimbusRomNo9L" w:eastAsia="Times New Roman" w:hAnsi="NimbusRomNo9L" w:cs="Times New Roman"/>
          <w:spacing w:val="-10"/>
          <w:lang w:val="en-US"/>
        </w:rPr>
        <w:t xml:space="preserve">, 2(3): 305-320. </w:t>
      </w:r>
    </w:p>
    <w:p w14:paraId="23173EB8" w14:textId="485E007F"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proofErr w:type="spellStart"/>
      <w:r w:rsidRPr="00166361">
        <w:rPr>
          <w:rFonts w:ascii="NimbusRomNo9L" w:eastAsia="Times New Roman" w:hAnsi="NimbusRomNo9L" w:cs="Times New Roman"/>
          <w:spacing w:val="-10"/>
          <w:lang w:val="en-US"/>
        </w:rPr>
        <w:t>Fraisse</w:t>
      </w:r>
      <w:proofErr w:type="spellEnd"/>
      <w:r w:rsidRPr="00166361">
        <w:rPr>
          <w:rFonts w:ascii="NimbusRomNo9L" w:eastAsia="Times New Roman" w:hAnsi="NimbusRomNo9L" w:cs="Times New Roman"/>
          <w:spacing w:val="-10"/>
          <w:lang w:val="en-US"/>
        </w:rPr>
        <w:t xml:space="preserve">, H., F. </w:t>
      </w:r>
      <w:proofErr w:type="spellStart"/>
      <w:r w:rsidRPr="00166361">
        <w:rPr>
          <w:rFonts w:ascii="NimbusRomNo9L" w:eastAsia="Times New Roman" w:hAnsi="NimbusRomNo9L" w:cs="Times New Roman"/>
          <w:spacing w:val="-10"/>
          <w:lang w:val="en-US"/>
        </w:rPr>
        <w:t>Kramarz</w:t>
      </w:r>
      <w:proofErr w:type="spellEnd"/>
      <w:r w:rsidRPr="00166361">
        <w:rPr>
          <w:rFonts w:ascii="NimbusRomNo9L" w:eastAsia="Times New Roman" w:hAnsi="NimbusRomNo9L" w:cs="Times New Roman"/>
          <w:spacing w:val="-10"/>
          <w:lang w:val="en-US"/>
        </w:rPr>
        <w:t xml:space="preserve"> and C. Prost. 2015. Labor Disputes and Job Flows. </w:t>
      </w:r>
      <w:r w:rsidRPr="00166361">
        <w:rPr>
          <w:rFonts w:ascii="NimbusRomNo9L" w:eastAsia="Times New Roman" w:hAnsi="NimbusRomNo9L" w:cs="Times New Roman"/>
          <w:i/>
          <w:iCs/>
          <w:spacing w:val="-10"/>
          <w:lang w:val="en-US"/>
        </w:rPr>
        <w:t>Industrial and Labor Relations Review</w:t>
      </w:r>
      <w:r w:rsidRPr="00166361">
        <w:rPr>
          <w:rFonts w:ascii="NimbusRomNo9L" w:eastAsia="Times New Roman" w:hAnsi="NimbusRomNo9L" w:cs="Times New Roman"/>
          <w:spacing w:val="-10"/>
          <w:lang w:val="en-US"/>
        </w:rPr>
        <w:t xml:space="preserve">, 68(5): 1043–77. </w:t>
      </w:r>
    </w:p>
    <w:p w14:paraId="4DCDCE1E" w14:textId="77777777" w:rsidR="00800903" w:rsidRPr="00EE38F6" w:rsidRDefault="00800903" w:rsidP="00800903">
      <w:pPr>
        <w:pStyle w:val="ListParagraph"/>
        <w:numPr>
          <w:ilvl w:val="0"/>
          <w:numId w:val="4"/>
        </w:numPr>
        <w:ind w:left="284" w:hanging="283"/>
        <w:jc w:val="both"/>
        <w:rPr>
          <w:rFonts w:ascii="Times New Roman" w:eastAsia="Times New Roman" w:hAnsi="Times New Roman" w:cs="Times New Roman"/>
          <w:spacing w:val="-10"/>
          <w:lang w:val="it-IT"/>
        </w:rPr>
      </w:pPr>
      <w:proofErr w:type="spellStart"/>
      <w:r w:rsidRPr="00EE38F6">
        <w:rPr>
          <w:rFonts w:ascii="NimbusRomNo9L" w:eastAsia="Times New Roman" w:hAnsi="NimbusRomNo9L" w:cs="Times New Roman"/>
          <w:spacing w:val="-10"/>
          <w:lang w:val="it-IT"/>
        </w:rPr>
        <w:t>Fricero</w:t>
      </w:r>
      <w:proofErr w:type="spellEnd"/>
      <w:r w:rsidRPr="00EE38F6">
        <w:rPr>
          <w:rFonts w:ascii="NimbusRomNo9L" w:eastAsia="Times New Roman" w:hAnsi="NimbusRomNo9L" w:cs="Times New Roman"/>
          <w:spacing w:val="-10"/>
          <w:lang w:val="it-IT"/>
        </w:rPr>
        <w:t xml:space="preserve">, N. 2021. </w:t>
      </w:r>
      <w:proofErr w:type="spellStart"/>
      <w:r w:rsidRPr="00EE38F6">
        <w:rPr>
          <w:rFonts w:ascii="NimbusRomNo9L" w:eastAsia="Times New Roman" w:hAnsi="NimbusRomNo9L" w:cs="Times New Roman"/>
          <w:i/>
          <w:iCs/>
          <w:spacing w:val="-10"/>
          <w:lang w:val="it-IT"/>
        </w:rPr>
        <w:t>Procédure</w:t>
      </w:r>
      <w:proofErr w:type="spellEnd"/>
      <w:r w:rsidRPr="00EE38F6">
        <w:rPr>
          <w:rFonts w:ascii="NimbusRomNo9L" w:eastAsia="Times New Roman" w:hAnsi="NimbusRomNo9L" w:cs="Times New Roman"/>
          <w:i/>
          <w:iCs/>
          <w:spacing w:val="-10"/>
          <w:lang w:val="it-IT"/>
        </w:rPr>
        <w:t xml:space="preserve"> civile</w:t>
      </w:r>
      <w:r w:rsidRPr="00EE38F6">
        <w:rPr>
          <w:rFonts w:ascii="NimbusRomNo9L" w:eastAsia="Times New Roman" w:hAnsi="NimbusRomNo9L" w:cs="Times New Roman"/>
          <w:spacing w:val="-10"/>
          <w:lang w:val="it-IT"/>
        </w:rPr>
        <w:t xml:space="preserve">. Paris: </w:t>
      </w:r>
      <w:proofErr w:type="spellStart"/>
      <w:r w:rsidRPr="00EE38F6">
        <w:rPr>
          <w:rFonts w:ascii="NimbusRomNo9L" w:eastAsia="Times New Roman" w:hAnsi="NimbusRomNo9L" w:cs="Times New Roman"/>
          <w:spacing w:val="-10"/>
          <w:lang w:val="it-IT"/>
        </w:rPr>
        <w:t>Gualino</w:t>
      </w:r>
      <w:proofErr w:type="spellEnd"/>
      <w:r w:rsidRPr="00EE38F6">
        <w:rPr>
          <w:rFonts w:ascii="NimbusRomNo9L" w:eastAsia="Times New Roman" w:hAnsi="NimbusRomNo9L" w:cs="Times New Roman"/>
          <w:spacing w:val="-10"/>
          <w:lang w:val="it-IT"/>
        </w:rPr>
        <w:t xml:space="preserve"> - </w:t>
      </w:r>
      <w:proofErr w:type="spellStart"/>
      <w:r w:rsidRPr="00EE38F6">
        <w:rPr>
          <w:rFonts w:ascii="NimbusRomNo9L" w:eastAsia="Times New Roman" w:hAnsi="NimbusRomNo9L" w:cs="Times New Roman"/>
          <w:spacing w:val="-10"/>
          <w:lang w:val="it-IT"/>
        </w:rPr>
        <w:t>Lextenso</w:t>
      </w:r>
      <w:proofErr w:type="spellEnd"/>
      <w:r w:rsidRPr="00EE38F6">
        <w:rPr>
          <w:rFonts w:ascii="NimbusRomNo9L" w:eastAsia="Times New Roman" w:hAnsi="NimbusRomNo9L" w:cs="Times New Roman"/>
          <w:spacing w:val="-10"/>
          <w:lang w:val="it-IT"/>
        </w:rPr>
        <w:t xml:space="preserve"> </w:t>
      </w:r>
      <w:proofErr w:type="spellStart"/>
      <w:r w:rsidRPr="00EE38F6">
        <w:rPr>
          <w:rFonts w:ascii="NimbusRomNo9L" w:eastAsia="Times New Roman" w:hAnsi="NimbusRomNo9L" w:cs="Times New Roman"/>
          <w:spacing w:val="-10"/>
          <w:lang w:val="it-IT"/>
        </w:rPr>
        <w:t>Éditions</w:t>
      </w:r>
      <w:proofErr w:type="spellEnd"/>
      <w:r w:rsidRPr="00EE38F6">
        <w:rPr>
          <w:rFonts w:ascii="NimbusRomNo9L" w:eastAsia="Times New Roman" w:hAnsi="NimbusRomNo9L" w:cs="Times New Roman"/>
          <w:spacing w:val="-10"/>
          <w:lang w:val="it-IT"/>
        </w:rPr>
        <w:t xml:space="preserve">. </w:t>
      </w:r>
    </w:p>
    <w:p w14:paraId="6B69345B" w14:textId="77777777"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proofErr w:type="spellStart"/>
      <w:r w:rsidRPr="00166361">
        <w:rPr>
          <w:rFonts w:ascii="NimbusRomNo9L" w:eastAsia="Times New Roman" w:hAnsi="NimbusRomNo9L" w:cs="Times New Roman"/>
          <w:spacing w:val="-10"/>
          <w:lang w:val="en-US"/>
        </w:rPr>
        <w:t>Fricero</w:t>
      </w:r>
      <w:proofErr w:type="spellEnd"/>
      <w:r w:rsidRPr="00166361">
        <w:rPr>
          <w:rFonts w:ascii="NimbusRomNo9L" w:eastAsia="Times New Roman" w:hAnsi="NimbusRomNo9L" w:cs="Times New Roman"/>
          <w:spacing w:val="-10"/>
          <w:lang w:val="en-US"/>
        </w:rPr>
        <w:t xml:space="preserve">, N. 2015. </w:t>
      </w:r>
      <w:proofErr w:type="spellStart"/>
      <w:r w:rsidRPr="00166361">
        <w:rPr>
          <w:rFonts w:ascii="NimbusRomNo9L" w:eastAsia="Times New Roman" w:hAnsi="NimbusRomNo9L" w:cs="Times New Roman"/>
          <w:i/>
          <w:iCs/>
          <w:spacing w:val="-10"/>
          <w:lang w:val="en-US"/>
        </w:rPr>
        <w:t>L’essentiel</w:t>
      </w:r>
      <w:proofErr w:type="spellEnd"/>
      <w:r w:rsidRPr="00166361">
        <w:rPr>
          <w:rFonts w:ascii="NimbusRomNo9L" w:eastAsia="Times New Roman" w:hAnsi="NimbusRomNo9L" w:cs="Times New Roman"/>
          <w:i/>
          <w:iCs/>
          <w:spacing w:val="-10"/>
          <w:lang w:val="en-US"/>
        </w:rPr>
        <w:t xml:space="preserve"> de la </w:t>
      </w:r>
      <w:proofErr w:type="spellStart"/>
      <w:r w:rsidRPr="00166361">
        <w:rPr>
          <w:rFonts w:ascii="NimbusRomNo9L" w:eastAsia="Times New Roman" w:hAnsi="NimbusRomNo9L" w:cs="Times New Roman"/>
          <w:i/>
          <w:iCs/>
          <w:spacing w:val="-10"/>
          <w:lang w:val="en-US"/>
        </w:rPr>
        <w:t>procédure</w:t>
      </w:r>
      <w:proofErr w:type="spellEnd"/>
      <w:r w:rsidRPr="00166361">
        <w:rPr>
          <w:rFonts w:ascii="NimbusRomNo9L" w:eastAsia="Times New Roman" w:hAnsi="NimbusRomNo9L" w:cs="Times New Roman"/>
          <w:i/>
          <w:iCs/>
          <w:spacing w:val="-10"/>
          <w:lang w:val="en-US"/>
        </w:rPr>
        <w:t xml:space="preserve"> </w:t>
      </w:r>
      <w:proofErr w:type="spellStart"/>
      <w:r w:rsidRPr="00166361">
        <w:rPr>
          <w:rFonts w:ascii="NimbusRomNo9L" w:eastAsia="Times New Roman" w:hAnsi="NimbusRomNo9L" w:cs="Times New Roman"/>
          <w:i/>
          <w:iCs/>
          <w:spacing w:val="-10"/>
          <w:lang w:val="en-US"/>
        </w:rPr>
        <w:t>civile</w:t>
      </w:r>
      <w:proofErr w:type="spellEnd"/>
      <w:r w:rsidRPr="00166361">
        <w:rPr>
          <w:rFonts w:ascii="NimbusRomNo9L" w:eastAsia="Times New Roman" w:hAnsi="NimbusRomNo9L" w:cs="Times New Roman"/>
          <w:spacing w:val="-10"/>
          <w:lang w:val="en-US"/>
        </w:rPr>
        <w:t xml:space="preserve">. Paris: </w:t>
      </w:r>
      <w:proofErr w:type="spellStart"/>
      <w:r w:rsidRPr="00166361">
        <w:rPr>
          <w:rFonts w:ascii="NimbusRomNo9L" w:eastAsia="Times New Roman" w:hAnsi="NimbusRomNo9L" w:cs="Times New Roman"/>
          <w:spacing w:val="-10"/>
          <w:lang w:val="en-US"/>
        </w:rPr>
        <w:t>Gualino</w:t>
      </w:r>
      <w:proofErr w:type="spellEnd"/>
      <w:r w:rsidRPr="00166361">
        <w:rPr>
          <w:rFonts w:ascii="NimbusRomNo9L" w:eastAsia="Times New Roman" w:hAnsi="NimbusRomNo9L" w:cs="Times New Roman"/>
          <w:spacing w:val="-10"/>
          <w:lang w:val="en-US"/>
        </w:rPr>
        <w:t xml:space="preserve"> - </w:t>
      </w:r>
      <w:proofErr w:type="spellStart"/>
      <w:r w:rsidRPr="00166361">
        <w:rPr>
          <w:rFonts w:ascii="NimbusRomNo9L" w:eastAsia="Times New Roman" w:hAnsi="NimbusRomNo9L" w:cs="Times New Roman"/>
          <w:spacing w:val="-10"/>
          <w:lang w:val="en-US"/>
        </w:rPr>
        <w:t>Lextenso</w:t>
      </w:r>
      <w:proofErr w:type="spellEnd"/>
      <w:r w:rsidRPr="00166361">
        <w:rPr>
          <w:rFonts w:ascii="NimbusRomNo9L" w:eastAsia="Times New Roman" w:hAnsi="NimbusRomNo9L" w:cs="Times New Roman"/>
          <w:spacing w:val="-10"/>
          <w:lang w:val="en-US"/>
        </w:rPr>
        <w:t xml:space="preserve"> </w:t>
      </w:r>
      <w:proofErr w:type="spellStart"/>
      <w:r w:rsidRPr="00166361">
        <w:rPr>
          <w:rFonts w:ascii="NimbusRomNo9L" w:eastAsia="Times New Roman" w:hAnsi="NimbusRomNo9L" w:cs="Times New Roman"/>
          <w:spacing w:val="-10"/>
          <w:lang w:val="en-US"/>
        </w:rPr>
        <w:t>Éditions</w:t>
      </w:r>
      <w:proofErr w:type="spellEnd"/>
      <w:r w:rsidRPr="00166361">
        <w:rPr>
          <w:rFonts w:ascii="NimbusRomNo9L" w:eastAsia="Times New Roman" w:hAnsi="NimbusRomNo9L" w:cs="Times New Roman"/>
          <w:spacing w:val="-10"/>
          <w:lang w:val="en-US"/>
        </w:rPr>
        <w:t xml:space="preserve">. </w:t>
      </w:r>
    </w:p>
    <w:p w14:paraId="0F22A6F4" w14:textId="3D2C69E4" w:rsidR="00A354F4" w:rsidRPr="00A354F4" w:rsidRDefault="00A354F4" w:rsidP="00A354F4">
      <w:pPr>
        <w:pStyle w:val="ListParagraph"/>
        <w:numPr>
          <w:ilvl w:val="0"/>
          <w:numId w:val="4"/>
        </w:numPr>
        <w:ind w:left="284" w:hanging="283"/>
        <w:jc w:val="both"/>
        <w:rPr>
          <w:rFonts w:ascii="NimbusRomNo9L" w:hAnsi="NimbusRomNo9L"/>
          <w:spacing w:val="-10"/>
          <w:lang w:val="fr-FR"/>
        </w:rPr>
      </w:pPr>
      <w:proofErr w:type="spellStart"/>
      <w:r w:rsidRPr="00A354F4">
        <w:rPr>
          <w:rFonts w:ascii="NimbusRomNo9L" w:hAnsi="NimbusRomNo9L"/>
          <w:spacing w:val="-10"/>
          <w:lang w:val="en-US"/>
        </w:rPr>
        <w:t>Garapon</w:t>
      </w:r>
      <w:proofErr w:type="spellEnd"/>
      <w:r w:rsidRPr="00A354F4">
        <w:rPr>
          <w:rFonts w:ascii="NimbusRomNo9L" w:hAnsi="NimbusRomNo9L"/>
          <w:spacing w:val="-10"/>
          <w:lang w:val="en-US"/>
        </w:rPr>
        <w:t xml:space="preserve">, A. (1995). French Legal Culture and the Shock of 'Globalization'. </w:t>
      </w:r>
      <w:r w:rsidRPr="00A354F4">
        <w:rPr>
          <w:rFonts w:ascii="NimbusRomNo9L" w:hAnsi="NimbusRomNo9L"/>
          <w:i/>
          <w:iCs/>
          <w:spacing w:val="-10"/>
          <w:lang w:val="fr-FR"/>
        </w:rPr>
        <w:t xml:space="preserve">Social &amp; </w:t>
      </w:r>
      <w:proofErr w:type="spellStart"/>
      <w:r w:rsidRPr="00A354F4">
        <w:rPr>
          <w:rFonts w:ascii="NimbusRomNo9L" w:hAnsi="NimbusRomNo9L"/>
          <w:i/>
          <w:iCs/>
          <w:spacing w:val="-10"/>
          <w:lang w:val="fr-FR"/>
        </w:rPr>
        <w:t>Legal</w:t>
      </w:r>
      <w:proofErr w:type="spellEnd"/>
      <w:r w:rsidRPr="00A354F4">
        <w:rPr>
          <w:rFonts w:ascii="NimbusRomNo9L" w:hAnsi="NimbusRomNo9L"/>
          <w:i/>
          <w:iCs/>
          <w:spacing w:val="-10"/>
          <w:lang w:val="fr-FR"/>
        </w:rPr>
        <w:t xml:space="preserve"> </w:t>
      </w:r>
      <w:proofErr w:type="spellStart"/>
      <w:r w:rsidRPr="00A354F4">
        <w:rPr>
          <w:rFonts w:ascii="NimbusRomNo9L" w:hAnsi="NimbusRomNo9L"/>
          <w:i/>
          <w:iCs/>
          <w:spacing w:val="-10"/>
          <w:lang w:val="fr-FR"/>
        </w:rPr>
        <w:t>Studies</w:t>
      </w:r>
      <w:proofErr w:type="spellEnd"/>
      <w:r w:rsidRPr="00A354F4">
        <w:rPr>
          <w:rFonts w:ascii="NimbusRomNo9L" w:hAnsi="NimbusRomNo9L"/>
          <w:spacing w:val="-10"/>
          <w:lang w:val="fr-FR"/>
        </w:rPr>
        <w:t xml:space="preserve">, </w:t>
      </w:r>
      <w:r w:rsidRPr="00A354F4">
        <w:rPr>
          <w:rFonts w:ascii="NimbusRomNo9L" w:hAnsi="NimbusRomNo9L"/>
          <w:i/>
          <w:iCs/>
          <w:spacing w:val="-10"/>
          <w:lang w:val="fr-FR"/>
        </w:rPr>
        <w:t>4</w:t>
      </w:r>
      <w:r w:rsidRPr="00A354F4">
        <w:rPr>
          <w:rFonts w:ascii="NimbusRomNo9L" w:hAnsi="NimbusRomNo9L"/>
          <w:spacing w:val="-10"/>
          <w:lang w:val="fr-FR"/>
        </w:rPr>
        <w:t>(4), 493-506.</w:t>
      </w:r>
    </w:p>
    <w:p w14:paraId="3E0A70A2" w14:textId="3F6BA539" w:rsidR="00800903" w:rsidRPr="00166361" w:rsidRDefault="00A354F4" w:rsidP="00A354F4">
      <w:pPr>
        <w:pStyle w:val="ListParagraph"/>
        <w:numPr>
          <w:ilvl w:val="0"/>
          <w:numId w:val="4"/>
        </w:numPr>
        <w:ind w:left="284" w:hanging="283"/>
        <w:jc w:val="both"/>
        <w:rPr>
          <w:rFonts w:ascii="Times New Roman" w:eastAsia="Times New Roman" w:hAnsi="Times New Roman" w:cs="Times New Roman"/>
          <w:spacing w:val="-10"/>
          <w:lang w:val="en-US"/>
        </w:rPr>
      </w:pPr>
      <w:r w:rsidRPr="00A354F4">
        <w:rPr>
          <w:rFonts w:ascii="NimbusRomNo9L" w:eastAsia="Times New Roman" w:hAnsi="NimbusRomNo9L" w:cs="Times New Roman"/>
          <w:spacing w:val="-10"/>
          <w:lang w:val="en-US"/>
        </w:rPr>
        <w:t xml:space="preserve"> </w:t>
      </w:r>
      <w:proofErr w:type="spellStart"/>
      <w:r w:rsidR="00800903" w:rsidRPr="00166361">
        <w:rPr>
          <w:rFonts w:ascii="NimbusRomNo9L" w:eastAsia="Times New Roman" w:hAnsi="NimbusRomNo9L" w:cs="Times New Roman"/>
          <w:spacing w:val="-10"/>
          <w:lang w:val="en-US"/>
        </w:rPr>
        <w:t>Garoupa</w:t>
      </w:r>
      <w:proofErr w:type="spellEnd"/>
      <w:r w:rsidR="00800903" w:rsidRPr="00166361">
        <w:rPr>
          <w:rFonts w:ascii="NimbusRomNo9L" w:eastAsia="Times New Roman" w:hAnsi="NimbusRomNo9L" w:cs="Times New Roman"/>
          <w:spacing w:val="-10"/>
          <w:lang w:val="en-US"/>
        </w:rPr>
        <w:t xml:space="preserve">, N. 2008. Providing a Framework for Reforming the Legal Profession: Insights from the European Experience, </w:t>
      </w:r>
      <w:r w:rsidR="00800903" w:rsidRPr="00166361">
        <w:rPr>
          <w:rFonts w:ascii="NimbusRomNo9L" w:eastAsia="Times New Roman" w:hAnsi="NimbusRomNo9L" w:cs="Times New Roman"/>
          <w:i/>
          <w:spacing w:val="-10"/>
          <w:lang w:val="en-US"/>
        </w:rPr>
        <w:t>European Business Organization Law Review,</w:t>
      </w:r>
      <w:r w:rsidR="00800903" w:rsidRPr="00166361">
        <w:rPr>
          <w:rFonts w:ascii="NimbusRomNo9L" w:eastAsia="Times New Roman" w:hAnsi="NimbusRomNo9L" w:cs="Times New Roman"/>
          <w:spacing w:val="-10"/>
          <w:lang w:val="en-US"/>
        </w:rPr>
        <w:t xml:space="preserve"> 9: 463-495</w:t>
      </w:r>
    </w:p>
    <w:p w14:paraId="318FCE25" w14:textId="66AAE022"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EE38F6">
        <w:rPr>
          <w:rFonts w:ascii="NimbusRomNo9L" w:eastAsia="Times New Roman" w:hAnsi="NimbusRomNo9L" w:cs="Times New Roman"/>
          <w:spacing w:val="-10"/>
          <w:lang w:val="fr-FR"/>
        </w:rPr>
        <w:t xml:space="preserve">Gauthier, C. 2014. Les professions juridiques et judiciaires </w:t>
      </w:r>
      <w:proofErr w:type="spellStart"/>
      <w:r w:rsidRPr="00EE38F6">
        <w:rPr>
          <w:rFonts w:ascii="NimbusRomNo9L" w:eastAsia="Times New Roman" w:hAnsi="NimbusRomNo9L" w:cs="Times New Roman"/>
          <w:spacing w:val="-10"/>
          <w:lang w:val="fr-FR"/>
        </w:rPr>
        <w:t>françaises</w:t>
      </w:r>
      <w:proofErr w:type="spellEnd"/>
      <w:r w:rsidRPr="00EE38F6">
        <w:rPr>
          <w:rFonts w:ascii="NimbusRomNo9L" w:eastAsia="Times New Roman" w:hAnsi="NimbusRomNo9L" w:cs="Times New Roman"/>
          <w:spacing w:val="-10"/>
          <w:lang w:val="fr-FR"/>
        </w:rPr>
        <w:t xml:space="preserve"> dans le paysage </w:t>
      </w:r>
      <w:proofErr w:type="spellStart"/>
      <w:proofErr w:type="gramStart"/>
      <w:r w:rsidRPr="00EE38F6">
        <w:rPr>
          <w:rFonts w:ascii="NimbusRomNo9L" w:eastAsia="Times New Roman" w:hAnsi="NimbusRomNo9L" w:cs="Times New Roman"/>
          <w:spacing w:val="-10"/>
          <w:lang w:val="fr-FR"/>
        </w:rPr>
        <w:t>européen</w:t>
      </w:r>
      <w:proofErr w:type="spellEnd"/>
      <w:r w:rsidRPr="00EE38F6">
        <w:rPr>
          <w:rFonts w:ascii="NimbusRomNo9L" w:eastAsia="Times New Roman" w:hAnsi="NimbusRomNo9L" w:cs="Times New Roman"/>
          <w:spacing w:val="-10"/>
          <w:lang w:val="fr-FR"/>
        </w:rPr>
        <w:t>:</w:t>
      </w:r>
      <w:proofErr w:type="gramEnd"/>
      <w:r w:rsidRPr="00EE38F6">
        <w:rPr>
          <w:rFonts w:ascii="NimbusRomNo9L" w:eastAsia="Times New Roman" w:hAnsi="NimbusRomNo9L" w:cs="Times New Roman"/>
          <w:spacing w:val="-10"/>
          <w:lang w:val="fr-FR"/>
        </w:rPr>
        <w:t xml:space="preserve"> Quelle </w:t>
      </w:r>
      <w:proofErr w:type="spellStart"/>
      <w:r w:rsidRPr="00EE38F6">
        <w:rPr>
          <w:rFonts w:ascii="NimbusRomNo9L" w:eastAsia="Times New Roman" w:hAnsi="NimbusRomNo9L" w:cs="Times New Roman"/>
          <w:spacing w:val="-10"/>
          <w:lang w:val="fr-FR"/>
        </w:rPr>
        <w:t>spécificite</w:t>
      </w:r>
      <w:proofErr w:type="spellEnd"/>
      <w:r w:rsidRPr="00EE38F6">
        <w:rPr>
          <w:rFonts w:ascii="NimbusRomNo9L" w:eastAsia="Times New Roman" w:hAnsi="NimbusRomNo9L" w:cs="Times New Roman"/>
          <w:spacing w:val="-10"/>
          <w:lang w:val="fr-FR"/>
        </w:rPr>
        <w:t xml:space="preserve">́? </w:t>
      </w:r>
      <w:r w:rsidRPr="00166361">
        <w:rPr>
          <w:rFonts w:ascii="NimbusRomNo9L" w:eastAsia="Times New Roman" w:hAnsi="NimbusRomNo9L" w:cs="Times New Roman"/>
          <w:i/>
          <w:iCs/>
          <w:spacing w:val="-10"/>
          <w:lang w:val="en-US"/>
        </w:rPr>
        <w:t>Les Cahiers de la Justice</w:t>
      </w:r>
      <w:r w:rsidRPr="00166361">
        <w:rPr>
          <w:rFonts w:ascii="NimbusRomNo9L" w:eastAsia="Times New Roman" w:hAnsi="NimbusRomNo9L" w:cs="Times New Roman"/>
          <w:spacing w:val="-10"/>
          <w:lang w:val="en-US"/>
        </w:rPr>
        <w:t xml:space="preserve">, 4(4): 645-658. </w:t>
      </w:r>
    </w:p>
    <w:p w14:paraId="63C59E2D" w14:textId="04585A89" w:rsidR="00166B6A" w:rsidRPr="00166B6A" w:rsidRDefault="00166B6A"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166B6A">
        <w:rPr>
          <w:rFonts w:ascii="NimbusRomNo9L" w:eastAsia="Times New Roman" w:hAnsi="NimbusRomNo9L" w:cs="Times New Roman"/>
          <w:spacing w:val="-10"/>
          <w:lang w:val="en-US"/>
        </w:rPr>
        <w:t xml:space="preserve">Gilman, M. (2014). A Court for the One Percent: How the Supreme Court Contributes to Economic Inequality. </w:t>
      </w:r>
      <w:r w:rsidRPr="00166B6A">
        <w:rPr>
          <w:rFonts w:ascii="NimbusRomNo9L" w:eastAsia="Times New Roman" w:hAnsi="NimbusRomNo9L" w:cs="Times New Roman"/>
          <w:i/>
          <w:spacing w:val="-10"/>
          <w:lang w:val="en-US"/>
        </w:rPr>
        <w:t>Utah Law Review</w:t>
      </w:r>
      <w:r w:rsidRPr="00166B6A">
        <w:rPr>
          <w:rFonts w:ascii="NimbusRomNo9L" w:eastAsia="Times New Roman" w:hAnsi="NimbusRomNo9L" w:cs="Times New Roman"/>
          <w:spacing w:val="-10"/>
          <w:lang w:val="en-US"/>
        </w:rPr>
        <w:t xml:space="preserve">, 389. </w:t>
      </w:r>
    </w:p>
    <w:p w14:paraId="74E42C5E" w14:textId="547D3E23" w:rsidR="00800903" w:rsidRPr="001800F7"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166361">
        <w:rPr>
          <w:rFonts w:ascii="NimbusRomNo9L" w:eastAsia="Times New Roman" w:hAnsi="NimbusRomNo9L" w:cs="Times New Roman"/>
          <w:spacing w:val="-10"/>
          <w:lang w:val="en-US"/>
        </w:rPr>
        <w:t xml:space="preserve">Ginsburg, T. and G. </w:t>
      </w:r>
      <w:proofErr w:type="spellStart"/>
      <w:r w:rsidRPr="00166361">
        <w:rPr>
          <w:rFonts w:ascii="NimbusRomNo9L" w:eastAsia="Times New Roman" w:hAnsi="NimbusRomNo9L" w:cs="Times New Roman"/>
          <w:spacing w:val="-10"/>
          <w:lang w:val="en-US"/>
        </w:rPr>
        <w:t>Hoetker</w:t>
      </w:r>
      <w:proofErr w:type="spellEnd"/>
      <w:r w:rsidRPr="00166361">
        <w:rPr>
          <w:rFonts w:ascii="NimbusRomNo9L" w:eastAsia="Times New Roman" w:hAnsi="NimbusRomNo9L" w:cs="Times New Roman"/>
          <w:spacing w:val="-10"/>
          <w:lang w:val="en-US"/>
        </w:rPr>
        <w:t xml:space="preserve">. 2006. The </w:t>
      </w:r>
      <w:proofErr w:type="spellStart"/>
      <w:r w:rsidRPr="00166361">
        <w:rPr>
          <w:rFonts w:ascii="NimbusRomNo9L" w:eastAsia="Times New Roman" w:hAnsi="NimbusRomNo9L" w:cs="Times New Roman"/>
          <w:spacing w:val="-10"/>
          <w:lang w:val="en-US"/>
        </w:rPr>
        <w:t>Unreluctant</w:t>
      </w:r>
      <w:proofErr w:type="spellEnd"/>
      <w:r w:rsidRPr="00166361">
        <w:rPr>
          <w:rFonts w:ascii="NimbusRomNo9L" w:eastAsia="Times New Roman" w:hAnsi="NimbusRomNo9L" w:cs="Times New Roman"/>
          <w:spacing w:val="-10"/>
          <w:lang w:val="en-US"/>
        </w:rPr>
        <w:t xml:space="preserve"> Litigant? An Empirical Analysis of Japan’s Turn to Litigation. </w:t>
      </w:r>
      <w:r w:rsidRPr="00166361">
        <w:rPr>
          <w:rFonts w:ascii="NimbusRomNo9L" w:eastAsia="Times New Roman" w:hAnsi="NimbusRomNo9L" w:cs="Times New Roman"/>
          <w:i/>
          <w:iCs/>
          <w:spacing w:val="-10"/>
          <w:lang w:val="en-US"/>
        </w:rPr>
        <w:t>The Journal of Legal Studies</w:t>
      </w:r>
      <w:r w:rsidRPr="00166361">
        <w:rPr>
          <w:rFonts w:ascii="NimbusRomNo9L" w:eastAsia="Times New Roman" w:hAnsi="NimbusRomNo9L" w:cs="Times New Roman"/>
          <w:spacing w:val="-10"/>
          <w:lang w:val="en-US"/>
        </w:rPr>
        <w:t xml:space="preserve">, 35(1): 31-59. </w:t>
      </w:r>
    </w:p>
    <w:p w14:paraId="7B63396F" w14:textId="0C6A6431" w:rsidR="001800F7" w:rsidRPr="001800F7" w:rsidRDefault="001800F7" w:rsidP="00800903">
      <w:pPr>
        <w:pStyle w:val="ListParagraph"/>
        <w:numPr>
          <w:ilvl w:val="0"/>
          <w:numId w:val="4"/>
        </w:numPr>
        <w:ind w:left="284" w:hanging="283"/>
        <w:jc w:val="both"/>
        <w:rPr>
          <w:rFonts w:ascii="NimbusRomNo9L" w:eastAsia="Times New Roman" w:hAnsi="NimbusRomNo9L" w:cs="Times New Roman"/>
          <w:spacing w:val="-10"/>
          <w:lang w:val="en-US"/>
        </w:rPr>
      </w:pPr>
      <w:proofErr w:type="spellStart"/>
      <w:r w:rsidRPr="001800F7">
        <w:rPr>
          <w:rFonts w:ascii="NimbusRomNo9L" w:eastAsia="Times New Roman" w:hAnsi="NimbusRomNo9L" w:cs="Times New Roman"/>
          <w:spacing w:val="-10"/>
          <w:lang w:val="en-US"/>
        </w:rPr>
        <w:t>Goodpaster</w:t>
      </w:r>
      <w:proofErr w:type="spellEnd"/>
      <w:r w:rsidRPr="001800F7">
        <w:rPr>
          <w:rFonts w:ascii="NimbusRomNo9L" w:eastAsia="Times New Roman" w:hAnsi="NimbusRomNo9L" w:cs="Times New Roman"/>
          <w:spacing w:val="-10"/>
          <w:lang w:val="en-US"/>
        </w:rPr>
        <w:t xml:space="preserve">, G. (1992). Lawsuits as negotiations. </w:t>
      </w:r>
      <w:proofErr w:type="spellStart"/>
      <w:r w:rsidRPr="001800F7">
        <w:rPr>
          <w:rFonts w:ascii="NimbusRomNo9L" w:eastAsia="Times New Roman" w:hAnsi="NimbusRomNo9L" w:cs="Times New Roman"/>
          <w:spacing w:val="-10"/>
          <w:lang w:val="en-US"/>
        </w:rPr>
        <w:t>Negot.</w:t>
      </w:r>
      <w:r w:rsidR="00EE2AFF" w:rsidRPr="00EE2AFF">
        <w:rPr>
          <w:rFonts w:ascii="NimbusRomNo9L" w:eastAsia="Times New Roman" w:hAnsi="NimbusRomNo9L" w:cs="Times New Roman"/>
          <w:i/>
          <w:spacing w:val="-10"/>
          <w:lang w:val="en-US"/>
        </w:rPr>
        <w:t>iation</w:t>
      </w:r>
      <w:proofErr w:type="spellEnd"/>
      <w:r w:rsidR="00EE2AFF" w:rsidRPr="00EE2AFF">
        <w:rPr>
          <w:rFonts w:ascii="NimbusRomNo9L" w:eastAsia="Times New Roman" w:hAnsi="NimbusRomNo9L" w:cs="Times New Roman"/>
          <w:i/>
          <w:spacing w:val="-10"/>
          <w:lang w:val="en-US"/>
        </w:rPr>
        <w:t xml:space="preserve"> </w:t>
      </w:r>
      <w:r w:rsidRPr="00EE2AFF">
        <w:rPr>
          <w:rFonts w:ascii="NimbusRomNo9L" w:eastAsia="Times New Roman" w:hAnsi="NimbusRomNo9L" w:cs="Times New Roman"/>
          <w:i/>
          <w:spacing w:val="-10"/>
          <w:lang w:val="en-US"/>
        </w:rPr>
        <w:t>J</w:t>
      </w:r>
      <w:r w:rsidR="00EE2AFF" w:rsidRPr="00EE2AFF">
        <w:rPr>
          <w:rFonts w:ascii="NimbusRomNo9L" w:eastAsia="Times New Roman" w:hAnsi="NimbusRomNo9L" w:cs="Times New Roman"/>
          <w:i/>
          <w:spacing w:val="-10"/>
          <w:lang w:val="en-US"/>
        </w:rPr>
        <w:t>ournal</w:t>
      </w:r>
      <w:r w:rsidRPr="001800F7">
        <w:rPr>
          <w:rFonts w:ascii="NimbusRomNo9L" w:eastAsia="Times New Roman" w:hAnsi="NimbusRomNo9L" w:cs="Times New Roman"/>
          <w:spacing w:val="-10"/>
          <w:lang w:val="en-US"/>
        </w:rPr>
        <w:t>, 8, 221</w:t>
      </w:r>
      <w:r w:rsidR="00EE2AFF">
        <w:rPr>
          <w:rFonts w:ascii="NimbusRomNo9L" w:eastAsia="Times New Roman" w:hAnsi="NimbusRomNo9L" w:cs="Times New Roman"/>
          <w:spacing w:val="-10"/>
          <w:lang w:val="en-US"/>
        </w:rPr>
        <w:t>-240.</w:t>
      </w:r>
    </w:p>
    <w:p w14:paraId="58D1AA4A" w14:textId="77777777" w:rsidR="003D0979" w:rsidRPr="003D0979" w:rsidRDefault="003D0979" w:rsidP="00800903">
      <w:pPr>
        <w:pStyle w:val="ListParagraph"/>
        <w:numPr>
          <w:ilvl w:val="0"/>
          <w:numId w:val="4"/>
        </w:numPr>
        <w:ind w:left="284" w:hanging="283"/>
        <w:jc w:val="both"/>
        <w:rPr>
          <w:rFonts w:ascii="Times New Roman" w:eastAsia="Times New Roman" w:hAnsi="Times New Roman" w:cs="Times New Roman"/>
          <w:spacing w:val="-10"/>
          <w:lang w:val="en-US"/>
        </w:rPr>
      </w:pPr>
      <w:proofErr w:type="spellStart"/>
      <w:r w:rsidRPr="003D0979">
        <w:rPr>
          <w:rFonts w:ascii="NimbusRomNo9L" w:eastAsia="Times New Roman" w:hAnsi="NimbusRomNo9L" w:cs="Times New Roman"/>
          <w:spacing w:val="-10"/>
          <w:lang w:val="en-US"/>
        </w:rPr>
        <w:t>Grajzl</w:t>
      </w:r>
      <w:proofErr w:type="spellEnd"/>
      <w:r w:rsidRPr="003D0979">
        <w:rPr>
          <w:rFonts w:ascii="NimbusRomNo9L" w:eastAsia="Times New Roman" w:hAnsi="NimbusRomNo9L" w:cs="Times New Roman"/>
          <w:spacing w:val="-10"/>
          <w:lang w:val="en-US"/>
        </w:rPr>
        <w:t xml:space="preserve">, P., &amp; </w:t>
      </w:r>
      <w:proofErr w:type="spellStart"/>
      <w:r w:rsidRPr="003D0979">
        <w:rPr>
          <w:rFonts w:ascii="NimbusRomNo9L" w:eastAsia="Times New Roman" w:hAnsi="NimbusRomNo9L" w:cs="Times New Roman"/>
          <w:spacing w:val="-10"/>
          <w:lang w:val="en-US"/>
        </w:rPr>
        <w:t>Zajc</w:t>
      </w:r>
      <w:proofErr w:type="spellEnd"/>
      <w:r w:rsidRPr="003D0979">
        <w:rPr>
          <w:rFonts w:ascii="NimbusRomNo9L" w:eastAsia="Times New Roman" w:hAnsi="NimbusRomNo9L" w:cs="Times New Roman"/>
          <w:spacing w:val="-10"/>
          <w:lang w:val="en-US"/>
        </w:rPr>
        <w:t xml:space="preserve">, K. (2017). Litigation and the timing of settlement: evidence from commercial disputes. </w:t>
      </w:r>
      <w:r w:rsidRPr="003D0979">
        <w:rPr>
          <w:rFonts w:ascii="NimbusRomNo9L" w:eastAsia="Times New Roman" w:hAnsi="NimbusRomNo9L" w:cs="Times New Roman"/>
          <w:i/>
          <w:spacing w:val="-10"/>
          <w:lang w:val="en-US"/>
        </w:rPr>
        <w:t>European Journal of Law and Economics</w:t>
      </w:r>
      <w:r w:rsidRPr="003D0979">
        <w:rPr>
          <w:rFonts w:ascii="NimbusRomNo9L" w:eastAsia="Times New Roman" w:hAnsi="NimbusRomNo9L" w:cs="Times New Roman"/>
          <w:spacing w:val="-10"/>
          <w:lang w:val="en-US"/>
        </w:rPr>
        <w:t xml:space="preserve">, 44, 287-319. </w:t>
      </w:r>
    </w:p>
    <w:p w14:paraId="70870490" w14:textId="2D52B40A"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166361">
        <w:rPr>
          <w:rFonts w:ascii="NimbusRomNo9L" w:eastAsia="Times New Roman" w:hAnsi="NimbusRomNo9L" w:cs="Times New Roman"/>
          <w:spacing w:val="-10"/>
          <w:lang w:val="en-US"/>
        </w:rPr>
        <w:t xml:space="preserve">Hadfield, G.K. 2000. The Price of Law: How the Market for Lawyers Distorts the Justice System. </w:t>
      </w:r>
      <w:r w:rsidRPr="00166361">
        <w:rPr>
          <w:rFonts w:ascii="NimbusRomNo9L" w:eastAsia="Times New Roman" w:hAnsi="NimbusRomNo9L" w:cs="Times New Roman"/>
          <w:i/>
          <w:iCs/>
          <w:spacing w:val="-10"/>
          <w:lang w:val="en-US"/>
        </w:rPr>
        <w:t>Michigan Law Review</w:t>
      </w:r>
      <w:r w:rsidRPr="00166361">
        <w:rPr>
          <w:rFonts w:ascii="NimbusRomNo9L" w:eastAsia="Times New Roman" w:hAnsi="NimbusRomNo9L" w:cs="Times New Roman"/>
          <w:spacing w:val="-10"/>
          <w:lang w:val="en-US"/>
        </w:rPr>
        <w:t xml:space="preserve">, 98(4): 953-1006. </w:t>
      </w:r>
    </w:p>
    <w:p w14:paraId="06C6F03E" w14:textId="772013C9"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166361">
        <w:rPr>
          <w:rFonts w:ascii="NimbusRomNo9L" w:eastAsia="Times New Roman" w:hAnsi="NimbusRomNo9L" w:cs="Times New Roman"/>
          <w:spacing w:val="-10"/>
          <w:lang w:val="en-US"/>
        </w:rPr>
        <w:t xml:space="preserve">He, X., X. Pan, K. Ming Tan, and W.Z. Zhou. 2021. Smoothed quantile regression with large-scale inference, </w:t>
      </w:r>
      <w:r w:rsidRPr="00166361">
        <w:rPr>
          <w:rFonts w:ascii="NimbusRomNo9L" w:eastAsia="Times New Roman" w:hAnsi="NimbusRomNo9L" w:cs="Times New Roman"/>
          <w:i/>
          <w:iCs/>
          <w:spacing w:val="-10"/>
          <w:lang w:val="en-US"/>
        </w:rPr>
        <w:t>Journal of Econometrics</w:t>
      </w:r>
      <w:r w:rsidRPr="00166361">
        <w:rPr>
          <w:rFonts w:ascii="NimbusRomNo9L" w:eastAsia="Times New Roman" w:hAnsi="NimbusRomNo9L" w:cs="Times New Roman"/>
          <w:spacing w:val="-10"/>
          <w:lang w:val="en-US"/>
        </w:rPr>
        <w:t xml:space="preserve">. </w:t>
      </w:r>
      <w:proofErr w:type="spellStart"/>
      <w:r w:rsidRPr="00166361">
        <w:rPr>
          <w:rFonts w:ascii="NimbusRomNo9L" w:eastAsia="Times New Roman" w:hAnsi="NimbusRomNo9L" w:cs="Times New Roman"/>
          <w:spacing w:val="-10"/>
          <w:lang w:val="en-US"/>
        </w:rPr>
        <w:t>doi</w:t>
      </w:r>
      <w:proofErr w:type="spellEnd"/>
      <w:r w:rsidRPr="00166361">
        <w:rPr>
          <w:rFonts w:ascii="NimbusRomNo9L" w:eastAsia="Times New Roman" w:hAnsi="NimbusRomNo9L" w:cs="Times New Roman"/>
          <w:spacing w:val="-10"/>
          <w:lang w:val="en-US"/>
        </w:rPr>
        <w:t xml:space="preserve">: https://doi.org/10.1016/j.jeconom.2021.07.010. </w:t>
      </w:r>
    </w:p>
    <w:p w14:paraId="18FB2B9B" w14:textId="24A3EACD"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proofErr w:type="spellStart"/>
      <w:r w:rsidRPr="00166361">
        <w:rPr>
          <w:rFonts w:ascii="NimbusRomNo9L" w:eastAsia="Times New Roman" w:hAnsi="NimbusRomNo9L" w:cs="Times New Roman"/>
          <w:spacing w:val="-10"/>
          <w:lang w:val="en-US"/>
        </w:rPr>
        <w:t>Heise</w:t>
      </w:r>
      <w:proofErr w:type="spellEnd"/>
      <w:r w:rsidRPr="00166361">
        <w:rPr>
          <w:rFonts w:ascii="NimbusRomNo9L" w:eastAsia="Times New Roman" w:hAnsi="NimbusRomNo9L" w:cs="Times New Roman"/>
          <w:spacing w:val="-10"/>
          <w:lang w:val="en-US"/>
        </w:rPr>
        <w:t xml:space="preserve">, M. 2000. Justice Delayed: An Empirical Analysis of Civil Case Disposition </w:t>
      </w:r>
      <w:proofErr w:type="gramStart"/>
      <w:r w:rsidRPr="00166361">
        <w:rPr>
          <w:rFonts w:ascii="NimbusRomNo9L" w:eastAsia="Times New Roman" w:hAnsi="NimbusRomNo9L" w:cs="Times New Roman"/>
          <w:spacing w:val="-10"/>
          <w:lang w:val="en-US"/>
        </w:rPr>
        <w:t>Time?.</w:t>
      </w:r>
      <w:proofErr w:type="gramEnd"/>
      <w:r w:rsidRPr="00166361">
        <w:rPr>
          <w:rFonts w:ascii="NimbusRomNo9L" w:eastAsia="Times New Roman" w:hAnsi="NimbusRomNo9L" w:cs="Times New Roman"/>
          <w:spacing w:val="-10"/>
          <w:lang w:val="en-US"/>
        </w:rPr>
        <w:t xml:space="preserve"> </w:t>
      </w:r>
      <w:r w:rsidRPr="00166361">
        <w:rPr>
          <w:rFonts w:ascii="NimbusRomNo9L" w:eastAsia="Times New Roman" w:hAnsi="NimbusRomNo9L" w:cs="Times New Roman"/>
          <w:i/>
          <w:iCs/>
          <w:spacing w:val="-10"/>
          <w:lang w:val="en-US"/>
        </w:rPr>
        <w:t>Case Western Reserve Law Review</w:t>
      </w:r>
      <w:r w:rsidRPr="00166361">
        <w:rPr>
          <w:rFonts w:ascii="NimbusRomNo9L" w:eastAsia="Times New Roman" w:hAnsi="NimbusRomNo9L" w:cs="Times New Roman"/>
          <w:spacing w:val="-10"/>
          <w:lang w:val="en-US"/>
        </w:rPr>
        <w:t xml:space="preserve">, 50(4): 813-849. </w:t>
      </w:r>
    </w:p>
    <w:p w14:paraId="76C48BCF" w14:textId="3F7379CA"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proofErr w:type="spellStart"/>
      <w:r w:rsidRPr="00166361">
        <w:rPr>
          <w:rFonts w:ascii="NimbusRomNo9L" w:eastAsia="Times New Roman" w:hAnsi="NimbusRomNo9L" w:cs="Times New Roman"/>
          <w:spacing w:val="-10"/>
          <w:lang w:val="en-US"/>
        </w:rPr>
        <w:t>Helland</w:t>
      </w:r>
      <w:proofErr w:type="spellEnd"/>
      <w:r w:rsidRPr="00166361">
        <w:rPr>
          <w:rFonts w:ascii="NimbusRomNo9L" w:eastAsia="Times New Roman" w:hAnsi="NimbusRomNo9L" w:cs="Times New Roman"/>
          <w:spacing w:val="-10"/>
          <w:lang w:val="en-US"/>
        </w:rPr>
        <w:t xml:space="preserve">, E. and A. Tabarrok. 2003. Contingency Fees, Settlement Delay, and Low- Quality Litigation: Empirical Evidence from Two Datasets. </w:t>
      </w:r>
      <w:r w:rsidRPr="00166361">
        <w:rPr>
          <w:rFonts w:ascii="NimbusRomNo9L" w:eastAsia="Times New Roman" w:hAnsi="NimbusRomNo9L" w:cs="Times New Roman"/>
          <w:i/>
          <w:iCs/>
          <w:spacing w:val="-10"/>
          <w:lang w:val="en-US"/>
        </w:rPr>
        <w:t>Journal of Law, Economics, &amp; Organization</w:t>
      </w:r>
      <w:r w:rsidRPr="00166361">
        <w:rPr>
          <w:rFonts w:ascii="NimbusRomNo9L" w:eastAsia="Times New Roman" w:hAnsi="NimbusRomNo9L" w:cs="Times New Roman"/>
          <w:spacing w:val="-10"/>
          <w:lang w:val="en-US"/>
        </w:rPr>
        <w:t xml:space="preserve">, 19(2): 517-542. </w:t>
      </w:r>
    </w:p>
    <w:p w14:paraId="294EB7D5" w14:textId="77777777" w:rsidR="00D75C45" w:rsidRPr="00D75C45" w:rsidRDefault="00D75C45" w:rsidP="00D75C45">
      <w:pPr>
        <w:pStyle w:val="ListParagraph"/>
        <w:numPr>
          <w:ilvl w:val="0"/>
          <w:numId w:val="4"/>
        </w:numPr>
        <w:ind w:left="284" w:hanging="283"/>
        <w:jc w:val="both"/>
        <w:rPr>
          <w:rFonts w:ascii="Times New Roman" w:eastAsia="Times New Roman" w:hAnsi="Times New Roman" w:cs="Times New Roman"/>
          <w:spacing w:val="-10"/>
          <w:lang w:val="fr-FR"/>
        </w:rPr>
      </w:pPr>
      <w:proofErr w:type="spellStart"/>
      <w:r w:rsidRPr="00D75C45">
        <w:rPr>
          <w:rFonts w:ascii="NimbusRomNo9L" w:hAnsi="NimbusRomNo9L"/>
          <w:spacing w:val="-10"/>
          <w:lang w:val="en-US"/>
        </w:rPr>
        <w:t>Heydebrand</w:t>
      </w:r>
      <w:proofErr w:type="spellEnd"/>
      <w:r w:rsidRPr="00D75C45">
        <w:rPr>
          <w:rFonts w:ascii="NimbusRomNo9L" w:hAnsi="NimbusRomNo9L"/>
          <w:spacing w:val="-10"/>
          <w:lang w:val="en-US"/>
        </w:rPr>
        <w:t xml:space="preserve">, W., &amp; </w:t>
      </w:r>
      <w:proofErr w:type="spellStart"/>
      <w:r w:rsidRPr="00D75C45">
        <w:rPr>
          <w:rFonts w:ascii="NimbusRomNo9L" w:hAnsi="NimbusRomNo9L"/>
          <w:spacing w:val="-10"/>
          <w:lang w:val="en-US"/>
        </w:rPr>
        <w:t>Seron</w:t>
      </w:r>
      <w:proofErr w:type="spellEnd"/>
      <w:r w:rsidRPr="00D75C45">
        <w:rPr>
          <w:rFonts w:ascii="NimbusRomNo9L" w:hAnsi="NimbusRomNo9L"/>
          <w:spacing w:val="-10"/>
          <w:lang w:val="en-US"/>
        </w:rPr>
        <w:t xml:space="preserve">, C. (1986). The rising demand for court services: A structural explanation of the caseload of US District Courts. </w:t>
      </w:r>
      <w:r w:rsidRPr="00D75C45">
        <w:rPr>
          <w:rFonts w:ascii="NimbusRomNo9L" w:hAnsi="NimbusRomNo9L"/>
          <w:i/>
          <w:spacing w:val="-10"/>
          <w:lang w:val="en-US"/>
        </w:rPr>
        <w:t>The Justice System Journal</w:t>
      </w:r>
      <w:r w:rsidRPr="00D75C45">
        <w:rPr>
          <w:rFonts w:ascii="NimbusRomNo9L" w:hAnsi="NimbusRomNo9L"/>
          <w:spacing w:val="-10"/>
          <w:lang w:val="en-US"/>
        </w:rPr>
        <w:t xml:space="preserve">, 303-387. </w:t>
      </w:r>
    </w:p>
    <w:p w14:paraId="67184BE7" w14:textId="43DA507E" w:rsidR="00954F3B" w:rsidRPr="00D75C45" w:rsidRDefault="00954F3B" w:rsidP="00D75C45">
      <w:pPr>
        <w:pStyle w:val="ListParagraph"/>
        <w:numPr>
          <w:ilvl w:val="0"/>
          <w:numId w:val="4"/>
        </w:numPr>
        <w:ind w:left="284" w:hanging="283"/>
        <w:jc w:val="both"/>
        <w:rPr>
          <w:rFonts w:ascii="Times New Roman" w:eastAsia="Times New Roman" w:hAnsi="Times New Roman" w:cs="Times New Roman"/>
          <w:spacing w:val="-10"/>
          <w:lang w:val="fr-FR"/>
        </w:rPr>
      </w:pPr>
      <w:r w:rsidRPr="00D75C45">
        <w:rPr>
          <w:rFonts w:ascii="NimbusRomNo9L" w:hAnsi="NimbusRomNo9L"/>
          <w:spacing w:val="-10"/>
          <w:lang w:val="en-US"/>
        </w:rPr>
        <w:t xml:space="preserve">Hossain, M. M. (2019). Backlog of cases-civil and criminal justice: a comparative study, Bangladesh perspective. </w:t>
      </w:r>
      <w:r w:rsidRPr="00D75C45">
        <w:rPr>
          <w:rFonts w:ascii="NimbusRomNo9L" w:hAnsi="NimbusRomNo9L"/>
          <w:i/>
          <w:spacing w:val="-10"/>
          <w:lang w:val="fr-FR"/>
        </w:rPr>
        <w:t xml:space="preserve">International Journal of </w:t>
      </w:r>
      <w:proofErr w:type="spellStart"/>
      <w:r w:rsidRPr="00D75C45">
        <w:rPr>
          <w:rFonts w:ascii="NimbusRomNo9L" w:hAnsi="NimbusRomNo9L"/>
          <w:i/>
          <w:spacing w:val="-10"/>
          <w:lang w:val="fr-FR"/>
        </w:rPr>
        <w:t>Human</w:t>
      </w:r>
      <w:proofErr w:type="spellEnd"/>
      <w:r w:rsidRPr="00D75C45">
        <w:rPr>
          <w:rFonts w:ascii="NimbusRomNo9L" w:hAnsi="NimbusRomNo9L"/>
          <w:i/>
          <w:spacing w:val="-10"/>
          <w:lang w:val="fr-FR"/>
        </w:rPr>
        <w:t xml:space="preserve"> </w:t>
      </w:r>
      <w:proofErr w:type="spellStart"/>
      <w:r w:rsidRPr="00D75C45">
        <w:rPr>
          <w:rFonts w:ascii="NimbusRomNo9L" w:hAnsi="NimbusRomNo9L"/>
          <w:i/>
          <w:spacing w:val="-10"/>
          <w:lang w:val="fr-FR"/>
        </w:rPr>
        <w:t>Rights</w:t>
      </w:r>
      <w:proofErr w:type="spellEnd"/>
      <w:r w:rsidRPr="00D75C45">
        <w:rPr>
          <w:rFonts w:ascii="NimbusRomNo9L" w:hAnsi="NimbusRomNo9L"/>
          <w:i/>
          <w:spacing w:val="-10"/>
          <w:lang w:val="fr-FR"/>
        </w:rPr>
        <w:t xml:space="preserve"> and </w:t>
      </w:r>
      <w:proofErr w:type="spellStart"/>
      <w:r w:rsidRPr="00D75C45">
        <w:rPr>
          <w:rFonts w:ascii="NimbusRomNo9L" w:hAnsi="NimbusRomNo9L"/>
          <w:i/>
          <w:spacing w:val="-10"/>
          <w:lang w:val="fr-FR"/>
        </w:rPr>
        <w:t>Constitutional</w:t>
      </w:r>
      <w:proofErr w:type="spellEnd"/>
      <w:r w:rsidRPr="00D75C45">
        <w:rPr>
          <w:rFonts w:ascii="NimbusRomNo9L" w:hAnsi="NimbusRomNo9L"/>
          <w:i/>
          <w:spacing w:val="-10"/>
          <w:lang w:val="fr-FR"/>
        </w:rPr>
        <w:t xml:space="preserve"> </w:t>
      </w:r>
      <w:proofErr w:type="spellStart"/>
      <w:r w:rsidRPr="00D75C45">
        <w:rPr>
          <w:rFonts w:ascii="NimbusRomNo9L" w:hAnsi="NimbusRomNo9L"/>
          <w:i/>
          <w:spacing w:val="-10"/>
          <w:lang w:val="fr-FR"/>
        </w:rPr>
        <w:t>Studi</w:t>
      </w:r>
      <w:r w:rsidRPr="00D75C45">
        <w:rPr>
          <w:rFonts w:ascii="NimbusRomNo9L" w:hAnsi="NimbusRomNo9L"/>
          <w:spacing w:val="-10"/>
          <w:lang w:val="fr-FR"/>
        </w:rPr>
        <w:t>es</w:t>
      </w:r>
      <w:proofErr w:type="spellEnd"/>
      <w:r w:rsidRPr="00D75C45">
        <w:rPr>
          <w:rFonts w:ascii="NimbusRomNo9L" w:hAnsi="NimbusRomNo9L"/>
          <w:spacing w:val="-10"/>
          <w:lang w:val="fr-FR"/>
        </w:rPr>
        <w:t xml:space="preserve">, 6(3), 214-226. </w:t>
      </w:r>
    </w:p>
    <w:p w14:paraId="6D346E5F" w14:textId="6806C74A" w:rsidR="00800903" w:rsidRPr="00EE38F6" w:rsidRDefault="00800903" w:rsidP="00800903">
      <w:pPr>
        <w:pStyle w:val="ListParagraph"/>
        <w:numPr>
          <w:ilvl w:val="0"/>
          <w:numId w:val="4"/>
        </w:numPr>
        <w:ind w:left="284" w:hanging="283"/>
        <w:jc w:val="both"/>
        <w:rPr>
          <w:rFonts w:ascii="Times New Roman" w:eastAsia="Times New Roman" w:hAnsi="Times New Roman" w:cs="Times New Roman"/>
          <w:spacing w:val="-10"/>
          <w:lang w:val="fr-FR"/>
        </w:rPr>
      </w:pPr>
      <w:proofErr w:type="spellStart"/>
      <w:r w:rsidRPr="00EE38F6">
        <w:rPr>
          <w:rFonts w:ascii="NimbusRomNo9L" w:eastAsia="Times New Roman" w:hAnsi="NimbusRomNo9L" w:cs="Times New Roman"/>
          <w:spacing w:val="-10"/>
          <w:lang w:val="fr-FR"/>
        </w:rPr>
        <w:t>Houllemare</w:t>
      </w:r>
      <w:proofErr w:type="spellEnd"/>
      <w:r w:rsidRPr="00EE38F6">
        <w:rPr>
          <w:rFonts w:ascii="NimbusRomNo9L" w:eastAsia="Times New Roman" w:hAnsi="NimbusRomNo9L" w:cs="Times New Roman"/>
          <w:spacing w:val="-10"/>
          <w:lang w:val="fr-FR"/>
        </w:rPr>
        <w:t xml:space="preserve">, M. 2016. Histoire des avocats. </w:t>
      </w:r>
      <w:proofErr w:type="spellStart"/>
      <w:proofErr w:type="gramStart"/>
      <w:r w:rsidRPr="00EE38F6">
        <w:rPr>
          <w:rFonts w:ascii="NimbusRomNo9L" w:eastAsia="Times New Roman" w:hAnsi="NimbusRomNo9L" w:cs="Times New Roman"/>
          <w:i/>
          <w:iCs/>
          <w:spacing w:val="-10"/>
          <w:lang w:val="fr-FR"/>
        </w:rPr>
        <w:t>Criminocorpus</w:t>
      </w:r>
      <w:proofErr w:type="spellEnd"/>
      <w:r w:rsidRPr="00EE38F6">
        <w:rPr>
          <w:rFonts w:ascii="NimbusRomNo9L" w:eastAsia="Times New Roman" w:hAnsi="NimbusRomNo9L" w:cs="Times New Roman"/>
          <w:i/>
          <w:iCs/>
          <w:spacing w:val="-10"/>
          <w:lang w:val="fr-FR"/>
        </w:rPr>
        <w:t>:</w:t>
      </w:r>
      <w:proofErr w:type="gramEnd"/>
      <w:r w:rsidRPr="00EE38F6">
        <w:rPr>
          <w:rFonts w:ascii="NimbusRomNo9L" w:eastAsia="Times New Roman" w:hAnsi="NimbusRomNo9L" w:cs="Times New Roman"/>
          <w:i/>
          <w:iCs/>
          <w:spacing w:val="-10"/>
          <w:lang w:val="fr-FR"/>
        </w:rPr>
        <w:t xml:space="preserve"> Revue </w:t>
      </w:r>
      <w:proofErr w:type="spellStart"/>
      <w:r w:rsidRPr="00EE38F6">
        <w:rPr>
          <w:rFonts w:ascii="NimbusRomNo9L" w:eastAsia="Times New Roman" w:hAnsi="NimbusRomNo9L" w:cs="Times New Roman"/>
          <w:i/>
          <w:iCs/>
          <w:spacing w:val="-10"/>
          <w:lang w:val="fr-FR"/>
        </w:rPr>
        <w:t>hypermédia</w:t>
      </w:r>
      <w:proofErr w:type="spellEnd"/>
      <w:r w:rsidRPr="00EE38F6">
        <w:rPr>
          <w:rFonts w:ascii="NimbusRomNo9L" w:eastAsia="Times New Roman" w:hAnsi="NimbusRomNo9L" w:cs="Times New Roman"/>
          <w:i/>
          <w:iCs/>
          <w:spacing w:val="-10"/>
          <w:lang w:val="fr-FR"/>
        </w:rPr>
        <w:t xml:space="preserve">. </w:t>
      </w:r>
      <w:proofErr w:type="spellStart"/>
      <w:proofErr w:type="gramStart"/>
      <w:r w:rsidRPr="00EE38F6">
        <w:rPr>
          <w:rFonts w:ascii="NimbusRomNo9L" w:eastAsia="Times New Roman" w:hAnsi="NimbusRomNo9L" w:cs="Times New Roman"/>
          <w:spacing w:val="-10"/>
          <w:lang w:val="fr-FR"/>
        </w:rPr>
        <w:t>doi</w:t>
      </w:r>
      <w:proofErr w:type="spellEnd"/>
      <w:r w:rsidRPr="00EE38F6">
        <w:rPr>
          <w:rFonts w:ascii="NimbusRomNo9L" w:eastAsia="Times New Roman" w:hAnsi="NimbusRomNo9L" w:cs="Times New Roman"/>
          <w:spacing w:val="-10"/>
          <w:lang w:val="fr-FR"/>
        </w:rPr>
        <w:t>:</w:t>
      </w:r>
      <w:proofErr w:type="gramEnd"/>
      <w:r w:rsidRPr="00EE38F6">
        <w:rPr>
          <w:rFonts w:ascii="NimbusRomNo9L" w:eastAsia="Times New Roman" w:hAnsi="NimbusRomNo9L" w:cs="Times New Roman"/>
          <w:spacing w:val="-10"/>
          <w:lang w:val="fr-FR"/>
        </w:rPr>
        <w:t xml:space="preserve"> https://doi.org/10.4000/criminocorpus.3300. </w:t>
      </w:r>
    </w:p>
    <w:p w14:paraId="0F7B1B31" w14:textId="3664A264"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166361">
        <w:rPr>
          <w:rFonts w:ascii="NimbusRomNo9L" w:eastAsia="Times New Roman" w:hAnsi="NimbusRomNo9L" w:cs="Times New Roman"/>
          <w:spacing w:val="-10"/>
          <w:lang w:val="en-US"/>
        </w:rPr>
        <w:t xml:space="preserve">Johnson, C.E. 1997. Rocket Dockets: Reducing delay in federal civil litigation. </w:t>
      </w:r>
      <w:r w:rsidRPr="00166361">
        <w:rPr>
          <w:rFonts w:ascii="NimbusRomNo9L" w:eastAsia="Times New Roman" w:hAnsi="NimbusRomNo9L" w:cs="Times New Roman"/>
          <w:i/>
          <w:iCs/>
          <w:spacing w:val="-10"/>
          <w:lang w:val="en-US"/>
        </w:rPr>
        <w:t>California Law Review</w:t>
      </w:r>
      <w:r w:rsidRPr="00166361">
        <w:rPr>
          <w:rFonts w:ascii="NimbusRomNo9L" w:eastAsia="Times New Roman" w:hAnsi="NimbusRomNo9L" w:cs="Times New Roman"/>
          <w:spacing w:val="-10"/>
          <w:lang w:val="en-US"/>
        </w:rPr>
        <w:t xml:space="preserve">, 85(1): 225-264. </w:t>
      </w:r>
    </w:p>
    <w:p w14:paraId="00CED0D7" w14:textId="4DB6B962"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proofErr w:type="spellStart"/>
      <w:r w:rsidRPr="00166361">
        <w:rPr>
          <w:rFonts w:ascii="NimbusRomNo9L" w:eastAsia="Times New Roman" w:hAnsi="NimbusRomNo9L" w:cs="Times New Roman"/>
          <w:spacing w:val="-10"/>
          <w:lang w:val="en-US"/>
        </w:rPr>
        <w:t>Jolowicz</w:t>
      </w:r>
      <w:proofErr w:type="spellEnd"/>
      <w:r w:rsidRPr="00166361">
        <w:rPr>
          <w:rFonts w:ascii="NimbusRomNo9L" w:eastAsia="Times New Roman" w:hAnsi="NimbusRomNo9L" w:cs="Times New Roman"/>
          <w:spacing w:val="-10"/>
          <w:lang w:val="en-US"/>
        </w:rPr>
        <w:t xml:space="preserve">, J.A. 2003. Adversarial and Inquisitorial Models of Civil Procedure. </w:t>
      </w:r>
      <w:r w:rsidRPr="00166361">
        <w:rPr>
          <w:rFonts w:ascii="NimbusRomNo9L" w:eastAsia="Times New Roman" w:hAnsi="NimbusRomNo9L" w:cs="Times New Roman"/>
          <w:i/>
          <w:iCs/>
          <w:spacing w:val="-10"/>
          <w:lang w:val="en-US"/>
        </w:rPr>
        <w:t>The International and Comparative Law Quarterly</w:t>
      </w:r>
      <w:r w:rsidRPr="00166361">
        <w:rPr>
          <w:rFonts w:ascii="NimbusRomNo9L" w:eastAsia="Times New Roman" w:hAnsi="NimbusRomNo9L" w:cs="Times New Roman"/>
          <w:spacing w:val="-10"/>
          <w:lang w:val="en-US"/>
        </w:rPr>
        <w:t xml:space="preserve">, </w:t>
      </w:r>
      <w:proofErr w:type="gramStart"/>
      <w:r w:rsidRPr="00166361">
        <w:rPr>
          <w:rFonts w:ascii="NimbusRomNo9L" w:eastAsia="Times New Roman" w:hAnsi="NimbusRomNo9L" w:cs="Times New Roman"/>
          <w:spacing w:val="-10"/>
          <w:lang w:val="en-US"/>
        </w:rPr>
        <w:t>52,(</w:t>
      </w:r>
      <w:proofErr w:type="gramEnd"/>
      <w:r w:rsidRPr="00166361">
        <w:rPr>
          <w:rFonts w:ascii="NimbusRomNo9L" w:eastAsia="Times New Roman" w:hAnsi="NimbusRomNo9L" w:cs="Times New Roman"/>
          <w:spacing w:val="-10"/>
          <w:lang w:val="en-US"/>
        </w:rPr>
        <w:t xml:space="preserve">2): 281-295. </w:t>
      </w:r>
    </w:p>
    <w:p w14:paraId="192E77C3" w14:textId="75F2C362"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166361">
        <w:rPr>
          <w:rFonts w:ascii="NimbusRomNo9L" w:eastAsia="Times New Roman" w:hAnsi="NimbusRomNo9L" w:cs="Times New Roman"/>
          <w:spacing w:val="-10"/>
          <w:lang w:val="en-US"/>
        </w:rPr>
        <w:t xml:space="preserve">Jovanovicˇ, D. 2018. Legal Services as Commodity: Reinventing the Lawyers’ Services, in </w:t>
      </w:r>
      <w:r w:rsidRPr="00166361">
        <w:rPr>
          <w:rFonts w:ascii="NimbusRomNo9L" w:eastAsia="Times New Roman" w:hAnsi="NimbusRomNo9L" w:cs="Times New Roman"/>
          <w:i/>
          <w:iCs/>
          <w:spacing w:val="-10"/>
          <w:lang w:val="en-US"/>
        </w:rPr>
        <w:t xml:space="preserve">Positive and Negative Aspects of Outsourcing </w:t>
      </w:r>
      <w:r w:rsidRPr="00166361">
        <w:rPr>
          <w:rFonts w:ascii="NimbusRomNo9L" w:eastAsia="Times New Roman" w:hAnsi="NimbusRomNo9L" w:cs="Times New Roman"/>
          <w:spacing w:val="-10"/>
          <w:lang w:val="en-US"/>
        </w:rPr>
        <w:t xml:space="preserve">edited by M. Franco: 3-15. London: </w:t>
      </w:r>
      <w:proofErr w:type="spellStart"/>
      <w:r w:rsidRPr="00166361">
        <w:rPr>
          <w:rFonts w:ascii="NimbusRomNo9L" w:eastAsia="Times New Roman" w:hAnsi="NimbusRomNo9L" w:cs="Times New Roman"/>
          <w:spacing w:val="-10"/>
          <w:lang w:val="en-US"/>
        </w:rPr>
        <w:t>IntechOpen</w:t>
      </w:r>
      <w:proofErr w:type="spellEnd"/>
      <w:r w:rsidRPr="00166361">
        <w:rPr>
          <w:rFonts w:ascii="NimbusRomNo9L" w:eastAsia="Times New Roman" w:hAnsi="NimbusRomNo9L" w:cs="Times New Roman"/>
          <w:spacing w:val="-10"/>
          <w:lang w:val="en-US"/>
        </w:rPr>
        <w:t xml:space="preserve">. </w:t>
      </w:r>
    </w:p>
    <w:p w14:paraId="26B53B66" w14:textId="7D3E7E2F"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proofErr w:type="spellStart"/>
      <w:r w:rsidRPr="00166361">
        <w:rPr>
          <w:rFonts w:ascii="NimbusRomNo9L" w:eastAsia="Times New Roman" w:hAnsi="NimbusRomNo9L" w:cs="Times New Roman"/>
          <w:spacing w:val="-10"/>
          <w:lang w:val="en-US"/>
        </w:rPr>
        <w:t>Kalven</w:t>
      </w:r>
      <w:proofErr w:type="spellEnd"/>
      <w:r w:rsidRPr="00166361">
        <w:rPr>
          <w:rFonts w:ascii="NimbusRomNo9L" w:eastAsia="Times New Roman" w:hAnsi="NimbusRomNo9L" w:cs="Times New Roman"/>
          <w:spacing w:val="-10"/>
          <w:lang w:val="en-US"/>
        </w:rPr>
        <w:t xml:space="preserve">, H. Jr. 1960. The Bar, The Court, and The Delay. </w:t>
      </w:r>
      <w:r w:rsidRPr="00166361">
        <w:rPr>
          <w:rFonts w:ascii="NimbusRomNo9L" w:eastAsia="Times New Roman" w:hAnsi="NimbusRomNo9L" w:cs="Times New Roman"/>
          <w:i/>
          <w:iCs/>
          <w:spacing w:val="-10"/>
          <w:lang w:val="en-US"/>
        </w:rPr>
        <w:t>The Annals of the American Academy of Political and Social Science</w:t>
      </w:r>
      <w:r w:rsidRPr="00166361">
        <w:rPr>
          <w:rFonts w:ascii="NimbusRomNo9L" w:eastAsia="Times New Roman" w:hAnsi="NimbusRomNo9L" w:cs="Times New Roman"/>
          <w:spacing w:val="-10"/>
          <w:lang w:val="en-US"/>
        </w:rPr>
        <w:t xml:space="preserve">, 328(1): 37-45. </w:t>
      </w:r>
    </w:p>
    <w:p w14:paraId="11B488F1" w14:textId="617BCD61"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166361">
        <w:rPr>
          <w:rFonts w:ascii="NimbusRomNo9L" w:eastAsia="Times New Roman" w:hAnsi="NimbusRomNo9L" w:cs="Times New Roman"/>
          <w:spacing w:val="-10"/>
          <w:lang w:val="en-US"/>
        </w:rPr>
        <w:lastRenderedPageBreak/>
        <w:t xml:space="preserve">Kaplan, D.M. and Y. Sun. 2017. Smoothed Estimating Equations for Instrumental Variables Quantile Regression. </w:t>
      </w:r>
      <w:r w:rsidRPr="00166361">
        <w:rPr>
          <w:rFonts w:ascii="NimbusRomNo9L" w:eastAsia="Times New Roman" w:hAnsi="NimbusRomNo9L" w:cs="Times New Roman"/>
          <w:i/>
          <w:iCs/>
          <w:spacing w:val="-10"/>
          <w:lang w:val="en-US"/>
        </w:rPr>
        <w:t>Econometric Theory</w:t>
      </w:r>
      <w:r w:rsidRPr="00166361">
        <w:rPr>
          <w:rFonts w:ascii="NimbusRomNo9L" w:eastAsia="Times New Roman" w:hAnsi="NimbusRomNo9L" w:cs="Times New Roman"/>
          <w:spacing w:val="-10"/>
          <w:lang w:val="en-US"/>
        </w:rPr>
        <w:t xml:space="preserve">, 33(1): 105-157. </w:t>
      </w:r>
    </w:p>
    <w:p w14:paraId="70A7DA87" w14:textId="47A527D9" w:rsidR="000F0ABA" w:rsidRDefault="000F0ABA" w:rsidP="000F0ABA">
      <w:pPr>
        <w:pStyle w:val="NormalWeb"/>
        <w:numPr>
          <w:ilvl w:val="0"/>
          <w:numId w:val="4"/>
        </w:numPr>
        <w:shd w:val="clear" w:color="auto" w:fill="FFFFFF"/>
        <w:spacing w:before="100" w:beforeAutospacing="1" w:after="100" w:afterAutospacing="1"/>
        <w:ind w:left="284" w:hanging="283"/>
        <w:jc w:val="both"/>
        <w:rPr>
          <w:rFonts w:ascii="Code2000" w:hAnsi="Code2000"/>
          <w:spacing w:val="-10"/>
        </w:rPr>
      </w:pPr>
      <w:proofErr w:type="spellStart"/>
      <w:r w:rsidRPr="000F0ABA">
        <w:rPr>
          <w:rFonts w:ascii="Code2000" w:hAnsi="Code2000"/>
          <w:spacing w:val="-10"/>
          <w:lang w:val="en-US"/>
        </w:rPr>
        <w:t>Karpik</w:t>
      </w:r>
      <w:proofErr w:type="spellEnd"/>
      <w:r w:rsidRPr="000F0ABA">
        <w:rPr>
          <w:rFonts w:ascii="Code2000" w:hAnsi="Code2000"/>
          <w:spacing w:val="-10"/>
          <w:lang w:val="en-US"/>
        </w:rPr>
        <w:t xml:space="preserve">, L. (1999). </w:t>
      </w:r>
      <w:r w:rsidRPr="000F0ABA">
        <w:rPr>
          <w:rFonts w:ascii="Code2000" w:hAnsi="Code2000"/>
          <w:i/>
          <w:iCs/>
          <w:spacing w:val="-10"/>
          <w:lang w:val="en-US"/>
        </w:rPr>
        <w:t>French lawyers: a study in collective action, 1274 to 1994</w:t>
      </w:r>
      <w:r w:rsidRPr="000F0ABA">
        <w:rPr>
          <w:rFonts w:ascii="Code2000" w:hAnsi="Code2000"/>
          <w:spacing w:val="-10"/>
          <w:lang w:val="en-US"/>
        </w:rPr>
        <w:t xml:space="preserve">. </w:t>
      </w:r>
      <w:r w:rsidRPr="000F0ABA">
        <w:rPr>
          <w:rFonts w:ascii="Code2000" w:hAnsi="Code2000"/>
          <w:spacing w:val="-10"/>
        </w:rPr>
        <w:t>Oxford</w:t>
      </w:r>
      <w:r>
        <w:rPr>
          <w:rFonts w:ascii="Code2000" w:hAnsi="Code2000"/>
          <w:spacing w:val="-10"/>
        </w:rPr>
        <w:t xml:space="preserve"> : </w:t>
      </w:r>
      <w:r w:rsidRPr="000F0ABA">
        <w:rPr>
          <w:rFonts w:ascii="Code2000" w:hAnsi="Code2000"/>
          <w:spacing w:val="-10"/>
        </w:rPr>
        <w:t xml:space="preserve">Oxford </w:t>
      </w:r>
      <w:proofErr w:type="spellStart"/>
      <w:r w:rsidRPr="000F0ABA">
        <w:rPr>
          <w:rFonts w:ascii="Code2000" w:hAnsi="Code2000"/>
          <w:spacing w:val="-10"/>
        </w:rPr>
        <w:t>University</w:t>
      </w:r>
      <w:proofErr w:type="spellEnd"/>
      <w:r w:rsidRPr="000F0ABA">
        <w:rPr>
          <w:rFonts w:ascii="Code2000" w:hAnsi="Code2000"/>
          <w:spacing w:val="-10"/>
        </w:rPr>
        <w:t xml:space="preserve"> </w:t>
      </w:r>
      <w:proofErr w:type="spellStart"/>
      <w:r w:rsidRPr="000F0ABA">
        <w:rPr>
          <w:rFonts w:ascii="Code2000" w:hAnsi="Code2000"/>
          <w:spacing w:val="-10"/>
        </w:rPr>
        <w:t>Press</w:t>
      </w:r>
      <w:proofErr w:type="spellEnd"/>
      <w:r w:rsidRPr="000F0ABA">
        <w:rPr>
          <w:rFonts w:ascii="Code2000" w:hAnsi="Code2000"/>
          <w:spacing w:val="-10"/>
        </w:rPr>
        <w:t>.</w:t>
      </w:r>
    </w:p>
    <w:p w14:paraId="0FF85906" w14:textId="77777777" w:rsidR="006113A9" w:rsidRPr="006113A9" w:rsidRDefault="006113A9" w:rsidP="006113A9">
      <w:pPr>
        <w:pStyle w:val="NormalWeb"/>
        <w:numPr>
          <w:ilvl w:val="0"/>
          <w:numId w:val="4"/>
        </w:numPr>
        <w:shd w:val="clear" w:color="auto" w:fill="FFFFFF"/>
        <w:spacing w:before="100" w:beforeAutospacing="1" w:after="100" w:afterAutospacing="1"/>
        <w:ind w:left="284" w:hanging="283"/>
        <w:jc w:val="both"/>
        <w:rPr>
          <w:rFonts w:ascii="Code2000" w:hAnsi="Code2000"/>
          <w:spacing w:val="-10"/>
        </w:rPr>
      </w:pPr>
      <w:proofErr w:type="spellStart"/>
      <w:r w:rsidRPr="006113A9">
        <w:rPr>
          <w:rFonts w:ascii="Code2000" w:hAnsi="Code2000"/>
          <w:spacing w:val="-10"/>
          <w:lang w:val="en-US"/>
        </w:rPr>
        <w:t>Karpik</w:t>
      </w:r>
      <w:proofErr w:type="spellEnd"/>
      <w:r w:rsidRPr="006113A9">
        <w:rPr>
          <w:rFonts w:ascii="Code2000" w:hAnsi="Code2000"/>
          <w:spacing w:val="-10"/>
          <w:lang w:val="en-US"/>
        </w:rPr>
        <w:t xml:space="preserve">, L. (1988). Lawyers and Politics in France, 1814–1950: </w:t>
      </w:r>
      <w:proofErr w:type="gramStart"/>
      <w:r w:rsidRPr="006113A9">
        <w:rPr>
          <w:rFonts w:ascii="Code2000" w:hAnsi="Code2000"/>
          <w:spacing w:val="-10"/>
          <w:lang w:val="en-US"/>
        </w:rPr>
        <w:t>the</w:t>
      </w:r>
      <w:proofErr w:type="gramEnd"/>
      <w:r w:rsidRPr="006113A9">
        <w:rPr>
          <w:rFonts w:ascii="Code2000" w:hAnsi="Code2000"/>
          <w:spacing w:val="-10"/>
          <w:lang w:val="en-US"/>
        </w:rPr>
        <w:t xml:space="preserve"> State, the Market, and the Public. </w:t>
      </w:r>
      <w:r w:rsidRPr="006113A9">
        <w:rPr>
          <w:rFonts w:ascii="Code2000" w:hAnsi="Code2000"/>
          <w:i/>
          <w:iCs/>
          <w:spacing w:val="-10"/>
        </w:rPr>
        <w:t xml:space="preserve">Law &amp; Social </w:t>
      </w:r>
      <w:proofErr w:type="spellStart"/>
      <w:r w:rsidRPr="006113A9">
        <w:rPr>
          <w:rFonts w:ascii="Code2000" w:hAnsi="Code2000"/>
          <w:i/>
          <w:iCs/>
          <w:spacing w:val="-10"/>
        </w:rPr>
        <w:t>Inquiry</w:t>
      </w:r>
      <w:proofErr w:type="spellEnd"/>
      <w:r w:rsidRPr="006113A9">
        <w:rPr>
          <w:rFonts w:ascii="Code2000" w:hAnsi="Code2000"/>
          <w:spacing w:val="-10"/>
        </w:rPr>
        <w:t xml:space="preserve">, </w:t>
      </w:r>
      <w:r w:rsidRPr="006113A9">
        <w:rPr>
          <w:rFonts w:ascii="Code2000" w:hAnsi="Code2000"/>
          <w:i/>
          <w:iCs/>
          <w:spacing w:val="-10"/>
        </w:rPr>
        <w:t>13</w:t>
      </w:r>
      <w:r w:rsidRPr="006113A9">
        <w:rPr>
          <w:rFonts w:ascii="Code2000" w:hAnsi="Code2000"/>
          <w:spacing w:val="-10"/>
        </w:rPr>
        <w:t>(4), 707-736.</w:t>
      </w:r>
    </w:p>
    <w:p w14:paraId="55F64F51" w14:textId="727757E3" w:rsidR="00800903" w:rsidRPr="00166361" w:rsidRDefault="000F0ABA" w:rsidP="000F0ABA">
      <w:pPr>
        <w:pStyle w:val="NormalWeb"/>
        <w:numPr>
          <w:ilvl w:val="0"/>
          <w:numId w:val="4"/>
        </w:numPr>
        <w:shd w:val="clear" w:color="auto" w:fill="FFFFFF"/>
        <w:spacing w:before="100" w:beforeAutospacing="1" w:after="100" w:afterAutospacing="1"/>
        <w:ind w:left="284" w:hanging="283"/>
        <w:jc w:val="both"/>
        <w:rPr>
          <w:spacing w:val="-10"/>
          <w:lang w:val="en-US"/>
        </w:rPr>
      </w:pPr>
      <w:r w:rsidRPr="000F0ABA">
        <w:rPr>
          <w:rFonts w:ascii="Code2000" w:hAnsi="Code2000"/>
          <w:spacing w:val="-10"/>
          <w:lang w:val="en-US"/>
        </w:rPr>
        <w:t xml:space="preserve"> </w:t>
      </w:r>
      <w:r w:rsidR="00800903" w:rsidRPr="00166361">
        <w:rPr>
          <w:rFonts w:ascii="Code2000" w:hAnsi="Code2000"/>
          <w:spacing w:val="-10"/>
          <w:lang w:val="en-US"/>
        </w:rPr>
        <w:t xml:space="preserve">Kidder, R.L. 1974. Formal Litigation and Professional Insecurity: Legal Entrepreneurship in South India. </w:t>
      </w:r>
      <w:r w:rsidR="00800903" w:rsidRPr="00166361">
        <w:rPr>
          <w:rFonts w:ascii="Code2000" w:hAnsi="Code2000"/>
          <w:i/>
          <w:spacing w:val="-10"/>
          <w:lang w:val="en-US"/>
        </w:rPr>
        <w:t xml:space="preserve">Law &amp; Society </w:t>
      </w:r>
      <w:proofErr w:type="gramStart"/>
      <w:r w:rsidR="00800903" w:rsidRPr="00166361">
        <w:rPr>
          <w:rFonts w:ascii="Code2000" w:hAnsi="Code2000"/>
          <w:i/>
          <w:spacing w:val="-10"/>
          <w:lang w:val="en-US"/>
        </w:rPr>
        <w:t>Review</w:t>
      </w:r>
      <w:r w:rsidR="00800903" w:rsidRPr="00166361">
        <w:rPr>
          <w:rFonts w:ascii="Code2000" w:hAnsi="Code2000"/>
          <w:spacing w:val="-10"/>
          <w:lang w:val="en-US"/>
        </w:rPr>
        <w:t xml:space="preserve"> ,</w:t>
      </w:r>
      <w:proofErr w:type="gramEnd"/>
      <w:r w:rsidR="00800903" w:rsidRPr="00166361">
        <w:rPr>
          <w:rFonts w:ascii="Code2000" w:hAnsi="Code2000"/>
          <w:spacing w:val="-10"/>
          <w:lang w:val="en-US"/>
        </w:rPr>
        <w:t xml:space="preserve"> 9(1), Litigation and Dispute Processing: Part One: 11-38.</w:t>
      </w:r>
    </w:p>
    <w:p w14:paraId="654DBCBD" w14:textId="77777777"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166361">
        <w:rPr>
          <w:rFonts w:ascii="NimbusRomNo9L" w:eastAsia="Times New Roman" w:hAnsi="NimbusRomNo9L" w:cs="Times New Roman"/>
          <w:spacing w:val="-10"/>
          <w:lang w:val="en-US"/>
        </w:rPr>
        <w:t xml:space="preserve">Krieger, S.H. and R.K. Neuman Jr. 2015. </w:t>
      </w:r>
      <w:r w:rsidRPr="00166361">
        <w:rPr>
          <w:rFonts w:ascii="NimbusRomNo9L" w:eastAsia="Times New Roman" w:hAnsi="NimbusRomNo9L" w:cs="Times New Roman"/>
          <w:i/>
          <w:iCs/>
          <w:spacing w:val="-10"/>
          <w:lang w:val="en-US"/>
        </w:rPr>
        <w:t>Essential Lawyering Skills: Interviewing, Counseling, Negotiation, and Persuasive Fact Analysis</w:t>
      </w:r>
      <w:r w:rsidRPr="00166361">
        <w:rPr>
          <w:rFonts w:ascii="NimbusRomNo9L" w:eastAsia="Times New Roman" w:hAnsi="NimbusRomNo9L" w:cs="Times New Roman"/>
          <w:spacing w:val="-10"/>
          <w:lang w:val="en-US"/>
        </w:rPr>
        <w:t xml:space="preserve">. New York: Wolters Kluwer Law &amp; Business; </w:t>
      </w:r>
    </w:p>
    <w:p w14:paraId="724E8CCD" w14:textId="6A3BA62D"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proofErr w:type="spellStart"/>
      <w:r w:rsidRPr="00166361">
        <w:rPr>
          <w:rFonts w:ascii="NimbusRomNo9L" w:eastAsia="Times New Roman" w:hAnsi="NimbusRomNo9L" w:cs="Times New Roman"/>
          <w:spacing w:val="-10"/>
          <w:lang w:val="en-US"/>
        </w:rPr>
        <w:t>Kritzer</w:t>
      </w:r>
      <w:proofErr w:type="spellEnd"/>
      <w:r w:rsidRPr="00166361">
        <w:rPr>
          <w:rFonts w:ascii="NimbusRomNo9L" w:eastAsia="Times New Roman" w:hAnsi="NimbusRomNo9L" w:cs="Times New Roman"/>
          <w:spacing w:val="-10"/>
          <w:lang w:val="en-US"/>
        </w:rPr>
        <w:t xml:space="preserve">, H.M. 2002. Lawyer fees and lawyer behavior in litigation: What does the empirical literature really say. </w:t>
      </w:r>
      <w:r w:rsidRPr="00166361">
        <w:rPr>
          <w:rFonts w:ascii="NimbusRomNo9L" w:eastAsia="Times New Roman" w:hAnsi="NimbusRomNo9L" w:cs="Times New Roman"/>
          <w:i/>
          <w:iCs/>
          <w:spacing w:val="-10"/>
          <w:lang w:val="en-US"/>
        </w:rPr>
        <w:t>Texas Law Review</w:t>
      </w:r>
      <w:r w:rsidRPr="00166361">
        <w:rPr>
          <w:rFonts w:ascii="NimbusRomNo9L" w:eastAsia="Times New Roman" w:hAnsi="NimbusRomNo9L" w:cs="Times New Roman"/>
          <w:spacing w:val="-10"/>
          <w:lang w:val="en-US"/>
        </w:rPr>
        <w:t xml:space="preserve">, 80(7), 1943-1984. </w:t>
      </w:r>
    </w:p>
    <w:p w14:paraId="4A7C9520" w14:textId="0D62E956"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166361">
        <w:rPr>
          <w:rFonts w:ascii="NimbusRomNo9L" w:eastAsia="Times New Roman" w:hAnsi="NimbusRomNo9L" w:cs="Times New Roman"/>
          <w:spacing w:val="-10"/>
          <w:lang w:val="en-US"/>
        </w:rPr>
        <w:t xml:space="preserve">Lederman, L. and W.B. </w:t>
      </w:r>
      <w:proofErr w:type="spellStart"/>
      <w:r w:rsidRPr="00166361">
        <w:rPr>
          <w:rFonts w:ascii="NimbusRomNo9L" w:eastAsia="Times New Roman" w:hAnsi="NimbusRomNo9L" w:cs="Times New Roman"/>
          <w:spacing w:val="-10"/>
          <w:lang w:val="en-US"/>
        </w:rPr>
        <w:t>Hrung</w:t>
      </w:r>
      <w:proofErr w:type="spellEnd"/>
      <w:r w:rsidRPr="00166361">
        <w:rPr>
          <w:rFonts w:ascii="NimbusRomNo9L" w:eastAsia="Times New Roman" w:hAnsi="NimbusRomNo9L" w:cs="Times New Roman"/>
          <w:spacing w:val="-10"/>
          <w:lang w:val="en-US"/>
        </w:rPr>
        <w:t xml:space="preserve">. 2006. Do attorneys do their clients justice an empirical study of lawyers’ effects on tax court litigation outcomes. </w:t>
      </w:r>
      <w:r w:rsidRPr="00166361">
        <w:rPr>
          <w:rFonts w:ascii="NimbusRomNo9L" w:eastAsia="Times New Roman" w:hAnsi="NimbusRomNo9L" w:cs="Times New Roman"/>
          <w:i/>
          <w:iCs/>
          <w:spacing w:val="-10"/>
          <w:lang w:val="en-US"/>
        </w:rPr>
        <w:t>Wake Forest Law Review</w:t>
      </w:r>
      <w:r w:rsidRPr="00166361">
        <w:rPr>
          <w:rFonts w:ascii="NimbusRomNo9L" w:eastAsia="Times New Roman" w:hAnsi="NimbusRomNo9L" w:cs="Times New Roman"/>
          <w:spacing w:val="-10"/>
          <w:lang w:val="en-US"/>
        </w:rPr>
        <w:t xml:space="preserve">, 41: 1235-1296. </w:t>
      </w:r>
    </w:p>
    <w:p w14:paraId="2871C1D2" w14:textId="269E4BAE"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EE38F6">
        <w:rPr>
          <w:rFonts w:ascii="NimbusRomNo9L" w:eastAsia="Times New Roman" w:hAnsi="NimbusRomNo9L" w:cs="Times New Roman"/>
          <w:spacing w:val="-10"/>
          <w:lang w:val="fr-FR"/>
        </w:rPr>
        <w:t xml:space="preserve">Lejeune, A. 2010. La </w:t>
      </w:r>
      <w:proofErr w:type="spellStart"/>
      <w:r w:rsidRPr="00EE38F6">
        <w:rPr>
          <w:rFonts w:ascii="NimbusRomNo9L" w:eastAsia="Times New Roman" w:hAnsi="NimbusRomNo9L" w:cs="Times New Roman"/>
          <w:spacing w:val="-10"/>
          <w:lang w:val="fr-FR"/>
        </w:rPr>
        <w:t>prévention</w:t>
      </w:r>
      <w:proofErr w:type="spellEnd"/>
      <w:r w:rsidRPr="00EE38F6">
        <w:rPr>
          <w:rFonts w:ascii="NimbusRomNo9L" w:eastAsia="Times New Roman" w:hAnsi="NimbusRomNo9L" w:cs="Times New Roman"/>
          <w:spacing w:val="-10"/>
          <w:lang w:val="fr-FR"/>
        </w:rPr>
        <w:t xml:space="preserve"> par le droit. </w:t>
      </w:r>
      <w:proofErr w:type="spellStart"/>
      <w:r w:rsidRPr="00EE38F6">
        <w:rPr>
          <w:rFonts w:ascii="NimbusRomNo9L" w:eastAsia="Times New Roman" w:hAnsi="NimbusRomNo9L" w:cs="Times New Roman"/>
          <w:i/>
          <w:iCs/>
          <w:spacing w:val="-10"/>
          <w:lang w:val="fr-FR"/>
        </w:rPr>
        <w:t>SociologieS</w:t>
      </w:r>
      <w:proofErr w:type="spellEnd"/>
      <w:r w:rsidRPr="00EE38F6">
        <w:rPr>
          <w:rFonts w:ascii="NimbusRomNo9L" w:eastAsia="Times New Roman" w:hAnsi="NimbusRomNo9L" w:cs="Times New Roman"/>
          <w:spacing w:val="-10"/>
          <w:lang w:val="fr-FR"/>
        </w:rPr>
        <w:t xml:space="preserve">. </w:t>
      </w:r>
      <w:proofErr w:type="spellStart"/>
      <w:proofErr w:type="gramStart"/>
      <w:r w:rsidRPr="00EE38F6">
        <w:rPr>
          <w:rFonts w:ascii="NimbusRomNo9L" w:eastAsia="Times New Roman" w:hAnsi="NimbusRomNo9L" w:cs="Times New Roman"/>
          <w:spacing w:val="-10"/>
          <w:lang w:val="fr-FR"/>
        </w:rPr>
        <w:t>Doi</w:t>
      </w:r>
      <w:proofErr w:type="spellEnd"/>
      <w:r w:rsidRPr="00EE38F6">
        <w:rPr>
          <w:rFonts w:ascii="NimbusRomNo9L" w:eastAsia="Times New Roman" w:hAnsi="NimbusRomNo9L" w:cs="Times New Roman"/>
          <w:spacing w:val="-10"/>
          <w:lang w:val="fr-FR"/>
        </w:rPr>
        <w:t>:</w:t>
      </w:r>
      <w:proofErr w:type="gramEnd"/>
      <w:r w:rsidRPr="00EE38F6">
        <w:rPr>
          <w:rFonts w:ascii="NimbusRomNo9L" w:eastAsia="Times New Roman" w:hAnsi="NimbusRomNo9L" w:cs="Times New Roman"/>
          <w:spacing w:val="-10"/>
          <w:lang w:val="fr-FR"/>
        </w:rPr>
        <w:t xml:space="preserve"> https://doi.org/10.4000/sociologies.3083. </w:t>
      </w:r>
      <w:proofErr w:type="spellStart"/>
      <w:r w:rsidRPr="00EE38F6">
        <w:rPr>
          <w:rFonts w:ascii="NimbusRomNo9L" w:eastAsia="Times New Roman" w:hAnsi="NimbusRomNo9L" w:cs="Times New Roman"/>
          <w:spacing w:val="-10"/>
          <w:lang w:val="fr-FR"/>
        </w:rPr>
        <w:t>Lévy</w:t>
      </w:r>
      <w:proofErr w:type="spellEnd"/>
      <w:r w:rsidRPr="00EE38F6">
        <w:rPr>
          <w:rFonts w:ascii="NimbusRomNo9L" w:eastAsia="Times New Roman" w:hAnsi="NimbusRomNo9L" w:cs="Times New Roman"/>
          <w:spacing w:val="-10"/>
          <w:lang w:val="fr-FR"/>
        </w:rPr>
        <w:t xml:space="preserve">, J., </w:t>
      </w:r>
      <w:proofErr w:type="spellStart"/>
      <w:r w:rsidRPr="00EE38F6">
        <w:rPr>
          <w:rFonts w:ascii="NimbusRomNo9L" w:eastAsia="Times New Roman" w:hAnsi="NimbusRomNo9L" w:cs="Times New Roman"/>
          <w:spacing w:val="-10"/>
          <w:lang w:val="fr-FR"/>
        </w:rPr>
        <w:t>Fauchille</w:t>
      </w:r>
      <w:proofErr w:type="spellEnd"/>
      <w:r w:rsidRPr="00EE38F6">
        <w:rPr>
          <w:rFonts w:ascii="NimbusRomNo9L" w:eastAsia="Times New Roman" w:hAnsi="NimbusRomNo9L" w:cs="Times New Roman"/>
          <w:spacing w:val="-10"/>
          <w:lang w:val="fr-FR"/>
        </w:rPr>
        <w:t xml:space="preserve">, J.N. and </w:t>
      </w:r>
      <w:proofErr w:type="spellStart"/>
      <w:r w:rsidRPr="00EE38F6">
        <w:rPr>
          <w:rFonts w:ascii="NimbusRomNo9L" w:eastAsia="Times New Roman" w:hAnsi="NimbusRomNo9L" w:cs="Times New Roman"/>
          <w:spacing w:val="-10"/>
          <w:lang w:val="fr-FR"/>
        </w:rPr>
        <w:t>Póvoas</w:t>
      </w:r>
      <w:proofErr w:type="spellEnd"/>
      <w:r w:rsidRPr="00EE38F6">
        <w:rPr>
          <w:rFonts w:ascii="NimbusRomNo9L" w:eastAsia="Times New Roman" w:hAnsi="NimbusRomNo9L" w:cs="Times New Roman"/>
          <w:spacing w:val="-10"/>
          <w:lang w:val="fr-FR"/>
        </w:rPr>
        <w:t xml:space="preserve">, A. 2018. </w:t>
      </w:r>
      <w:proofErr w:type="spellStart"/>
      <w:r w:rsidRPr="00EE38F6">
        <w:rPr>
          <w:rFonts w:ascii="NimbusRomNo9L" w:eastAsia="Times New Roman" w:hAnsi="NimbusRomNo9L" w:cs="Times New Roman"/>
          <w:i/>
          <w:iCs/>
          <w:spacing w:val="-10"/>
          <w:lang w:val="fr-FR"/>
        </w:rPr>
        <w:t>Théorie</w:t>
      </w:r>
      <w:proofErr w:type="spellEnd"/>
      <w:r w:rsidRPr="00EE38F6">
        <w:rPr>
          <w:rFonts w:ascii="NimbusRomNo9L" w:eastAsia="Times New Roman" w:hAnsi="NimbusRomNo9L" w:cs="Times New Roman"/>
          <w:i/>
          <w:iCs/>
          <w:spacing w:val="-10"/>
          <w:lang w:val="fr-FR"/>
        </w:rPr>
        <w:t xml:space="preserve"> de la justice </w:t>
      </w:r>
      <w:proofErr w:type="gramStart"/>
      <w:r w:rsidRPr="00EE38F6">
        <w:rPr>
          <w:rFonts w:ascii="NimbusRomNo9L" w:eastAsia="Times New Roman" w:hAnsi="NimbusRomNo9L" w:cs="Times New Roman"/>
          <w:i/>
          <w:iCs/>
          <w:spacing w:val="-10"/>
          <w:lang w:val="fr-FR"/>
        </w:rPr>
        <w:t>spatiale:</w:t>
      </w:r>
      <w:proofErr w:type="gramEnd"/>
      <w:r w:rsidRPr="00EE38F6">
        <w:rPr>
          <w:rFonts w:ascii="NimbusRomNo9L" w:eastAsia="Times New Roman" w:hAnsi="NimbusRomNo9L" w:cs="Times New Roman"/>
          <w:i/>
          <w:iCs/>
          <w:spacing w:val="-10"/>
          <w:lang w:val="fr-FR"/>
        </w:rPr>
        <w:t xml:space="preserve"> </w:t>
      </w:r>
      <w:proofErr w:type="spellStart"/>
      <w:r w:rsidRPr="00EE38F6">
        <w:rPr>
          <w:rFonts w:ascii="NimbusRomNo9L" w:eastAsia="Times New Roman" w:hAnsi="NimbusRomNo9L" w:cs="Times New Roman"/>
          <w:i/>
          <w:iCs/>
          <w:spacing w:val="-10"/>
          <w:lang w:val="fr-FR"/>
        </w:rPr>
        <w:t>Géographies</w:t>
      </w:r>
      <w:proofErr w:type="spellEnd"/>
      <w:r w:rsidRPr="00EE38F6">
        <w:rPr>
          <w:rFonts w:ascii="NimbusRomNo9L" w:eastAsia="Times New Roman" w:hAnsi="NimbusRomNo9L" w:cs="Times New Roman"/>
          <w:i/>
          <w:iCs/>
          <w:spacing w:val="-10"/>
          <w:lang w:val="fr-FR"/>
        </w:rPr>
        <w:t xml:space="preserve"> du juste et de l’injuste</w:t>
      </w:r>
      <w:r w:rsidRPr="00EE38F6">
        <w:rPr>
          <w:rFonts w:ascii="NimbusRomNo9L" w:eastAsia="Times New Roman" w:hAnsi="NimbusRomNo9L" w:cs="Times New Roman"/>
          <w:spacing w:val="-10"/>
          <w:lang w:val="fr-FR"/>
        </w:rPr>
        <w:t xml:space="preserve">. </w:t>
      </w:r>
      <w:r w:rsidRPr="00166361">
        <w:rPr>
          <w:rFonts w:ascii="NimbusRomNo9L" w:eastAsia="Times New Roman" w:hAnsi="NimbusRomNo9L" w:cs="Times New Roman"/>
          <w:spacing w:val="-10"/>
          <w:lang w:val="en-US"/>
        </w:rPr>
        <w:t xml:space="preserve">Paris: Odile Jacob. </w:t>
      </w:r>
    </w:p>
    <w:p w14:paraId="2F255CEC" w14:textId="21CA17F9"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proofErr w:type="spellStart"/>
      <w:r w:rsidRPr="00166361">
        <w:rPr>
          <w:rFonts w:ascii="NimbusRomNo9L" w:eastAsia="Times New Roman" w:hAnsi="NimbusRomNo9L" w:cs="Times New Roman"/>
          <w:spacing w:val="-10"/>
          <w:lang w:val="en-US"/>
        </w:rPr>
        <w:t>Lidge</w:t>
      </w:r>
      <w:proofErr w:type="spellEnd"/>
      <w:r w:rsidRPr="00166361">
        <w:rPr>
          <w:rFonts w:ascii="NimbusRomNo9L" w:eastAsia="Times New Roman" w:hAnsi="NimbusRomNo9L" w:cs="Times New Roman"/>
          <w:spacing w:val="-10"/>
          <w:lang w:val="en-US"/>
        </w:rPr>
        <w:t xml:space="preserve">, E.F. III. 2009. Client Interests and a Lawyer’s Duty To Expedite Litigation: Does Model Rule 3.2 Impose Any Independent </w:t>
      </w:r>
      <w:proofErr w:type="gramStart"/>
      <w:r w:rsidRPr="00166361">
        <w:rPr>
          <w:rFonts w:ascii="NimbusRomNo9L" w:eastAsia="Times New Roman" w:hAnsi="NimbusRomNo9L" w:cs="Times New Roman"/>
          <w:spacing w:val="-10"/>
          <w:lang w:val="en-US"/>
        </w:rPr>
        <w:t>Obligations?.</w:t>
      </w:r>
      <w:proofErr w:type="gramEnd"/>
      <w:r w:rsidRPr="00166361">
        <w:rPr>
          <w:rFonts w:ascii="NimbusRomNo9L" w:eastAsia="Times New Roman" w:hAnsi="NimbusRomNo9L" w:cs="Times New Roman"/>
          <w:spacing w:val="-10"/>
          <w:lang w:val="en-US"/>
        </w:rPr>
        <w:t xml:space="preserve"> </w:t>
      </w:r>
      <w:r w:rsidRPr="00166361">
        <w:rPr>
          <w:rFonts w:ascii="NimbusRomNo9L" w:eastAsia="Times New Roman" w:hAnsi="NimbusRomNo9L" w:cs="Times New Roman"/>
          <w:i/>
          <w:iCs/>
          <w:spacing w:val="-10"/>
          <w:lang w:val="en-US"/>
        </w:rPr>
        <w:t>St. John’s Law Review</w:t>
      </w:r>
      <w:r w:rsidRPr="00166361">
        <w:rPr>
          <w:rFonts w:ascii="NimbusRomNo9L" w:eastAsia="Times New Roman" w:hAnsi="NimbusRomNo9L" w:cs="Times New Roman"/>
          <w:spacing w:val="-10"/>
          <w:lang w:val="en-US"/>
        </w:rPr>
        <w:t xml:space="preserve">, 83(1): 307-350. </w:t>
      </w:r>
    </w:p>
    <w:p w14:paraId="476A9616" w14:textId="77777777"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166361">
        <w:rPr>
          <w:rFonts w:ascii="NimbusRomNo9L" w:eastAsia="Times New Roman" w:hAnsi="NimbusRomNo9L" w:cs="Times New Roman"/>
          <w:spacing w:val="-10"/>
          <w:lang w:val="en-US"/>
        </w:rPr>
        <w:t xml:space="preserve">Lieberman, J.K. 1981. </w:t>
      </w:r>
      <w:r w:rsidRPr="00166361">
        <w:rPr>
          <w:rFonts w:ascii="NimbusRomNo9L" w:eastAsia="Times New Roman" w:hAnsi="NimbusRomNo9L" w:cs="Times New Roman"/>
          <w:i/>
          <w:iCs/>
          <w:spacing w:val="-10"/>
          <w:lang w:val="en-US"/>
        </w:rPr>
        <w:t>The litigious society</w:t>
      </w:r>
      <w:r w:rsidRPr="00166361">
        <w:rPr>
          <w:rFonts w:ascii="NimbusRomNo9L" w:eastAsia="Times New Roman" w:hAnsi="NimbusRomNo9L" w:cs="Times New Roman"/>
          <w:spacing w:val="-10"/>
          <w:lang w:val="en-US"/>
        </w:rPr>
        <w:t>. New York: Basic Books.</w:t>
      </w:r>
    </w:p>
    <w:p w14:paraId="5F0CA75A" w14:textId="6106630D"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166361">
        <w:rPr>
          <w:rFonts w:ascii="NimbusRomNo9L" w:eastAsia="Times New Roman" w:hAnsi="NimbusRomNo9L" w:cs="Times New Roman"/>
          <w:spacing w:val="-10"/>
          <w:lang w:val="en-US"/>
        </w:rPr>
        <w:t xml:space="preserve">Macey, J.R. and Miller, G.P. 1991. The Plaintiffs’ Attorney’s Role in Class Action and Derivative Litigation: Economic Analysis and Recommendations for Reform. </w:t>
      </w:r>
      <w:r w:rsidRPr="00166361">
        <w:rPr>
          <w:rFonts w:ascii="NimbusRomNo9L" w:eastAsia="Times New Roman" w:hAnsi="NimbusRomNo9L" w:cs="Times New Roman"/>
          <w:i/>
          <w:iCs/>
          <w:spacing w:val="-10"/>
          <w:lang w:val="en-US"/>
        </w:rPr>
        <w:t>The University of Chicago Law Review</w:t>
      </w:r>
      <w:r w:rsidRPr="00166361">
        <w:rPr>
          <w:rFonts w:ascii="NimbusRomNo9L" w:eastAsia="Times New Roman" w:hAnsi="NimbusRomNo9L" w:cs="Times New Roman"/>
          <w:spacing w:val="-10"/>
          <w:lang w:val="en-US"/>
        </w:rPr>
        <w:t xml:space="preserve">, 58 (1): 1-118. </w:t>
      </w:r>
    </w:p>
    <w:p w14:paraId="037D0DFA" w14:textId="4D12E162"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proofErr w:type="spellStart"/>
      <w:r w:rsidRPr="00EE38F6">
        <w:rPr>
          <w:rFonts w:ascii="NimbusRomNo9L" w:eastAsia="Times New Roman" w:hAnsi="NimbusRomNo9L" w:cs="Times New Roman"/>
          <w:spacing w:val="-10"/>
          <w:lang w:val="fr-FR"/>
        </w:rPr>
        <w:t>Meijers</w:t>
      </w:r>
      <w:proofErr w:type="spellEnd"/>
      <w:r w:rsidRPr="00EE38F6">
        <w:rPr>
          <w:rFonts w:ascii="NimbusRomNo9L" w:eastAsia="Times New Roman" w:hAnsi="NimbusRomNo9L" w:cs="Times New Roman"/>
          <w:spacing w:val="-10"/>
          <w:lang w:val="fr-FR"/>
        </w:rPr>
        <w:t xml:space="preserve">, E.M. 1948. Le </w:t>
      </w:r>
      <w:proofErr w:type="spellStart"/>
      <w:r w:rsidRPr="00EE38F6">
        <w:rPr>
          <w:rFonts w:ascii="NimbusRomNo9L" w:eastAsia="Times New Roman" w:hAnsi="NimbusRomNo9L" w:cs="Times New Roman"/>
          <w:spacing w:val="-10"/>
          <w:lang w:val="fr-FR"/>
        </w:rPr>
        <w:t>développement</w:t>
      </w:r>
      <w:proofErr w:type="spellEnd"/>
      <w:r w:rsidRPr="00EE38F6">
        <w:rPr>
          <w:rFonts w:ascii="NimbusRomNo9L" w:eastAsia="Times New Roman" w:hAnsi="NimbusRomNo9L" w:cs="Times New Roman"/>
          <w:spacing w:val="-10"/>
          <w:lang w:val="fr-FR"/>
        </w:rPr>
        <w:t xml:space="preserve"> des ordonnances sur </w:t>
      </w:r>
      <w:proofErr w:type="spellStart"/>
      <w:r w:rsidRPr="00EE38F6">
        <w:rPr>
          <w:rFonts w:ascii="NimbusRomNo9L" w:eastAsia="Times New Roman" w:hAnsi="NimbusRomNo9L" w:cs="Times New Roman"/>
          <w:spacing w:val="-10"/>
          <w:lang w:val="fr-FR"/>
        </w:rPr>
        <w:t>référe</w:t>
      </w:r>
      <w:proofErr w:type="spellEnd"/>
      <w:r w:rsidRPr="00EE38F6">
        <w:rPr>
          <w:rFonts w:ascii="NimbusRomNo9L" w:eastAsia="Times New Roman" w:hAnsi="NimbusRomNo9L" w:cs="Times New Roman"/>
          <w:spacing w:val="-10"/>
          <w:lang w:val="fr-FR"/>
        </w:rPr>
        <w:t xml:space="preserve">́ en France. </w:t>
      </w:r>
      <w:r w:rsidRPr="00166361">
        <w:rPr>
          <w:rFonts w:ascii="NimbusRomNo9L" w:eastAsia="Times New Roman" w:hAnsi="NimbusRomNo9L" w:cs="Times New Roman"/>
          <w:i/>
          <w:iCs/>
          <w:spacing w:val="-10"/>
          <w:lang w:val="en-US"/>
        </w:rPr>
        <w:t xml:space="preserve">Revue </w:t>
      </w:r>
      <w:proofErr w:type="spellStart"/>
      <w:r w:rsidRPr="00166361">
        <w:rPr>
          <w:rFonts w:ascii="NimbusRomNo9L" w:eastAsia="Times New Roman" w:hAnsi="NimbusRomNo9L" w:cs="Times New Roman"/>
          <w:i/>
          <w:iCs/>
          <w:spacing w:val="-10"/>
          <w:lang w:val="en-US"/>
        </w:rPr>
        <w:t>historique</w:t>
      </w:r>
      <w:proofErr w:type="spellEnd"/>
      <w:r w:rsidRPr="00166361">
        <w:rPr>
          <w:rFonts w:ascii="NimbusRomNo9L" w:eastAsia="Times New Roman" w:hAnsi="NimbusRomNo9L" w:cs="Times New Roman"/>
          <w:i/>
          <w:iCs/>
          <w:spacing w:val="-10"/>
          <w:lang w:val="en-US"/>
        </w:rPr>
        <w:t xml:space="preserve"> de droit </w:t>
      </w:r>
      <w:proofErr w:type="spellStart"/>
      <w:r w:rsidRPr="00166361">
        <w:rPr>
          <w:rFonts w:ascii="NimbusRomNo9L" w:eastAsia="Times New Roman" w:hAnsi="NimbusRomNo9L" w:cs="Times New Roman"/>
          <w:i/>
          <w:iCs/>
          <w:spacing w:val="-10"/>
          <w:lang w:val="en-US"/>
        </w:rPr>
        <w:t>français</w:t>
      </w:r>
      <w:proofErr w:type="spellEnd"/>
      <w:r w:rsidRPr="00166361">
        <w:rPr>
          <w:rFonts w:ascii="NimbusRomNo9L" w:eastAsia="Times New Roman" w:hAnsi="NimbusRomNo9L" w:cs="Times New Roman"/>
          <w:i/>
          <w:iCs/>
          <w:spacing w:val="-10"/>
          <w:lang w:val="en-US"/>
        </w:rPr>
        <w:t xml:space="preserve"> et </w:t>
      </w:r>
      <w:proofErr w:type="spellStart"/>
      <w:r w:rsidRPr="00166361">
        <w:rPr>
          <w:rFonts w:ascii="NimbusRomNo9L" w:eastAsia="Times New Roman" w:hAnsi="NimbusRomNo9L" w:cs="Times New Roman"/>
          <w:i/>
          <w:iCs/>
          <w:spacing w:val="-10"/>
          <w:lang w:val="en-US"/>
        </w:rPr>
        <w:t>étranger</w:t>
      </w:r>
      <w:proofErr w:type="spellEnd"/>
      <w:r w:rsidRPr="00166361">
        <w:rPr>
          <w:rFonts w:ascii="NimbusRomNo9L" w:eastAsia="Times New Roman" w:hAnsi="NimbusRomNo9L" w:cs="Times New Roman"/>
          <w:spacing w:val="-10"/>
          <w:lang w:val="en-US"/>
        </w:rPr>
        <w:t>, 25: 259-281</w:t>
      </w:r>
    </w:p>
    <w:p w14:paraId="00A21161" w14:textId="77777777" w:rsidR="002A1C39" w:rsidRPr="002A1C39" w:rsidRDefault="002A1C39" w:rsidP="002A1C39">
      <w:pPr>
        <w:pStyle w:val="ListParagraph"/>
        <w:numPr>
          <w:ilvl w:val="0"/>
          <w:numId w:val="4"/>
        </w:numPr>
        <w:ind w:left="284" w:hanging="283"/>
        <w:jc w:val="both"/>
        <w:rPr>
          <w:rFonts w:ascii="NimbusRomNo9L" w:hAnsi="NimbusRomNo9L"/>
          <w:spacing w:val="-10"/>
          <w:lang w:val="fr-FR"/>
        </w:rPr>
      </w:pPr>
      <w:r w:rsidRPr="002A1C39">
        <w:rPr>
          <w:rFonts w:ascii="NimbusRomNo9L" w:hAnsi="NimbusRomNo9L"/>
          <w:spacing w:val="-10"/>
          <w:lang w:val="en-US"/>
        </w:rPr>
        <w:t xml:space="preserve">Merry, S. E. (1990). </w:t>
      </w:r>
      <w:r w:rsidRPr="002A1C39">
        <w:rPr>
          <w:rFonts w:ascii="NimbusRomNo9L" w:hAnsi="NimbusRomNo9L"/>
          <w:i/>
          <w:iCs/>
          <w:spacing w:val="-10"/>
          <w:lang w:val="en-US"/>
        </w:rPr>
        <w:t>Getting justice and getting even: Legal consciousness among working-class Americans</w:t>
      </w:r>
      <w:r w:rsidRPr="002A1C39">
        <w:rPr>
          <w:rFonts w:ascii="NimbusRomNo9L" w:hAnsi="NimbusRomNo9L"/>
          <w:spacing w:val="-10"/>
          <w:lang w:val="en-US"/>
        </w:rPr>
        <w:t xml:space="preserve">. </w:t>
      </w:r>
      <w:proofErr w:type="spellStart"/>
      <w:r w:rsidRPr="002A1C39">
        <w:rPr>
          <w:rFonts w:ascii="NimbusRomNo9L" w:hAnsi="NimbusRomNo9L"/>
          <w:spacing w:val="-10"/>
          <w:lang w:val="fr-FR"/>
        </w:rPr>
        <w:t>University</w:t>
      </w:r>
      <w:proofErr w:type="spellEnd"/>
      <w:r w:rsidRPr="002A1C39">
        <w:rPr>
          <w:rFonts w:ascii="NimbusRomNo9L" w:hAnsi="NimbusRomNo9L"/>
          <w:spacing w:val="-10"/>
          <w:lang w:val="fr-FR"/>
        </w:rPr>
        <w:t xml:space="preserve"> of Chicago </w:t>
      </w:r>
      <w:proofErr w:type="spellStart"/>
      <w:r w:rsidRPr="002A1C39">
        <w:rPr>
          <w:rFonts w:ascii="NimbusRomNo9L" w:hAnsi="NimbusRomNo9L"/>
          <w:spacing w:val="-10"/>
          <w:lang w:val="fr-FR"/>
        </w:rPr>
        <w:t>Press</w:t>
      </w:r>
      <w:proofErr w:type="spellEnd"/>
      <w:r w:rsidRPr="002A1C39">
        <w:rPr>
          <w:rFonts w:ascii="NimbusRomNo9L" w:hAnsi="NimbusRomNo9L"/>
          <w:spacing w:val="-10"/>
          <w:lang w:val="fr-FR"/>
        </w:rPr>
        <w:t>.</w:t>
      </w:r>
    </w:p>
    <w:p w14:paraId="5A53679F" w14:textId="5E3E2531" w:rsidR="001800F7" w:rsidRPr="001800F7" w:rsidRDefault="001800F7" w:rsidP="002A1C39">
      <w:pPr>
        <w:pStyle w:val="ListParagraph"/>
        <w:numPr>
          <w:ilvl w:val="0"/>
          <w:numId w:val="4"/>
        </w:numPr>
        <w:ind w:left="284" w:hanging="283"/>
        <w:jc w:val="both"/>
        <w:rPr>
          <w:rFonts w:ascii="Times New Roman" w:eastAsia="Times New Roman" w:hAnsi="Times New Roman" w:cs="Times New Roman"/>
          <w:spacing w:val="-10"/>
          <w:lang w:val="en-US"/>
        </w:rPr>
      </w:pPr>
      <w:proofErr w:type="spellStart"/>
      <w:r w:rsidRPr="001800F7">
        <w:rPr>
          <w:rFonts w:ascii="NimbusRomNo9L" w:eastAsia="Times New Roman" w:hAnsi="NimbusRomNo9L" w:cs="Times New Roman"/>
          <w:spacing w:val="-10"/>
          <w:lang w:val="en-US"/>
        </w:rPr>
        <w:t>Molot</w:t>
      </w:r>
      <w:proofErr w:type="spellEnd"/>
      <w:r w:rsidRPr="001800F7">
        <w:rPr>
          <w:rFonts w:ascii="NimbusRomNo9L" w:eastAsia="Times New Roman" w:hAnsi="NimbusRomNo9L" w:cs="Times New Roman"/>
          <w:spacing w:val="-10"/>
          <w:lang w:val="en-US"/>
        </w:rPr>
        <w:t>, J. T. (2014). The Feasibility of Litigation Markets. Indiana Law Journal, 89, 171</w:t>
      </w:r>
      <w:r>
        <w:rPr>
          <w:rFonts w:ascii="NimbusRomNo9L" w:eastAsia="Times New Roman" w:hAnsi="NimbusRomNo9L" w:cs="Times New Roman"/>
          <w:spacing w:val="-10"/>
          <w:lang w:val="en-US"/>
        </w:rPr>
        <w:t>-194.</w:t>
      </w:r>
    </w:p>
    <w:p w14:paraId="6F8DE0F8" w14:textId="6460380E"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proofErr w:type="spellStart"/>
      <w:r w:rsidRPr="00166361">
        <w:rPr>
          <w:rFonts w:ascii="NimbusRomNo9L" w:eastAsia="Times New Roman" w:hAnsi="NimbusRomNo9L" w:cs="Times New Roman"/>
          <w:spacing w:val="-10"/>
          <w:lang w:val="en-US"/>
        </w:rPr>
        <w:t>Monek</w:t>
      </w:r>
      <w:proofErr w:type="spellEnd"/>
      <w:r w:rsidRPr="00166361">
        <w:rPr>
          <w:rFonts w:ascii="NimbusRomNo9L" w:eastAsia="Times New Roman" w:hAnsi="NimbusRomNo9L" w:cs="Times New Roman"/>
          <w:spacing w:val="-10"/>
          <w:lang w:val="en-US"/>
        </w:rPr>
        <w:t xml:space="preserve">, F.H. 1983. Court delay: Some causes and remedies. </w:t>
      </w:r>
      <w:r w:rsidRPr="00166361">
        <w:rPr>
          <w:rFonts w:ascii="NimbusRomNo9L" w:eastAsia="Times New Roman" w:hAnsi="NimbusRomNo9L" w:cs="Times New Roman"/>
          <w:i/>
          <w:iCs/>
          <w:spacing w:val="-10"/>
          <w:lang w:val="en-US"/>
        </w:rPr>
        <w:t>American Bar Association Journal</w:t>
      </w:r>
      <w:r w:rsidRPr="00166361">
        <w:rPr>
          <w:rFonts w:ascii="NimbusRomNo9L" w:eastAsia="Times New Roman" w:hAnsi="NimbusRomNo9L" w:cs="Times New Roman"/>
          <w:spacing w:val="-10"/>
          <w:lang w:val="en-US"/>
        </w:rPr>
        <w:t xml:space="preserve">, 69: 12-13. </w:t>
      </w:r>
    </w:p>
    <w:p w14:paraId="30FC904B" w14:textId="5DDA096B"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166361">
        <w:rPr>
          <w:rFonts w:ascii="NimbusRomNo9L" w:eastAsia="Times New Roman" w:hAnsi="NimbusRomNo9L" w:cs="Times New Roman"/>
          <w:spacing w:val="-10"/>
          <w:lang w:val="en-US"/>
        </w:rPr>
        <w:t xml:space="preserve">Mora-Sanguinetti, J.S. and N. </w:t>
      </w:r>
      <w:proofErr w:type="spellStart"/>
      <w:r w:rsidRPr="00166361">
        <w:rPr>
          <w:rFonts w:ascii="NimbusRomNo9L" w:eastAsia="Times New Roman" w:hAnsi="NimbusRomNo9L" w:cs="Times New Roman"/>
          <w:spacing w:val="-10"/>
          <w:lang w:val="en-US"/>
        </w:rPr>
        <w:t>Garoupa</w:t>
      </w:r>
      <w:proofErr w:type="spellEnd"/>
      <w:r w:rsidRPr="00166361">
        <w:rPr>
          <w:rFonts w:ascii="NimbusRomNo9L" w:eastAsia="Times New Roman" w:hAnsi="NimbusRomNo9L" w:cs="Times New Roman"/>
          <w:spacing w:val="-10"/>
          <w:lang w:val="en-US"/>
        </w:rPr>
        <w:t xml:space="preserve">. 2015. Do lawyers induce litigation? Evidence from Spain, 2001–2010. </w:t>
      </w:r>
      <w:r w:rsidRPr="00166361">
        <w:rPr>
          <w:rFonts w:ascii="NimbusRomNo9L" w:eastAsia="Times New Roman" w:hAnsi="NimbusRomNo9L" w:cs="Times New Roman"/>
          <w:i/>
          <w:iCs/>
          <w:spacing w:val="-10"/>
          <w:lang w:val="en-US"/>
        </w:rPr>
        <w:t>International Review of Law and Economics</w:t>
      </w:r>
      <w:r w:rsidRPr="00166361">
        <w:rPr>
          <w:rFonts w:ascii="NimbusRomNo9L" w:eastAsia="Times New Roman" w:hAnsi="NimbusRomNo9L" w:cs="Times New Roman"/>
          <w:spacing w:val="-10"/>
          <w:lang w:val="en-US"/>
        </w:rPr>
        <w:t xml:space="preserve">, 44: 29-41. </w:t>
      </w:r>
    </w:p>
    <w:p w14:paraId="64384D02" w14:textId="10A83E1E"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166361">
        <w:rPr>
          <w:rFonts w:ascii="NimbusRomNo9L" w:eastAsia="Times New Roman" w:hAnsi="NimbusRomNo9L" w:cs="Times New Roman"/>
          <w:spacing w:val="-10"/>
          <w:lang w:val="en-US"/>
        </w:rPr>
        <w:t xml:space="preserve">Mora-Sanguinetti, J.S. and </w:t>
      </w:r>
      <w:proofErr w:type="spellStart"/>
      <w:r w:rsidRPr="00166361">
        <w:rPr>
          <w:rFonts w:ascii="NimbusRomNo9L" w:eastAsia="Times New Roman" w:hAnsi="NimbusRomNo9L" w:cs="Times New Roman"/>
          <w:spacing w:val="-10"/>
          <w:lang w:val="en-US"/>
        </w:rPr>
        <w:t>Martínez-Matute</w:t>
      </w:r>
      <w:proofErr w:type="spellEnd"/>
      <w:r w:rsidRPr="00166361">
        <w:rPr>
          <w:rFonts w:ascii="NimbusRomNo9L" w:eastAsia="Times New Roman" w:hAnsi="NimbusRomNo9L" w:cs="Times New Roman"/>
          <w:spacing w:val="-10"/>
          <w:lang w:val="en-US"/>
        </w:rPr>
        <w:t xml:space="preserve">, M. 2019. An economic analysis of court fees: evidence from the Spanish civil jurisdiction. </w:t>
      </w:r>
      <w:r w:rsidRPr="00166361">
        <w:rPr>
          <w:rFonts w:ascii="NimbusRomNo9L" w:eastAsia="Times New Roman" w:hAnsi="NimbusRomNo9L" w:cs="Times New Roman"/>
          <w:i/>
          <w:iCs/>
          <w:spacing w:val="-10"/>
          <w:lang w:val="en-US"/>
        </w:rPr>
        <w:t>European Journal of Law and Economics</w:t>
      </w:r>
      <w:r w:rsidRPr="00166361">
        <w:rPr>
          <w:rFonts w:ascii="NimbusRomNo9L" w:eastAsia="Times New Roman" w:hAnsi="NimbusRomNo9L" w:cs="Times New Roman"/>
          <w:spacing w:val="-10"/>
          <w:lang w:val="en-US"/>
        </w:rPr>
        <w:t xml:space="preserve">, 47: 321-259. </w:t>
      </w:r>
    </w:p>
    <w:p w14:paraId="5EEF35AB" w14:textId="2163BC1F"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proofErr w:type="spellStart"/>
      <w:r w:rsidRPr="00166361">
        <w:rPr>
          <w:rFonts w:ascii="NimbusRomNo9L" w:eastAsia="Times New Roman" w:hAnsi="NimbusRomNo9L" w:cs="Times New Roman"/>
          <w:spacing w:val="-10"/>
          <w:lang w:val="en-US"/>
        </w:rPr>
        <w:t>Motala</w:t>
      </w:r>
      <w:proofErr w:type="spellEnd"/>
      <w:r w:rsidRPr="00166361">
        <w:rPr>
          <w:rFonts w:ascii="NimbusRomNo9L" w:eastAsia="Times New Roman" w:hAnsi="NimbusRomNo9L" w:cs="Times New Roman"/>
          <w:spacing w:val="-10"/>
          <w:lang w:val="en-US"/>
        </w:rPr>
        <w:t xml:space="preserve">, Z. 2001. Judicial accountability and court performance standards: managing court delay. </w:t>
      </w:r>
      <w:r w:rsidRPr="00166361">
        <w:rPr>
          <w:rFonts w:ascii="NimbusRomNo9L" w:eastAsia="Times New Roman" w:hAnsi="NimbusRomNo9L" w:cs="Times New Roman"/>
          <w:i/>
          <w:iCs/>
          <w:spacing w:val="-10"/>
          <w:lang w:val="en-US"/>
        </w:rPr>
        <w:t>The Comparative and International Law Journal of Southern Africa</w:t>
      </w:r>
      <w:r w:rsidRPr="00166361">
        <w:rPr>
          <w:rFonts w:ascii="NimbusRomNo9L" w:eastAsia="Times New Roman" w:hAnsi="NimbusRomNo9L" w:cs="Times New Roman"/>
          <w:spacing w:val="-10"/>
          <w:lang w:val="en-US"/>
        </w:rPr>
        <w:t xml:space="preserve">, 34(2): 172-187. </w:t>
      </w:r>
    </w:p>
    <w:p w14:paraId="19EAC933" w14:textId="0A34C616"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166361">
        <w:rPr>
          <w:rFonts w:ascii="NimbusRomNo9L" w:eastAsia="Times New Roman" w:hAnsi="NimbusRomNo9L" w:cs="Times New Roman"/>
          <w:spacing w:val="-10"/>
          <w:lang w:val="en-US"/>
        </w:rPr>
        <w:t xml:space="preserve">Myers, W.G. III. 1992. Reforming the American Civil Justice System. </w:t>
      </w:r>
      <w:r w:rsidRPr="00166361">
        <w:rPr>
          <w:rFonts w:ascii="NimbusRomNo9L" w:eastAsia="Times New Roman" w:hAnsi="NimbusRomNo9L" w:cs="Times New Roman"/>
          <w:i/>
          <w:iCs/>
          <w:spacing w:val="-10"/>
          <w:lang w:val="en-US"/>
        </w:rPr>
        <w:t>Georgetown Journal of Legal Ethics</w:t>
      </w:r>
      <w:r w:rsidRPr="00166361">
        <w:rPr>
          <w:rFonts w:ascii="NimbusRomNo9L" w:eastAsia="Times New Roman" w:hAnsi="NimbusRomNo9L" w:cs="Times New Roman"/>
          <w:spacing w:val="-10"/>
          <w:lang w:val="en-US"/>
        </w:rPr>
        <w:t xml:space="preserve">, 5: 879-888. </w:t>
      </w:r>
    </w:p>
    <w:p w14:paraId="5F356877" w14:textId="259FDEC9"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proofErr w:type="spellStart"/>
      <w:r w:rsidRPr="00166361">
        <w:rPr>
          <w:rFonts w:ascii="NimbusRomNo9L" w:eastAsia="Times New Roman" w:hAnsi="NimbusRomNo9L" w:cs="Times New Roman"/>
          <w:spacing w:val="-10"/>
          <w:lang w:val="en-US"/>
        </w:rPr>
        <w:t>Nakazato</w:t>
      </w:r>
      <w:proofErr w:type="spellEnd"/>
      <w:r w:rsidRPr="00166361">
        <w:rPr>
          <w:rFonts w:ascii="NimbusRomNo9L" w:eastAsia="Times New Roman" w:hAnsi="NimbusRomNo9L" w:cs="Times New Roman"/>
          <w:spacing w:val="-10"/>
          <w:lang w:val="en-US"/>
        </w:rPr>
        <w:t xml:space="preserve">, M., M.J. Ramseyer and E.B. </w:t>
      </w:r>
      <w:proofErr w:type="spellStart"/>
      <w:r w:rsidRPr="00166361">
        <w:rPr>
          <w:rFonts w:ascii="NimbusRomNo9L" w:eastAsia="Times New Roman" w:hAnsi="NimbusRomNo9L" w:cs="Times New Roman"/>
          <w:spacing w:val="-10"/>
          <w:lang w:val="en-US"/>
        </w:rPr>
        <w:t>Rasmusen</w:t>
      </w:r>
      <w:proofErr w:type="spellEnd"/>
      <w:r w:rsidRPr="00166361">
        <w:rPr>
          <w:rFonts w:ascii="NimbusRomNo9L" w:eastAsia="Times New Roman" w:hAnsi="NimbusRomNo9L" w:cs="Times New Roman"/>
          <w:spacing w:val="-10"/>
          <w:lang w:val="en-US"/>
        </w:rPr>
        <w:t xml:space="preserve">. 2010. The Industrial Organization of the Japanese Bar: Levels and Determinants of Attorney Income. </w:t>
      </w:r>
      <w:r w:rsidRPr="00166361">
        <w:rPr>
          <w:rFonts w:ascii="NimbusRomNo9L" w:eastAsia="Times New Roman" w:hAnsi="NimbusRomNo9L" w:cs="Times New Roman"/>
          <w:i/>
          <w:iCs/>
          <w:spacing w:val="-10"/>
          <w:lang w:val="en-US"/>
        </w:rPr>
        <w:t>Journal of empirical legal studies</w:t>
      </w:r>
      <w:r w:rsidRPr="00166361">
        <w:rPr>
          <w:rFonts w:ascii="NimbusRomNo9L" w:eastAsia="Times New Roman" w:hAnsi="NimbusRomNo9L" w:cs="Times New Roman"/>
          <w:spacing w:val="-10"/>
          <w:lang w:val="en-US"/>
        </w:rPr>
        <w:t xml:space="preserve">, 7(3): 460-489. </w:t>
      </w:r>
    </w:p>
    <w:p w14:paraId="1A3B54B6" w14:textId="77777777" w:rsidR="009B5934" w:rsidRDefault="009B5934" w:rsidP="00FE6449">
      <w:pPr>
        <w:pStyle w:val="ListParagraph"/>
        <w:numPr>
          <w:ilvl w:val="0"/>
          <w:numId w:val="4"/>
        </w:numPr>
        <w:ind w:left="284" w:hanging="283"/>
        <w:jc w:val="both"/>
        <w:rPr>
          <w:rFonts w:ascii="NimbusRomNo9L" w:hAnsi="NimbusRomNo9L"/>
          <w:spacing w:val="-10"/>
          <w:lang w:val="en-US"/>
        </w:rPr>
      </w:pPr>
      <w:r w:rsidRPr="009B5934">
        <w:rPr>
          <w:rFonts w:ascii="NimbusRomNo9L" w:hAnsi="NimbusRomNo9L"/>
          <w:spacing w:val="-10"/>
          <w:lang w:val="it-IT"/>
        </w:rPr>
        <w:t xml:space="preserve">Olea, J. L. M., &amp; </w:t>
      </w:r>
      <w:proofErr w:type="spellStart"/>
      <w:r w:rsidRPr="009B5934">
        <w:rPr>
          <w:rFonts w:ascii="NimbusRomNo9L" w:hAnsi="NimbusRomNo9L"/>
          <w:spacing w:val="-10"/>
          <w:lang w:val="it-IT"/>
        </w:rPr>
        <w:t>Pflueger</w:t>
      </w:r>
      <w:proofErr w:type="spellEnd"/>
      <w:r w:rsidRPr="009B5934">
        <w:rPr>
          <w:rFonts w:ascii="NimbusRomNo9L" w:hAnsi="NimbusRomNo9L"/>
          <w:spacing w:val="-10"/>
          <w:lang w:val="it-IT"/>
        </w:rPr>
        <w:t xml:space="preserve">, C. (2013). </w:t>
      </w:r>
      <w:r w:rsidRPr="009B5934">
        <w:rPr>
          <w:rFonts w:ascii="NimbusRomNo9L" w:hAnsi="NimbusRomNo9L"/>
          <w:spacing w:val="-10"/>
          <w:lang w:val="en-US"/>
        </w:rPr>
        <w:t xml:space="preserve">A robust test for weak instruments. </w:t>
      </w:r>
      <w:r w:rsidRPr="009B5934">
        <w:rPr>
          <w:rFonts w:ascii="NimbusRomNo9L" w:hAnsi="NimbusRomNo9L"/>
          <w:i/>
          <w:spacing w:val="-10"/>
          <w:lang w:val="en-US"/>
        </w:rPr>
        <w:t>Journal of Business &amp; Economic Statistics</w:t>
      </w:r>
      <w:r w:rsidRPr="009B5934">
        <w:rPr>
          <w:rFonts w:ascii="NimbusRomNo9L" w:hAnsi="NimbusRomNo9L"/>
          <w:spacing w:val="-10"/>
          <w:lang w:val="en-US"/>
        </w:rPr>
        <w:t>, 31(3), 358-369.</w:t>
      </w:r>
    </w:p>
    <w:p w14:paraId="5A4A2FE8" w14:textId="338BEE22" w:rsidR="00FE6449" w:rsidRPr="00FE6449" w:rsidRDefault="00FE6449" w:rsidP="00FE6449">
      <w:pPr>
        <w:pStyle w:val="ListParagraph"/>
        <w:numPr>
          <w:ilvl w:val="0"/>
          <w:numId w:val="4"/>
        </w:numPr>
        <w:ind w:left="284" w:hanging="283"/>
        <w:jc w:val="both"/>
        <w:rPr>
          <w:rFonts w:ascii="NimbusRomNo9L" w:hAnsi="NimbusRomNo9L"/>
          <w:spacing w:val="-10"/>
          <w:lang w:val="en-US"/>
        </w:rPr>
      </w:pPr>
      <w:proofErr w:type="spellStart"/>
      <w:r w:rsidRPr="00FE6449">
        <w:rPr>
          <w:rFonts w:ascii="NimbusRomNo9L" w:hAnsi="NimbusRomNo9L"/>
          <w:spacing w:val="-10"/>
          <w:lang w:val="en-US"/>
        </w:rPr>
        <w:t>Osiel</w:t>
      </w:r>
      <w:proofErr w:type="spellEnd"/>
      <w:r w:rsidRPr="00FE6449">
        <w:rPr>
          <w:rFonts w:ascii="NimbusRomNo9L" w:hAnsi="NimbusRomNo9L"/>
          <w:spacing w:val="-10"/>
          <w:lang w:val="en-US"/>
        </w:rPr>
        <w:t xml:space="preserve">, M. J. (1990). Lawyers as monopolists, aristocrats, and entrepreneurs. </w:t>
      </w:r>
      <w:r w:rsidRPr="00FE6449">
        <w:rPr>
          <w:rFonts w:ascii="NimbusRomNo9L" w:hAnsi="NimbusRomNo9L"/>
          <w:i/>
          <w:iCs/>
          <w:spacing w:val="-10"/>
          <w:lang w:val="en-US"/>
        </w:rPr>
        <w:t>Harvard Law Review</w:t>
      </w:r>
      <w:r w:rsidRPr="00FE6449">
        <w:rPr>
          <w:rFonts w:ascii="NimbusRomNo9L" w:eastAsia="Times New Roman" w:hAnsi="NimbusRomNo9L"/>
          <w:spacing w:val="-10"/>
          <w:lang w:val="en-US"/>
        </w:rPr>
        <w:t>, 103</w:t>
      </w:r>
      <w:r w:rsidRPr="00FE6449">
        <w:rPr>
          <w:rFonts w:ascii="NimbusRomNo9L" w:hAnsi="NimbusRomNo9L"/>
          <w:spacing w:val="-10"/>
          <w:lang w:val="en-US"/>
        </w:rPr>
        <w:t>(8</w:t>
      </w:r>
      <w:r w:rsidRPr="00FE6449">
        <w:rPr>
          <w:rFonts w:ascii="NimbusRomNo9L" w:eastAsia="Times New Roman" w:hAnsi="NimbusRomNo9L"/>
          <w:spacing w:val="-10"/>
          <w:lang w:val="en-US"/>
        </w:rPr>
        <w:t>)</w:t>
      </w:r>
      <w:r w:rsidRPr="00FE6449">
        <w:rPr>
          <w:rFonts w:ascii="NimbusRomNo9L" w:hAnsi="NimbusRomNo9L"/>
          <w:spacing w:val="-10"/>
          <w:lang w:val="en-US"/>
        </w:rPr>
        <w:t>:</w:t>
      </w:r>
      <w:r w:rsidRPr="00FE6449">
        <w:rPr>
          <w:rFonts w:ascii="NimbusRomNo9L" w:eastAsia="Times New Roman" w:hAnsi="NimbusRomNo9L"/>
          <w:spacing w:val="-10"/>
          <w:lang w:val="en-US"/>
        </w:rPr>
        <w:t xml:space="preserve"> 2009-2066</w:t>
      </w:r>
      <w:r>
        <w:rPr>
          <w:rFonts w:ascii="NimbusRomNo9L" w:eastAsia="Times New Roman" w:hAnsi="NimbusRomNo9L"/>
          <w:spacing w:val="-10"/>
          <w:lang w:val="en-US"/>
        </w:rPr>
        <w:t>.</w:t>
      </w:r>
    </w:p>
    <w:p w14:paraId="1EF58D40" w14:textId="01327F9E"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166361">
        <w:rPr>
          <w:rFonts w:ascii="NimbusRomNo9L" w:eastAsia="Times New Roman" w:hAnsi="NimbusRomNo9L" w:cs="Times New Roman"/>
          <w:spacing w:val="-10"/>
          <w:lang w:val="en-US"/>
        </w:rPr>
        <w:t xml:space="preserve">Pal, A. 2021. Ensuring Timely Justice: Issues and Challenges. In </w:t>
      </w:r>
      <w:r w:rsidRPr="00166361">
        <w:rPr>
          <w:rFonts w:ascii="NimbusRomNo9L" w:eastAsia="Times New Roman" w:hAnsi="NimbusRomNo9L" w:cs="Times New Roman"/>
          <w:i/>
          <w:iCs/>
          <w:spacing w:val="-10"/>
          <w:lang w:val="en-US"/>
        </w:rPr>
        <w:t xml:space="preserve">Upholding Justice: Social, Psychological and Legal Perspectives </w:t>
      </w:r>
      <w:r w:rsidRPr="00166361">
        <w:rPr>
          <w:rFonts w:ascii="NimbusRomNo9L" w:eastAsia="Times New Roman" w:hAnsi="NimbusRomNo9L" w:cs="Times New Roman"/>
          <w:spacing w:val="-10"/>
          <w:lang w:val="en-US"/>
        </w:rPr>
        <w:t xml:space="preserve">edited by S. Deb, G. </w:t>
      </w:r>
      <w:proofErr w:type="spellStart"/>
      <w:r w:rsidRPr="00166361">
        <w:rPr>
          <w:rFonts w:ascii="NimbusRomNo9L" w:eastAsia="Times New Roman" w:hAnsi="NimbusRomNo9L" w:cs="Times New Roman"/>
          <w:spacing w:val="-10"/>
          <w:lang w:val="en-US"/>
        </w:rPr>
        <w:t>Subhalakshmi</w:t>
      </w:r>
      <w:proofErr w:type="spellEnd"/>
      <w:r w:rsidRPr="00166361">
        <w:rPr>
          <w:rFonts w:ascii="NimbusRomNo9L" w:eastAsia="Times New Roman" w:hAnsi="NimbusRomNo9L" w:cs="Times New Roman"/>
          <w:spacing w:val="-10"/>
          <w:lang w:val="en-US"/>
        </w:rPr>
        <w:t xml:space="preserve"> and K. </w:t>
      </w:r>
      <w:proofErr w:type="spellStart"/>
      <w:r w:rsidRPr="00166361">
        <w:rPr>
          <w:rFonts w:ascii="NimbusRomNo9L" w:eastAsia="Times New Roman" w:hAnsi="NimbusRomNo9L" w:cs="Times New Roman"/>
          <w:spacing w:val="-10"/>
          <w:lang w:val="en-US"/>
        </w:rPr>
        <w:t>Chakraborti</w:t>
      </w:r>
      <w:proofErr w:type="spellEnd"/>
      <w:r w:rsidRPr="00166361">
        <w:rPr>
          <w:rFonts w:ascii="NimbusRomNo9L" w:eastAsia="Times New Roman" w:hAnsi="NimbusRomNo9L" w:cs="Times New Roman"/>
          <w:spacing w:val="-10"/>
          <w:lang w:val="en-US"/>
        </w:rPr>
        <w:t xml:space="preserve">. Abington: Routledge. </w:t>
      </w:r>
    </w:p>
    <w:p w14:paraId="4D3898EE" w14:textId="77777777" w:rsidR="00800903" w:rsidRPr="00EE38F6" w:rsidRDefault="00800903" w:rsidP="00800903">
      <w:pPr>
        <w:pStyle w:val="ListParagraph"/>
        <w:numPr>
          <w:ilvl w:val="0"/>
          <w:numId w:val="4"/>
        </w:numPr>
        <w:ind w:left="284" w:hanging="283"/>
        <w:jc w:val="both"/>
        <w:rPr>
          <w:rFonts w:ascii="NimbusRomNo9L" w:eastAsia="Times New Roman" w:hAnsi="NimbusRomNo9L" w:cs="Times New Roman"/>
          <w:spacing w:val="-10"/>
          <w:lang w:val="fr-FR"/>
        </w:rPr>
      </w:pPr>
      <w:proofErr w:type="spellStart"/>
      <w:r w:rsidRPr="00EE38F6">
        <w:rPr>
          <w:rFonts w:ascii="NimbusRomNo9L" w:eastAsia="Times New Roman" w:hAnsi="NimbusRomNo9L" w:cs="Times New Roman"/>
          <w:spacing w:val="-10"/>
          <w:lang w:val="fr-FR"/>
        </w:rPr>
        <w:lastRenderedPageBreak/>
        <w:t>Pandelon</w:t>
      </w:r>
      <w:proofErr w:type="spellEnd"/>
      <w:r w:rsidRPr="00EE38F6">
        <w:rPr>
          <w:rFonts w:ascii="NimbusRomNo9L" w:eastAsia="Times New Roman" w:hAnsi="NimbusRomNo9L" w:cs="Times New Roman"/>
          <w:spacing w:val="-10"/>
          <w:lang w:val="fr-FR"/>
        </w:rPr>
        <w:t xml:space="preserve">, G. 2019. </w:t>
      </w:r>
      <w:r w:rsidRPr="00EE38F6">
        <w:rPr>
          <w:rFonts w:ascii="NimbusRomNo9L" w:eastAsia="Times New Roman" w:hAnsi="NimbusRomNo9L" w:cs="Times New Roman"/>
          <w:i/>
          <w:spacing w:val="-10"/>
          <w:lang w:val="fr-FR"/>
        </w:rPr>
        <w:t>Le métier d'avocat en France</w:t>
      </w:r>
      <w:r w:rsidRPr="00EE38F6">
        <w:rPr>
          <w:rFonts w:ascii="NimbusRomNo9L" w:eastAsia="Times New Roman" w:hAnsi="NimbusRomNo9L" w:cs="Times New Roman"/>
          <w:spacing w:val="-10"/>
          <w:lang w:val="fr-FR"/>
        </w:rPr>
        <w:t xml:space="preserve">. </w:t>
      </w:r>
      <w:proofErr w:type="gramStart"/>
      <w:r w:rsidRPr="00EE38F6">
        <w:rPr>
          <w:rFonts w:ascii="NimbusRomNo9L" w:eastAsia="Times New Roman" w:hAnsi="NimbusRomNo9L" w:cs="Times New Roman"/>
          <w:spacing w:val="-10"/>
          <w:lang w:val="fr-FR"/>
        </w:rPr>
        <w:t>Paris:</w:t>
      </w:r>
      <w:proofErr w:type="gramEnd"/>
      <w:r w:rsidRPr="00EE38F6">
        <w:rPr>
          <w:rFonts w:ascii="NimbusRomNo9L" w:eastAsia="Times New Roman" w:hAnsi="NimbusRomNo9L" w:cs="Times New Roman"/>
          <w:spacing w:val="-10"/>
          <w:lang w:val="fr-FR"/>
        </w:rPr>
        <w:t xml:space="preserve"> Presses Universitaires de France.</w:t>
      </w:r>
    </w:p>
    <w:p w14:paraId="0F4FC3A5" w14:textId="311C97A4" w:rsidR="00800903" w:rsidRPr="00B47AC8" w:rsidRDefault="00800903" w:rsidP="00800903">
      <w:pPr>
        <w:pStyle w:val="ListParagraph"/>
        <w:numPr>
          <w:ilvl w:val="0"/>
          <w:numId w:val="4"/>
        </w:numPr>
        <w:ind w:left="284" w:hanging="283"/>
        <w:jc w:val="both"/>
        <w:rPr>
          <w:rFonts w:ascii="Times New Roman" w:eastAsia="Times New Roman" w:hAnsi="Times New Roman" w:cs="Times New Roman"/>
          <w:spacing w:val="-10"/>
          <w:lang w:val="fr-FR"/>
        </w:rPr>
      </w:pPr>
      <w:r w:rsidRPr="00166361">
        <w:rPr>
          <w:rFonts w:ascii="NimbusRomNo9L" w:eastAsia="Times New Roman" w:hAnsi="NimbusRomNo9L" w:cs="Times New Roman"/>
          <w:spacing w:val="-10"/>
          <w:lang w:val="en-US"/>
        </w:rPr>
        <w:t xml:space="preserve">Perrot, R., B. </w:t>
      </w:r>
      <w:proofErr w:type="spellStart"/>
      <w:r w:rsidRPr="00166361">
        <w:rPr>
          <w:rFonts w:ascii="NimbusRomNo9L" w:eastAsia="Times New Roman" w:hAnsi="NimbusRomNo9L" w:cs="Times New Roman"/>
          <w:spacing w:val="-10"/>
          <w:lang w:val="en-US"/>
        </w:rPr>
        <w:t>Beignier</w:t>
      </w:r>
      <w:proofErr w:type="spellEnd"/>
      <w:r w:rsidRPr="00166361">
        <w:rPr>
          <w:rFonts w:ascii="NimbusRomNo9L" w:eastAsia="Times New Roman" w:hAnsi="NimbusRomNo9L" w:cs="Times New Roman"/>
          <w:spacing w:val="-10"/>
          <w:lang w:val="en-US"/>
        </w:rPr>
        <w:t xml:space="preserve"> and L. </w:t>
      </w:r>
      <w:proofErr w:type="spellStart"/>
      <w:r w:rsidRPr="00166361">
        <w:rPr>
          <w:rFonts w:ascii="NimbusRomNo9L" w:eastAsia="Times New Roman" w:hAnsi="NimbusRomNo9L" w:cs="Times New Roman"/>
          <w:spacing w:val="-10"/>
          <w:lang w:val="en-US"/>
        </w:rPr>
        <w:t>Miniato</w:t>
      </w:r>
      <w:proofErr w:type="spellEnd"/>
      <w:r w:rsidRPr="00166361">
        <w:rPr>
          <w:rFonts w:ascii="NimbusRomNo9L" w:eastAsia="Times New Roman" w:hAnsi="NimbusRomNo9L" w:cs="Times New Roman"/>
          <w:spacing w:val="-10"/>
          <w:lang w:val="en-US"/>
        </w:rPr>
        <w:t xml:space="preserve">. </w:t>
      </w:r>
      <w:r w:rsidRPr="00EE38F6">
        <w:rPr>
          <w:rFonts w:ascii="NimbusRomNo9L" w:eastAsia="Times New Roman" w:hAnsi="NimbusRomNo9L" w:cs="Times New Roman"/>
          <w:spacing w:val="-10"/>
          <w:lang w:val="fr-FR"/>
        </w:rPr>
        <w:t xml:space="preserve">2017. </w:t>
      </w:r>
      <w:r w:rsidRPr="00EE38F6">
        <w:rPr>
          <w:rFonts w:ascii="NimbusRomNo9L" w:eastAsia="Times New Roman" w:hAnsi="NimbusRomNo9L" w:cs="Times New Roman"/>
          <w:i/>
          <w:iCs/>
          <w:spacing w:val="-10"/>
          <w:lang w:val="fr-FR"/>
        </w:rPr>
        <w:t>Institutions judiciaires</w:t>
      </w:r>
      <w:r w:rsidRPr="00EE38F6">
        <w:rPr>
          <w:rFonts w:ascii="NimbusRomNo9L" w:eastAsia="Times New Roman" w:hAnsi="NimbusRomNo9L" w:cs="Times New Roman"/>
          <w:spacing w:val="-10"/>
          <w:lang w:val="fr-FR"/>
        </w:rPr>
        <w:t xml:space="preserve">. </w:t>
      </w:r>
      <w:proofErr w:type="gramStart"/>
      <w:r w:rsidRPr="00EE38F6">
        <w:rPr>
          <w:rFonts w:ascii="NimbusRomNo9L" w:eastAsia="Times New Roman" w:hAnsi="NimbusRomNo9L" w:cs="Times New Roman"/>
          <w:spacing w:val="-10"/>
          <w:lang w:val="fr-FR"/>
        </w:rPr>
        <w:t>Paris:</w:t>
      </w:r>
      <w:proofErr w:type="gramEnd"/>
      <w:r w:rsidRPr="00EE38F6">
        <w:rPr>
          <w:rFonts w:ascii="NimbusRomNo9L" w:eastAsia="Times New Roman" w:hAnsi="NimbusRomNo9L" w:cs="Times New Roman"/>
          <w:spacing w:val="-10"/>
          <w:lang w:val="fr-FR"/>
        </w:rPr>
        <w:t xml:space="preserve"> La Librairie </w:t>
      </w:r>
      <w:proofErr w:type="spellStart"/>
      <w:r w:rsidRPr="00EE38F6">
        <w:rPr>
          <w:rFonts w:ascii="NimbusRomNo9L" w:eastAsia="Times New Roman" w:hAnsi="NimbusRomNo9L" w:cs="Times New Roman"/>
          <w:spacing w:val="-10"/>
          <w:lang w:val="fr-FR"/>
        </w:rPr>
        <w:t>générale</w:t>
      </w:r>
      <w:proofErr w:type="spellEnd"/>
      <w:r w:rsidRPr="00EE38F6">
        <w:rPr>
          <w:rFonts w:ascii="NimbusRomNo9L" w:eastAsia="Times New Roman" w:hAnsi="NimbusRomNo9L" w:cs="Times New Roman"/>
          <w:spacing w:val="-10"/>
          <w:lang w:val="fr-FR"/>
        </w:rPr>
        <w:t xml:space="preserve"> de droit et de jurisprudence. </w:t>
      </w:r>
    </w:p>
    <w:p w14:paraId="5E3EBE90" w14:textId="77777777" w:rsidR="00B47AC8" w:rsidRPr="00B47AC8" w:rsidRDefault="00B47AC8" w:rsidP="00B47AC8">
      <w:pPr>
        <w:pStyle w:val="ListParagraph"/>
        <w:numPr>
          <w:ilvl w:val="0"/>
          <w:numId w:val="4"/>
        </w:numPr>
        <w:ind w:left="284" w:hanging="283"/>
        <w:jc w:val="both"/>
        <w:rPr>
          <w:rFonts w:ascii="NimbusRomNo9L" w:eastAsia="Times New Roman" w:hAnsi="NimbusRomNo9L" w:cs="Times New Roman"/>
          <w:spacing w:val="-10"/>
          <w:lang w:val="en-US"/>
        </w:rPr>
      </w:pPr>
      <w:r w:rsidRPr="00B47AC8">
        <w:rPr>
          <w:rFonts w:ascii="NimbusRomNo9L" w:eastAsia="Times New Roman" w:hAnsi="NimbusRomNo9L" w:cs="Times New Roman"/>
          <w:spacing w:val="-10"/>
          <w:lang w:val="en-US"/>
        </w:rPr>
        <w:t>Pflueger, C. E., &amp; Wang, S. (2015). A robust test for weak instruments in Stata. </w:t>
      </w:r>
      <w:r w:rsidRPr="00B47AC8">
        <w:rPr>
          <w:rFonts w:ascii="NimbusRomNo9L" w:eastAsia="Times New Roman" w:hAnsi="NimbusRomNo9L" w:cs="Times New Roman"/>
          <w:i/>
          <w:spacing w:val="-10"/>
          <w:lang w:val="en-US"/>
        </w:rPr>
        <w:t>The Stata Journal</w:t>
      </w:r>
      <w:r w:rsidRPr="00B47AC8">
        <w:rPr>
          <w:rFonts w:ascii="NimbusRomNo9L" w:eastAsia="Times New Roman" w:hAnsi="NimbusRomNo9L" w:cs="Times New Roman"/>
          <w:spacing w:val="-10"/>
          <w:lang w:val="en-US"/>
        </w:rPr>
        <w:t>, 15(1), 216-225.</w:t>
      </w:r>
    </w:p>
    <w:p w14:paraId="435286D2" w14:textId="61CAC3CE" w:rsidR="00F20D45" w:rsidRPr="00F20D45" w:rsidRDefault="00F20D45" w:rsidP="00F20D45">
      <w:pPr>
        <w:pStyle w:val="ListParagraph"/>
        <w:numPr>
          <w:ilvl w:val="0"/>
          <w:numId w:val="4"/>
        </w:numPr>
        <w:ind w:left="284" w:hanging="283"/>
        <w:jc w:val="both"/>
        <w:rPr>
          <w:rFonts w:ascii="NimbusRomNo9L" w:hAnsi="NimbusRomNo9L"/>
          <w:spacing w:val="-10"/>
          <w:lang w:val="fr-FR"/>
        </w:rPr>
      </w:pPr>
      <w:proofErr w:type="spellStart"/>
      <w:r w:rsidRPr="00F20D45">
        <w:rPr>
          <w:rFonts w:ascii="NimbusRomNo9L" w:hAnsi="NimbusRomNo9L"/>
          <w:spacing w:val="-10"/>
          <w:lang w:val="fr-FR"/>
        </w:rPr>
        <w:t>Poppe</w:t>
      </w:r>
      <w:proofErr w:type="spellEnd"/>
      <w:r w:rsidRPr="00F20D45">
        <w:rPr>
          <w:rFonts w:ascii="NimbusRomNo9L" w:hAnsi="NimbusRomNo9L"/>
          <w:spacing w:val="-10"/>
          <w:lang w:val="fr-FR"/>
        </w:rPr>
        <w:t xml:space="preserve">, E. S. T., &amp; </w:t>
      </w:r>
      <w:proofErr w:type="spellStart"/>
      <w:r w:rsidRPr="00F20D45">
        <w:rPr>
          <w:rFonts w:ascii="NimbusRomNo9L" w:hAnsi="NimbusRomNo9L"/>
          <w:spacing w:val="-10"/>
          <w:lang w:val="fr-FR"/>
        </w:rPr>
        <w:t>Rachlinski</w:t>
      </w:r>
      <w:proofErr w:type="spellEnd"/>
      <w:r w:rsidRPr="00F20D45">
        <w:rPr>
          <w:rFonts w:ascii="NimbusRomNo9L" w:hAnsi="NimbusRomNo9L"/>
          <w:spacing w:val="-10"/>
          <w:lang w:val="fr-FR"/>
        </w:rPr>
        <w:t xml:space="preserve">, J. J. (2015). </w:t>
      </w:r>
      <w:r w:rsidRPr="00F20D45">
        <w:rPr>
          <w:rFonts w:ascii="NimbusRomNo9L" w:hAnsi="NimbusRomNo9L"/>
          <w:spacing w:val="-10"/>
          <w:lang w:val="en-US"/>
        </w:rPr>
        <w:t xml:space="preserve">Do lawyers matter? The effect of legal representation in civil disputes. </w:t>
      </w:r>
      <w:proofErr w:type="spellStart"/>
      <w:r w:rsidRPr="00F20D45">
        <w:rPr>
          <w:rFonts w:ascii="NimbusRomNo9L" w:hAnsi="NimbusRomNo9L"/>
          <w:i/>
          <w:iCs/>
          <w:spacing w:val="-10"/>
          <w:lang w:val="fr-FR"/>
        </w:rPr>
        <w:t>Pepperdine</w:t>
      </w:r>
      <w:proofErr w:type="spellEnd"/>
      <w:r w:rsidRPr="00F20D45">
        <w:rPr>
          <w:rFonts w:ascii="NimbusRomNo9L" w:hAnsi="NimbusRomNo9L"/>
          <w:i/>
          <w:iCs/>
          <w:spacing w:val="-10"/>
          <w:lang w:val="fr-FR"/>
        </w:rPr>
        <w:t xml:space="preserve"> Law </w:t>
      </w:r>
      <w:proofErr w:type="spellStart"/>
      <w:r w:rsidRPr="00F20D45">
        <w:rPr>
          <w:rFonts w:ascii="NimbusRomNo9L" w:hAnsi="NimbusRomNo9L"/>
          <w:i/>
          <w:iCs/>
          <w:spacing w:val="-10"/>
          <w:lang w:val="fr-FR"/>
        </w:rPr>
        <w:t>Revie</w:t>
      </w:r>
      <w:r>
        <w:rPr>
          <w:rFonts w:ascii="NimbusRomNo9L" w:hAnsi="NimbusRomNo9L"/>
          <w:i/>
          <w:iCs/>
          <w:spacing w:val="-10"/>
          <w:lang w:val="fr-FR"/>
        </w:rPr>
        <w:t>w</w:t>
      </w:r>
      <w:proofErr w:type="spellEnd"/>
      <w:r>
        <w:rPr>
          <w:rFonts w:ascii="NimbusRomNo9L" w:hAnsi="NimbusRomNo9L"/>
          <w:i/>
          <w:iCs/>
          <w:spacing w:val="-10"/>
          <w:lang w:val="fr-FR"/>
        </w:rPr>
        <w:t>,</w:t>
      </w:r>
      <w:r w:rsidRPr="00F20D45">
        <w:rPr>
          <w:rFonts w:ascii="NimbusRomNo9L" w:hAnsi="NimbusRomNo9L"/>
          <w:spacing w:val="-10"/>
          <w:lang w:val="fr-FR"/>
        </w:rPr>
        <w:t xml:space="preserve"> </w:t>
      </w:r>
      <w:r w:rsidRPr="00F20D45">
        <w:rPr>
          <w:rFonts w:ascii="NimbusRomNo9L" w:hAnsi="NimbusRomNo9L"/>
          <w:i/>
          <w:iCs/>
          <w:spacing w:val="-10"/>
          <w:lang w:val="fr-FR"/>
        </w:rPr>
        <w:t>43</w:t>
      </w:r>
      <w:r w:rsidRPr="00F20D45">
        <w:rPr>
          <w:rFonts w:ascii="NimbusRomNo9L" w:hAnsi="NimbusRomNo9L"/>
          <w:spacing w:val="-10"/>
          <w:lang w:val="fr-FR"/>
        </w:rPr>
        <w:t>, 881</w:t>
      </w:r>
      <w:r>
        <w:rPr>
          <w:rFonts w:ascii="NimbusRomNo9L" w:hAnsi="NimbusRomNo9L"/>
          <w:spacing w:val="-10"/>
          <w:lang w:val="fr-FR"/>
        </w:rPr>
        <w:t>-944.</w:t>
      </w:r>
    </w:p>
    <w:p w14:paraId="02115AFA" w14:textId="500AEF0B" w:rsidR="00800903" w:rsidRPr="00166361" w:rsidRDefault="00F20D45" w:rsidP="00F20D45">
      <w:pPr>
        <w:pStyle w:val="ListParagraph"/>
        <w:numPr>
          <w:ilvl w:val="0"/>
          <w:numId w:val="4"/>
        </w:numPr>
        <w:ind w:left="284" w:hanging="283"/>
        <w:jc w:val="both"/>
        <w:rPr>
          <w:rFonts w:ascii="Times New Roman" w:eastAsia="Times New Roman" w:hAnsi="Times New Roman" w:cs="Times New Roman"/>
          <w:spacing w:val="-10"/>
          <w:lang w:val="en-US"/>
        </w:rPr>
      </w:pPr>
      <w:r w:rsidRPr="00F20D45">
        <w:rPr>
          <w:rFonts w:ascii="NimbusRomNo9L" w:eastAsia="Times New Roman" w:hAnsi="NimbusRomNo9L" w:cs="Times New Roman"/>
          <w:spacing w:val="-10"/>
          <w:lang w:val="en-US"/>
        </w:rPr>
        <w:t xml:space="preserve"> </w:t>
      </w:r>
      <w:r w:rsidR="00800903" w:rsidRPr="00166361">
        <w:rPr>
          <w:rFonts w:ascii="NimbusRomNo9L" w:eastAsia="Times New Roman" w:hAnsi="NimbusRomNo9L" w:cs="Times New Roman"/>
          <w:spacing w:val="-10"/>
          <w:lang w:val="en-US"/>
        </w:rPr>
        <w:t xml:space="preserve">Posner, R.A. 1997. Explaining the variance in the number of tort suits across U.S. states and between the United States and England. </w:t>
      </w:r>
      <w:r w:rsidR="00800903" w:rsidRPr="00166361">
        <w:rPr>
          <w:rFonts w:ascii="NimbusRomNo9L" w:eastAsia="Times New Roman" w:hAnsi="NimbusRomNo9L" w:cs="Times New Roman"/>
          <w:i/>
          <w:iCs/>
          <w:spacing w:val="-10"/>
          <w:lang w:val="en-US"/>
        </w:rPr>
        <w:t>Journal of Legal Studies</w:t>
      </w:r>
      <w:r w:rsidR="00800903" w:rsidRPr="00166361">
        <w:rPr>
          <w:rFonts w:ascii="NimbusRomNo9L" w:eastAsia="Times New Roman" w:hAnsi="NimbusRomNo9L" w:cs="Times New Roman"/>
          <w:spacing w:val="-10"/>
          <w:lang w:val="en-US"/>
        </w:rPr>
        <w:t xml:space="preserve">, 26(S2): 477- 489. </w:t>
      </w:r>
    </w:p>
    <w:p w14:paraId="6EDBC79D" w14:textId="574D3734"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166361">
        <w:rPr>
          <w:rFonts w:ascii="NimbusRomNo9L" w:eastAsia="Times New Roman" w:hAnsi="NimbusRomNo9L" w:cs="Times New Roman"/>
          <w:spacing w:val="-10"/>
          <w:lang w:val="en-US"/>
        </w:rPr>
        <w:t xml:space="preserve">Reed, W.R. 2015. On the Practice of Lagging Variables to Avoid Simultaneity. </w:t>
      </w:r>
      <w:r w:rsidRPr="00166361">
        <w:rPr>
          <w:rFonts w:ascii="NimbusRomNo9L" w:eastAsia="Times New Roman" w:hAnsi="NimbusRomNo9L" w:cs="Times New Roman"/>
          <w:i/>
          <w:iCs/>
          <w:spacing w:val="-10"/>
          <w:lang w:val="en-US"/>
        </w:rPr>
        <w:t>Oxford Bulletin of Economics and Statistics</w:t>
      </w:r>
      <w:r w:rsidRPr="00166361">
        <w:rPr>
          <w:rFonts w:ascii="NimbusRomNo9L" w:eastAsia="Times New Roman" w:hAnsi="NimbusRomNo9L" w:cs="Times New Roman"/>
          <w:spacing w:val="-10"/>
          <w:lang w:val="en-US"/>
        </w:rPr>
        <w:t xml:space="preserve">, 77(6): 897-906. </w:t>
      </w:r>
    </w:p>
    <w:p w14:paraId="0085C4FB" w14:textId="484B9CD8"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proofErr w:type="spellStart"/>
      <w:r w:rsidRPr="00EE38F6">
        <w:rPr>
          <w:rFonts w:ascii="NimbusRomNo9L" w:eastAsia="Times New Roman" w:hAnsi="NimbusRomNo9L" w:cs="Times New Roman"/>
          <w:spacing w:val="-10"/>
          <w:lang w:val="fr-FR"/>
        </w:rPr>
        <w:t>Reynès</w:t>
      </w:r>
      <w:proofErr w:type="spellEnd"/>
      <w:r w:rsidRPr="00EE38F6">
        <w:rPr>
          <w:rFonts w:ascii="NimbusRomNo9L" w:eastAsia="Times New Roman" w:hAnsi="NimbusRomNo9L" w:cs="Times New Roman"/>
          <w:spacing w:val="-10"/>
          <w:lang w:val="fr-FR"/>
        </w:rPr>
        <w:t xml:space="preserve">, J. 2018. </w:t>
      </w:r>
      <w:proofErr w:type="spellStart"/>
      <w:r w:rsidRPr="00EE38F6">
        <w:rPr>
          <w:rFonts w:ascii="NimbusRomNo9L" w:eastAsia="Times New Roman" w:hAnsi="NimbusRomNo9L" w:cs="Times New Roman"/>
          <w:spacing w:val="-10"/>
          <w:lang w:val="fr-FR"/>
        </w:rPr>
        <w:t>Géographie</w:t>
      </w:r>
      <w:proofErr w:type="spellEnd"/>
      <w:r w:rsidRPr="00EE38F6">
        <w:rPr>
          <w:rFonts w:ascii="NimbusRomNo9L" w:eastAsia="Times New Roman" w:hAnsi="NimbusRomNo9L" w:cs="Times New Roman"/>
          <w:spacing w:val="-10"/>
          <w:lang w:val="fr-FR"/>
        </w:rPr>
        <w:t xml:space="preserve"> de la </w:t>
      </w:r>
      <w:proofErr w:type="spellStart"/>
      <w:r w:rsidRPr="00EE38F6">
        <w:rPr>
          <w:rFonts w:ascii="NimbusRomNo9L" w:eastAsia="Times New Roman" w:hAnsi="NimbusRomNo9L" w:cs="Times New Roman"/>
          <w:spacing w:val="-10"/>
          <w:lang w:val="fr-FR"/>
        </w:rPr>
        <w:t>pauvrete</w:t>
      </w:r>
      <w:proofErr w:type="spellEnd"/>
      <w:r w:rsidRPr="00EE38F6">
        <w:rPr>
          <w:rFonts w:ascii="NimbusRomNo9L" w:eastAsia="Times New Roman" w:hAnsi="NimbusRomNo9L" w:cs="Times New Roman"/>
          <w:spacing w:val="-10"/>
          <w:lang w:val="fr-FR"/>
        </w:rPr>
        <w:t xml:space="preserve">́ et de la </w:t>
      </w:r>
      <w:proofErr w:type="spellStart"/>
      <w:r w:rsidRPr="00EE38F6">
        <w:rPr>
          <w:rFonts w:ascii="NimbusRomNo9L" w:eastAsia="Times New Roman" w:hAnsi="NimbusRomNo9L" w:cs="Times New Roman"/>
          <w:spacing w:val="-10"/>
          <w:lang w:val="fr-FR"/>
        </w:rPr>
        <w:t>précarite</w:t>
      </w:r>
      <w:proofErr w:type="spellEnd"/>
      <w:r w:rsidRPr="00EE38F6">
        <w:rPr>
          <w:rFonts w:ascii="NimbusRomNo9L" w:eastAsia="Times New Roman" w:hAnsi="NimbusRomNo9L" w:cs="Times New Roman"/>
          <w:spacing w:val="-10"/>
          <w:lang w:val="fr-FR"/>
        </w:rPr>
        <w:t xml:space="preserve">́ dans les zones rurales de moyenne montagne. </w:t>
      </w:r>
      <w:proofErr w:type="spellStart"/>
      <w:r w:rsidRPr="00166361">
        <w:rPr>
          <w:rFonts w:ascii="NimbusRomNo9L" w:eastAsia="Times New Roman" w:hAnsi="NimbusRomNo9L" w:cs="Times New Roman"/>
          <w:i/>
          <w:iCs/>
          <w:spacing w:val="-10"/>
          <w:lang w:val="en-US"/>
        </w:rPr>
        <w:t>L’Espace</w:t>
      </w:r>
      <w:proofErr w:type="spellEnd"/>
      <w:r w:rsidRPr="00166361">
        <w:rPr>
          <w:rFonts w:ascii="NimbusRomNo9L" w:eastAsia="Times New Roman" w:hAnsi="NimbusRomNo9L" w:cs="Times New Roman"/>
          <w:i/>
          <w:iCs/>
          <w:spacing w:val="-10"/>
          <w:lang w:val="en-US"/>
        </w:rPr>
        <w:t xml:space="preserve"> </w:t>
      </w:r>
      <w:proofErr w:type="spellStart"/>
      <w:r w:rsidRPr="00166361">
        <w:rPr>
          <w:rFonts w:ascii="NimbusRomNo9L" w:eastAsia="Times New Roman" w:hAnsi="NimbusRomNo9L" w:cs="Times New Roman"/>
          <w:i/>
          <w:iCs/>
          <w:spacing w:val="-10"/>
          <w:lang w:val="en-US"/>
        </w:rPr>
        <w:t>géographique</w:t>
      </w:r>
      <w:proofErr w:type="spellEnd"/>
      <w:r w:rsidRPr="00166361">
        <w:rPr>
          <w:rFonts w:ascii="NimbusRomNo9L" w:eastAsia="Times New Roman" w:hAnsi="NimbusRomNo9L" w:cs="Times New Roman"/>
          <w:spacing w:val="-10"/>
          <w:lang w:val="en-US"/>
        </w:rPr>
        <w:t xml:space="preserve">, 47(1): 71-81 </w:t>
      </w:r>
    </w:p>
    <w:p w14:paraId="5C66C94A" w14:textId="2C1188D8"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166361">
        <w:rPr>
          <w:rFonts w:ascii="NimbusRomNo9L" w:eastAsia="Times New Roman" w:hAnsi="NimbusRomNo9L" w:cs="Times New Roman"/>
          <w:spacing w:val="-10"/>
          <w:lang w:val="en-US"/>
        </w:rPr>
        <w:t xml:space="preserve">Rosales, V. and D. </w:t>
      </w:r>
      <w:proofErr w:type="spellStart"/>
      <w:r w:rsidRPr="00166361">
        <w:rPr>
          <w:rFonts w:ascii="NimbusRomNo9L" w:eastAsia="Times New Roman" w:hAnsi="NimbusRomNo9L" w:cs="Times New Roman"/>
          <w:spacing w:val="-10"/>
          <w:lang w:val="en-US"/>
        </w:rPr>
        <w:t>Jiménez-Rubio</w:t>
      </w:r>
      <w:proofErr w:type="spellEnd"/>
      <w:r w:rsidRPr="00166361">
        <w:rPr>
          <w:rFonts w:ascii="NimbusRomNo9L" w:eastAsia="Times New Roman" w:hAnsi="NimbusRomNo9L" w:cs="Times New Roman"/>
          <w:spacing w:val="-10"/>
          <w:lang w:val="en-US"/>
        </w:rPr>
        <w:t xml:space="preserve">. 2016. Empirical analysis of civil litigation determinants: The Case of Spain. </w:t>
      </w:r>
      <w:r w:rsidRPr="00166361">
        <w:rPr>
          <w:rFonts w:ascii="NimbusRomNo9L" w:eastAsia="Times New Roman" w:hAnsi="NimbusRomNo9L" w:cs="Times New Roman"/>
          <w:i/>
          <w:iCs/>
          <w:spacing w:val="-10"/>
          <w:lang w:val="en-US"/>
        </w:rPr>
        <w:t>European Journal of Law and Economics</w:t>
      </w:r>
      <w:r w:rsidRPr="00166361">
        <w:rPr>
          <w:rFonts w:ascii="NimbusRomNo9L" w:eastAsia="Times New Roman" w:hAnsi="NimbusRomNo9L" w:cs="Times New Roman"/>
          <w:spacing w:val="-10"/>
          <w:lang w:val="en-US"/>
        </w:rPr>
        <w:t xml:space="preserve">, 44: 321-338. </w:t>
      </w:r>
    </w:p>
    <w:p w14:paraId="6E44FCBA" w14:textId="77777777" w:rsidR="00800903" w:rsidRPr="00166361" w:rsidRDefault="00800903" w:rsidP="00800903">
      <w:pPr>
        <w:pStyle w:val="ListParagraph"/>
        <w:numPr>
          <w:ilvl w:val="0"/>
          <w:numId w:val="4"/>
        </w:numPr>
        <w:ind w:left="284" w:hanging="283"/>
        <w:jc w:val="both"/>
        <w:rPr>
          <w:rFonts w:ascii="NimbusRomNo9L" w:eastAsia="Times New Roman" w:hAnsi="NimbusRomNo9L" w:cs="Times New Roman"/>
          <w:spacing w:val="-10"/>
          <w:lang w:val="en-US"/>
        </w:rPr>
      </w:pPr>
      <w:r w:rsidRPr="00166361">
        <w:rPr>
          <w:rFonts w:ascii="NimbusRomNo9L" w:eastAsia="Times New Roman" w:hAnsi="NimbusRomNo9L" w:cs="Times New Roman"/>
          <w:spacing w:val="-10"/>
          <w:lang w:val="en-US"/>
        </w:rPr>
        <w:t xml:space="preserve">Rydell, R. J., </w:t>
      </w:r>
      <w:proofErr w:type="spellStart"/>
      <w:r w:rsidRPr="00166361">
        <w:rPr>
          <w:rFonts w:ascii="NimbusRomNo9L" w:eastAsia="Times New Roman" w:hAnsi="NimbusRomNo9L" w:cs="Times New Roman"/>
          <w:spacing w:val="-10"/>
          <w:lang w:val="en-US"/>
        </w:rPr>
        <w:t>Hugenberg</w:t>
      </w:r>
      <w:proofErr w:type="spellEnd"/>
      <w:r w:rsidRPr="00166361">
        <w:rPr>
          <w:rFonts w:ascii="NimbusRomNo9L" w:eastAsia="Times New Roman" w:hAnsi="NimbusRomNo9L" w:cs="Times New Roman"/>
          <w:spacing w:val="-10"/>
          <w:lang w:val="en-US"/>
        </w:rPr>
        <w:t xml:space="preserve">, K., Ray, D., &amp; Mackie, D. M. (2007). Implicit theories about groups and stereotyping: The role of group entitativity. </w:t>
      </w:r>
      <w:r w:rsidRPr="00166361">
        <w:rPr>
          <w:rFonts w:ascii="NimbusRomNo9L" w:eastAsia="Times New Roman" w:hAnsi="NimbusRomNo9L" w:cs="Times New Roman"/>
          <w:i/>
          <w:spacing w:val="-10"/>
          <w:lang w:val="en-US"/>
        </w:rPr>
        <w:t>Personality and Social Psychology Bulletin</w:t>
      </w:r>
      <w:r w:rsidRPr="00166361">
        <w:rPr>
          <w:rFonts w:ascii="NimbusRomNo9L" w:eastAsia="Times New Roman" w:hAnsi="NimbusRomNo9L" w:cs="Times New Roman"/>
          <w:spacing w:val="-10"/>
          <w:lang w:val="en-US"/>
        </w:rPr>
        <w:t>, 33(4): 549-558.</w:t>
      </w:r>
    </w:p>
    <w:p w14:paraId="67A04FD3" w14:textId="2C65A453" w:rsidR="00800903" w:rsidRPr="00501E5B"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proofErr w:type="spellStart"/>
      <w:r w:rsidRPr="00166361">
        <w:rPr>
          <w:rFonts w:ascii="NimbusRomNo9L" w:eastAsia="Times New Roman" w:hAnsi="NimbusRomNo9L" w:cs="Times New Roman"/>
          <w:spacing w:val="-10"/>
          <w:lang w:val="en-US"/>
        </w:rPr>
        <w:t>Sandefur</w:t>
      </w:r>
      <w:proofErr w:type="spellEnd"/>
      <w:r w:rsidRPr="00166361">
        <w:rPr>
          <w:rFonts w:ascii="NimbusRomNo9L" w:eastAsia="Times New Roman" w:hAnsi="NimbusRomNo9L" w:cs="Times New Roman"/>
          <w:spacing w:val="-10"/>
          <w:lang w:val="en-US"/>
        </w:rPr>
        <w:t xml:space="preserve">, R.L. 2001. Work and Honor in the Law: Prestige and the Division of Lawyers’ Labor. </w:t>
      </w:r>
      <w:r w:rsidRPr="00166361">
        <w:rPr>
          <w:rFonts w:ascii="NimbusRomNo9L" w:eastAsia="Times New Roman" w:hAnsi="NimbusRomNo9L" w:cs="Times New Roman"/>
          <w:i/>
          <w:iCs/>
          <w:spacing w:val="-10"/>
          <w:lang w:val="en-US"/>
        </w:rPr>
        <w:t>American Sociological Review</w:t>
      </w:r>
      <w:r w:rsidRPr="00166361">
        <w:rPr>
          <w:rFonts w:ascii="NimbusRomNo9L" w:eastAsia="Times New Roman" w:hAnsi="NimbusRomNo9L" w:cs="Times New Roman"/>
          <w:spacing w:val="-10"/>
          <w:lang w:val="en-US"/>
        </w:rPr>
        <w:t>, 66(3): 382-403.</w:t>
      </w:r>
    </w:p>
    <w:p w14:paraId="525DC2B7" w14:textId="270F9342" w:rsidR="00501E5B" w:rsidRPr="00501E5B" w:rsidRDefault="00501E5B" w:rsidP="00800903">
      <w:pPr>
        <w:pStyle w:val="ListParagraph"/>
        <w:numPr>
          <w:ilvl w:val="0"/>
          <w:numId w:val="4"/>
        </w:numPr>
        <w:ind w:left="284" w:hanging="283"/>
        <w:jc w:val="both"/>
        <w:rPr>
          <w:rFonts w:ascii="NimbusRomNo9L" w:eastAsia="Times New Roman" w:hAnsi="NimbusRomNo9L" w:cs="Times New Roman"/>
          <w:spacing w:val="-10"/>
          <w:lang w:val="en-US"/>
        </w:rPr>
      </w:pPr>
      <w:proofErr w:type="spellStart"/>
      <w:r w:rsidRPr="00501E5B">
        <w:rPr>
          <w:rFonts w:ascii="NimbusRomNo9L" w:eastAsia="Times New Roman" w:hAnsi="NimbusRomNo9L" w:cs="Times New Roman"/>
          <w:spacing w:val="-10"/>
          <w:lang w:val="en-US"/>
        </w:rPr>
        <w:t>Sandefur</w:t>
      </w:r>
      <w:proofErr w:type="spellEnd"/>
      <w:r w:rsidRPr="00501E5B">
        <w:rPr>
          <w:rFonts w:ascii="NimbusRomNo9L" w:eastAsia="Times New Roman" w:hAnsi="NimbusRomNo9L" w:cs="Times New Roman"/>
          <w:spacing w:val="-10"/>
          <w:lang w:val="en-US"/>
        </w:rPr>
        <w:t xml:space="preserve">, R. L. (2008). Access to civil justice and race, class, and gender inequality. </w:t>
      </w:r>
      <w:r w:rsidRPr="00501E5B">
        <w:rPr>
          <w:rFonts w:ascii="NimbusRomNo9L" w:eastAsia="Times New Roman" w:hAnsi="NimbusRomNo9L" w:cs="Times New Roman"/>
          <w:i/>
          <w:spacing w:val="-10"/>
          <w:lang w:val="en-US"/>
        </w:rPr>
        <w:t>Annual Review of Sociology</w:t>
      </w:r>
      <w:r w:rsidRPr="00501E5B">
        <w:rPr>
          <w:rFonts w:ascii="NimbusRomNo9L" w:eastAsia="Times New Roman" w:hAnsi="NimbusRomNo9L" w:cs="Times New Roman"/>
          <w:spacing w:val="-10"/>
          <w:lang w:val="en-US"/>
        </w:rPr>
        <w:t>, 34, 339-358.</w:t>
      </w:r>
    </w:p>
    <w:p w14:paraId="0C232CFE" w14:textId="77777777" w:rsidR="00800903" w:rsidRPr="00501E5B" w:rsidRDefault="00800903" w:rsidP="00800903">
      <w:pPr>
        <w:pStyle w:val="ListParagraph"/>
        <w:numPr>
          <w:ilvl w:val="0"/>
          <w:numId w:val="4"/>
        </w:numPr>
        <w:ind w:left="284" w:hanging="283"/>
        <w:jc w:val="both"/>
        <w:rPr>
          <w:rFonts w:ascii="NimbusRomNo9L" w:eastAsia="Times New Roman" w:hAnsi="NimbusRomNo9L" w:cs="Times New Roman"/>
          <w:spacing w:val="-10"/>
          <w:lang w:val="en-US"/>
        </w:rPr>
      </w:pPr>
      <w:r w:rsidRPr="00166361">
        <w:rPr>
          <w:rFonts w:ascii="NimbusRomNo9L" w:eastAsia="Times New Roman" w:hAnsi="NimbusRomNo9L" w:cs="Times New Roman"/>
          <w:spacing w:val="-10"/>
          <w:lang w:val="en-US"/>
        </w:rPr>
        <w:t xml:space="preserve">Sanderson, E. and F. </w:t>
      </w:r>
      <w:proofErr w:type="spellStart"/>
      <w:r w:rsidRPr="00166361">
        <w:rPr>
          <w:rFonts w:ascii="NimbusRomNo9L" w:eastAsia="Times New Roman" w:hAnsi="NimbusRomNo9L" w:cs="Times New Roman"/>
          <w:spacing w:val="-10"/>
          <w:lang w:val="en-US"/>
        </w:rPr>
        <w:t>Windmeijer</w:t>
      </w:r>
      <w:proofErr w:type="spellEnd"/>
      <w:r w:rsidRPr="00166361">
        <w:rPr>
          <w:rFonts w:ascii="NimbusRomNo9L" w:eastAsia="Times New Roman" w:hAnsi="NimbusRomNo9L" w:cs="Times New Roman"/>
          <w:spacing w:val="-10"/>
          <w:lang w:val="en-US"/>
        </w:rPr>
        <w:t xml:space="preserve">. 2016. "A weak instrument F-test in linear IV models with multiple endogenous variables". </w:t>
      </w:r>
      <w:r w:rsidRPr="00501E5B">
        <w:rPr>
          <w:rFonts w:ascii="NimbusRomNo9L" w:eastAsia="Times New Roman" w:hAnsi="NimbusRomNo9L" w:cs="Times New Roman"/>
          <w:i/>
          <w:spacing w:val="-10"/>
          <w:lang w:val="en-US"/>
        </w:rPr>
        <w:t>Journal of Econometrics</w:t>
      </w:r>
      <w:r w:rsidRPr="00166361">
        <w:rPr>
          <w:rFonts w:ascii="NimbusRomNo9L" w:eastAsia="Times New Roman" w:hAnsi="NimbusRomNo9L" w:cs="Times New Roman"/>
          <w:spacing w:val="-10"/>
          <w:lang w:val="en-US"/>
        </w:rPr>
        <w:t xml:space="preserve">, 190(2): 212–221. </w:t>
      </w:r>
    </w:p>
    <w:p w14:paraId="1AF39E8E" w14:textId="77777777" w:rsidR="00646F4C" w:rsidRPr="00646F4C" w:rsidRDefault="00646F4C" w:rsidP="00646F4C">
      <w:pPr>
        <w:pStyle w:val="ListParagraph"/>
        <w:numPr>
          <w:ilvl w:val="0"/>
          <w:numId w:val="4"/>
        </w:numPr>
        <w:ind w:left="284" w:hanging="283"/>
        <w:jc w:val="both"/>
        <w:rPr>
          <w:rFonts w:ascii="NimbusRomNo9L" w:hAnsi="NimbusRomNo9L"/>
          <w:spacing w:val="-10"/>
          <w:lang w:val="fr-FR"/>
        </w:rPr>
      </w:pPr>
      <w:proofErr w:type="spellStart"/>
      <w:r w:rsidRPr="00646F4C">
        <w:rPr>
          <w:rFonts w:ascii="NimbusRomNo9L" w:hAnsi="NimbusRomNo9L"/>
          <w:spacing w:val="-10"/>
          <w:lang w:val="it-IT"/>
        </w:rPr>
        <w:t>Schapiro</w:t>
      </w:r>
      <w:proofErr w:type="spellEnd"/>
      <w:r w:rsidRPr="00646F4C">
        <w:rPr>
          <w:rFonts w:ascii="NimbusRomNo9L" w:hAnsi="NimbusRomNo9L"/>
          <w:spacing w:val="-10"/>
          <w:lang w:val="it-IT"/>
        </w:rPr>
        <w:t xml:space="preserve">, M. O., &amp; </w:t>
      </w:r>
      <w:proofErr w:type="spellStart"/>
      <w:r w:rsidRPr="00646F4C">
        <w:rPr>
          <w:rFonts w:ascii="NimbusRomNo9L" w:hAnsi="NimbusRomNo9L"/>
          <w:spacing w:val="-10"/>
          <w:lang w:val="it-IT"/>
        </w:rPr>
        <w:t>Ahlburg</w:t>
      </w:r>
      <w:proofErr w:type="spellEnd"/>
      <w:r w:rsidRPr="00646F4C">
        <w:rPr>
          <w:rFonts w:ascii="NimbusRomNo9L" w:hAnsi="NimbusRomNo9L"/>
          <w:spacing w:val="-10"/>
          <w:lang w:val="it-IT"/>
        </w:rPr>
        <w:t xml:space="preserve">, D. A. (1982). </w:t>
      </w:r>
      <w:r w:rsidRPr="00646F4C">
        <w:rPr>
          <w:rFonts w:ascii="NimbusRomNo9L" w:hAnsi="NimbusRomNo9L"/>
          <w:spacing w:val="-10"/>
          <w:lang w:val="en-US"/>
        </w:rPr>
        <w:t xml:space="preserve">Suicide: the ultimate cost of unemployment. </w:t>
      </w:r>
      <w:r w:rsidRPr="00646F4C">
        <w:rPr>
          <w:rFonts w:ascii="NimbusRomNo9L" w:hAnsi="NimbusRomNo9L"/>
          <w:i/>
          <w:iCs/>
          <w:spacing w:val="-10"/>
          <w:lang w:val="fr-FR"/>
        </w:rPr>
        <w:t xml:space="preserve">Journal of Post </w:t>
      </w:r>
      <w:proofErr w:type="spellStart"/>
      <w:r w:rsidRPr="00646F4C">
        <w:rPr>
          <w:rFonts w:ascii="NimbusRomNo9L" w:hAnsi="NimbusRomNo9L"/>
          <w:i/>
          <w:iCs/>
          <w:spacing w:val="-10"/>
          <w:lang w:val="fr-FR"/>
        </w:rPr>
        <w:t>Keynesian</w:t>
      </w:r>
      <w:proofErr w:type="spellEnd"/>
      <w:r w:rsidRPr="00646F4C">
        <w:rPr>
          <w:rFonts w:ascii="NimbusRomNo9L" w:hAnsi="NimbusRomNo9L"/>
          <w:i/>
          <w:iCs/>
          <w:spacing w:val="-10"/>
          <w:lang w:val="fr-FR"/>
        </w:rPr>
        <w:t xml:space="preserve"> </w:t>
      </w:r>
      <w:proofErr w:type="spellStart"/>
      <w:r w:rsidRPr="00646F4C">
        <w:rPr>
          <w:rFonts w:ascii="NimbusRomNo9L" w:hAnsi="NimbusRomNo9L"/>
          <w:i/>
          <w:iCs/>
          <w:spacing w:val="-10"/>
          <w:lang w:val="fr-FR"/>
        </w:rPr>
        <w:t>Economics</w:t>
      </w:r>
      <w:proofErr w:type="spellEnd"/>
      <w:r w:rsidRPr="00646F4C">
        <w:rPr>
          <w:rFonts w:ascii="NimbusRomNo9L" w:hAnsi="NimbusRomNo9L"/>
          <w:spacing w:val="-10"/>
          <w:lang w:val="fr-FR"/>
        </w:rPr>
        <w:t xml:space="preserve">, </w:t>
      </w:r>
      <w:r w:rsidRPr="00646F4C">
        <w:rPr>
          <w:rFonts w:ascii="NimbusRomNo9L" w:hAnsi="NimbusRomNo9L"/>
          <w:i/>
          <w:iCs/>
          <w:spacing w:val="-10"/>
          <w:lang w:val="fr-FR"/>
        </w:rPr>
        <w:t>5</w:t>
      </w:r>
      <w:r w:rsidRPr="00646F4C">
        <w:rPr>
          <w:rFonts w:ascii="NimbusRomNo9L" w:hAnsi="NimbusRomNo9L"/>
          <w:spacing w:val="-10"/>
          <w:lang w:val="fr-FR"/>
        </w:rPr>
        <w:t>(2), 276-280.</w:t>
      </w:r>
    </w:p>
    <w:p w14:paraId="3C81CFDC" w14:textId="0F166A48" w:rsidR="00800903" w:rsidRPr="00166361" w:rsidRDefault="00646F4C" w:rsidP="00646F4C">
      <w:pPr>
        <w:pStyle w:val="ListParagraph"/>
        <w:numPr>
          <w:ilvl w:val="0"/>
          <w:numId w:val="4"/>
        </w:numPr>
        <w:ind w:left="284" w:hanging="283"/>
        <w:jc w:val="both"/>
        <w:rPr>
          <w:rFonts w:ascii="Times New Roman" w:eastAsia="Times New Roman" w:hAnsi="Times New Roman" w:cs="Times New Roman"/>
          <w:spacing w:val="-10"/>
          <w:lang w:val="en-US"/>
        </w:rPr>
      </w:pPr>
      <w:r w:rsidRPr="00646F4C">
        <w:rPr>
          <w:rFonts w:ascii="NimbusRomNo9L" w:eastAsia="Times New Roman" w:hAnsi="NimbusRomNo9L" w:cs="Times New Roman"/>
          <w:spacing w:val="-10"/>
          <w:lang w:val="en-US"/>
        </w:rPr>
        <w:t xml:space="preserve"> </w:t>
      </w:r>
      <w:proofErr w:type="spellStart"/>
      <w:r w:rsidR="00800903" w:rsidRPr="00166361">
        <w:rPr>
          <w:rFonts w:ascii="NimbusRomNo9L" w:eastAsia="Times New Roman" w:hAnsi="NimbusRomNo9L" w:cs="Times New Roman"/>
          <w:spacing w:val="-10"/>
          <w:lang w:val="en-US"/>
        </w:rPr>
        <w:t>Songer</w:t>
      </w:r>
      <w:proofErr w:type="spellEnd"/>
      <w:r w:rsidR="00800903" w:rsidRPr="00166361">
        <w:rPr>
          <w:rFonts w:ascii="NimbusRomNo9L" w:eastAsia="Times New Roman" w:hAnsi="NimbusRomNo9L" w:cs="Times New Roman"/>
          <w:spacing w:val="-10"/>
          <w:lang w:val="en-US"/>
        </w:rPr>
        <w:t xml:space="preserve">, D.R., C.M. Cameron and J.A. Segal. 1995. An Empirical Test of the Rational- Actor Theory of Litigation. </w:t>
      </w:r>
      <w:r w:rsidR="00800903" w:rsidRPr="00166361">
        <w:rPr>
          <w:rFonts w:ascii="NimbusRomNo9L" w:eastAsia="Times New Roman" w:hAnsi="NimbusRomNo9L" w:cs="Times New Roman"/>
          <w:i/>
          <w:iCs/>
          <w:spacing w:val="-10"/>
          <w:lang w:val="en-US"/>
        </w:rPr>
        <w:t>The Journal of Politics</w:t>
      </w:r>
      <w:r w:rsidR="00800903" w:rsidRPr="00166361">
        <w:rPr>
          <w:rFonts w:ascii="NimbusRomNo9L" w:eastAsia="Times New Roman" w:hAnsi="NimbusRomNo9L" w:cs="Times New Roman"/>
          <w:spacing w:val="-10"/>
          <w:lang w:val="en-US"/>
        </w:rPr>
        <w:t xml:space="preserve">, 57(4): 1119–1129. </w:t>
      </w:r>
    </w:p>
    <w:p w14:paraId="5B0FFE9E" w14:textId="00B584EB"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proofErr w:type="spellStart"/>
      <w:r w:rsidRPr="00166361">
        <w:rPr>
          <w:rFonts w:ascii="NimbusRomNo9L" w:eastAsia="Times New Roman" w:hAnsi="NimbusRomNo9L" w:cs="Times New Roman"/>
          <w:spacing w:val="-10"/>
          <w:lang w:val="en-US"/>
        </w:rPr>
        <w:t>Spurr</w:t>
      </w:r>
      <w:proofErr w:type="spellEnd"/>
      <w:r w:rsidRPr="00166361">
        <w:rPr>
          <w:rFonts w:ascii="NimbusRomNo9L" w:eastAsia="Times New Roman" w:hAnsi="NimbusRomNo9L" w:cs="Times New Roman"/>
          <w:spacing w:val="-10"/>
          <w:lang w:val="en-US"/>
        </w:rPr>
        <w:t xml:space="preserve">, S.J. 1997. The Duration of Litigation. </w:t>
      </w:r>
      <w:r w:rsidRPr="00166361">
        <w:rPr>
          <w:rFonts w:ascii="NimbusRomNo9L" w:eastAsia="Times New Roman" w:hAnsi="NimbusRomNo9L" w:cs="Times New Roman"/>
          <w:i/>
          <w:iCs/>
          <w:spacing w:val="-10"/>
          <w:lang w:val="en-US"/>
        </w:rPr>
        <w:t>Law &amp; Policy</w:t>
      </w:r>
      <w:r w:rsidRPr="00166361">
        <w:rPr>
          <w:rFonts w:ascii="NimbusRomNo9L" w:eastAsia="Times New Roman" w:hAnsi="NimbusRomNo9L" w:cs="Times New Roman"/>
          <w:spacing w:val="-10"/>
          <w:lang w:val="en-US"/>
        </w:rPr>
        <w:t>, 19(3): 285-316.</w:t>
      </w:r>
    </w:p>
    <w:p w14:paraId="0FA7C91F" w14:textId="77777777"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proofErr w:type="spellStart"/>
      <w:r w:rsidRPr="00166361">
        <w:rPr>
          <w:rFonts w:ascii="NimbusRomNo9L" w:eastAsia="Times New Roman" w:hAnsi="NimbusRomNo9L" w:cs="Times New Roman"/>
          <w:spacing w:val="-10"/>
          <w:lang w:val="en-US"/>
        </w:rPr>
        <w:t>Staiger</w:t>
      </w:r>
      <w:proofErr w:type="spellEnd"/>
      <w:r w:rsidRPr="00166361">
        <w:rPr>
          <w:rFonts w:ascii="NimbusRomNo9L" w:eastAsia="Times New Roman" w:hAnsi="NimbusRomNo9L" w:cs="Times New Roman"/>
          <w:spacing w:val="-10"/>
          <w:lang w:val="en-US"/>
        </w:rPr>
        <w:t xml:space="preserve">, D. and J.H. Stock. 1997. "Instrumental Variables Regression with Weak Instruments". </w:t>
      </w:r>
      <w:proofErr w:type="spellStart"/>
      <w:r w:rsidRPr="00166361">
        <w:rPr>
          <w:rFonts w:ascii="NimbusRomNo9L" w:eastAsia="Times New Roman" w:hAnsi="NimbusRomNo9L" w:cs="Times New Roman"/>
          <w:i/>
          <w:iCs/>
          <w:spacing w:val="-10"/>
          <w:lang w:val="en-US"/>
        </w:rPr>
        <w:t>Econometrica</w:t>
      </w:r>
      <w:proofErr w:type="spellEnd"/>
      <w:r w:rsidRPr="00166361">
        <w:rPr>
          <w:rFonts w:ascii="NimbusRomNo9L" w:eastAsia="Times New Roman" w:hAnsi="NimbusRomNo9L" w:cs="Times New Roman"/>
          <w:spacing w:val="-10"/>
          <w:lang w:val="en-US"/>
        </w:rPr>
        <w:t>, 65(3): 557-586.</w:t>
      </w:r>
    </w:p>
    <w:p w14:paraId="28A442E2" w14:textId="77777777" w:rsidR="001800F7" w:rsidRPr="001800F7" w:rsidRDefault="001800F7" w:rsidP="00800903">
      <w:pPr>
        <w:pStyle w:val="ListParagraph"/>
        <w:numPr>
          <w:ilvl w:val="0"/>
          <w:numId w:val="4"/>
        </w:numPr>
        <w:ind w:left="284" w:hanging="283"/>
        <w:jc w:val="both"/>
        <w:rPr>
          <w:rFonts w:ascii="Times New Roman" w:eastAsia="Times New Roman" w:hAnsi="Times New Roman" w:cs="Times New Roman"/>
          <w:spacing w:val="-10"/>
          <w:lang w:val="en-US"/>
        </w:rPr>
      </w:pPr>
      <w:proofErr w:type="spellStart"/>
      <w:r w:rsidRPr="001800F7">
        <w:rPr>
          <w:rFonts w:ascii="NimbusRomNo9L" w:eastAsia="Times New Roman" w:hAnsi="NimbusRomNo9L" w:cs="Times New Roman"/>
          <w:spacing w:val="-10"/>
          <w:lang w:val="en-US"/>
        </w:rPr>
        <w:t>Stipanowich</w:t>
      </w:r>
      <w:proofErr w:type="spellEnd"/>
      <w:r w:rsidRPr="001800F7">
        <w:rPr>
          <w:rFonts w:ascii="NimbusRomNo9L" w:eastAsia="Times New Roman" w:hAnsi="NimbusRomNo9L" w:cs="Times New Roman"/>
          <w:spacing w:val="-10"/>
          <w:lang w:val="en-US"/>
        </w:rPr>
        <w:t xml:space="preserve">, T. J. (2004). ADR and the “Vanishing Trial”: the growth and impact of “Alternative Dispute Resolution”. </w:t>
      </w:r>
      <w:r w:rsidRPr="001800F7">
        <w:rPr>
          <w:rFonts w:ascii="NimbusRomNo9L" w:eastAsia="Times New Roman" w:hAnsi="NimbusRomNo9L" w:cs="Times New Roman"/>
          <w:i/>
          <w:spacing w:val="-10"/>
          <w:lang w:val="en-US"/>
        </w:rPr>
        <w:t>Journal of Empirical Legal Studies</w:t>
      </w:r>
      <w:r w:rsidRPr="001800F7">
        <w:rPr>
          <w:rFonts w:ascii="NimbusRomNo9L" w:eastAsia="Times New Roman" w:hAnsi="NimbusRomNo9L" w:cs="Times New Roman"/>
          <w:spacing w:val="-10"/>
          <w:lang w:val="en-US"/>
        </w:rPr>
        <w:t xml:space="preserve">, 1(3), 843-912. </w:t>
      </w:r>
    </w:p>
    <w:p w14:paraId="32DB55F2" w14:textId="5A87D932"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166361">
        <w:rPr>
          <w:rFonts w:ascii="NimbusRomNo9L" w:eastAsia="Times New Roman" w:hAnsi="NimbusRomNo9L" w:cs="Times New Roman"/>
          <w:spacing w:val="-10"/>
          <w:lang w:val="en-US"/>
        </w:rPr>
        <w:t xml:space="preserve">Stock, J.H. and M. </w:t>
      </w:r>
      <w:proofErr w:type="spellStart"/>
      <w:r w:rsidRPr="00166361">
        <w:rPr>
          <w:rFonts w:ascii="NimbusRomNo9L" w:eastAsia="Times New Roman" w:hAnsi="NimbusRomNo9L" w:cs="Times New Roman"/>
          <w:spacing w:val="-10"/>
          <w:lang w:val="en-US"/>
        </w:rPr>
        <w:t>Yogo</w:t>
      </w:r>
      <w:proofErr w:type="spellEnd"/>
      <w:r w:rsidRPr="00166361">
        <w:rPr>
          <w:rFonts w:ascii="NimbusRomNo9L" w:eastAsia="Times New Roman" w:hAnsi="NimbusRomNo9L" w:cs="Times New Roman"/>
          <w:spacing w:val="-10"/>
          <w:lang w:val="en-US"/>
        </w:rPr>
        <w:t xml:space="preserve">. 2005. Testing for Weak Instruments in Linear IV Regression. In </w:t>
      </w:r>
      <w:r w:rsidRPr="00166361">
        <w:rPr>
          <w:rFonts w:ascii="NimbusRomNo9L" w:eastAsia="Times New Roman" w:hAnsi="NimbusRomNo9L" w:cs="Times New Roman"/>
          <w:i/>
          <w:iCs/>
          <w:spacing w:val="-10"/>
          <w:lang w:val="en-US"/>
        </w:rPr>
        <w:t xml:space="preserve">Identification and Inference for Econometric Models: Essays in Honor of Thomas Rothenberg </w:t>
      </w:r>
      <w:r w:rsidRPr="00166361">
        <w:rPr>
          <w:rFonts w:ascii="NimbusRomNo9L" w:eastAsia="Times New Roman" w:hAnsi="NimbusRomNo9L" w:cs="Times New Roman"/>
          <w:spacing w:val="-10"/>
          <w:lang w:val="en-US"/>
        </w:rPr>
        <w:t xml:space="preserve">edited by D.W.K. Andrews and J.H. Stock: 80-105. Cambridge: Cambridge University Press. </w:t>
      </w:r>
    </w:p>
    <w:p w14:paraId="237CFAC9" w14:textId="229DDB49" w:rsidR="00800903" w:rsidRPr="00166361" w:rsidRDefault="00800903" w:rsidP="00800903">
      <w:pPr>
        <w:pStyle w:val="ListParagraph"/>
        <w:numPr>
          <w:ilvl w:val="0"/>
          <w:numId w:val="4"/>
        </w:numPr>
        <w:ind w:left="284" w:hanging="283"/>
        <w:jc w:val="both"/>
        <w:rPr>
          <w:rFonts w:ascii="NimbusRomNo9L" w:eastAsia="Times New Roman" w:hAnsi="NimbusRomNo9L" w:cs="Times New Roman"/>
          <w:spacing w:val="-10"/>
          <w:lang w:val="en-US"/>
        </w:rPr>
      </w:pPr>
      <w:proofErr w:type="spellStart"/>
      <w:r w:rsidRPr="00166361">
        <w:rPr>
          <w:rFonts w:ascii="NimbusRomNo9L" w:eastAsia="Times New Roman" w:hAnsi="NimbusRomNo9L" w:cs="Times New Roman"/>
          <w:spacing w:val="-10"/>
          <w:lang w:val="en-US"/>
        </w:rPr>
        <w:t>Stucke</w:t>
      </w:r>
      <w:proofErr w:type="spellEnd"/>
      <w:r w:rsidRPr="00166361">
        <w:rPr>
          <w:rFonts w:ascii="NimbusRomNo9L" w:eastAsia="Times New Roman" w:hAnsi="NimbusRomNo9L" w:cs="Times New Roman"/>
          <w:spacing w:val="-10"/>
          <w:lang w:val="en-US"/>
        </w:rPr>
        <w:t xml:space="preserve">, M.E. 2013. Is competition always </w:t>
      </w:r>
      <w:proofErr w:type="gramStart"/>
      <w:r w:rsidRPr="00166361">
        <w:rPr>
          <w:rFonts w:ascii="NimbusRomNo9L" w:eastAsia="Times New Roman" w:hAnsi="NimbusRomNo9L" w:cs="Times New Roman"/>
          <w:spacing w:val="-10"/>
          <w:lang w:val="en-US"/>
        </w:rPr>
        <w:t>good?.</w:t>
      </w:r>
      <w:proofErr w:type="gramEnd"/>
      <w:r w:rsidRPr="00166361">
        <w:rPr>
          <w:rFonts w:ascii="NimbusRomNo9L" w:eastAsia="Times New Roman" w:hAnsi="NimbusRomNo9L" w:cs="Times New Roman"/>
          <w:spacing w:val="-10"/>
          <w:lang w:val="en-US"/>
        </w:rPr>
        <w:t xml:space="preserve"> Journal of Antitrust Enforcement, 1(1): 162–197.</w:t>
      </w:r>
    </w:p>
    <w:p w14:paraId="0CADAAA5" w14:textId="1CF253BE"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166361">
        <w:rPr>
          <w:rFonts w:ascii="NimbusRomNo9L" w:eastAsia="Times New Roman" w:hAnsi="NimbusRomNo9L" w:cs="Times New Roman"/>
          <w:spacing w:val="-10"/>
          <w:lang w:val="en-US"/>
        </w:rPr>
        <w:t xml:space="preserve">Sturges, W.A. 1928. Law’s Delays, Lawyers’ Delays and Forwarded Cases. </w:t>
      </w:r>
      <w:r w:rsidRPr="00166361">
        <w:rPr>
          <w:rFonts w:ascii="NimbusRomNo9L" w:eastAsia="Times New Roman" w:hAnsi="NimbusRomNo9L" w:cs="Times New Roman"/>
          <w:i/>
          <w:iCs/>
          <w:spacing w:val="-10"/>
          <w:lang w:val="en-US"/>
        </w:rPr>
        <w:t>Minnesota Law Review</w:t>
      </w:r>
      <w:r w:rsidRPr="00166361">
        <w:rPr>
          <w:rFonts w:ascii="NimbusRomNo9L" w:eastAsia="Times New Roman" w:hAnsi="NimbusRomNo9L" w:cs="Times New Roman"/>
          <w:spacing w:val="-10"/>
          <w:lang w:val="en-US"/>
        </w:rPr>
        <w:t xml:space="preserve">, 2496: 351-377. </w:t>
      </w:r>
    </w:p>
    <w:p w14:paraId="7D782333" w14:textId="77777777"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166361">
        <w:rPr>
          <w:rFonts w:ascii="NimbusRomNo9L" w:eastAsia="Times New Roman" w:hAnsi="NimbusRomNo9L" w:cs="Times New Roman"/>
          <w:spacing w:val="-10"/>
          <w:lang w:val="en-US"/>
        </w:rPr>
        <w:t xml:space="preserve">Tabarrok, A. and E. </w:t>
      </w:r>
      <w:proofErr w:type="spellStart"/>
      <w:r w:rsidRPr="00166361">
        <w:rPr>
          <w:rFonts w:ascii="NimbusRomNo9L" w:eastAsia="Times New Roman" w:hAnsi="NimbusRomNo9L" w:cs="Times New Roman"/>
          <w:spacing w:val="-10"/>
          <w:lang w:val="en-US"/>
        </w:rPr>
        <w:t>Helland</w:t>
      </w:r>
      <w:proofErr w:type="spellEnd"/>
      <w:r w:rsidRPr="00166361">
        <w:rPr>
          <w:rFonts w:ascii="NimbusRomNo9L" w:eastAsia="Times New Roman" w:hAnsi="NimbusRomNo9L" w:cs="Times New Roman"/>
          <w:spacing w:val="-10"/>
          <w:lang w:val="en-US"/>
        </w:rPr>
        <w:t xml:space="preserve">. 2005. </w:t>
      </w:r>
      <w:r w:rsidRPr="00166361">
        <w:rPr>
          <w:rFonts w:ascii="NimbusRomNo9L" w:eastAsia="Times New Roman" w:hAnsi="NimbusRomNo9L" w:cs="Times New Roman"/>
          <w:i/>
          <w:iCs/>
          <w:spacing w:val="-10"/>
          <w:lang w:val="en-US"/>
        </w:rPr>
        <w:t>Two cheers for contingent fees</w:t>
      </w:r>
      <w:r w:rsidRPr="00166361">
        <w:rPr>
          <w:rFonts w:ascii="NimbusRomNo9L" w:eastAsia="Times New Roman" w:hAnsi="NimbusRomNo9L" w:cs="Times New Roman"/>
          <w:spacing w:val="-10"/>
          <w:lang w:val="en-US"/>
        </w:rPr>
        <w:t xml:space="preserve">. Washington D.C.: The American Enterprise Institute Press. </w:t>
      </w:r>
    </w:p>
    <w:p w14:paraId="04EB62A1" w14:textId="178359CC"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166361">
        <w:rPr>
          <w:rFonts w:ascii="NimbusRomNo9L" w:eastAsia="Times New Roman" w:hAnsi="NimbusRomNo9L" w:cs="Times New Roman"/>
          <w:spacing w:val="-10"/>
          <w:lang w:val="en-US"/>
        </w:rPr>
        <w:t xml:space="preserve">Tang </w:t>
      </w:r>
      <w:proofErr w:type="spellStart"/>
      <w:r w:rsidRPr="00166361">
        <w:rPr>
          <w:rFonts w:ascii="NimbusRomNo9L" w:eastAsia="Times New Roman" w:hAnsi="NimbusRomNo9L" w:cs="Times New Roman"/>
          <w:spacing w:val="-10"/>
          <w:lang w:val="en-US"/>
        </w:rPr>
        <w:t>Thi</w:t>
      </w:r>
      <w:proofErr w:type="spellEnd"/>
      <w:r w:rsidRPr="00166361">
        <w:rPr>
          <w:rFonts w:ascii="NimbusRomNo9L" w:eastAsia="Times New Roman" w:hAnsi="NimbusRomNo9L" w:cs="Times New Roman"/>
          <w:spacing w:val="-10"/>
          <w:lang w:val="en-US"/>
        </w:rPr>
        <w:t xml:space="preserve"> Thanh </w:t>
      </w:r>
      <w:proofErr w:type="spellStart"/>
      <w:r w:rsidRPr="00166361">
        <w:rPr>
          <w:rFonts w:ascii="NimbusRomNo9L" w:eastAsia="Times New Roman" w:hAnsi="NimbusRomNo9L" w:cs="Times New Roman"/>
          <w:spacing w:val="-10"/>
          <w:lang w:val="en-US"/>
        </w:rPr>
        <w:t>Trai</w:t>
      </w:r>
      <w:proofErr w:type="spellEnd"/>
      <w:r w:rsidRPr="00166361">
        <w:rPr>
          <w:rFonts w:ascii="NimbusRomNo9L" w:eastAsia="Times New Roman" w:hAnsi="NimbusRomNo9L" w:cs="Times New Roman"/>
          <w:spacing w:val="-10"/>
          <w:lang w:val="en-US"/>
        </w:rPr>
        <w:t xml:space="preserve">, L. 1992. The French Legal Profession: A Prisoner of Its Glorious </w:t>
      </w:r>
      <w:proofErr w:type="gramStart"/>
      <w:r w:rsidRPr="00166361">
        <w:rPr>
          <w:rFonts w:ascii="NimbusRomNo9L" w:eastAsia="Times New Roman" w:hAnsi="NimbusRomNo9L" w:cs="Times New Roman"/>
          <w:spacing w:val="-10"/>
          <w:lang w:val="en-US"/>
        </w:rPr>
        <w:t>Past?.</w:t>
      </w:r>
      <w:proofErr w:type="gramEnd"/>
      <w:r w:rsidRPr="00166361">
        <w:rPr>
          <w:rFonts w:ascii="NimbusRomNo9L" w:eastAsia="Times New Roman" w:hAnsi="NimbusRomNo9L" w:cs="Times New Roman"/>
          <w:spacing w:val="-10"/>
          <w:lang w:val="en-US"/>
        </w:rPr>
        <w:t xml:space="preserve"> </w:t>
      </w:r>
      <w:r w:rsidRPr="00166361">
        <w:rPr>
          <w:rFonts w:ascii="NimbusRomNo9L" w:eastAsia="Times New Roman" w:hAnsi="NimbusRomNo9L" w:cs="Times New Roman"/>
          <w:i/>
          <w:iCs/>
          <w:spacing w:val="-10"/>
          <w:lang w:val="en-US"/>
        </w:rPr>
        <w:t>Cornell International Law Journal</w:t>
      </w:r>
      <w:r w:rsidRPr="00166361">
        <w:rPr>
          <w:rFonts w:ascii="NimbusRomNo9L" w:eastAsia="Times New Roman" w:hAnsi="NimbusRomNo9L" w:cs="Times New Roman"/>
          <w:spacing w:val="-10"/>
          <w:lang w:val="en-US"/>
        </w:rPr>
        <w:t xml:space="preserve">, 15: 63-104. </w:t>
      </w:r>
    </w:p>
    <w:p w14:paraId="55335AC8" w14:textId="25189C4F" w:rsidR="00800903" w:rsidRPr="00166361" w:rsidRDefault="00800903" w:rsidP="00800903">
      <w:pPr>
        <w:pStyle w:val="ListParagraph"/>
        <w:numPr>
          <w:ilvl w:val="0"/>
          <w:numId w:val="4"/>
        </w:numPr>
        <w:ind w:left="284" w:hanging="283"/>
        <w:jc w:val="both"/>
        <w:rPr>
          <w:rFonts w:ascii="NimbusRomNo9L" w:eastAsia="Times New Roman" w:hAnsi="NimbusRomNo9L" w:cs="Times New Roman"/>
          <w:spacing w:val="-10"/>
          <w:lang w:val="en-US"/>
        </w:rPr>
      </w:pPr>
      <w:proofErr w:type="spellStart"/>
      <w:r w:rsidRPr="00166361">
        <w:rPr>
          <w:rFonts w:ascii="NimbusRomNo9L" w:eastAsia="Times New Roman" w:hAnsi="NimbusRomNo9L" w:cs="Times New Roman"/>
          <w:spacing w:val="-10"/>
          <w:lang w:val="en-US"/>
        </w:rPr>
        <w:t>Tahura</w:t>
      </w:r>
      <w:proofErr w:type="spellEnd"/>
      <w:r w:rsidRPr="00166361">
        <w:rPr>
          <w:rFonts w:ascii="NimbusRomNo9L" w:eastAsia="Times New Roman" w:hAnsi="NimbusRomNo9L" w:cs="Times New Roman"/>
          <w:spacing w:val="-10"/>
          <w:lang w:val="en-US"/>
        </w:rPr>
        <w:t xml:space="preserve">, U. 2022, Role of Clients, Lawyers, Judges, and Institutions in Hiking Litigation Costs in Bangladesh: An Empirical Study. </w:t>
      </w:r>
      <w:r w:rsidRPr="00166361">
        <w:rPr>
          <w:rFonts w:ascii="NimbusRomNo9L" w:eastAsia="Times New Roman" w:hAnsi="NimbusRomNo9L" w:cs="Times New Roman"/>
          <w:i/>
          <w:spacing w:val="-10"/>
          <w:lang w:val="en-US"/>
        </w:rPr>
        <w:t>Asian Journal of Law and Society</w:t>
      </w:r>
      <w:r w:rsidRPr="00166361">
        <w:rPr>
          <w:rFonts w:ascii="NimbusRomNo9L" w:eastAsia="Times New Roman" w:hAnsi="NimbusRomNo9L" w:cs="Times New Roman"/>
          <w:spacing w:val="-10"/>
          <w:lang w:val="en-US"/>
        </w:rPr>
        <w:t>, 9: 59-80</w:t>
      </w:r>
    </w:p>
    <w:p w14:paraId="2E2E8F83" w14:textId="3C315B31"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166361">
        <w:rPr>
          <w:rFonts w:ascii="NimbusRomNo9L" w:eastAsia="Times New Roman" w:hAnsi="NimbusRomNo9L" w:cs="Times New Roman"/>
          <w:spacing w:val="-10"/>
          <w:lang w:val="en-US"/>
        </w:rPr>
        <w:t xml:space="preserve">Thornicroft, K. 1994. Lawyers and grievance arbitration: Delay and outcome effects. </w:t>
      </w:r>
      <w:r w:rsidRPr="00166361">
        <w:rPr>
          <w:rFonts w:ascii="NimbusRomNo9L" w:eastAsia="Times New Roman" w:hAnsi="NimbusRomNo9L" w:cs="Times New Roman"/>
          <w:i/>
          <w:iCs/>
          <w:spacing w:val="-10"/>
          <w:lang w:val="en-US"/>
        </w:rPr>
        <w:t>Labor Studies Journal</w:t>
      </w:r>
      <w:r w:rsidRPr="00166361">
        <w:rPr>
          <w:rFonts w:ascii="NimbusRomNo9L" w:eastAsia="Times New Roman" w:hAnsi="NimbusRomNo9L" w:cs="Times New Roman"/>
          <w:spacing w:val="-10"/>
          <w:lang w:val="en-US"/>
        </w:rPr>
        <w:t xml:space="preserve">, 18: 39-51. </w:t>
      </w:r>
    </w:p>
    <w:p w14:paraId="4B445ACC" w14:textId="4C842E22"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proofErr w:type="spellStart"/>
      <w:r w:rsidRPr="00EE38F6">
        <w:rPr>
          <w:rFonts w:ascii="NimbusRomNo9L" w:eastAsia="Times New Roman" w:hAnsi="NimbusRomNo9L" w:cs="Times New Roman"/>
          <w:spacing w:val="-10"/>
          <w:lang w:val="fr-FR"/>
        </w:rPr>
        <w:t>Thouzellier</w:t>
      </w:r>
      <w:proofErr w:type="spellEnd"/>
      <w:r w:rsidRPr="00EE38F6">
        <w:rPr>
          <w:rFonts w:ascii="NimbusRomNo9L" w:eastAsia="Times New Roman" w:hAnsi="NimbusRomNo9L" w:cs="Times New Roman"/>
          <w:spacing w:val="-10"/>
          <w:lang w:val="fr-FR"/>
        </w:rPr>
        <w:t xml:space="preserve">, B. 2012. Avocats et magistrats. </w:t>
      </w:r>
      <w:r w:rsidRPr="00166361">
        <w:rPr>
          <w:rFonts w:ascii="NimbusRomNo9L" w:eastAsia="Times New Roman" w:hAnsi="NimbusRomNo9L" w:cs="Times New Roman"/>
          <w:i/>
          <w:iCs/>
          <w:spacing w:val="-10"/>
          <w:lang w:val="en-US"/>
        </w:rPr>
        <w:t xml:space="preserve">Le </w:t>
      </w:r>
      <w:proofErr w:type="spellStart"/>
      <w:r w:rsidRPr="00166361">
        <w:rPr>
          <w:rFonts w:ascii="NimbusRomNo9L" w:eastAsia="Times New Roman" w:hAnsi="NimbusRomNo9L" w:cs="Times New Roman"/>
          <w:i/>
          <w:iCs/>
          <w:spacing w:val="-10"/>
          <w:lang w:val="en-US"/>
        </w:rPr>
        <w:t>Seuil</w:t>
      </w:r>
      <w:proofErr w:type="spellEnd"/>
      <w:r w:rsidRPr="00166361">
        <w:rPr>
          <w:rFonts w:ascii="NimbusRomNo9L" w:eastAsia="Times New Roman" w:hAnsi="NimbusRomNo9L" w:cs="Times New Roman"/>
          <w:i/>
          <w:iCs/>
          <w:spacing w:val="-10"/>
          <w:lang w:val="en-US"/>
        </w:rPr>
        <w:t xml:space="preserve"> | </w:t>
      </w:r>
      <w:proofErr w:type="spellStart"/>
      <w:r w:rsidRPr="00166361">
        <w:rPr>
          <w:rFonts w:ascii="NimbusRomNo9L" w:eastAsia="Times New Roman" w:hAnsi="NimbusRomNo9L" w:cs="Times New Roman"/>
          <w:i/>
          <w:iCs/>
          <w:spacing w:val="-10"/>
          <w:lang w:val="en-US"/>
        </w:rPr>
        <w:t>Pouvoirs</w:t>
      </w:r>
      <w:proofErr w:type="spellEnd"/>
      <w:r w:rsidRPr="00166361">
        <w:rPr>
          <w:rFonts w:ascii="NimbusRomNo9L" w:eastAsia="Times New Roman" w:hAnsi="NimbusRomNo9L" w:cs="Times New Roman"/>
          <w:spacing w:val="-10"/>
          <w:lang w:val="en-US"/>
        </w:rPr>
        <w:t>, 140(1): 91-97.</w:t>
      </w:r>
    </w:p>
    <w:p w14:paraId="185C2585" w14:textId="27C56063" w:rsidR="00800903" w:rsidRPr="00FA1FC4"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166361">
        <w:rPr>
          <w:rFonts w:ascii="NimbusRomNo9L" w:eastAsia="Times New Roman" w:hAnsi="NimbusRomNo9L" w:cs="Times New Roman"/>
          <w:spacing w:val="-10"/>
          <w:lang w:val="en-US"/>
        </w:rPr>
        <w:lastRenderedPageBreak/>
        <w:t xml:space="preserve">Voigt, S. 2016. Determinants of judicial efficiency: A survey. </w:t>
      </w:r>
      <w:r w:rsidRPr="00166361">
        <w:rPr>
          <w:rFonts w:ascii="NimbusRomNo9L" w:eastAsia="Times New Roman" w:hAnsi="NimbusRomNo9L" w:cs="Times New Roman"/>
          <w:i/>
          <w:iCs/>
          <w:spacing w:val="-10"/>
          <w:lang w:val="en-US"/>
        </w:rPr>
        <w:t>European Journal of Law and Economics</w:t>
      </w:r>
      <w:r w:rsidRPr="00166361">
        <w:rPr>
          <w:rFonts w:ascii="NimbusRomNo9L" w:eastAsia="Times New Roman" w:hAnsi="NimbusRomNo9L" w:cs="Times New Roman"/>
          <w:spacing w:val="-10"/>
          <w:lang w:val="en-US"/>
        </w:rPr>
        <w:t>, 42: 183-208.</w:t>
      </w:r>
    </w:p>
    <w:p w14:paraId="5A0F90DB" w14:textId="62DBBBBC" w:rsidR="00FA1FC4" w:rsidRPr="00FA1FC4" w:rsidRDefault="00FA1FC4" w:rsidP="00800903">
      <w:pPr>
        <w:pStyle w:val="ListParagraph"/>
        <w:numPr>
          <w:ilvl w:val="0"/>
          <w:numId w:val="4"/>
        </w:numPr>
        <w:ind w:left="284" w:hanging="283"/>
        <w:jc w:val="both"/>
        <w:rPr>
          <w:rFonts w:ascii="NimbusRomNo9L" w:eastAsia="Times New Roman" w:hAnsi="NimbusRomNo9L" w:cs="Times New Roman"/>
          <w:spacing w:val="-10"/>
          <w:lang w:val="en-US"/>
        </w:rPr>
      </w:pPr>
      <w:r w:rsidRPr="0080288D">
        <w:rPr>
          <w:rFonts w:ascii="NimbusRomNo9L" w:eastAsia="Times New Roman" w:hAnsi="NimbusRomNo9L" w:cs="Times New Roman"/>
          <w:spacing w:val="-10"/>
          <w:lang w:val="fr-FR"/>
        </w:rPr>
        <w:t>Voigt, S., &amp; El-</w:t>
      </w:r>
      <w:proofErr w:type="spellStart"/>
      <w:r w:rsidRPr="0080288D">
        <w:rPr>
          <w:rFonts w:ascii="NimbusRomNo9L" w:eastAsia="Times New Roman" w:hAnsi="NimbusRomNo9L" w:cs="Times New Roman"/>
          <w:spacing w:val="-10"/>
          <w:lang w:val="fr-FR"/>
        </w:rPr>
        <w:t>Bialy</w:t>
      </w:r>
      <w:proofErr w:type="spellEnd"/>
      <w:r w:rsidRPr="0080288D">
        <w:rPr>
          <w:rFonts w:ascii="NimbusRomNo9L" w:eastAsia="Times New Roman" w:hAnsi="NimbusRomNo9L" w:cs="Times New Roman"/>
          <w:spacing w:val="-10"/>
          <w:lang w:val="fr-FR"/>
        </w:rPr>
        <w:t xml:space="preserve">, N. (2016). </w:t>
      </w:r>
      <w:r w:rsidRPr="00FA1FC4">
        <w:rPr>
          <w:rFonts w:ascii="NimbusRomNo9L" w:eastAsia="Times New Roman" w:hAnsi="NimbusRomNo9L" w:cs="Times New Roman"/>
          <w:spacing w:val="-10"/>
          <w:lang w:val="en-US"/>
        </w:rPr>
        <w:t xml:space="preserve">Identifying the determinants of aggregate judicial performance: taxpayers’ money well </w:t>
      </w:r>
      <w:proofErr w:type="gramStart"/>
      <w:r w:rsidRPr="00FA1FC4">
        <w:rPr>
          <w:rFonts w:ascii="NimbusRomNo9L" w:eastAsia="Times New Roman" w:hAnsi="NimbusRomNo9L" w:cs="Times New Roman"/>
          <w:spacing w:val="-10"/>
          <w:lang w:val="en-US"/>
        </w:rPr>
        <w:t>spent?.</w:t>
      </w:r>
      <w:proofErr w:type="gramEnd"/>
      <w:r w:rsidRPr="00FA1FC4">
        <w:rPr>
          <w:rFonts w:ascii="NimbusRomNo9L" w:eastAsia="Times New Roman" w:hAnsi="NimbusRomNo9L" w:cs="Times New Roman"/>
          <w:spacing w:val="-10"/>
          <w:lang w:val="en-US"/>
        </w:rPr>
        <w:t xml:space="preserve"> </w:t>
      </w:r>
      <w:r w:rsidRPr="00FA1FC4">
        <w:rPr>
          <w:rFonts w:ascii="NimbusRomNo9L" w:eastAsia="Times New Roman" w:hAnsi="NimbusRomNo9L" w:cs="Times New Roman"/>
          <w:i/>
          <w:spacing w:val="-10"/>
          <w:lang w:val="en-US"/>
        </w:rPr>
        <w:t>European Journal of Law and Economics</w:t>
      </w:r>
      <w:r w:rsidRPr="00FA1FC4">
        <w:rPr>
          <w:rFonts w:ascii="NimbusRomNo9L" w:eastAsia="Times New Roman" w:hAnsi="NimbusRomNo9L" w:cs="Times New Roman"/>
          <w:spacing w:val="-10"/>
          <w:lang w:val="en-US"/>
        </w:rPr>
        <w:t>, 41, 283-319.</w:t>
      </w:r>
    </w:p>
    <w:p w14:paraId="221817E4" w14:textId="15D036A6"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166361">
        <w:rPr>
          <w:rFonts w:ascii="NimbusRomNo9L" w:eastAsia="Times New Roman" w:hAnsi="NimbusRomNo9L" w:cs="Times New Roman"/>
          <w:spacing w:val="-10"/>
          <w:lang w:val="en-US"/>
        </w:rPr>
        <w:t xml:space="preserve">Wagner, S., K. </w:t>
      </w:r>
      <w:proofErr w:type="spellStart"/>
      <w:r w:rsidRPr="00166361">
        <w:rPr>
          <w:rFonts w:ascii="NimbusRomNo9L" w:eastAsia="Times New Roman" w:hAnsi="NimbusRomNo9L" w:cs="Times New Roman"/>
          <w:spacing w:val="-10"/>
          <w:lang w:val="en-US"/>
        </w:rPr>
        <w:t>Hoisl</w:t>
      </w:r>
      <w:proofErr w:type="spellEnd"/>
      <w:r w:rsidRPr="00166361">
        <w:rPr>
          <w:rFonts w:ascii="NimbusRomNo9L" w:eastAsia="Times New Roman" w:hAnsi="NimbusRomNo9L" w:cs="Times New Roman"/>
          <w:spacing w:val="-10"/>
          <w:lang w:val="en-US"/>
        </w:rPr>
        <w:t xml:space="preserve"> and G. </w:t>
      </w:r>
      <w:proofErr w:type="spellStart"/>
      <w:r w:rsidRPr="00166361">
        <w:rPr>
          <w:rFonts w:ascii="NimbusRomNo9L" w:eastAsia="Times New Roman" w:hAnsi="NimbusRomNo9L" w:cs="Times New Roman"/>
          <w:spacing w:val="-10"/>
          <w:lang w:val="en-US"/>
        </w:rPr>
        <w:t>Thoma</w:t>
      </w:r>
      <w:proofErr w:type="spellEnd"/>
      <w:r w:rsidRPr="00166361">
        <w:rPr>
          <w:rFonts w:ascii="NimbusRomNo9L" w:eastAsia="Times New Roman" w:hAnsi="NimbusRomNo9L" w:cs="Times New Roman"/>
          <w:spacing w:val="-10"/>
          <w:lang w:val="en-US"/>
        </w:rPr>
        <w:t xml:space="preserve">. 2014. Overcoming localization of knowledge - The role of professional service firms. </w:t>
      </w:r>
      <w:r w:rsidRPr="00166361">
        <w:rPr>
          <w:rFonts w:ascii="NimbusRomNo9L" w:eastAsia="Times New Roman" w:hAnsi="NimbusRomNo9L" w:cs="Times New Roman"/>
          <w:i/>
          <w:iCs/>
          <w:spacing w:val="-10"/>
          <w:lang w:val="en-US"/>
        </w:rPr>
        <w:t>Strategic Management Journal</w:t>
      </w:r>
      <w:r w:rsidRPr="00166361">
        <w:rPr>
          <w:rFonts w:ascii="NimbusRomNo9L" w:eastAsia="Times New Roman" w:hAnsi="NimbusRomNo9L" w:cs="Times New Roman"/>
          <w:spacing w:val="-10"/>
          <w:lang w:val="en-US"/>
        </w:rPr>
        <w:t xml:space="preserve">, 35(11): 1671-1688. 30 </w:t>
      </w:r>
    </w:p>
    <w:p w14:paraId="2E1279D7" w14:textId="1A0F2959" w:rsidR="00712022" w:rsidRPr="00712022" w:rsidRDefault="00712022"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712022">
        <w:rPr>
          <w:rFonts w:ascii="NimbusRomNo9L" w:eastAsia="Times New Roman" w:hAnsi="NimbusRomNo9L" w:cs="Times New Roman"/>
          <w:spacing w:val="-10"/>
          <w:lang w:val="en-US"/>
        </w:rPr>
        <w:t xml:space="preserve">Wexler, S. (1969). Practicing law for poor people. </w:t>
      </w:r>
      <w:r w:rsidRPr="00712022">
        <w:rPr>
          <w:rFonts w:ascii="NimbusRomNo9L" w:eastAsia="Times New Roman" w:hAnsi="NimbusRomNo9L" w:cs="Times New Roman"/>
          <w:i/>
          <w:spacing w:val="-10"/>
          <w:lang w:val="fr-FR"/>
        </w:rPr>
        <w:t>Yale Law Journal</w:t>
      </w:r>
      <w:r w:rsidRPr="00712022">
        <w:rPr>
          <w:rFonts w:ascii="NimbusRomNo9L" w:eastAsia="Times New Roman" w:hAnsi="NimbusRomNo9L" w:cs="Times New Roman"/>
          <w:spacing w:val="-10"/>
          <w:lang w:val="fr-FR"/>
        </w:rPr>
        <w:t>, 79, 1049</w:t>
      </w:r>
      <w:r w:rsidR="000A618F">
        <w:rPr>
          <w:rFonts w:ascii="NimbusRomNo9L" w:eastAsia="Times New Roman" w:hAnsi="NimbusRomNo9L" w:cs="Times New Roman"/>
          <w:spacing w:val="-10"/>
          <w:lang w:val="fr-FR"/>
        </w:rPr>
        <w:t>-1067</w:t>
      </w:r>
      <w:r w:rsidRPr="00712022">
        <w:rPr>
          <w:rFonts w:ascii="NimbusRomNo9L" w:eastAsia="Times New Roman" w:hAnsi="NimbusRomNo9L" w:cs="Times New Roman"/>
          <w:spacing w:val="-10"/>
          <w:lang w:val="fr-FR"/>
        </w:rPr>
        <w:t>.</w:t>
      </w:r>
    </w:p>
    <w:p w14:paraId="11593EA0" w14:textId="0AFD2F76"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proofErr w:type="spellStart"/>
      <w:r w:rsidRPr="00EE38F6">
        <w:rPr>
          <w:rFonts w:ascii="NimbusRomNo9L" w:eastAsia="Times New Roman" w:hAnsi="NimbusRomNo9L" w:cs="Times New Roman"/>
          <w:spacing w:val="-10"/>
          <w:lang w:val="fr-FR"/>
        </w:rPr>
        <w:t>Willemez</w:t>
      </w:r>
      <w:proofErr w:type="spellEnd"/>
      <w:r w:rsidRPr="00EE38F6">
        <w:rPr>
          <w:rFonts w:ascii="NimbusRomNo9L" w:eastAsia="Times New Roman" w:hAnsi="NimbusRomNo9L" w:cs="Times New Roman"/>
          <w:spacing w:val="-10"/>
          <w:lang w:val="fr-FR"/>
        </w:rPr>
        <w:t xml:space="preserve">, L. 1999. La </w:t>
      </w:r>
      <w:proofErr w:type="spellStart"/>
      <w:r w:rsidRPr="00EE38F6">
        <w:rPr>
          <w:rFonts w:ascii="NimbusRomNo9L" w:eastAsia="Times New Roman" w:hAnsi="NimbusRomNo9L" w:cs="Times New Roman"/>
          <w:spacing w:val="-10"/>
          <w:lang w:val="fr-FR"/>
        </w:rPr>
        <w:t>république</w:t>
      </w:r>
      <w:proofErr w:type="spellEnd"/>
      <w:r w:rsidRPr="00EE38F6">
        <w:rPr>
          <w:rFonts w:ascii="NimbusRomNo9L" w:eastAsia="Times New Roman" w:hAnsi="NimbusRomNo9L" w:cs="Times New Roman"/>
          <w:spacing w:val="-10"/>
          <w:lang w:val="fr-FR"/>
        </w:rPr>
        <w:t xml:space="preserve"> des </w:t>
      </w:r>
      <w:proofErr w:type="gramStart"/>
      <w:r w:rsidRPr="00EE38F6">
        <w:rPr>
          <w:rFonts w:ascii="NimbusRomNo9L" w:eastAsia="Times New Roman" w:hAnsi="NimbusRomNo9L" w:cs="Times New Roman"/>
          <w:spacing w:val="-10"/>
          <w:lang w:val="fr-FR"/>
        </w:rPr>
        <w:t>avocats:</w:t>
      </w:r>
      <w:proofErr w:type="gramEnd"/>
      <w:r w:rsidRPr="00EE38F6">
        <w:rPr>
          <w:rFonts w:ascii="NimbusRomNo9L" w:eastAsia="Times New Roman" w:hAnsi="NimbusRomNo9L" w:cs="Times New Roman"/>
          <w:spacing w:val="-10"/>
          <w:lang w:val="fr-FR"/>
        </w:rPr>
        <w:t xml:space="preserve"> Le mythe, le </w:t>
      </w:r>
      <w:proofErr w:type="spellStart"/>
      <w:r w:rsidRPr="00EE38F6">
        <w:rPr>
          <w:rFonts w:ascii="NimbusRomNo9L" w:eastAsia="Times New Roman" w:hAnsi="NimbusRomNo9L" w:cs="Times New Roman"/>
          <w:spacing w:val="-10"/>
          <w:lang w:val="fr-FR"/>
        </w:rPr>
        <w:t>modèle</w:t>
      </w:r>
      <w:proofErr w:type="spellEnd"/>
      <w:r w:rsidRPr="00EE38F6">
        <w:rPr>
          <w:rFonts w:ascii="NimbusRomNo9L" w:eastAsia="Times New Roman" w:hAnsi="NimbusRomNo9L" w:cs="Times New Roman"/>
          <w:spacing w:val="-10"/>
          <w:lang w:val="fr-FR"/>
        </w:rPr>
        <w:t xml:space="preserve"> et son endossement. </w:t>
      </w:r>
      <w:r w:rsidRPr="00166361">
        <w:rPr>
          <w:rFonts w:ascii="NimbusRomNo9L" w:eastAsia="Times New Roman" w:hAnsi="NimbusRomNo9L" w:cs="Times New Roman"/>
          <w:spacing w:val="-10"/>
          <w:lang w:val="en-US"/>
        </w:rPr>
        <w:t xml:space="preserve">In </w:t>
      </w:r>
      <w:r w:rsidRPr="00166361">
        <w:rPr>
          <w:rFonts w:ascii="NimbusRomNo9L" w:eastAsia="Times New Roman" w:hAnsi="NimbusRomNo9L" w:cs="Times New Roman"/>
          <w:i/>
          <w:iCs/>
          <w:spacing w:val="-10"/>
          <w:lang w:val="en-US"/>
        </w:rPr>
        <w:t xml:space="preserve">La profession </w:t>
      </w:r>
      <w:proofErr w:type="spellStart"/>
      <w:r w:rsidRPr="00166361">
        <w:rPr>
          <w:rFonts w:ascii="NimbusRomNo9L" w:eastAsia="Times New Roman" w:hAnsi="NimbusRomNo9L" w:cs="Times New Roman"/>
          <w:i/>
          <w:iCs/>
          <w:spacing w:val="-10"/>
          <w:lang w:val="en-US"/>
        </w:rPr>
        <w:t>politique</w:t>
      </w:r>
      <w:proofErr w:type="spellEnd"/>
      <w:r w:rsidRPr="00166361">
        <w:rPr>
          <w:rFonts w:ascii="NimbusRomNo9L" w:eastAsia="Times New Roman" w:hAnsi="NimbusRomNo9L" w:cs="Times New Roman"/>
          <w:i/>
          <w:iCs/>
          <w:spacing w:val="-10"/>
          <w:lang w:val="en-US"/>
        </w:rPr>
        <w:t xml:space="preserve"> </w:t>
      </w:r>
      <w:proofErr w:type="spellStart"/>
      <w:r w:rsidRPr="00166361">
        <w:rPr>
          <w:rFonts w:ascii="NimbusRomNo9L" w:eastAsia="Times New Roman" w:hAnsi="NimbusRomNo9L" w:cs="Times New Roman"/>
          <w:i/>
          <w:iCs/>
          <w:spacing w:val="-10"/>
          <w:lang w:val="en-US"/>
        </w:rPr>
        <w:t>XIXe</w:t>
      </w:r>
      <w:proofErr w:type="spellEnd"/>
      <w:r w:rsidRPr="00166361">
        <w:rPr>
          <w:rFonts w:ascii="NimbusRomNo9L" w:eastAsia="Times New Roman" w:hAnsi="NimbusRomNo9L" w:cs="Times New Roman"/>
          <w:i/>
          <w:iCs/>
          <w:spacing w:val="-10"/>
          <w:lang w:val="en-US"/>
        </w:rPr>
        <w:t>̀-</w:t>
      </w:r>
      <w:proofErr w:type="spellStart"/>
      <w:r w:rsidRPr="00166361">
        <w:rPr>
          <w:rFonts w:ascii="NimbusRomNo9L" w:eastAsia="Times New Roman" w:hAnsi="NimbusRomNo9L" w:cs="Times New Roman"/>
          <w:i/>
          <w:iCs/>
          <w:spacing w:val="-10"/>
          <w:lang w:val="en-US"/>
        </w:rPr>
        <w:t>XXe</w:t>
      </w:r>
      <w:proofErr w:type="spellEnd"/>
      <w:r w:rsidRPr="00166361">
        <w:rPr>
          <w:rFonts w:ascii="NimbusRomNo9L" w:eastAsia="Times New Roman" w:hAnsi="NimbusRomNo9L" w:cs="Times New Roman"/>
          <w:i/>
          <w:iCs/>
          <w:spacing w:val="-10"/>
          <w:lang w:val="en-US"/>
        </w:rPr>
        <w:t xml:space="preserve">̀ </w:t>
      </w:r>
      <w:proofErr w:type="spellStart"/>
      <w:r w:rsidRPr="00166361">
        <w:rPr>
          <w:rFonts w:ascii="NimbusRomNo9L" w:eastAsia="Times New Roman" w:hAnsi="NimbusRomNo9L" w:cs="Times New Roman"/>
          <w:i/>
          <w:iCs/>
          <w:spacing w:val="-10"/>
          <w:lang w:val="en-US"/>
        </w:rPr>
        <w:t>siècle</w:t>
      </w:r>
      <w:proofErr w:type="spellEnd"/>
      <w:r w:rsidRPr="00166361">
        <w:rPr>
          <w:rFonts w:ascii="NimbusRomNo9L" w:eastAsia="Times New Roman" w:hAnsi="NimbusRomNo9L" w:cs="Times New Roman"/>
          <w:spacing w:val="-10"/>
          <w:lang w:val="en-US"/>
        </w:rPr>
        <w:t xml:space="preserve">, edited by M. </w:t>
      </w:r>
      <w:proofErr w:type="spellStart"/>
      <w:r w:rsidRPr="00166361">
        <w:rPr>
          <w:rFonts w:ascii="NimbusRomNo9L" w:eastAsia="Times New Roman" w:hAnsi="NimbusRomNo9L" w:cs="Times New Roman"/>
          <w:spacing w:val="-10"/>
          <w:lang w:val="en-US"/>
        </w:rPr>
        <w:t>Offerle</w:t>
      </w:r>
      <w:proofErr w:type="spellEnd"/>
      <w:r w:rsidRPr="00166361">
        <w:rPr>
          <w:rFonts w:ascii="NimbusRomNo9L" w:eastAsia="Times New Roman" w:hAnsi="NimbusRomNo9L" w:cs="Times New Roman"/>
          <w:spacing w:val="-10"/>
          <w:lang w:val="en-US"/>
        </w:rPr>
        <w:t xml:space="preserve">́: 201-229. Paris: Belin. </w:t>
      </w:r>
    </w:p>
    <w:p w14:paraId="27C44DD4" w14:textId="2F9F4473"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166361">
        <w:rPr>
          <w:rFonts w:ascii="NimbusRomNo9L" w:eastAsia="Times New Roman" w:hAnsi="NimbusRomNo9L" w:cs="Times New Roman"/>
          <w:spacing w:val="-10"/>
          <w:lang w:val="en-US"/>
        </w:rPr>
        <w:t xml:space="preserve">Wistrich, A.J. and J.J </w:t>
      </w:r>
      <w:proofErr w:type="spellStart"/>
      <w:r w:rsidRPr="00166361">
        <w:rPr>
          <w:rFonts w:ascii="NimbusRomNo9L" w:eastAsia="Times New Roman" w:hAnsi="NimbusRomNo9L" w:cs="Times New Roman"/>
          <w:spacing w:val="-10"/>
          <w:lang w:val="en-US"/>
        </w:rPr>
        <w:t>Rachlinski</w:t>
      </w:r>
      <w:proofErr w:type="spellEnd"/>
      <w:r w:rsidRPr="00166361">
        <w:rPr>
          <w:rFonts w:ascii="NimbusRomNo9L" w:eastAsia="Times New Roman" w:hAnsi="NimbusRomNo9L" w:cs="Times New Roman"/>
          <w:spacing w:val="-10"/>
          <w:lang w:val="en-US"/>
        </w:rPr>
        <w:t xml:space="preserve">. 2013. How Lawyers’ Intuitions Prolong Litigation. </w:t>
      </w:r>
      <w:r w:rsidRPr="00166361">
        <w:rPr>
          <w:rFonts w:ascii="NimbusRomNo9L" w:eastAsia="Times New Roman" w:hAnsi="NimbusRomNo9L" w:cs="Times New Roman"/>
          <w:i/>
          <w:iCs/>
          <w:spacing w:val="-10"/>
          <w:lang w:val="en-US"/>
        </w:rPr>
        <w:t>Southern California Law Review</w:t>
      </w:r>
      <w:r w:rsidRPr="00166361">
        <w:rPr>
          <w:rFonts w:ascii="NimbusRomNo9L" w:eastAsia="Times New Roman" w:hAnsi="NimbusRomNo9L" w:cs="Times New Roman"/>
          <w:spacing w:val="-10"/>
          <w:lang w:val="en-US"/>
        </w:rPr>
        <w:t xml:space="preserve">, 86: 571-636. </w:t>
      </w:r>
    </w:p>
    <w:p w14:paraId="30EA7F5B" w14:textId="0C11AEF2"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166361">
        <w:rPr>
          <w:rFonts w:ascii="NimbusRomNo9L" w:eastAsia="Times New Roman" w:hAnsi="NimbusRomNo9L" w:cs="Times New Roman"/>
          <w:spacing w:val="-10"/>
          <w:lang w:val="en-US"/>
        </w:rPr>
        <w:t xml:space="preserve">Worden A.P., K.A. Morgan, R.V. </w:t>
      </w:r>
      <w:proofErr w:type="spellStart"/>
      <w:r w:rsidRPr="00166361">
        <w:rPr>
          <w:rFonts w:ascii="NimbusRomNo9L" w:eastAsia="Times New Roman" w:hAnsi="NimbusRomNo9L" w:cs="Times New Roman"/>
          <w:spacing w:val="-10"/>
          <w:lang w:val="en-US"/>
        </w:rPr>
        <w:t>Shteynberg</w:t>
      </w:r>
      <w:proofErr w:type="spellEnd"/>
      <w:r w:rsidRPr="00166361">
        <w:rPr>
          <w:rFonts w:ascii="NimbusRomNo9L" w:eastAsia="Times New Roman" w:hAnsi="NimbusRomNo9L" w:cs="Times New Roman"/>
          <w:spacing w:val="-10"/>
          <w:lang w:val="en-US"/>
        </w:rPr>
        <w:t xml:space="preserve"> and A.L.B. Davies. 2018. What Difference Does a Lawyer Make? Impacts of Early Counsel on Misdemeanor Bail Decisions and Outcomes in Rural and Small Town Courts. </w:t>
      </w:r>
      <w:r w:rsidRPr="00166361">
        <w:rPr>
          <w:rFonts w:ascii="NimbusRomNo9L" w:eastAsia="Times New Roman" w:hAnsi="NimbusRomNo9L" w:cs="Times New Roman"/>
          <w:i/>
          <w:iCs/>
          <w:spacing w:val="-10"/>
          <w:lang w:val="en-US"/>
        </w:rPr>
        <w:t>Criminal Justice Policy Review</w:t>
      </w:r>
      <w:r w:rsidRPr="00166361">
        <w:rPr>
          <w:rFonts w:ascii="NimbusRomNo9L" w:eastAsia="Times New Roman" w:hAnsi="NimbusRomNo9L" w:cs="Times New Roman"/>
          <w:spacing w:val="-10"/>
          <w:lang w:val="en-US"/>
        </w:rPr>
        <w:t xml:space="preserve">, 29 (6-7): 710-735. </w:t>
      </w:r>
    </w:p>
    <w:p w14:paraId="2F248885" w14:textId="1D71321D"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166361">
        <w:rPr>
          <w:rFonts w:ascii="NimbusRomNo9L" w:eastAsia="Times New Roman" w:hAnsi="NimbusRomNo9L" w:cs="Times New Roman"/>
          <w:spacing w:val="-10"/>
          <w:lang w:val="en-US"/>
        </w:rPr>
        <w:t xml:space="preserve">Yates, J., B. Davis and H.R. Glick. 2001. The Politics of Torts: Explaining Litigation Rates in the American States. </w:t>
      </w:r>
      <w:r w:rsidRPr="00166361">
        <w:rPr>
          <w:rFonts w:ascii="NimbusRomNo9L" w:eastAsia="Times New Roman" w:hAnsi="NimbusRomNo9L" w:cs="Times New Roman"/>
          <w:i/>
          <w:iCs/>
          <w:spacing w:val="-10"/>
          <w:lang w:val="en-US"/>
        </w:rPr>
        <w:t>State Politics &amp; Policy Quarterly</w:t>
      </w:r>
      <w:r w:rsidRPr="00166361">
        <w:rPr>
          <w:rFonts w:ascii="NimbusRomNo9L" w:eastAsia="Times New Roman" w:hAnsi="NimbusRomNo9L" w:cs="Times New Roman"/>
          <w:spacing w:val="-10"/>
          <w:lang w:val="en-US"/>
        </w:rPr>
        <w:t xml:space="preserve">, 1 (2): 127-143. </w:t>
      </w:r>
    </w:p>
    <w:p w14:paraId="27963494" w14:textId="1A9C3EDB"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166361">
        <w:rPr>
          <w:rFonts w:ascii="NimbusRomNo9L" w:eastAsia="Times New Roman" w:hAnsi="NimbusRomNo9L" w:cs="Times New Roman"/>
          <w:spacing w:val="-10"/>
          <w:lang w:val="en-US"/>
        </w:rPr>
        <w:t xml:space="preserve">Yoon, A. 2010. The Importance of Litigant Wealth, </w:t>
      </w:r>
      <w:r w:rsidRPr="00166361">
        <w:rPr>
          <w:rFonts w:ascii="NimbusRomNo9L" w:eastAsia="Times New Roman" w:hAnsi="NimbusRomNo9L" w:cs="Times New Roman"/>
          <w:i/>
          <w:iCs/>
          <w:spacing w:val="-10"/>
          <w:lang w:val="en-US"/>
        </w:rPr>
        <w:t>DePaul Law Review</w:t>
      </w:r>
      <w:r w:rsidRPr="00166361">
        <w:rPr>
          <w:rFonts w:ascii="NimbusRomNo9L" w:eastAsia="Times New Roman" w:hAnsi="NimbusRomNo9L" w:cs="Times New Roman"/>
          <w:spacing w:val="-10"/>
          <w:lang w:val="en-US"/>
        </w:rPr>
        <w:t xml:space="preserve">, 59(2): 649- 674. </w:t>
      </w:r>
    </w:p>
    <w:p w14:paraId="486BD893" w14:textId="77241380" w:rsidR="00800903" w:rsidRPr="00166361" w:rsidRDefault="00800903" w:rsidP="00800903">
      <w:pPr>
        <w:pStyle w:val="ListParagraph"/>
        <w:numPr>
          <w:ilvl w:val="0"/>
          <w:numId w:val="4"/>
        </w:numPr>
        <w:ind w:left="284" w:hanging="283"/>
        <w:jc w:val="both"/>
        <w:rPr>
          <w:rFonts w:ascii="Times New Roman" w:eastAsia="Times New Roman" w:hAnsi="Times New Roman" w:cs="Times New Roman"/>
          <w:spacing w:val="-10"/>
          <w:lang w:val="en-US"/>
        </w:rPr>
      </w:pPr>
      <w:r w:rsidRPr="00166361">
        <w:rPr>
          <w:rFonts w:ascii="NimbusRomNo9L" w:eastAsia="Times New Roman" w:hAnsi="NimbusRomNo9L" w:cs="Times New Roman"/>
          <w:spacing w:val="-10"/>
          <w:lang w:val="en-US"/>
        </w:rPr>
        <w:t xml:space="preserve">Zacharias, F.C. 2008. Effects of Reputation on the Legal Profession. </w:t>
      </w:r>
      <w:r w:rsidRPr="00166361">
        <w:rPr>
          <w:rFonts w:ascii="NimbusRomNo9L" w:eastAsia="Times New Roman" w:hAnsi="NimbusRomNo9L" w:cs="Times New Roman"/>
          <w:i/>
          <w:iCs/>
          <w:spacing w:val="-10"/>
          <w:lang w:val="en-US"/>
        </w:rPr>
        <w:t>Washington &amp; Lee Law Review</w:t>
      </w:r>
      <w:r w:rsidRPr="00166361">
        <w:rPr>
          <w:rFonts w:ascii="NimbusRomNo9L" w:eastAsia="Times New Roman" w:hAnsi="NimbusRomNo9L" w:cs="Times New Roman"/>
          <w:spacing w:val="-10"/>
          <w:lang w:val="en-US"/>
        </w:rPr>
        <w:t xml:space="preserve">, 65(1): 173-212. </w:t>
      </w:r>
    </w:p>
    <w:p w14:paraId="06151F9E" w14:textId="77777777" w:rsidR="00800903" w:rsidRPr="00166361" w:rsidRDefault="00800903" w:rsidP="00267587">
      <w:pPr>
        <w:ind w:firstLine="567"/>
        <w:jc w:val="both"/>
        <w:rPr>
          <w:rFonts w:ascii="NimbusRomNo9L" w:hAnsi="NimbusRomNo9L"/>
          <w:lang w:val="en-US"/>
        </w:rPr>
      </w:pPr>
    </w:p>
    <w:p w14:paraId="02AE0DF3" w14:textId="4F1CBDAC" w:rsidR="00DA3660" w:rsidRDefault="00DA3660">
      <w:pPr>
        <w:rPr>
          <w:rFonts w:ascii="NimbusRomNo9L" w:hAnsi="NimbusRomNo9L"/>
          <w:sz w:val="20"/>
          <w:lang w:val="en-US"/>
        </w:rPr>
      </w:pPr>
      <w:r>
        <w:rPr>
          <w:rFonts w:ascii="NimbusRomNo9L" w:hAnsi="NimbusRomNo9L"/>
          <w:sz w:val="20"/>
          <w:lang w:val="en-US"/>
        </w:rPr>
        <w:br w:type="page"/>
      </w:r>
    </w:p>
    <w:p w14:paraId="1CA53FCF" w14:textId="427A0395" w:rsidR="00267587" w:rsidRPr="00DA3660" w:rsidRDefault="00DA3660" w:rsidP="00267587">
      <w:pPr>
        <w:jc w:val="both"/>
        <w:rPr>
          <w:rFonts w:asciiTheme="majorHAnsi" w:eastAsiaTheme="majorEastAsia" w:hAnsiTheme="majorHAnsi" w:cstheme="majorBidi"/>
          <w:color w:val="4472C4" w:themeColor="accent1"/>
          <w:spacing w:val="-10"/>
          <w:kern w:val="28"/>
          <w:sz w:val="28"/>
          <w:szCs w:val="56"/>
          <w:lang w:val="en-US"/>
        </w:rPr>
      </w:pPr>
      <w:r>
        <w:rPr>
          <w:rFonts w:asciiTheme="majorHAnsi" w:eastAsiaTheme="majorEastAsia" w:hAnsiTheme="majorHAnsi" w:cstheme="majorBidi"/>
          <w:color w:val="4472C4" w:themeColor="accent1"/>
          <w:spacing w:val="-10"/>
          <w:kern w:val="28"/>
          <w:sz w:val="28"/>
          <w:szCs w:val="56"/>
          <w:lang w:val="en-US"/>
        </w:rPr>
        <w:lastRenderedPageBreak/>
        <w:t>Appendix</w:t>
      </w:r>
    </w:p>
    <w:p w14:paraId="29803821" w14:textId="5DE84D35" w:rsidR="00267587" w:rsidRDefault="00267587" w:rsidP="00267587">
      <w:pPr>
        <w:jc w:val="both"/>
        <w:rPr>
          <w:rFonts w:ascii="NimbusRomNo9L" w:hAnsi="NimbusRomNo9L"/>
          <w:sz w:val="20"/>
          <w:lang w:val="en-US"/>
        </w:rPr>
      </w:pPr>
    </w:p>
    <w:p w14:paraId="7E24EA05" w14:textId="77777777" w:rsidR="00661375" w:rsidRDefault="00DA3660" w:rsidP="002C1982">
      <w:pPr>
        <w:ind w:firstLine="567"/>
        <w:jc w:val="both"/>
        <w:rPr>
          <w:rFonts w:ascii="NimbusRomNo9L" w:hAnsi="NimbusRomNo9L"/>
          <w:lang w:val="en-US"/>
        </w:rPr>
      </w:pPr>
      <w:r w:rsidRPr="00C058FA">
        <w:rPr>
          <w:rFonts w:ascii="NimbusRomNo9L" w:hAnsi="NimbusRomNo9L"/>
          <w:lang w:val="en-US"/>
        </w:rPr>
        <w:t xml:space="preserve">Establishing the validity of the instrumental variable – </w:t>
      </w:r>
      <w:r w:rsidR="00C058FA" w:rsidRPr="00C058FA">
        <w:rPr>
          <w:rFonts w:ascii="NimbusRomNo9L" w:hAnsi="NimbusRomNo9L"/>
          <w:lang w:val="en-US"/>
        </w:rPr>
        <w:t xml:space="preserve">the number of </w:t>
      </w:r>
      <w:r w:rsidR="00C058FA" w:rsidRPr="00C058FA">
        <w:rPr>
          <w:rFonts w:ascii="NimbusRomNo9L" w:hAnsi="NimbusRomNo9L"/>
          <w:bCs/>
          <w:lang w:val="en-US"/>
        </w:rPr>
        <w:t>attorneys per 100,000 inhabitants in 186</w:t>
      </w:r>
      <w:r w:rsidR="00624BF2">
        <w:rPr>
          <w:rFonts w:ascii="NimbusRomNo9L" w:hAnsi="NimbusRomNo9L"/>
          <w:bCs/>
          <w:lang w:val="en-US"/>
        </w:rPr>
        <w:t>5</w:t>
      </w:r>
      <w:r w:rsidR="00C058FA" w:rsidRPr="00C058FA">
        <w:rPr>
          <w:rFonts w:ascii="NimbusRomNo9L" w:hAnsi="NimbusRomNo9L"/>
          <w:bCs/>
          <w:lang w:val="en-US"/>
        </w:rPr>
        <w:t xml:space="preserve"> – </w:t>
      </w:r>
      <w:r w:rsidRPr="00C058FA">
        <w:rPr>
          <w:rFonts w:ascii="NimbusRomNo9L" w:hAnsi="NimbusRomNo9L"/>
          <w:lang w:val="en-US"/>
        </w:rPr>
        <w:t>is crucial for ensuring unbiased estimates in our model</w:t>
      </w:r>
      <w:r w:rsidR="00C058FA" w:rsidRPr="00C058FA">
        <w:rPr>
          <w:rFonts w:ascii="NimbusRomNo9L" w:hAnsi="NimbusRomNo9L"/>
          <w:lang w:val="en-US"/>
        </w:rPr>
        <w:t xml:space="preserve">. In this analysis, we explore the use of </w:t>
      </w:r>
      <w:r w:rsidR="00C058FA" w:rsidRPr="00C058FA">
        <w:rPr>
          <w:rFonts w:ascii="NimbusRomNo9L" w:hAnsi="NimbusRomNo9L"/>
          <w:bCs/>
          <w:lang w:val="en-US"/>
        </w:rPr>
        <w:t>alternative instrumental variables as placebo tests</w:t>
      </w:r>
      <w:r w:rsidR="00C058FA" w:rsidRPr="00C058FA">
        <w:rPr>
          <w:rFonts w:ascii="NimbusRomNo9L" w:hAnsi="NimbusRomNo9L"/>
          <w:lang w:val="en-US"/>
        </w:rPr>
        <w:t xml:space="preserve"> alongside our primary instrument, lawyer density in 186</w:t>
      </w:r>
      <w:r w:rsidR="00624BF2">
        <w:rPr>
          <w:rFonts w:ascii="NimbusRomNo9L" w:hAnsi="NimbusRomNo9L"/>
          <w:lang w:val="en-US"/>
        </w:rPr>
        <w:t>5</w:t>
      </w:r>
      <w:r w:rsidR="00C058FA" w:rsidRPr="00C058FA">
        <w:rPr>
          <w:rFonts w:ascii="NimbusRomNo9L" w:hAnsi="NimbusRomNo9L"/>
          <w:lang w:val="en-US"/>
        </w:rPr>
        <w:t xml:space="preserve">. </w:t>
      </w:r>
      <w:r w:rsidR="00C66A73" w:rsidRPr="00C66A73">
        <w:rPr>
          <w:rFonts w:ascii="NimbusRomNo9L" w:hAnsi="NimbusRomNo9L"/>
          <w:lang w:val="en-US"/>
        </w:rPr>
        <w:t xml:space="preserve">A placebo test is like a </w:t>
      </w:r>
      <w:r w:rsidR="00C66A73" w:rsidRPr="00C66A73">
        <w:rPr>
          <w:rFonts w:ascii="NimbusRomNo9L" w:hAnsi="NimbusRomNo9L"/>
          <w:bCs/>
          <w:lang w:val="en-US"/>
        </w:rPr>
        <w:t>control experiment</w:t>
      </w:r>
      <w:r w:rsidR="00C66A73" w:rsidRPr="00C66A73">
        <w:rPr>
          <w:rFonts w:ascii="NimbusRomNo9L" w:hAnsi="NimbusRomNo9L"/>
          <w:lang w:val="en-US"/>
        </w:rPr>
        <w:t xml:space="preserve"> in the world of instrumental variables. It acts as a </w:t>
      </w:r>
      <w:r w:rsidR="00C66A73" w:rsidRPr="00C66A73">
        <w:rPr>
          <w:rFonts w:ascii="NimbusRomNo9L" w:hAnsi="NimbusRomNo9L"/>
          <w:bCs/>
          <w:lang w:val="en-US"/>
        </w:rPr>
        <w:t>reality check</w:t>
      </w:r>
      <w:r w:rsidR="00C66A73" w:rsidRPr="00C66A73">
        <w:rPr>
          <w:rFonts w:ascii="NimbusRomNo9L" w:hAnsi="NimbusRomNo9L"/>
          <w:lang w:val="en-US"/>
        </w:rPr>
        <w:t xml:space="preserve"> to see if the instrument is truly influencing the outcome due to its intended effect, or if something else might be at play. </w:t>
      </w:r>
    </w:p>
    <w:p w14:paraId="656FF0ED" w14:textId="2B761D64" w:rsidR="00C66A73" w:rsidRPr="00C66A73" w:rsidRDefault="00661375" w:rsidP="002C1982">
      <w:pPr>
        <w:ind w:firstLine="567"/>
        <w:jc w:val="both"/>
        <w:rPr>
          <w:rFonts w:ascii="NimbusRomNo9L" w:hAnsi="NimbusRomNo9L"/>
          <w:lang w:val="en-US"/>
        </w:rPr>
      </w:pPr>
      <w:r>
        <w:rPr>
          <w:rFonts w:ascii="NimbusRomNo9L" w:hAnsi="NimbusRomNo9L"/>
          <w:lang w:val="en-US"/>
        </w:rPr>
        <w:t xml:space="preserve">In comparison to the altered population test </w:t>
      </w:r>
      <w:r w:rsidR="006379DC">
        <w:rPr>
          <w:rFonts w:ascii="NimbusRomNo9L" w:hAnsi="NimbusRomNo9L"/>
          <w:lang w:val="en-US"/>
        </w:rPr>
        <w:t xml:space="preserve">that was </w:t>
      </w:r>
      <w:r>
        <w:rPr>
          <w:rFonts w:ascii="NimbusRomNo9L" w:hAnsi="NimbusRomNo9L"/>
          <w:lang w:val="en-US"/>
        </w:rPr>
        <w:t xml:space="preserve">provided </w:t>
      </w:r>
      <w:r w:rsidR="006379DC">
        <w:rPr>
          <w:rFonts w:ascii="NimbusRomNo9L" w:hAnsi="NimbusRomNo9L"/>
          <w:lang w:val="en-US"/>
        </w:rPr>
        <w:t xml:space="preserve">excluding different courts from the analysis, we test here whether a different instrumental variable has </w:t>
      </w:r>
      <w:r w:rsidR="00C66A73" w:rsidRPr="00C66A73">
        <w:rPr>
          <w:rFonts w:ascii="NimbusRomNo9L" w:hAnsi="NimbusRomNo9L"/>
          <w:lang w:val="en-US"/>
        </w:rPr>
        <w:t xml:space="preserve">a </w:t>
      </w:r>
      <w:r w:rsidR="002C1982">
        <w:rPr>
          <w:rFonts w:ascii="NimbusRomNo9L" w:hAnsi="NimbusRomNo9L"/>
          <w:lang w:val="en-US"/>
        </w:rPr>
        <w:t>relevant</w:t>
      </w:r>
      <w:r w:rsidR="00C66A73" w:rsidRPr="00C66A73">
        <w:rPr>
          <w:rFonts w:ascii="NimbusRomNo9L" w:hAnsi="NimbusRomNo9L"/>
          <w:lang w:val="en-US"/>
        </w:rPr>
        <w:t xml:space="preserve"> connection to the </w:t>
      </w:r>
      <w:r w:rsidR="006379DC">
        <w:rPr>
          <w:rFonts w:ascii="NimbusRomNo9L" w:hAnsi="NimbusRomNo9L"/>
          <w:lang w:val="en-US"/>
        </w:rPr>
        <w:t xml:space="preserve">first stage </w:t>
      </w:r>
      <w:r w:rsidR="00C66A73" w:rsidRPr="00C66A73">
        <w:rPr>
          <w:rFonts w:ascii="NimbusRomNo9L" w:hAnsi="NimbusRomNo9L"/>
          <w:lang w:val="en-US"/>
        </w:rPr>
        <w:t>outcome</w:t>
      </w:r>
      <w:r w:rsidR="006379DC">
        <w:rPr>
          <w:rFonts w:ascii="NimbusRomNo9L" w:hAnsi="NimbusRomNo9L"/>
          <w:lang w:val="en-US"/>
        </w:rPr>
        <w:t xml:space="preserve">. If the alternative instrument </w:t>
      </w:r>
      <w:r w:rsidR="00C66A73" w:rsidRPr="00C66A73">
        <w:rPr>
          <w:rFonts w:ascii="NimbusRomNo9L" w:hAnsi="NimbusRomNo9L"/>
          <w:lang w:val="en-US"/>
        </w:rPr>
        <w:t>shows a significant association, it raises red flags about the validity of our main instrument.</w:t>
      </w:r>
    </w:p>
    <w:p w14:paraId="2890A83B" w14:textId="31AE8582" w:rsidR="00C058FA" w:rsidRDefault="00C058FA" w:rsidP="00C058FA">
      <w:pPr>
        <w:ind w:firstLine="567"/>
        <w:jc w:val="both"/>
        <w:rPr>
          <w:rFonts w:ascii="NimbusRomNo9L" w:hAnsi="NimbusRomNo9L"/>
          <w:lang w:val="en-US"/>
        </w:rPr>
      </w:pPr>
      <w:r w:rsidRPr="00C058FA">
        <w:rPr>
          <w:rFonts w:ascii="NimbusRomNo9L" w:hAnsi="NimbusRomNo9L"/>
          <w:lang w:val="en-US"/>
        </w:rPr>
        <w:t xml:space="preserve">The rationale behind using alternative instrumental variables as placebo tests is twofold. On the one hand, </w:t>
      </w:r>
      <w:r>
        <w:rPr>
          <w:rFonts w:ascii="NimbusRomNo9L" w:hAnsi="NimbusRomNo9L"/>
          <w:lang w:val="en-US"/>
        </w:rPr>
        <w:t>t</w:t>
      </w:r>
      <w:r w:rsidRPr="00C058FA">
        <w:rPr>
          <w:rFonts w:ascii="NimbusRomNo9L" w:hAnsi="NimbusRomNo9L"/>
          <w:lang w:val="en-US"/>
        </w:rPr>
        <w:t>hese instruments should theoretically </w:t>
      </w:r>
      <w:r w:rsidRPr="00C058FA">
        <w:rPr>
          <w:rFonts w:ascii="NimbusRomNo9L" w:hAnsi="NimbusRomNo9L"/>
          <w:bCs/>
          <w:lang w:val="en-US"/>
        </w:rPr>
        <w:t>not</w:t>
      </w:r>
      <w:r w:rsidRPr="00C058FA">
        <w:rPr>
          <w:rFonts w:ascii="NimbusRomNo9L" w:hAnsi="NimbusRomNo9L"/>
          <w:lang w:val="en-US"/>
        </w:rPr>
        <w:t> have a causal relationship with the outcome variable (rejection rates) but share </w:t>
      </w:r>
      <w:r w:rsidRPr="00C058FA">
        <w:rPr>
          <w:rFonts w:ascii="NimbusRomNo9L" w:hAnsi="NimbusRomNo9L"/>
          <w:bCs/>
          <w:lang w:val="en-US"/>
        </w:rPr>
        <w:t>similar characteristics</w:t>
      </w:r>
      <w:r w:rsidRPr="00C058FA">
        <w:rPr>
          <w:rFonts w:ascii="NimbusRomNo9L" w:hAnsi="NimbusRomNo9L"/>
          <w:lang w:val="en-US"/>
        </w:rPr>
        <w:t> to the main instrument. If they </w:t>
      </w:r>
      <w:r w:rsidRPr="00C058FA">
        <w:rPr>
          <w:rFonts w:ascii="NimbusRomNo9L" w:hAnsi="NimbusRomNo9L"/>
          <w:bCs/>
          <w:lang w:val="en-US"/>
        </w:rPr>
        <w:t>predict the outcome significantly</w:t>
      </w:r>
      <w:r w:rsidRPr="00C058FA">
        <w:rPr>
          <w:rFonts w:ascii="NimbusRomNo9L" w:hAnsi="NimbusRomNo9L"/>
          <w:lang w:val="en-US"/>
        </w:rPr>
        <w:t xml:space="preserve">, it provides evidence that the main instrument might also be picking up on confounding factors, raising concerns about endogeneity. On the other hand, </w:t>
      </w:r>
      <w:r>
        <w:rPr>
          <w:rFonts w:ascii="NimbusRomNo9L" w:hAnsi="NimbusRomNo9L"/>
          <w:lang w:val="en-US"/>
        </w:rPr>
        <w:t>a</w:t>
      </w:r>
      <w:r w:rsidRPr="00C058FA">
        <w:rPr>
          <w:rFonts w:ascii="NimbusRomNo9L" w:hAnsi="NimbusRomNo9L"/>
          <w:lang w:val="en-US"/>
        </w:rPr>
        <w:t xml:space="preserve"> strong main instrument with consistent results across different placebo tests strengthens its case for validity, while inconsistencies might suggest issues with the chosen instrument.</w:t>
      </w:r>
    </w:p>
    <w:p w14:paraId="076749EA" w14:textId="77777777" w:rsidR="004C4FEB" w:rsidRPr="004C4FEB" w:rsidRDefault="004C4FEB" w:rsidP="004C4FEB">
      <w:pPr>
        <w:ind w:firstLine="567"/>
        <w:jc w:val="both"/>
        <w:rPr>
          <w:rFonts w:ascii="NimbusRomNo9L" w:hAnsi="NimbusRomNo9L"/>
          <w:lang w:val="en-US"/>
        </w:rPr>
      </w:pPr>
      <w:r w:rsidRPr="004C4FEB">
        <w:rPr>
          <w:rFonts w:ascii="NimbusRomNo9L" w:hAnsi="NimbusRomNo9L"/>
          <w:lang w:val="en-US"/>
        </w:rPr>
        <w:t xml:space="preserve">By incorporating multiple placebo tests, we aim to achieve a </w:t>
      </w:r>
      <w:r w:rsidRPr="004C4FEB">
        <w:rPr>
          <w:rFonts w:ascii="NimbusRomNo9L" w:hAnsi="NimbusRomNo9L"/>
          <w:bCs/>
          <w:lang w:val="en-US"/>
        </w:rPr>
        <w:t>more comprehensive and rigorous assessment</w:t>
      </w:r>
      <w:r w:rsidRPr="004C4FEB">
        <w:rPr>
          <w:rFonts w:ascii="NimbusRomNo9L" w:hAnsi="NimbusRomNo9L"/>
          <w:lang w:val="en-US"/>
        </w:rPr>
        <w:t xml:space="preserve"> of our main instrument's validity, ultimately contributing to </w:t>
      </w:r>
      <w:r w:rsidRPr="004C4FEB">
        <w:rPr>
          <w:rFonts w:ascii="NimbusRomNo9L" w:hAnsi="NimbusRomNo9L"/>
          <w:bCs/>
          <w:lang w:val="en-US"/>
        </w:rPr>
        <w:t>greater confidence and reliability</w:t>
      </w:r>
      <w:r w:rsidRPr="004C4FEB">
        <w:rPr>
          <w:rFonts w:ascii="NimbusRomNo9L" w:hAnsi="NimbusRomNo9L"/>
          <w:lang w:val="en-US"/>
        </w:rPr>
        <w:t xml:space="preserve"> in our findings regarding the relationship between lawyer concentration and rejection rates.</w:t>
      </w:r>
    </w:p>
    <w:p w14:paraId="12FF3547" w14:textId="4DBFB48F" w:rsidR="004C4FEB" w:rsidRDefault="004C4FEB" w:rsidP="004C4FEB">
      <w:pPr>
        <w:ind w:firstLine="567"/>
        <w:jc w:val="both"/>
        <w:rPr>
          <w:rFonts w:ascii="NimbusRomNo9L" w:hAnsi="NimbusRomNo9L"/>
          <w:lang w:val="en-US"/>
        </w:rPr>
      </w:pPr>
      <w:r>
        <w:rPr>
          <w:rFonts w:ascii="NimbusRomNo9L" w:hAnsi="NimbusRomNo9L"/>
          <w:lang w:val="en-US"/>
        </w:rPr>
        <w:t xml:space="preserve">We introduce </w:t>
      </w:r>
      <w:r w:rsidRPr="004C4FEB">
        <w:rPr>
          <w:rFonts w:ascii="NimbusRomNo9L" w:hAnsi="NimbusRomNo9L"/>
          <w:lang w:val="en-US"/>
        </w:rPr>
        <w:t xml:space="preserve">departmental indebtedness per inhabitant as an </w:t>
      </w:r>
      <w:r>
        <w:rPr>
          <w:rFonts w:ascii="NimbusRomNo9L" w:hAnsi="NimbusRomNo9L"/>
          <w:lang w:val="en-US"/>
        </w:rPr>
        <w:t xml:space="preserve">additional </w:t>
      </w:r>
      <w:r w:rsidRPr="004C4FEB">
        <w:rPr>
          <w:rFonts w:ascii="NimbusRomNo9L" w:hAnsi="NimbusRomNo9L"/>
          <w:lang w:val="en-US"/>
        </w:rPr>
        <w:t>instrument for lawyers per capita</w:t>
      </w:r>
      <w:r>
        <w:rPr>
          <w:rFonts w:ascii="NimbusRomNo9L" w:hAnsi="NimbusRomNo9L"/>
          <w:lang w:val="en-US"/>
        </w:rPr>
        <w:t xml:space="preserve">. </w:t>
      </w:r>
      <w:r w:rsidRPr="004C4FEB">
        <w:rPr>
          <w:rFonts w:ascii="NimbusRomNo9L" w:hAnsi="NimbusRomNo9L"/>
          <w:lang w:val="en-US"/>
        </w:rPr>
        <w:t xml:space="preserve">Increased local debt could incentivize individuals to pursue legal careers as a way to </w:t>
      </w:r>
      <w:r w:rsidR="006379DC">
        <w:rPr>
          <w:rFonts w:ascii="NimbusRomNo9L" w:hAnsi="NimbusRomNo9L"/>
          <w:lang w:val="en-US"/>
        </w:rPr>
        <w:t>exploit monopolistic rents in a</w:t>
      </w:r>
      <w:r w:rsidRPr="004C4FEB">
        <w:rPr>
          <w:rFonts w:ascii="NimbusRomNo9L" w:hAnsi="NimbusRomNo9L"/>
          <w:lang w:val="en-US"/>
        </w:rPr>
        <w:t xml:space="preserve"> financial</w:t>
      </w:r>
      <w:r w:rsidR="006379DC">
        <w:rPr>
          <w:rFonts w:ascii="NimbusRomNo9L" w:hAnsi="NimbusRomNo9L"/>
          <w:lang w:val="en-US"/>
        </w:rPr>
        <w:t>ly complex environment</w:t>
      </w:r>
      <w:r w:rsidRPr="004C4FEB">
        <w:rPr>
          <w:rFonts w:ascii="NimbusRomNo9L" w:hAnsi="NimbusRomNo9L"/>
          <w:lang w:val="en-US"/>
        </w:rPr>
        <w:t xml:space="preserve">. Additionally, it might attract lawyers specializing in finance or </w:t>
      </w:r>
      <w:r w:rsidR="006F6A6C" w:rsidRPr="004C4FEB">
        <w:rPr>
          <w:rFonts w:ascii="NimbusRomNo9L" w:hAnsi="NimbusRomNo9L"/>
          <w:lang w:val="en-US"/>
        </w:rPr>
        <w:t>debt collection practices</w:t>
      </w:r>
      <w:r w:rsidRPr="004C4FEB">
        <w:rPr>
          <w:rFonts w:ascii="NimbusRomNo9L" w:hAnsi="NimbusRomNo9L"/>
          <w:lang w:val="en-US"/>
        </w:rPr>
        <w:t>, leading to higher lawyer density in high-debt areas.</w:t>
      </w:r>
      <w:r>
        <w:rPr>
          <w:rFonts w:ascii="NimbusRomNo9L" w:hAnsi="NimbusRomNo9L"/>
          <w:lang w:val="en-US"/>
        </w:rPr>
        <w:t xml:space="preserve"> </w:t>
      </w:r>
      <w:r w:rsidRPr="004C4FEB">
        <w:rPr>
          <w:rFonts w:ascii="NimbusRomNo9L" w:hAnsi="NimbusRomNo9L"/>
          <w:lang w:val="en-US"/>
        </w:rPr>
        <w:t>If the debt accumulation is largely driven by factors beyond individual control (e.g., economic downturns, natural disasters), it might not directly influence rejection rates, satisfying the exogeneity requirement for a good instrument.</w:t>
      </w:r>
    </w:p>
    <w:p w14:paraId="6C3BADC4" w14:textId="77777777" w:rsidR="00975D5A" w:rsidRDefault="008B0311" w:rsidP="008B0311">
      <w:pPr>
        <w:ind w:firstLine="567"/>
        <w:jc w:val="both"/>
        <w:rPr>
          <w:rFonts w:ascii="NimbusRomNo9L" w:hAnsi="NimbusRomNo9L"/>
          <w:lang w:val="en-US"/>
        </w:rPr>
      </w:pPr>
      <w:r w:rsidRPr="008B0311">
        <w:rPr>
          <w:rFonts w:ascii="NimbusRomNo9L" w:hAnsi="NimbusRomNo9L"/>
          <w:lang w:val="en-US"/>
        </w:rPr>
        <w:t xml:space="preserve">The results of the 2SLS regressions suggest </w:t>
      </w:r>
      <w:r w:rsidR="00624BF2">
        <w:rPr>
          <w:rFonts w:ascii="NimbusRomNo9L" w:hAnsi="NimbusRomNo9L"/>
          <w:lang w:val="en-US"/>
        </w:rPr>
        <w:t>a positive</w:t>
      </w:r>
      <w:r w:rsidR="00975D5A">
        <w:rPr>
          <w:rFonts w:ascii="NimbusRomNo9L" w:hAnsi="NimbusRomNo9L"/>
          <w:lang w:val="en-US"/>
        </w:rPr>
        <w:t xml:space="preserve"> (coefficient = 0</w:t>
      </w:r>
      <w:r w:rsidR="00975D5A" w:rsidRPr="00975D5A">
        <w:rPr>
          <w:rFonts w:ascii="NimbusRomNo9L" w:hAnsi="NimbusRomNo9L"/>
          <w:lang w:val="en-US"/>
        </w:rPr>
        <w:t>.0144</w:t>
      </w:r>
      <w:r w:rsidR="00975D5A">
        <w:rPr>
          <w:rFonts w:ascii="NimbusRomNo9L" w:hAnsi="NimbusRomNo9L"/>
          <w:lang w:val="en-US"/>
        </w:rPr>
        <w:t>)</w:t>
      </w:r>
      <w:r w:rsidR="00624BF2">
        <w:rPr>
          <w:rFonts w:ascii="NimbusRomNo9L" w:hAnsi="NimbusRomNo9L"/>
          <w:lang w:val="en-US"/>
        </w:rPr>
        <w:t>, but not statistically significant</w:t>
      </w:r>
      <w:r w:rsidR="00975D5A">
        <w:rPr>
          <w:rFonts w:ascii="NimbusRomNo9L" w:hAnsi="NimbusRomNo9L"/>
          <w:lang w:val="en-US"/>
        </w:rPr>
        <w:t xml:space="preserve"> (p value = </w:t>
      </w:r>
      <w:r w:rsidR="00975D5A" w:rsidRPr="00975D5A">
        <w:rPr>
          <w:rFonts w:ascii="NimbusRomNo9L" w:hAnsi="NimbusRomNo9L"/>
          <w:lang w:val="en-US"/>
        </w:rPr>
        <w:t>0.453</w:t>
      </w:r>
      <w:r w:rsidR="00975D5A">
        <w:rPr>
          <w:rFonts w:ascii="NimbusRomNo9L" w:hAnsi="NimbusRomNo9L"/>
          <w:lang w:val="en-US"/>
        </w:rPr>
        <w:t>)</w:t>
      </w:r>
      <w:r w:rsidR="00624BF2">
        <w:rPr>
          <w:rFonts w:ascii="NimbusRomNo9L" w:hAnsi="NimbusRomNo9L"/>
          <w:lang w:val="en-US"/>
        </w:rPr>
        <w:t xml:space="preserve">, </w:t>
      </w:r>
      <w:r w:rsidR="00643F30">
        <w:rPr>
          <w:rFonts w:ascii="NimbusRomNo9L" w:hAnsi="NimbusRomNo9L"/>
          <w:lang w:val="en-US"/>
        </w:rPr>
        <w:t xml:space="preserve">correlation between the </w:t>
      </w:r>
      <w:r w:rsidR="00643F30" w:rsidRPr="008B0311">
        <w:rPr>
          <w:rFonts w:ascii="NimbusRomNo9L" w:hAnsi="NimbusRomNo9L"/>
          <w:lang w:val="en-US"/>
        </w:rPr>
        <w:t>departmental indebtedness per inhabitant</w:t>
      </w:r>
      <w:r w:rsidR="00643F30">
        <w:rPr>
          <w:rFonts w:ascii="NimbusRomNo9L" w:hAnsi="NimbusRomNo9L"/>
          <w:lang w:val="en-US"/>
        </w:rPr>
        <w:t>.</w:t>
      </w:r>
      <w:r w:rsidR="00624BF2">
        <w:rPr>
          <w:rFonts w:ascii="NimbusRomNo9L" w:hAnsi="NimbusRomNo9L"/>
          <w:lang w:val="en-US"/>
        </w:rPr>
        <w:t xml:space="preserve"> The </w:t>
      </w:r>
      <w:r w:rsidR="00624BF2" w:rsidRPr="008B0311">
        <w:rPr>
          <w:rFonts w:ascii="NimbusRomNo9L" w:hAnsi="NimbusRomNo9L"/>
          <w:lang w:val="en-US"/>
        </w:rPr>
        <w:t>first stage F-statistic is 0.</w:t>
      </w:r>
      <w:r w:rsidR="00624BF2">
        <w:rPr>
          <w:rFonts w:ascii="NimbusRomNo9L" w:hAnsi="NimbusRomNo9L"/>
          <w:lang w:val="en-US"/>
        </w:rPr>
        <w:t xml:space="preserve">13, showing that the </w:t>
      </w:r>
      <w:r w:rsidR="00624BF2" w:rsidRPr="008B0311">
        <w:rPr>
          <w:rFonts w:ascii="NimbusRomNo9L" w:hAnsi="NimbusRomNo9L"/>
          <w:lang w:val="en-US"/>
        </w:rPr>
        <w:t>instrument is </w:t>
      </w:r>
      <w:r w:rsidR="00975D5A">
        <w:rPr>
          <w:rFonts w:ascii="NimbusRomNo9L" w:hAnsi="NimbusRomNo9L"/>
          <w:lang w:val="en-US"/>
        </w:rPr>
        <w:t xml:space="preserve">very </w:t>
      </w:r>
      <w:r w:rsidR="00624BF2" w:rsidRPr="008B0311">
        <w:rPr>
          <w:rFonts w:ascii="NimbusRomNo9L" w:hAnsi="NimbusRomNo9L"/>
          <w:bCs/>
          <w:lang w:val="en-US"/>
        </w:rPr>
        <w:t>weak</w:t>
      </w:r>
      <w:r w:rsidR="00624BF2" w:rsidRPr="008B0311">
        <w:rPr>
          <w:rFonts w:ascii="NimbusRomNo9L" w:hAnsi="NimbusRomNo9L"/>
          <w:lang w:val="en-US"/>
        </w:rPr>
        <w:t> and </w:t>
      </w:r>
      <w:r w:rsidR="00624BF2">
        <w:rPr>
          <w:rFonts w:ascii="NimbusRomNo9L" w:hAnsi="NimbusRomNo9L"/>
          <w:lang w:val="en-US"/>
        </w:rPr>
        <w:t xml:space="preserve">it is </w:t>
      </w:r>
      <w:r w:rsidR="00624BF2" w:rsidRPr="008B0311">
        <w:rPr>
          <w:rFonts w:ascii="NimbusRomNo9L" w:hAnsi="NimbusRomNo9L"/>
          <w:bCs/>
          <w:lang w:val="en-US"/>
        </w:rPr>
        <w:t>unlikely to predict</w:t>
      </w:r>
      <w:r w:rsidR="00624BF2" w:rsidRPr="008B0311">
        <w:rPr>
          <w:rFonts w:ascii="NimbusRomNo9L" w:hAnsi="NimbusRomNo9L"/>
          <w:lang w:val="en-US"/>
        </w:rPr>
        <w:t> the outcome variable</w:t>
      </w:r>
      <w:r w:rsidR="00624BF2">
        <w:rPr>
          <w:rFonts w:ascii="NimbusRomNo9L" w:hAnsi="NimbusRomNo9L"/>
          <w:lang w:val="en-US"/>
        </w:rPr>
        <w:t xml:space="preserve">. </w:t>
      </w:r>
    </w:p>
    <w:p w14:paraId="551EA5A7" w14:textId="6CECD513" w:rsidR="003310C1" w:rsidRDefault="00624BF2" w:rsidP="008B0311">
      <w:pPr>
        <w:ind w:firstLine="567"/>
        <w:jc w:val="both"/>
        <w:rPr>
          <w:rFonts w:ascii="NimbusRomNo9L" w:hAnsi="NimbusRomNo9L"/>
          <w:lang w:val="en-US"/>
        </w:rPr>
      </w:pPr>
      <w:r>
        <w:rPr>
          <w:rFonts w:ascii="NimbusRomNo9L" w:hAnsi="NimbusRomNo9L"/>
          <w:lang w:val="en-US"/>
        </w:rPr>
        <w:t>We also test whether initial instrument – attorneys’ concentration in 1865 – is still valid after the introduction of the additional instrumental variable. The</w:t>
      </w:r>
      <w:r w:rsidR="006F6A6C">
        <w:rPr>
          <w:rFonts w:ascii="NimbusRomNo9L" w:hAnsi="NimbusRomNo9L"/>
          <w:lang w:val="en-US"/>
        </w:rPr>
        <w:t xml:space="preserve"> </w:t>
      </w:r>
      <w:r w:rsidR="008B0311" w:rsidRPr="008B0311">
        <w:rPr>
          <w:rFonts w:ascii="NimbusRomNo9L" w:hAnsi="NimbusRomNo9L"/>
          <w:lang w:val="en-US"/>
        </w:rPr>
        <w:t xml:space="preserve">first stage F-statistic </w:t>
      </w:r>
      <w:r w:rsidR="006F6A6C">
        <w:rPr>
          <w:rFonts w:ascii="NimbusRomNo9L" w:hAnsi="NimbusRomNo9L"/>
          <w:lang w:val="en-US"/>
        </w:rPr>
        <w:t xml:space="preserve">of the alternative instrument </w:t>
      </w:r>
      <w:r w:rsidR="00975D5A">
        <w:rPr>
          <w:rFonts w:ascii="NimbusRomNo9L" w:hAnsi="NimbusRomNo9L"/>
          <w:lang w:val="en-US"/>
        </w:rPr>
        <w:t xml:space="preserve">– </w:t>
      </w:r>
      <w:r w:rsidR="00975D5A" w:rsidRPr="008B0311">
        <w:rPr>
          <w:rFonts w:ascii="NimbusRomNo9L" w:hAnsi="NimbusRomNo9L"/>
          <w:lang w:val="en-US"/>
        </w:rPr>
        <w:t>departmental indebtedness per inhabitant</w:t>
      </w:r>
      <w:r w:rsidR="00975D5A">
        <w:rPr>
          <w:rFonts w:ascii="NimbusRomNo9L" w:hAnsi="NimbusRomNo9L"/>
          <w:lang w:val="en-US"/>
        </w:rPr>
        <w:t xml:space="preserve"> – </w:t>
      </w:r>
      <w:r w:rsidR="006F6A6C">
        <w:rPr>
          <w:rFonts w:ascii="NimbusRomNo9L" w:hAnsi="NimbusRomNo9L"/>
          <w:lang w:val="en-US"/>
        </w:rPr>
        <w:t xml:space="preserve">is </w:t>
      </w:r>
      <w:r w:rsidR="008B0311" w:rsidRPr="008B0311">
        <w:rPr>
          <w:rFonts w:ascii="NimbusRomNo9L" w:hAnsi="NimbusRomNo9L"/>
          <w:lang w:val="en-US"/>
        </w:rPr>
        <w:t>0.</w:t>
      </w:r>
      <w:r w:rsidR="006F6A6C">
        <w:rPr>
          <w:rFonts w:ascii="NimbusRomNo9L" w:hAnsi="NimbusRomNo9L"/>
          <w:lang w:val="en-US"/>
        </w:rPr>
        <w:t>51</w:t>
      </w:r>
      <w:r w:rsidR="00643F30">
        <w:rPr>
          <w:rFonts w:ascii="NimbusRomNo9L" w:hAnsi="NimbusRomNo9L"/>
          <w:lang w:val="en-US"/>
        </w:rPr>
        <w:t xml:space="preserve">, showing that the </w:t>
      </w:r>
      <w:r w:rsidR="008B0311" w:rsidRPr="008B0311">
        <w:rPr>
          <w:rFonts w:ascii="NimbusRomNo9L" w:hAnsi="NimbusRomNo9L"/>
          <w:lang w:val="en-US"/>
        </w:rPr>
        <w:t xml:space="preserve">instrument </w:t>
      </w:r>
      <w:r w:rsidR="006F6A6C">
        <w:rPr>
          <w:rFonts w:ascii="NimbusRomNo9L" w:hAnsi="NimbusRomNo9L"/>
          <w:lang w:val="en-US"/>
        </w:rPr>
        <w:t xml:space="preserve">remains </w:t>
      </w:r>
      <w:r w:rsidR="008B0311" w:rsidRPr="008B0311">
        <w:rPr>
          <w:rFonts w:ascii="NimbusRomNo9L" w:hAnsi="NimbusRomNo9L"/>
          <w:bCs/>
          <w:lang w:val="en-US"/>
        </w:rPr>
        <w:t>weak</w:t>
      </w:r>
      <w:r w:rsidR="008B0311" w:rsidRPr="008B0311">
        <w:rPr>
          <w:rFonts w:ascii="NimbusRomNo9L" w:hAnsi="NimbusRomNo9L"/>
          <w:lang w:val="en-US"/>
        </w:rPr>
        <w:t> and </w:t>
      </w:r>
      <w:r w:rsidR="00093779">
        <w:rPr>
          <w:rFonts w:ascii="NimbusRomNo9L" w:hAnsi="NimbusRomNo9L"/>
          <w:lang w:val="en-US"/>
        </w:rPr>
        <w:t xml:space="preserve">it is </w:t>
      </w:r>
      <w:r w:rsidR="008B0311" w:rsidRPr="008B0311">
        <w:rPr>
          <w:rFonts w:ascii="NimbusRomNo9L" w:hAnsi="NimbusRomNo9L"/>
          <w:bCs/>
          <w:lang w:val="en-US"/>
        </w:rPr>
        <w:t>unlikely to predict</w:t>
      </w:r>
      <w:r w:rsidR="008B0311" w:rsidRPr="008B0311">
        <w:rPr>
          <w:rFonts w:ascii="NimbusRomNo9L" w:hAnsi="NimbusRomNo9L"/>
          <w:lang w:val="en-US"/>
        </w:rPr>
        <w:t xml:space="preserve"> the outcome variable, fulfilling the purpose of </w:t>
      </w:r>
      <w:r w:rsidR="008B0311">
        <w:rPr>
          <w:rFonts w:ascii="NimbusRomNo9L" w:hAnsi="NimbusRomNo9L"/>
          <w:lang w:val="en-US"/>
        </w:rPr>
        <w:t>the</w:t>
      </w:r>
      <w:r w:rsidR="008B0311" w:rsidRPr="008B0311">
        <w:rPr>
          <w:rFonts w:ascii="NimbusRomNo9L" w:hAnsi="NimbusRomNo9L"/>
          <w:lang w:val="en-US"/>
        </w:rPr>
        <w:t xml:space="preserve"> placebo test.</w:t>
      </w:r>
      <w:r w:rsidR="008B0311">
        <w:rPr>
          <w:rFonts w:ascii="NimbusRomNo9L" w:hAnsi="NimbusRomNo9L"/>
          <w:lang w:val="en-US"/>
        </w:rPr>
        <w:t xml:space="preserve"> </w:t>
      </w:r>
    </w:p>
    <w:p w14:paraId="5D7FF960" w14:textId="0492BF5D" w:rsidR="003A47B8" w:rsidRPr="00166361" w:rsidRDefault="008B0311" w:rsidP="00D45F4A">
      <w:pPr>
        <w:ind w:firstLine="567"/>
        <w:jc w:val="both"/>
        <w:rPr>
          <w:rFonts w:ascii="NimbusRomNo9L" w:hAnsi="NimbusRomNo9L"/>
          <w:lang w:val="en-US"/>
        </w:rPr>
      </w:pPr>
      <w:r w:rsidRPr="00A306FB">
        <w:rPr>
          <w:rFonts w:ascii="NimbusRomNo9L" w:hAnsi="NimbusRomNo9L"/>
          <w:lang w:val="en-US"/>
        </w:rPr>
        <w:t xml:space="preserve">On the contrary, </w:t>
      </w:r>
      <w:r w:rsidR="00643F30" w:rsidRPr="00A306FB">
        <w:rPr>
          <w:rFonts w:ascii="NimbusRomNo9L" w:hAnsi="NimbusRomNo9L"/>
          <w:lang w:val="en-US"/>
        </w:rPr>
        <w:t>attorneys per 100,000 inhabitants in 186</w:t>
      </w:r>
      <w:r w:rsidR="00624BF2" w:rsidRPr="00A306FB">
        <w:rPr>
          <w:rFonts w:ascii="NimbusRomNo9L" w:hAnsi="NimbusRomNo9L"/>
          <w:lang w:val="en-US"/>
        </w:rPr>
        <w:t xml:space="preserve">5 </w:t>
      </w:r>
      <w:r w:rsidR="00643F30" w:rsidRPr="00A306FB">
        <w:rPr>
          <w:rFonts w:ascii="NimbusRomNo9L" w:hAnsi="NimbusRomNo9L"/>
          <w:lang w:val="en-US"/>
        </w:rPr>
        <w:t>remains a valid instrument as it has a high F-statistic (34.76)</w:t>
      </w:r>
      <w:r w:rsidR="00975D5A">
        <w:rPr>
          <w:rFonts w:ascii="NimbusRomNo9L" w:hAnsi="NimbusRomNo9L"/>
          <w:lang w:val="en-US"/>
        </w:rPr>
        <w:t xml:space="preserve">, </w:t>
      </w:r>
      <w:r w:rsidR="00A26C6F">
        <w:rPr>
          <w:rFonts w:ascii="NimbusRomNo9L" w:hAnsi="NimbusRomNo9L"/>
          <w:lang w:val="en-US"/>
        </w:rPr>
        <w:t xml:space="preserve">a positive (coefficient = </w:t>
      </w:r>
      <w:r w:rsidR="00A26C6F" w:rsidRPr="00A26C6F">
        <w:rPr>
          <w:rFonts w:ascii="NimbusRomNo9L" w:hAnsi="NimbusRomNo9L"/>
          <w:lang w:val="en-US"/>
        </w:rPr>
        <w:t>1.715</w:t>
      </w:r>
      <w:r w:rsidR="00A26C6F">
        <w:rPr>
          <w:rFonts w:ascii="NimbusRomNo9L" w:hAnsi="NimbusRomNo9L"/>
          <w:lang w:val="en-US"/>
        </w:rPr>
        <w:t xml:space="preserve">) and statistically significant </w:t>
      </w:r>
      <w:r w:rsidR="00975D5A">
        <w:rPr>
          <w:rFonts w:ascii="NimbusRomNo9L" w:hAnsi="NimbusRomNo9L"/>
          <w:lang w:val="en-US"/>
        </w:rPr>
        <w:t>(p value =</w:t>
      </w:r>
      <w:r w:rsidR="00975D5A" w:rsidRPr="00A306FB">
        <w:rPr>
          <w:rFonts w:ascii="NimbusRomNo9L" w:hAnsi="NimbusRomNo9L"/>
          <w:lang w:val="en-US"/>
        </w:rPr>
        <w:t xml:space="preserve"> </w:t>
      </w:r>
      <w:r w:rsidR="00975D5A">
        <w:rPr>
          <w:rFonts w:ascii="NimbusRomNo9L" w:hAnsi="NimbusRomNo9L"/>
          <w:lang w:val="en-US"/>
        </w:rPr>
        <w:t xml:space="preserve">0.000) coefficient. </w:t>
      </w:r>
      <w:r w:rsidR="00A26C6F">
        <w:rPr>
          <w:rFonts w:ascii="NimbusRomNo9L" w:hAnsi="NimbusRomNo9L"/>
          <w:lang w:val="en-US"/>
        </w:rPr>
        <w:t>The</w:t>
      </w:r>
      <w:r w:rsidR="00A306FB" w:rsidRPr="00A306FB">
        <w:rPr>
          <w:rFonts w:ascii="NimbusRomNo9L" w:hAnsi="NimbusRomNo9L"/>
          <w:lang w:val="en-US"/>
        </w:rPr>
        <w:t xml:space="preserve"> strong relationship with lawyer concentration </w:t>
      </w:r>
      <w:r w:rsidR="00A26C6F">
        <w:rPr>
          <w:rFonts w:ascii="NimbusRomNo9L" w:hAnsi="NimbusRomNo9L"/>
          <w:lang w:val="en-US"/>
        </w:rPr>
        <w:t xml:space="preserve">– in the timeframe 2012-2019 – </w:t>
      </w:r>
      <w:r w:rsidR="00A306FB" w:rsidRPr="00A306FB">
        <w:rPr>
          <w:rFonts w:ascii="NimbusRomNo9L" w:hAnsi="NimbusRomNo9L"/>
          <w:lang w:val="en-US"/>
        </w:rPr>
        <w:t xml:space="preserve">suggests </w:t>
      </w:r>
      <w:r w:rsidR="00A26C6F">
        <w:rPr>
          <w:rFonts w:ascii="NimbusRomNo9L" w:hAnsi="NimbusRomNo9L"/>
          <w:lang w:val="en-US"/>
        </w:rPr>
        <w:t xml:space="preserve">that the instrument </w:t>
      </w:r>
      <w:r w:rsidR="00A306FB" w:rsidRPr="00A306FB">
        <w:rPr>
          <w:rFonts w:ascii="NimbusRomNo9L" w:hAnsi="NimbusRomNo9L"/>
          <w:lang w:val="en-US"/>
        </w:rPr>
        <w:t xml:space="preserve">might be a </w:t>
      </w:r>
      <w:r w:rsidR="00A306FB" w:rsidRPr="00A306FB">
        <w:rPr>
          <w:rFonts w:ascii="NimbusRomNo9L" w:hAnsi="NimbusRomNo9L"/>
          <w:bCs/>
          <w:lang w:val="en-US"/>
        </w:rPr>
        <w:t>valid tool</w:t>
      </w:r>
      <w:r w:rsidR="00A306FB" w:rsidRPr="00A306FB">
        <w:rPr>
          <w:rFonts w:ascii="NimbusRomNo9L" w:hAnsi="NimbusRomNo9L"/>
          <w:lang w:val="en-US"/>
        </w:rPr>
        <w:t xml:space="preserve"> for isolating the causal effect of historical lawyer density on </w:t>
      </w:r>
      <w:r w:rsidR="00C71896">
        <w:rPr>
          <w:rFonts w:ascii="NimbusRomNo9L" w:hAnsi="NimbusRomNo9L"/>
          <w:lang w:val="en-US"/>
        </w:rPr>
        <w:t>current legal professional concentration</w:t>
      </w:r>
      <w:r w:rsidR="0053103E">
        <w:rPr>
          <w:rFonts w:ascii="NimbusRomNo9L" w:hAnsi="NimbusRomNo9L"/>
          <w:lang w:val="en-US"/>
        </w:rPr>
        <w:t xml:space="preserve"> and, finally, on lawsuits’ rejection rates.</w:t>
      </w:r>
    </w:p>
    <w:sectPr w:rsidR="003A47B8" w:rsidRPr="00166361" w:rsidSect="002C145F">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2CB5D" w14:textId="77777777" w:rsidR="005E0D9D" w:rsidRDefault="005E0D9D" w:rsidP="00F03951">
      <w:r>
        <w:separator/>
      </w:r>
    </w:p>
  </w:endnote>
  <w:endnote w:type="continuationSeparator" w:id="0">
    <w:p w14:paraId="56CEBE9A" w14:textId="77777777" w:rsidR="005E0D9D" w:rsidRDefault="005E0D9D" w:rsidP="00F03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NimbusRomNo9L">
    <w:altName w:val="Cambria"/>
    <w:charset w:val="00"/>
    <w:family w:val="roman"/>
    <w:pitch w:val="default"/>
  </w:font>
  <w:font w:name="CMMI12">
    <w:altName w:val="Cambria"/>
    <w:panose1 w:val="00000000000000000000"/>
    <w:charset w:val="00"/>
    <w:family w:val="roman"/>
    <w:notTrueType/>
    <w:pitch w:val="default"/>
  </w:font>
  <w:font w:name="CMMI8">
    <w:altName w:val="Cambria"/>
    <w:panose1 w:val="00000000000000000000"/>
    <w:charset w:val="00"/>
    <w:family w:val="roman"/>
    <w:notTrueType/>
    <w:pitch w:val="default"/>
  </w:font>
  <w:font w:name="CMR12">
    <w:altName w:val="Cambria"/>
    <w:panose1 w:val="00000000000000000000"/>
    <w:charset w:val="00"/>
    <w:family w:val="roman"/>
    <w:notTrueType/>
    <w:pitch w:val="default"/>
  </w:font>
  <w:font w:name="CMR8">
    <w:altName w:val="Cambria"/>
    <w:panose1 w:val="00000000000000000000"/>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TimesNewRomanPSMT">
    <w:altName w:val="Times New Roman"/>
    <w:panose1 w:val="00000000000000000000"/>
    <w:charset w:val="00"/>
    <w:family w:val="roman"/>
    <w:notTrueType/>
    <w:pitch w:val="default"/>
  </w:font>
  <w:font w:name="Code2000">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1C373" w14:textId="77777777" w:rsidR="005E0D9D" w:rsidRDefault="005E0D9D" w:rsidP="00F03951">
      <w:r>
        <w:separator/>
      </w:r>
    </w:p>
  </w:footnote>
  <w:footnote w:type="continuationSeparator" w:id="0">
    <w:p w14:paraId="0A7783CC" w14:textId="77777777" w:rsidR="005E0D9D" w:rsidRDefault="005E0D9D" w:rsidP="00F03951">
      <w:r>
        <w:continuationSeparator/>
      </w:r>
    </w:p>
  </w:footnote>
  <w:footnote w:id="1">
    <w:p w14:paraId="2E816FFB" w14:textId="4ECA23D9" w:rsidR="00EA48AC" w:rsidRPr="00EA48AC" w:rsidRDefault="00EA48AC">
      <w:pPr>
        <w:pStyle w:val="FootnoteText"/>
        <w:rPr>
          <w:lang w:val="en-GB"/>
        </w:rPr>
      </w:pPr>
      <w:r>
        <w:rPr>
          <w:rStyle w:val="FootnoteReference"/>
        </w:rPr>
        <w:t>*</w:t>
      </w:r>
      <w:r>
        <w:t xml:space="preserve"> </w:t>
      </w:r>
      <w:r>
        <w:rPr>
          <w:lang w:val="en-GB"/>
        </w:rPr>
        <w:t xml:space="preserve">TTLF Fellow, Stanford University; Adjunct Professor, University of Bologna; </w:t>
      </w:r>
      <w:r w:rsidR="00317498">
        <w:rPr>
          <w:lang w:val="en-GB"/>
        </w:rPr>
        <w:t xml:space="preserve">Research Fellow, </w:t>
      </w:r>
      <w:proofErr w:type="spellStart"/>
      <w:r w:rsidR="00317498">
        <w:rPr>
          <w:lang w:val="en-GB"/>
        </w:rPr>
        <w:t>Collegio</w:t>
      </w:r>
      <w:proofErr w:type="spellEnd"/>
      <w:r w:rsidR="00317498">
        <w:rPr>
          <w:lang w:val="en-GB"/>
        </w:rPr>
        <w:t xml:space="preserve"> Carlo Alberto. Please address all correspondence to </w:t>
      </w:r>
      <w:hyperlink r:id="rId1" w:history="1">
        <w:r w:rsidR="00F17202" w:rsidRPr="00C20B41">
          <w:rPr>
            <w:rStyle w:val="Hyperlink"/>
            <w:lang w:val="en-GB"/>
          </w:rPr>
          <w:t>umbertonizza@aol.com</w:t>
        </w:r>
      </w:hyperlink>
      <w:r w:rsidR="00F17202">
        <w:rPr>
          <w:lang w:val="en-GB"/>
        </w:rPr>
        <w:t xml:space="preserve">. </w:t>
      </w:r>
    </w:p>
  </w:footnote>
  <w:footnote w:id="2">
    <w:p w14:paraId="3FC90434" w14:textId="3EBAD471" w:rsidR="005E0D9D" w:rsidRPr="009F4598" w:rsidRDefault="005E0D9D" w:rsidP="00832394">
      <w:pPr>
        <w:pStyle w:val="FootnoteText"/>
        <w:jc w:val="both"/>
        <w:rPr>
          <w:lang w:val="en-US"/>
        </w:rPr>
      </w:pPr>
      <w:r>
        <w:rPr>
          <w:rStyle w:val="FootnoteReference"/>
        </w:rPr>
        <w:footnoteRef/>
      </w:r>
      <w:r w:rsidRPr="009F4598">
        <w:rPr>
          <w:lang w:val="en-US"/>
        </w:rPr>
        <w:t xml:space="preserve"> This variable</w:t>
      </w:r>
      <w:r>
        <w:rPr>
          <w:lang w:val="en-US"/>
        </w:rPr>
        <w:t xml:space="preserve">, provided by INSEE, </w:t>
      </w:r>
      <w:r w:rsidRPr="009F4598">
        <w:rPr>
          <w:lang w:val="en-US"/>
        </w:rPr>
        <w:t xml:space="preserve">captures the </w:t>
      </w:r>
      <w:r>
        <w:rPr>
          <w:lang w:val="en-US"/>
        </w:rPr>
        <w:t>rate</w:t>
      </w:r>
      <w:r w:rsidRPr="009F4598">
        <w:rPr>
          <w:lang w:val="en-US"/>
        </w:rPr>
        <w:t xml:space="preserve"> of </w:t>
      </w:r>
      <w:r>
        <w:rPr>
          <w:lang w:val="en-US"/>
        </w:rPr>
        <w:t xml:space="preserve">individuals </w:t>
      </w:r>
      <w:r w:rsidRPr="009F4598">
        <w:rPr>
          <w:lang w:val="en-US"/>
        </w:rPr>
        <w:t xml:space="preserve">in France who are aged 15 or over, who are not in school, and who do not have any diploma or qualification, or who have at most a BEPC, brevet des </w:t>
      </w:r>
      <w:proofErr w:type="spellStart"/>
      <w:r w:rsidRPr="009F4598">
        <w:rPr>
          <w:lang w:val="en-US"/>
        </w:rPr>
        <w:t>collèges</w:t>
      </w:r>
      <w:proofErr w:type="spellEnd"/>
      <w:r w:rsidRPr="009F4598">
        <w:rPr>
          <w:lang w:val="en-US"/>
        </w:rPr>
        <w:t xml:space="preserve"> or DNB. The BEPC, brevet des </w:t>
      </w:r>
      <w:proofErr w:type="spellStart"/>
      <w:r w:rsidRPr="009F4598">
        <w:rPr>
          <w:lang w:val="en-US"/>
        </w:rPr>
        <w:t>collèges</w:t>
      </w:r>
      <w:proofErr w:type="spellEnd"/>
      <w:r w:rsidRPr="009F4598">
        <w:rPr>
          <w:lang w:val="en-US"/>
        </w:rPr>
        <w:t xml:space="preserve"> or DNB is a French national diploma that is awarded to students who have successfully completed the lower secondary school cycle. It is the equivalent of the General Certificate of Secondary Education (GCSE) in the United Kingdom.</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85E7A"/>
    <w:multiLevelType w:val="multilevel"/>
    <w:tmpl w:val="5074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7F290C"/>
    <w:multiLevelType w:val="multilevel"/>
    <w:tmpl w:val="B73C0C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F9465A"/>
    <w:multiLevelType w:val="hybridMultilevel"/>
    <w:tmpl w:val="53A66BBA"/>
    <w:lvl w:ilvl="0" w:tplc="AB3CA914">
      <w:start w:val="1"/>
      <w:numFmt w:val="bullet"/>
      <w:lvlText w:val=""/>
      <w:lvlJc w:val="left"/>
      <w:pPr>
        <w:ind w:left="720" w:hanging="360"/>
      </w:pPr>
      <w:rPr>
        <w:rFonts w:ascii="Wingdings" w:hAnsi="Wingdings" w:hint="default"/>
      </w:rPr>
    </w:lvl>
    <w:lvl w:ilvl="1" w:tplc="D156736C" w:tentative="1">
      <w:start w:val="1"/>
      <w:numFmt w:val="bullet"/>
      <w:lvlText w:val="o"/>
      <w:lvlJc w:val="left"/>
      <w:pPr>
        <w:ind w:left="1440" w:hanging="360"/>
      </w:pPr>
      <w:rPr>
        <w:rFonts w:ascii="Courier New" w:hAnsi="Courier New" w:cs="Courier New" w:hint="default"/>
      </w:rPr>
    </w:lvl>
    <w:lvl w:ilvl="2" w:tplc="86EEFFF6" w:tentative="1">
      <w:start w:val="1"/>
      <w:numFmt w:val="bullet"/>
      <w:lvlText w:val=""/>
      <w:lvlJc w:val="left"/>
      <w:pPr>
        <w:ind w:left="2160" w:hanging="360"/>
      </w:pPr>
      <w:rPr>
        <w:rFonts w:ascii="Wingdings" w:hAnsi="Wingdings" w:hint="default"/>
      </w:rPr>
    </w:lvl>
    <w:lvl w:ilvl="3" w:tplc="19D43ABE" w:tentative="1">
      <w:start w:val="1"/>
      <w:numFmt w:val="bullet"/>
      <w:lvlText w:val=""/>
      <w:lvlJc w:val="left"/>
      <w:pPr>
        <w:ind w:left="2880" w:hanging="360"/>
      </w:pPr>
      <w:rPr>
        <w:rFonts w:ascii="Symbol" w:hAnsi="Symbol" w:hint="default"/>
      </w:rPr>
    </w:lvl>
    <w:lvl w:ilvl="4" w:tplc="134C92A6" w:tentative="1">
      <w:start w:val="1"/>
      <w:numFmt w:val="bullet"/>
      <w:lvlText w:val="o"/>
      <w:lvlJc w:val="left"/>
      <w:pPr>
        <w:ind w:left="3600" w:hanging="360"/>
      </w:pPr>
      <w:rPr>
        <w:rFonts w:ascii="Courier New" w:hAnsi="Courier New" w:cs="Courier New" w:hint="default"/>
      </w:rPr>
    </w:lvl>
    <w:lvl w:ilvl="5" w:tplc="855453E0" w:tentative="1">
      <w:start w:val="1"/>
      <w:numFmt w:val="bullet"/>
      <w:lvlText w:val=""/>
      <w:lvlJc w:val="left"/>
      <w:pPr>
        <w:ind w:left="4320" w:hanging="360"/>
      </w:pPr>
      <w:rPr>
        <w:rFonts w:ascii="Wingdings" w:hAnsi="Wingdings" w:hint="default"/>
      </w:rPr>
    </w:lvl>
    <w:lvl w:ilvl="6" w:tplc="306E75D0" w:tentative="1">
      <w:start w:val="1"/>
      <w:numFmt w:val="bullet"/>
      <w:lvlText w:val=""/>
      <w:lvlJc w:val="left"/>
      <w:pPr>
        <w:ind w:left="5040" w:hanging="360"/>
      </w:pPr>
      <w:rPr>
        <w:rFonts w:ascii="Symbol" w:hAnsi="Symbol" w:hint="default"/>
      </w:rPr>
    </w:lvl>
    <w:lvl w:ilvl="7" w:tplc="0920863A" w:tentative="1">
      <w:start w:val="1"/>
      <w:numFmt w:val="bullet"/>
      <w:lvlText w:val="o"/>
      <w:lvlJc w:val="left"/>
      <w:pPr>
        <w:ind w:left="5760" w:hanging="360"/>
      </w:pPr>
      <w:rPr>
        <w:rFonts w:ascii="Courier New" w:hAnsi="Courier New" w:cs="Courier New" w:hint="default"/>
      </w:rPr>
    </w:lvl>
    <w:lvl w:ilvl="8" w:tplc="070CC02E" w:tentative="1">
      <w:start w:val="1"/>
      <w:numFmt w:val="bullet"/>
      <w:lvlText w:val=""/>
      <w:lvlJc w:val="left"/>
      <w:pPr>
        <w:ind w:left="6480" w:hanging="360"/>
      </w:pPr>
      <w:rPr>
        <w:rFonts w:ascii="Wingdings" w:hAnsi="Wingdings" w:hint="default"/>
      </w:rPr>
    </w:lvl>
  </w:abstractNum>
  <w:abstractNum w:abstractNumId="3">
    <w:nsid w:val="30724DBB"/>
    <w:multiLevelType w:val="multilevel"/>
    <w:tmpl w:val="80B873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ED3479"/>
    <w:multiLevelType w:val="multilevel"/>
    <w:tmpl w:val="86EA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A155FD"/>
    <w:multiLevelType w:val="multilevel"/>
    <w:tmpl w:val="4B0A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C2076F"/>
    <w:multiLevelType w:val="hybridMultilevel"/>
    <w:tmpl w:val="7218735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523D3C76"/>
    <w:multiLevelType w:val="hybridMultilevel"/>
    <w:tmpl w:val="9E3CE174"/>
    <w:lvl w:ilvl="0" w:tplc="022221F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A147217"/>
    <w:multiLevelType w:val="hybridMultilevel"/>
    <w:tmpl w:val="3CE69E9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770C6062"/>
    <w:multiLevelType w:val="multilevel"/>
    <w:tmpl w:val="A066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33028B"/>
    <w:multiLevelType w:val="multilevel"/>
    <w:tmpl w:val="C8DE66AE"/>
    <w:lvl w:ilvl="0">
      <w:start w:val="7"/>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10"/>
  </w:num>
  <w:num w:numId="4">
    <w:abstractNumId w:val="2"/>
  </w:num>
  <w:num w:numId="5">
    <w:abstractNumId w:val="6"/>
  </w:num>
  <w:num w:numId="6">
    <w:abstractNumId w:val="7"/>
  </w:num>
  <w:num w:numId="7">
    <w:abstractNumId w:val="8"/>
  </w:num>
  <w:num w:numId="8">
    <w:abstractNumId w:val="5"/>
  </w:num>
  <w:num w:numId="9">
    <w:abstractNumId w:val="9"/>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57A"/>
    <w:rsid w:val="00013266"/>
    <w:rsid w:val="00013584"/>
    <w:rsid w:val="00023B9D"/>
    <w:rsid w:val="00032D13"/>
    <w:rsid w:val="0003498F"/>
    <w:rsid w:val="00035CEC"/>
    <w:rsid w:val="00040330"/>
    <w:rsid w:val="00072165"/>
    <w:rsid w:val="00093779"/>
    <w:rsid w:val="000A618F"/>
    <w:rsid w:val="000B487D"/>
    <w:rsid w:val="000B49E3"/>
    <w:rsid w:val="000C6C68"/>
    <w:rsid w:val="000D6309"/>
    <w:rsid w:val="000F009B"/>
    <w:rsid w:val="000F03DA"/>
    <w:rsid w:val="000F0ABA"/>
    <w:rsid w:val="001020B2"/>
    <w:rsid w:val="001102DB"/>
    <w:rsid w:val="00116B17"/>
    <w:rsid w:val="00120D51"/>
    <w:rsid w:val="00120E33"/>
    <w:rsid w:val="00166361"/>
    <w:rsid w:val="00166B6A"/>
    <w:rsid w:val="001800F7"/>
    <w:rsid w:val="0018146B"/>
    <w:rsid w:val="001823E3"/>
    <w:rsid w:val="00194E00"/>
    <w:rsid w:val="001954D8"/>
    <w:rsid w:val="001D0CFB"/>
    <w:rsid w:val="00202E88"/>
    <w:rsid w:val="00207C48"/>
    <w:rsid w:val="00221787"/>
    <w:rsid w:val="0022252C"/>
    <w:rsid w:val="00232B44"/>
    <w:rsid w:val="002626EB"/>
    <w:rsid w:val="00263163"/>
    <w:rsid w:val="00265BA6"/>
    <w:rsid w:val="00267587"/>
    <w:rsid w:val="0028144A"/>
    <w:rsid w:val="002950B9"/>
    <w:rsid w:val="002A1C39"/>
    <w:rsid w:val="002C145F"/>
    <w:rsid w:val="002C1982"/>
    <w:rsid w:val="002D6436"/>
    <w:rsid w:val="0030644F"/>
    <w:rsid w:val="00311FBA"/>
    <w:rsid w:val="00317498"/>
    <w:rsid w:val="003310C1"/>
    <w:rsid w:val="003355DB"/>
    <w:rsid w:val="003469DF"/>
    <w:rsid w:val="003A47B8"/>
    <w:rsid w:val="003D0979"/>
    <w:rsid w:val="004211E0"/>
    <w:rsid w:val="00441270"/>
    <w:rsid w:val="00454B20"/>
    <w:rsid w:val="00455EE0"/>
    <w:rsid w:val="00482EEE"/>
    <w:rsid w:val="004C2F87"/>
    <w:rsid w:val="004C4FEB"/>
    <w:rsid w:val="004C76D4"/>
    <w:rsid w:val="004E5834"/>
    <w:rsid w:val="004F0D29"/>
    <w:rsid w:val="00501E5B"/>
    <w:rsid w:val="005135D7"/>
    <w:rsid w:val="0053103E"/>
    <w:rsid w:val="005418D1"/>
    <w:rsid w:val="005867A8"/>
    <w:rsid w:val="005E02D3"/>
    <w:rsid w:val="005E0D9D"/>
    <w:rsid w:val="006113A9"/>
    <w:rsid w:val="00624BF2"/>
    <w:rsid w:val="00626187"/>
    <w:rsid w:val="0062712C"/>
    <w:rsid w:val="006379DC"/>
    <w:rsid w:val="006427E4"/>
    <w:rsid w:val="00643F30"/>
    <w:rsid w:val="00646F4C"/>
    <w:rsid w:val="00661375"/>
    <w:rsid w:val="006C336B"/>
    <w:rsid w:val="006E0584"/>
    <w:rsid w:val="006E5E41"/>
    <w:rsid w:val="006F6A6C"/>
    <w:rsid w:val="00712022"/>
    <w:rsid w:val="00717383"/>
    <w:rsid w:val="007357E4"/>
    <w:rsid w:val="00735DC9"/>
    <w:rsid w:val="00743DB6"/>
    <w:rsid w:val="00753FA4"/>
    <w:rsid w:val="00761A4B"/>
    <w:rsid w:val="00763E18"/>
    <w:rsid w:val="00767E52"/>
    <w:rsid w:val="00772A97"/>
    <w:rsid w:val="00780255"/>
    <w:rsid w:val="0078585B"/>
    <w:rsid w:val="00792448"/>
    <w:rsid w:val="007B5CE1"/>
    <w:rsid w:val="007C1E67"/>
    <w:rsid w:val="007C7967"/>
    <w:rsid w:val="008002B4"/>
    <w:rsid w:val="00800903"/>
    <w:rsid w:val="0080288D"/>
    <w:rsid w:val="008101C8"/>
    <w:rsid w:val="0081213C"/>
    <w:rsid w:val="0082139C"/>
    <w:rsid w:val="00832394"/>
    <w:rsid w:val="008345A6"/>
    <w:rsid w:val="00874F15"/>
    <w:rsid w:val="00890C21"/>
    <w:rsid w:val="00892A57"/>
    <w:rsid w:val="008A357C"/>
    <w:rsid w:val="008B0311"/>
    <w:rsid w:val="008C50BB"/>
    <w:rsid w:val="008C66F4"/>
    <w:rsid w:val="008E68FD"/>
    <w:rsid w:val="008E73B1"/>
    <w:rsid w:val="00904160"/>
    <w:rsid w:val="0092594B"/>
    <w:rsid w:val="009273A1"/>
    <w:rsid w:val="0094032E"/>
    <w:rsid w:val="00954F3B"/>
    <w:rsid w:val="009607A4"/>
    <w:rsid w:val="00975D5A"/>
    <w:rsid w:val="0098024F"/>
    <w:rsid w:val="00996A75"/>
    <w:rsid w:val="009A6E32"/>
    <w:rsid w:val="009A6EE4"/>
    <w:rsid w:val="009B5934"/>
    <w:rsid w:val="009D1013"/>
    <w:rsid w:val="009D354A"/>
    <w:rsid w:val="009E6692"/>
    <w:rsid w:val="009F4598"/>
    <w:rsid w:val="00A0545F"/>
    <w:rsid w:val="00A166CF"/>
    <w:rsid w:val="00A26C6F"/>
    <w:rsid w:val="00A306FB"/>
    <w:rsid w:val="00A354F4"/>
    <w:rsid w:val="00A468DD"/>
    <w:rsid w:val="00A55BA5"/>
    <w:rsid w:val="00A573FE"/>
    <w:rsid w:val="00A74963"/>
    <w:rsid w:val="00A77833"/>
    <w:rsid w:val="00A92E18"/>
    <w:rsid w:val="00AB7E70"/>
    <w:rsid w:val="00AD567A"/>
    <w:rsid w:val="00AE2E1A"/>
    <w:rsid w:val="00AF119D"/>
    <w:rsid w:val="00B06468"/>
    <w:rsid w:val="00B13BBD"/>
    <w:rsid w:val="00B26A2C"/>
    <w:rsid w:val="00B433A3"/>
    <w:rsid w:val="00B47AC8"/>
    <w:rsid w:val="00B63754"/>
    <w:rsid w:val="00B841EA"/>
    <w:rsid w:val="00BB157A"/>
    <w:rsid w:val="00BB7543"/>
    <w:rsid w:val="00BC59D3"/>
    <w:rsid w:val="00BD44D7"/>
    <w:rsid w:val="00BD69F7"/>
    <w:rsid w:val="00BE3586"/>
    <w:rsid w:val="00C04930"/>
    <w:rsid w:val="00C058FA"/>
    <w:rsid w:val="00C13503"/>
    <w:rsid w:val="00C163A7"/>
    <w:rsid w:val="00C1693A"/>
    <w:rsid w:val="00C25964"/>
    <w:rsid w:val="00C322F6"/>
    <w:rsid w:val="00C32CD2"/>
    <w:rsid w:val="00C333D0"/>
    <w:rsid w:val="00C5375A"/>
    <w:rsid w:val="00C66A73"/>
    <w:rsid w:val="00C71896"/>
    <w:rsid w:val="00CF1676"/>
    <w:rsid w:val="00D145B4"/>
    <w:rsid w:val="00D161F5"/>
    <w:rsid w:val="00D17386"/>
    <w:rsid w:val="00D30153"/>
    <w:rsid w:val="00D320DA"/>
    <w:rsid w:val="00D45F4A"/>
    <w:rsid w:val="00D50323"/>
    <w:rsid w:val="00D544CB"/>
    <w:rsid w:val="00D63435"/>
    <w:rsid w:val="00D75C45"/>
    <w:rsid w:val="00D87ECD"/>
    <w:rsid w:val="00D91214"/>
    <w:rsid w:val="00DA3660"/>
    <w:rsid w:val="00DA5FD1"/>
    <w:rsid w:val="00DB41F7"/>
    <w:rsid w:val="00DB4886"/>
    <w:rsid w:val="00DB52C8"/>
    <w:rsid w:val="00DD6B73"/>
    <w:rsid w:val="00DF2E5C"/>
    <w:rsid w:val="00DF6E43"/>
    <w:rsid w:val="00E0504C"/>
    <w:rsid w:val="00E11D5D"/>
    <w:rsid w:val="00E2623D"/>
    <w:rsid w:val="00EA48AC"/>
    <w:rsid w:val="00EB30B0"/>
    <w:rsid w:val="00EB3A55"/>
    <w:rsid w:val="00EE2AFF"/>
    <w:rsid w:val="00EE38F6"/>
    <w:rsid w:val="00F003EF"/>
    <w:rsid w:val="00F03951"/>
    <w:rsid w:val="00F17202"/>
    <w:rsid w:val="00F20D45"/>
    <w:rsid w:val="00F244B2"/>
    <w:rsid w:val="00F2540F"/>
    <w:rsid w:val="00F275DC"/>
    <w:rsid w:val="00F46F06"/>
    <w:rsid w:val="00F51D98"/>
    <w:rsid w:val="00F54E3F"/>
    <w:rsid w:val="00F652F2"/>
    <w:rsid w:val="00F81D14"/>
    <w:rsid w:val="00FA0E7B"/>
    <w:rsid w:val="00FA1FC4"/>
    <w:rsid w:val="00FC4747"/>
    <w:rsid w:val="00FD0EE3"/>
    <w:rsid w:val="00FE0E51"/>
    <w:rsid w:val="00FE6449"/>
    <w:rsid w:val="00FF6477"/>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4015968"/>
  <w15:chartTrackingRefBased/>
  <w15:docId w15:val="{FC8F9B66-6E66-7444-B13C-E9381A666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0311"/>
    <w:rPr>
      <w:rFonts w:ascii="Times New Roman" w:eastAsia="Times New Roman" w:hAnsi="Times New Roman" w:cs="Times New Roman"/>
    </w:rPr>
  </w:style>
  <w:style w:type="paragraph" w:styleId="Heading1">
    <w:name w:val="heading 1"/>
    <w:basedOn w:val="Normal"/>
    <w:next w:val="Normal"/>
    <w:link w:val="Heading1Char"/>
    <w:uiPriority w:val="9"/>
    <w:qFormat/>
    <w:rsid w:val="003A47B8"/>
    <w:pPr>
      <w:keepNext/>
      <w:keepLines/>
      <w:spacing w:before="240"/>
      <w:outlineLvl w:val="0"/>
    </w:pPr>
    <w:rPr>
      <w:rFonts w:asciiTheme="majorHAnsi" w:eastAsiaTheme="majorEastAsia" w:hAnsiTheme="majorHAnsi" w:cstheme="majorBidi"/>
      <w:color w:val="2F5496" w:themeColor="accent1" w:themeShade="BF"/>
      <w:sz w:val="32"/>
      <w:szCs w:val="32"/>
      <w:lang w:val="fr"/>
    </w:rPr>
  </w:style>
  <w:style w:type="paragraph" w:styleId="Heading2">
    <w:name w:val="heading 2"/>
    <w:basedOn w:val="Normal"/>
    <w:next w:val="Normal"/>
    <w:link w:val="Heading2Char"/>
    <w:uiPriority w:val="9"/>
    <w:unhideWhenUsed/>
    <w:qFormat/>
    <w:rsid w:val="006E5E4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7B8"/>
    <w:rPr>
      <w:rFonts w:asciiTheme="majorHAnsi" w:eastAsiaTheme="majorEastAsia" w:hAnsiTheme="majorHAnsi" w:cstheme="majorBidi"/>
      <w:color w:val="2F5496" w:themeColor="accent1" w:themeShade="BF"/>
      <w:sz w:val="32"/>
      <w:szCs w:val="32"/>
      <w:lang w:val="fr"/>
    </w:rPr>
  </w:style>
  <w:style w:type="paragraph" w:styleId="Title">
    <w:name w:val="Title"/>
    <w:basedOn w:val="Normal"/>
    <w:next w:val="Normal"/>
    <w:link w:val="TitleChar"/>
    <w:uiPriority w:val="10"/>
    <w:qFormat/>
    <w:rsid w:val="003A47B8"/>
    <w:pPr>
      <w:spacing w:before="240" w:after="240"/>
      <w:contextualSpacing/>
    </w:pPr>
    <w:rPr>
      <w:rFonts w:asciiTheme="majorHAnsi" w:eastAsiaTheme="majorEastAsia" w:hAnsiTheme="majorHAnsi" w:cstheme="majorBidi"/>
      <w:color w:val="4472C4" w:themeColor="accent1"/>
      <w:spacing w:val="-10"/>
      <w:kern w:val="28"/>
      <w:sz w:val="28"/>
      <w:szCs w:val="56"/>
    </w:rPr>
  </w:style>
  <w:style w:type="character" w:customStyle="1" w:styleId="TitleChar">
    <w:name w:val="Title Char"/>
    <w:basedOn w:val="DefaultParagraphFont"/>
    <w:link w:val="Title"/>
    <w:uiPriority w:val="10"/>
    <w:rsid w:val="003A47B8"/>
    <w:rPr>
      <w:rFonts w:asciiTheme="majorHAnsi" w:eastAsiaTheme="majorEastAsia" w:hAnsiTheme="majorHAnsi" w:cstheme="majorBidi"/>
      <w:color w:val="4472C4" w:themeColor="accent1"/>
      <w:spacing w:val="-10"/>
      <w:kern w:val="28"/>
      <w:sz w:val="28"/>
      <w:szCs w:val="56"/>
    </w:rPr>
  </w:style>
  <w:style w:type="paragraph" w:styleId="NormalWeb">
    <w:name w:val="Normal (Web)"/>
    <w:basedOn w:val="Normal"/>
    <w:uiPriority w:val="99"/>
    <w:unhideWhenUsed/>
    <w:rsid w:val="003A47B8"/>
  </w:style>
  <w:style w:type="character" w:customStyle="1" w:styleId="Heading2Char">
    <w:name w:val="Heading 2 Char"/>
    <w:basedOn w:val="DefaultParagraphFont"/>
    <w:link w:val="Heading2"/>
    <w:uiPriority w:val="9"/>
    <w:rsid w:val="006E5E4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00903"/>
    <w:pPr>
      <w:ind w:left="720"/>
      <w:contextualSpacing/>
    </w:pPr>
    <w:rPr>
      <w:rFonts w:asciiTheme="minorHAnsi" w:eastAsiaTheme="minorHAnsi" w:hAnsiTheme="minorHAnsi" w:cstheme="minorBidi"/>
      <w:lang w:val="fr"/>
    </w:rPr>
  </w:style>
  <w:style w:type="character" w:styleId="Hyperlink">
    <w:name w:val="Hyperlink"/>
    <w:basedOn w:val="DefaultParagraphFont"/>
    <w:uiPriority w:val="99"/>
    <w:unhideWhenUsed/>
    <w:rsid w:val="00800903"/>
    <w:rPr>
      <w:color w:val="0563C1" w:themeColor="hyperlink"/>
      <w:u w:val="single"/>
    </w:rPr>
  </w:style>
  <w:style w:type="paragraph" w:styleId="Header">
    <w:name w:val="header"/>
    <w:basedOn w:val="Normal"/>
    <w:link w:val="HeaderChar"/>
    <w:uiPriority w:val="99"/>
    <w:unhideWhenUsed/>
    <w:rsid w:val="00F03951"/>
    <w:pPr>
      <w:tabs>
        <w:tab w:val="center" w:pos="4703"/>
        <w:tab w:val="right" w:pos="9406"/>
      </w:tabs>
    </w:pPr>
  </w:style>
  <w:style w:type="character" w:customStyle="1" w:styleId="HeaderChar">
    <w:name w:val="Header Char"/>
    <w:basedOn w:val="DefaultParagraphFont"/>
    <w:link w:val="Header"/>
    <w:uiPriority w:val="99"/>
    <w:rsid w:val="00F03951"/>
    <w:rPr>
      <w:rFonts w:ascii="Times New Roman" w:eastAsia="Times New Roman" w:hAnsi="Times New Roman" w:cs="Times New Roman"/>
    </w:rPr>
  </w:style>
  <w:style w:type="paragraph" w:styleId="Footer">
    <w:name w:val="footer"/>
    <w:basedOn w:val="Normal"/>
    <w:link w:val="FooterChar"/>
    <w:uiPriority w:val="99"/>
    <w:unhideWhenUsed/>
    <w:rsid w:val="00F03951"/>
    <w:pPr>
      <w:tabs>
        <w:tab w:val="center" w:pos="4703"/>
        <w:tab w:val="right" w:pos="9406"/>
      </w:tabs>
    </w:pPr>
  </w:style>
  <w:style w:type="character" w:customStyle="1" w:styleId="FooterChar">
    <w:name w:val="Footer Char"/>
    <w:basedOn w:val="DefaultParagraphFont"/>
    <w:link w:val="Footer"/>
    <w:uiPriority w:val="99"/>
    <w:rsid w:val="00F03951"/>
    <w:rPr>
      <w:rFonts w:ascii="Times New Roman" w:eastAsia="Times New Roman" w:hAnsi="Times New Roman" w:cs="Times New Roman"/>
    </w:rPr>
  </w:style>
  <w:style w:type="paragraph" w:styleId="FootnoteText">
    <w:name w:val="footnote text"/>
    <w:basedOn w:val="Normal"/>
    <w:link w:val="FootnoteTextChar"/>
    <w:uiPriority w:val="99"/>
    <w:unhideWhenUsed/>
    <w:rsid w:val="009F4598"/>
    <w:rPr>
      <w:sz w:val="20"/>
      <w:szCs w:val="20"/>
    </w:rPr>
  </w:style>
  <w:style w:type="character" w:customStyle="1" w:styleId="FootnoteTextChar">
    <w:name w:val="Footnote Text Char"/>
    <w:basedOn w:val="DefaultParagraphFont"/>
    <w:link w:val="FootnoteText"/>
    <w:uiPriority w:val="99"/>
    <w:rsid w:val="009F459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9F45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2057">
      <w:bodyDiv w:val="1"/>
      <w:marLeft w:val="0"/>
      <w:marRight w:val="0"/>
      <w:marTop w:val="0"/>
      <w:marBottom w:val="0"/>
      <w:divBdr>
        <w:top w:val="none" w:sz="0" w:space="0" w:color="auto"/>
        <w:left w:val="none" w:sz="0" w:space="0" w:color="auto"/>
        <w:bottom w:val="none" w:sz="0" w:space="0" w:color="auto"/>
        <w:right w:val="none" w:sz="0" w:space="0" w:color="auto"/>
      </w:divBdr>
    </w:div>
    <w:div w:id="19354369">
      <w:bodyDiv w:val="1"/>
      <w:marLeft w:val="0"/>
      <w:marRight w:val="0"/>
      <w:marTop w:val="0"/>
      <w:marBottom w:val="0"/>
      <w:divBdr>
        <w:top w:val="none" w:sz="0" w:space="0" w:color="auto"/>
        <w:left w:val="none" w:sz="0" w:space="0" w:color="auto"/>
        <w:bottom w:val="none" w:sz="0" w:space="0" w:color="auto"/>
        <w:right w:val="none" w:sz="0" w:space="0" w:color="auto"/>
      </w:divBdr>
    </w:div>
    <w:div w:id="58868922">
      <w:bodyDiv w:val="1"/>
      <w:marLeft w:val="0"/>
      <w:marRight w:val="0"/>
      <w:marTop w:val="0"/>
      <w:marBottom w:val="0"/>
      <w:divBdr>
        <w:top w:val="none" w:sz="0" w:space="0" w:color="auto"/>
        <w:left w:val="none" w:sz="0" w:space="0" w:color="auto"/>
        <w:bottom w:val="none" w:sz="0" w:space="0" w:color="auto"/>
        <w:right w:val="none" w:sz="0" w:space="0" w:color="auto"/>
      </w:divBdr>
      <w:divsChild>
        <w:div w:id="512840573">
          <w:marLeft w:val="0"/>
          <w:marRight w:val="0"/>
          <w:marTop w:val="0"/>
          <w:marBottom w:val="0"/>
          <w:divBdr>
            <w:top w:val="single" w:sz="2" w:space="0" w:color="auto"/>
            <w:left w:val="single" w:sz="2" w:space="0" w:color="auto"/>
            <w:bottom w:val="single" w:sz="6" w:space="0" w:color="auto"/>
            <w:right w:val="single" w:sz="2" w:space="0" w:color="auto"/>
          </w:divBdr>
          <w:divsChild>
            <w:div w:id="585841278">
              <w:marLeft w:val="0"/>
              <w:marRight w:val="0"/>
              <w:marTop w:val="100"/>
              <w:marBottom w:val="100"/>
              <w:divBdr>
                <w:top w:val="single" w:sz="2" w:space="0" w:color="D9D9E3"/>
                <w:left w:val="single" w:sz="2" w:space="0" w:color="D9D9E3"/>
                <w:bottom w:val="single" w:sz="2" w:space="0" w:color="D9D9E3"/>
                <w:right w:val="single" w:sz="2" w:space="0" w:color="D9D9E3"/>
              </w:divBdr>
              <w:divsChild>
                <w:div w:id="699285766">
                  <w:marLeft w:val="0"/>
                  <w:marRight w:val="0"/>
                  <w:marTop w:val="0"/>
                  <w:marBottom w:val="0"/>
                  <w:divBdr>
                    <w:top w:val="single" w:sz="2" w:space="0" w:color="D9D9E3"/>
                    <w:left w:val="single" w:sz="2" w:space="0" w:color="D9D9E3"/>
                    <w:bottom w:val="single" w:sz="2" w:space="0" w:color="D9D9E3"/>
                    <w:right w:val="single" w:sz="2" w:space="0" w:color="D9D9E3"/>
                  </w:divBdr>
                  <w:divsChild>
                    <w:div w:id="457378147">
                      <w:marLeft w:val="0"/>
                      <w:marRight w:val="0"/>
                      <w:marTop w:val="0"/>
                      <w:marBottom w:val="0"/>
                      <w:divBdr>
                        <w:top w:val="single" w:sz="2" w:space="0" w:color="D9D9E3"/>
                        <w:left w:val="single" w:sz="2" w:space="0" w:color="D9D9E3"/>
                        <w:bottom w:val="single" w:sz="2" w:space="0" w:color="D9D9E3"/>
                        <w:right w:val="single" w:sz="2" w:space="0" w:color="D9D9E3"/>
                      </w:divBdr>
                      <w:divsChild>
                        <w:div w:id="1519588681">
                          <w:marLeft w:val="0"/>
                          <w:marRight w:val="0"/>
                          <w:marTop w:val="0"/>
                          <w:marBottom w:val="0"/>
                          <w:divBdr>
                            <w:top w:val="single" w:sz="2" w:space="0" w:color="D9D9E3"/>
                            <w:left w:val="single" w:sz="2" w:space="0" w:color="D9D9E3"/>
                            <w:bottom w:val="single" w:sz="2" w:space="0" w:color="D9D9E3"/>
                            <w:right w:val="single" w:sz="2" w:space="0" w:color="D9D9E3"/>
                          </w:divBdr>
                          <w:divsChild>
                            <w:div w:id="969499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3088160">
      <w:bodyDiv w:val="1"/>
      <w:marLeft w:val="0"/>
      <w:marRight w:val="0"/>
      <w:marTop w:val="0"/>
      <w:marBottom w:val="0"/>
      <w:divBdr>
        <w:top w:val="none" w:sz="0" w:space="0" w:color="auto"/>
        <w:left w:val="none" w:sz="0" w:space="0" w:color="auto"/>
        <w:bottom w:val="none" w:sz="0" w:space="0" w:color="auto"/>
        <w:right w:val="none" w:sz="0" w:space="0" w:color="auto"/>
      </w:divBdr>
    </w:div>
    <w:div w:id="100609522">
      <w:bodyDiv w:val="1"/>
      <w:marLeft w:val="0"/>
      <w:marRight w:val="0"/>
      <w:marTop w:val="0"/>
      <w:marBottom w:val="0"/>
      <w:divBdr>
        <w:top w:val="none" w:sz="0" w:space="0" w:color="auto"/>
        <w:left w:val="none" w:sz="0" w:space="0" w:color="auto"/>
        <w:bottom w:val="none" w:sz="0" w:space="0" w:color="auto"/>
        <w:right w:val="none" w:sz="0" w:space="0" w:color="auto"/>
      </w:divBdr>
    </w:div>
    <w:div w:id="107429611">
      <w:bodyDiv w:val="1"/>
      <w:marLeft w:val="0"/>
      <w:marRight w:val="0"/>
      <w:marTop w:val="0"/>
      <w:marBottom w:val="0"/>
      <w:divBdr>
        <w:top w:val="none" w:sz="0" w:space="0" w:color="auto"/>
        <w:left w:val="none" w:sz="0" w:space="0" w:color="auto"/>
        <w:bottom w:val="none" w:sz="0" w:space="0" w:color="auto"/>
        <w:right w:val="none" w:sz="0" w:space="0" w:color="auto"/>
      </w:divBdr>
      <w:divsChild>
        <w:div w:id="1258712315">
          <w:marLeft w:val="0"/>
          <w:marRight w:val="0"/>
          <w:marTop w:val="0"/>
          <w:marBottom w:val="0"/>
          <w:divBdr>
            <w:top w:val="none" w:sz="0" w:space="0" w:color="auto"/>
            <w:left w:val="none" w:sz="0" w:space="0" w:color="auto"/>
            <w:bottom w:val="none" w:sz="0" w:space="0" w:color="auto"/>
            <w:right w:val="none" w:sz="0" w:space="0" w:color="auto"/>
          </w:divBdr>
          <w:divsChild>
            <w:div w:id="1398941414">
              <w:marLeft w:val="0"/>
              <w:marRight w:val="0"/>
              <w:marTop w:val="0"/>
              <w:marBottom w:val="0"/>
              <w:divBdr>
                <w:top w:val="none" w:sz="0" w:space="0" w:color="auto"/>
                <w:left w:val="none" w:sz="0" w:space="0" w:color="auto"/>
                <w:bottom w:val="none" w:sz="0" w:space="0" w:color="auto"/>
                <w:right w:val="none" w:sz="0" w:space="0" w:color="auto"/>
              </w:divBdr>
              <w:divsChild>
                <w:div w:id="1117063788">
                  <w:marLeft w:val="0"/>
                  <w:marRight w:val="0"/>
                  <w:marTop w:val="0"/>
                  <w:marBottom w:val="0"/>
                  <w:divBdr>
                    <w:top w:val="none" w:sz="0" w:space="0" w:color="auto"/>
                    <w:left w:val="none" w:sz="0" w:space="0" w:color="auto"/>
                    <w:bottom w:val="none" w:sz="0" w:space="0" w:color="auto"/>
                    <w:right w:val="none" w:sz="0" w:space="0" w:color="auto"/>
                  </w:divBdr>
                  <w:divsChild>
                    <w:div w:id="31603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77993">
      <w:bodyDiv w:val="1"/>
      <w:marLeft w:val="0"/>
      <w:marRight w:val="0"/>
      <w:marTop w:val="0"/>
      <w:marBottom w:val="0"/>
      <w:divBdr>
        <w:top w:val="none" w:sz="0" w:space="0" w:color="auto"/>
        <w:left w:val="none" w:sz="0" w:space="0" w:color="auto"/>
        <w:bottom w:val="none" w:sz="0" w:space="0" w:color="auto"/>
        <w:right w:val="none" w:sz="0" w:space="0" w:color="auto"/>
      </w:divBdr>
    </w:div>
    <w:div w:id="124588381">
      <w:bodyDiv w:val="1"/>
      <w:marLeft w:val="0"/>
      <w:marRight w:val="0"/>
      <w:marTop w:val="0"/>
      <w:marBottom w:val="0"/>
      <w:divBdr>
        <w:top w:val="none" w:sz="0" w:space="0" w:color="auto"/>
        <w:left w:val="none" w:sz="0" w:space="0" w:color="auto"/>
        <w:bottom w:val="none" w:sz="0" w:space="0" w:color="auto"/>
        <w:right w:val="none" w:sz="0" w:space="0" w:color="auto"/>
      </w:divBdr>
    </w:div>
    <w:div w:id="151456493">
      <w:bodyDiv w:val="1"/>
      <w:marLeft w:val="0"/>
      <w:marRight w:val="0"/>
      <w:marTop w:val="0"/>
      <w:marBottom w:val="0"/>
      <w:divBdr>
        <w:top w:val="none" w:sz="0" w:space="0" w:color="auto"/>
        <w:left w:val="none" w:sz="0" w:space="0" w:color="auto"/>
        <w:bottom w:val="none" w:sz="0" w:space="0" w:color="auto"/>
        <w:right w:val="none" w:sz="0" w:space="0" w:color="auto"/>
      </w:divBdr>
    </w:div>
    <w:div w:id="168060564">
      <w:bodyDiv w:val="1"/>
      <w:marLeft w:val="0"/>
      <w:marRight w:val="0"/>
      <w:marTop w:val="0"/>
      <w:marBottom w:val="0"/>
      <w:divBdr>
        <w:top w:val="none" w:sz="0" w:space="0" w:color="auto"/>
        <w:left w:val="none" w:sz="0" w:space="0" w:color="auto"/>
        <w:bottom w:val="none" w:sz="0" w:space="0" w:color="auto"/>
        <w:right w:val="none" w:sz="0" w:space="0" w:color="auto"/>
      </w:divBdr>
      <w:divsChild>
        <w:div w:id="2098868177">
          <w:marLeft w:val="0"/>
          <w:marRight w:val="0"/>
          <w:marTop w:val="0"/>
          <w:marBottom w:val="0"/>
          <w:divBdr>
            <w:top w:val="single" w:sz="2" w:space="0" w:color="auto"/>
            <w:left w:val="single" w:sz="2" w:space="0" w:color="auto"/>
            <w:bottom w:val="single" w:sz="6" w:space="0" w:color="auto"/>
            <w:right w:val="single" w:sz="2" w:space="0" w:color="auto"/>
          </w:divBdr>
          <w:divsChild>
            <w:div w:id="1951351402">
              <w:marLeft w:val="0"/>
              <w:marRight w:val="0"/>
              <w:marTop w:val="100"/>
              <w:marBottom w:val="100"/>
              <w:divBdr>
                <w:top w:val="single" w:sz="2" w:space="0" w:color="D9D9E3"/>
                <w:left w:val="single" w:sz="2" w:space="0" w:color="D9D9E3"/>
                <w:bottom w:val="single" w:sz="2" w:space="0" w:color="D9D9E3"/>
                <w:right w:val="single" w:sz="2" w:space="0" w:color="D9D9E3"/>
              </w:divBdr>
              <w:divsChild>
                <w:div w:id="668219682">
                  <w:marLeft w:val="0"/>
                  <w:marRight w:val="0"/>
                  <w:marTop w:val="0"/>
                  <w:marBottom w:val="0"/>
                  <w:divBdr>
                    <w:top w:val="single" w:sz="2" w:space="0" w:color="D9D9E3"/>
                    <w:left w:val="single" w:sz="2" w:space="0" w:color="D9D9E3"/>
                    <w:bottom w:val="single" w:sz="2" w:space="0" w:color="D9D9E3"/>
                    <w:right w:val="single" w:sz="2" w:space="0" w:color="D9D9E3"/>
                  </w:divBdr>
                  <w:divsChild>
                    <w:div w:id="1059016107">
                      <w:marLeft w:val="0"/>
                      <w:marRight w:val="0"/>
                      <w:marTop w:val="0"/>
                      <w:marBottom w:val="0"/>
                      <w:divBdr>
                        <w:top w:val="single" w:sz="2" w:space="0" w:color="D9D9E3"/>
                        <w:left w:val="single" w:sz="2" w:space="0" w:color="D9D9E3"/>
                        <w:bottom w:val="single" w:sz="2" w:space="0" w:color="D9D9E3"/>
                        <w:right w:val="single" w:sz="2" w:space="0" w:color="D9D9E3"/>
                      </w:divBdr>
                      <w:divsChild>
                        <w:div w:id="794711197">
                          <w:marLeft w:val="0"/>
                          <w:marRight w:val="0"/>
                          <w:marTop w:val="0"/>
                          <w:marBottom w:val="0"/>
                          <w:divBdr>
                            <w:top w:val="single" w:sz="2" w:space="0" w:color="D9D9E3"/>
                            <w:left w:val="single" w:sz="2" w:space="0" w:color="D9D9E3"/>
                            <w:bottom w:val="single" w:sz="2" w:space="0" w:color="D9D9E3"/>
                            <w:right w:val="single" w:sz="2" w:space="0" w:color="D9D9E3"/>
                          </w:divBdr>
                          <w:divsChild>
                            <w:div w:id="8205803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8756768">
      <w:bodyDiv w:val="1"/>
      <w:marLeft w:val="0"/>
      <w:marRight w:val="0"/>
      <w:marTop w:val="0"/>
      <w:marBottom w:val="0"/>
      <w:divBdr>
        <w:top w:val="none" w:sz="0" w:space="0" w:color="auto"/>
        <w:left w:val="none" w:sz="0" w:space="0" w:color="auto"/>
        <w:bottom w:val="none" w:sz="0" w:space="0" w:color="auto"/>
        <w:right w:val="none" w:sz="0" w:space="0" w:color="auto"/>
      </w:divBdr>
    </w:div>
    <w:div w:id="178857638">
      <w:bodyDiv w:val="1"/>
      <w:marLeft w:val="0"/>
      <w:marRight w:val="0"/>
      <w:marTop w:val="0"/>
      <w:marBottom w:val="0"/>
      <w:divBdr>
        <w:top w:val="none" w:sz="0" w:space="0" w:color="auto"/>
        <w:left w:val="none" w:sz="0" w:space="0" w:color="auto"/>
        <w:bottom w:val="none" w:sz="0" w:space="0" w:color="auto"/>
        <w:right w:val="none" w:sz="0" w:space="0" w:color="auto"/>
      </w:divBdr>
    </w:div>
    <w:div w:id="180365227">
      <w:bodyDiv w:val="1"/>
      <w:marLeft w:val="0"/>
      <w:marRight w:val="0"/>
      <w:marTop w:val="0"/>
      <w:marBottom w:val="0"/>
      <w:divBdr>
        <w:top w:val="none" w:sz="0" w:space="0" w:color="auto"/>
        <w:left w:val="none" w:sz="0" w:space="0" w:color="auto"/>
        <w:bottom w:val="none" w:sz="0" w:space="0" w:color="auto"/>
        <w:right w:val="none" w:sz="0" w:space="0" w:color="auto"/>
      </w:divBdr>
    </w:div>
    <w:div w:id="183399885">
      <w:bodyDiv w:val="1"/>
      <w:marLeft w:val="0"/>
      <w:marRight w:val="0"/>
      <w:marTop w:val="0"/>
      <w:marBottom w:val="0"/>
      <w:divBdr>
        <w:top w:val="none" w:sz="0" w:space="0" w:color="auto"/>
        <w:left w:val="none" w:sz="0" w:space="0" w:color="auto"/>
        <w:bottom w:val="none" w:sz="0" w:space="0" w:color="auto"/>
        <w:right w:val="none" w:sz="0" w:space="0" w:color="auto"/>
      </w:divBdr>
    </w:div>
    <w:div w:id="202252642">
      <w:bodyDiv w:val="1"/>
      <w:marLeft w:val="0"/>
      <w:marRight w:val="0"/>
      <w:marTop w:val="0"/>
      <w:marBottom w:val="0"/>
      <w:divBdr>
        <w:top w:val="none" w:sz="0" w:space="0" w:color="auto"/>
        <w:left w:val="none" w:sz="0" w:space="0" w:color="auto"/>
        <w:bottom w:val="none" w:sz="0" w:space="0" w:color="auto"/>
        <w:right w:val="none" w:sz="0" w:space="0" w:color="auto"/>
      </w:divBdr>
      <w:divsChild>
        <w:div w:id="1835026320">
          <w:marLeft w:val="0"/>
          <w:marRight w:val="0"/>
          <w:marTop w:val="0"/>
          <w:marBottom w:val="0"/>
          <w:divBdr>
            <w:top w:val="none" w:sz="0" w:space="0" w:color="auto"/>
            <w:left w:val="none" w:sz="0" w:space="0" w:color="auto"/>
            <w:bottom w:val="none" w:sz="0" w:space="0" w:color="auto"/>
            <w:right w:val="none" w:sz="0" w:space="0" w:color="auto"/>
          </w:divBdr>
        </w:div>
      </w:divsChild>
    </w:div>
    <w:div w:id="208565971">
      <w:bodyDiv w:val="1"/>
      <w:marLeft w:val="0"/>
      <w:marRight w:val="0"/>
      <w:marTop w:val="0"/>
      <w:marBottom w:val="0"/>
      <w:divBdr>
        <w:top w:val="none" w:sz="0" w:space="0" w:color="auto"/>
        <w:left w:val="none" w:sz="0" w:space="0" w:color="auto"/>
        <w:bottom w:val="none" w:sz="0" w:space="0" w:color="auto"/>
        <w:right w:val="none" w:sz="0" w:space="0" w:color="auto"/>
      </w:divBdr>
      <w:divsChild>
        <w:div w:id="780297253">
          <w:marLeft w:val="0"/>
          <w:marRight w:val="0"/>
          <w:marTop w:val="0"/>
          <w:marBottom w:val="0"/>
          <w:divBdr>
            <w:top w:val="none" w:sz="0" w:space="0" w:color="auto"/>
            <w:left w:val="none" w:sz="0" w:space="0" w:color="auto"/>
            <w:bottom w:val="none" w:sz="0" w:space="0" w:color="auto"/>
            <w:right w:val="none" w:sz="0" w:space="0" w:color="auto"/>
          </w:divBdr>
          <w:divsChild>
            <w:div w:id="483201246">
              <w:marLeft w:val="0"/>
              <w:marRight w:val="0"/>
              <w:marTop w:val="0"/>
              <w:marBottom w:val="0"/>
              <w:divBdr>
                <w:top w:val="none" w:sz="0" w:space="0" w:color="auto"/>
                <w:left w:val="none" w:sz="0" w:space="0" w:color="auto"/>
                <w:bottom w:val="none" w:sz="0" w:space="0" w:color="auto"/>
                <w:right w:val="none" w:sz="0" w:space="0" w:color="auto"/>
              </w:divBdr>
              <w:divsChild>
                <w:div w:id="1374232879">
                  <w:marLeft w:val="0"/>
                  <w:marRight w:val="0"/>
                  <w:marTop w:val="0"/>
                  <w:marBottom w:val="0"/>
                  <w:divBdr>
                    <w:top w:val="none" w:sz="0" w:space="0" w:color="auto"/>
                    <w:left w:val="none" w:sz="0" w:space="0" w:color="auto"/>
                    <w:bottom w:val="none" w:sz="0" w:space="0" w:color="auto"/>
                    <w:right w:val="none" w:sz="0" w:space="0" w:color="auto"/>
                  </w:divBdr>
                  <w:divsChild>
                    <w:div w:id="1686244041">
                      <w:marLeft w:val="0"/>
                      <w:marRight w:val="0"/>
                      <w:marTop w:val="0"/>
                      <w:marBottom w:val="0"/>
                      <w:divBdr>
                        <w:top w:val="none" w:sz="0" w:space="0" w:color="auto"/>
                        <w:left w:val="none" w:sz="0" w:space="0" w:color="auto"/>
                        <w:bottom w:val="none" w:sz="0" w:space="0" w:color="auto"/>
                        <w:right w:val="none" w:sz="0" w:space="0" w:color="auto"/>
                      </w:divBdr>
                      <w:divsChild>
                        <w:div w:id="162749219">
                          <w:marLeft w:val="0"/>
                          <w:marRight w:val="0"/>
                          <w:marTop w:val="0"/>
                          <w:marBottom w:val="0"/>
                          <w:divBdr>
                            <w:top w:val="none" w:sz="0" w:space="0" w:color="auto"/>
                            <w:left w:val="none" w:sz="0" w:space="0" w:color="auto"/>
                            <w:bottom w:val="none" w:sz="0" w:space="0" w:color="auto"/>
                            <w:right w:val="none" w:sz="0" w:space="0" w:color="auto"/>
                          </w:divBdr>
                          <w:divsChild>
                            <w:div w:id="671223272">
                              <w:marLeft w:val="0"/>
                              <w:marRight w:val="0"/>
                              <w:marTop w:val="0"/>
                              <w:marBottom w:val="0"/>
                              <w:divBdr>
                                <w:top w:val="none" w:sz="0" w:space="0" w:color="auto"/>
                                <w:left w:val="none" w:sz="0" w:space="0" w:color="auto"/>
                                <w:bottom w:val="none" w:sz="0" w:space="0" w:color="auto"/>
                                <w:right w:val="none" w:sz="0" w:space="0" w:color="auto"/>
                              </w:divBdr>
                              <w:divsChild>
                                <w:div w:id="11000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62994">
      <w:bodyDiv w:val="1"/>
      <w:marLeft w:val="0"/>
      <w:marRight w:val="0"/>
      <w:marTop w:val="0"/>
      <w:marBottom w:val="0"/>
      <w:divBdr>
        <w:top w:val="none" w:sz="0" w:space="0" w:color="auto"/>
        <w:left w:val="none" w:sz="0" w:space="0" w:color="auto"/>
        <w:bottom w:val="none" w:sz="0" w:space="0" w:color="auto"/>
        <w:right w:val="none" w:sz="0" w:space="0" w:color="auto"/>
      </w:divBdr>
    </w:div>
    <w:div w:id="219950020">
      <w:bodyDiv w:val="1"/>
      <w:marLeft w:val="0"/>
      <w:marRight w:val="0"/>
      <w:marTop w:val="0"/>
      <w:marBottom w:val="0"/>
      <w:divBdr>
        <w:top w:val="none" w:sz="0" w:space="0" w:color="auto"/>
        <w:left w:val="none" w:sz="0" w:space="0" w:color="auto"/>
        <w:bottom w:val="none" w:sz="0" w:space="0" w:color="auto"/>
        <w:right w:val="none" w:sz="0" w:space="0" w:color="auto"/>
      </w:divBdr>
    </w:div>
    <w:div w:id="237330470">
      <w:bodyDiv w:val="1"/>
      <w:marLeft w:val="0"/>
      <w:marRight w:val="0"/>
      <w:marTop w:val="0"/>
      <w:marBottom w:val="0"/>
      <w:divBdr>
        <w:top w:val="none" w:sz="0" w:space="0" w:color="auto"/>
        <w:left w:val="none" w:sz="0" w:space="0" w:color="auto"/>
        <w:bottom w:val="none" w:sz="0" w:space="0" w:color="auto"/>
        <w:right w:val="none" w:sz="0" w:space="0" w:color="auto"/>
      </w:divBdr>
    </w:div>
    <w:div w:id="254561560">
      <w:bodyDiv w:val="1"/>
      <w:marLeft w:val="0"/>
      <w:marRight w:val="0"/>
      <w:marTop w:val="0"/>
      <w:marBottom w:val="0"/>
      <w:divBdr>
        <w:top w:val="none" w:sz="0" w:space="0" w:color="auto"/>
        <w:left w:val="none" w:sz="0" w:space="0" w:color="auto"/>
        <w:bottom w:val="none" w:sz="0" w:space="0" w:color="auto"/>
        <w:right w:val="none" w:sz="0" w:space="0" w:color="auto"/>
      </w:divBdr>
    </w:div>
    <w:div w:id="257908889">
      <w:bodyDiv w:val="1"/>
      <w:marLeft w:val="0"/>
      <w:marRight w:val="0"/>
      <w:marTop w:val="0"/>
      <w:marBottom w:val="0"/>
      <w:divBdr>
        <w:top w:val="none" w:sz="0" w:space="0" w:color="auto"/>
        <w:left w:val="none" w:sz="0" w:space="0" w:color="auto"/>
        <w:bottom w:val="none" w:sz="0" w:space="0" w:color="auto"/>
        <w:right w:val="none" w:sz="0" w:space="0" w:color="auto"/>
      </w:divBdr>
    </w:div>
    <w:div w:id="280190132">
      <w:bodyDiv w:val="1"/>
      <w:marLeft w:val="0"/>
      <w:marRight w:val="0"/>
      <w:marTop w:val="0"/>
      <w:marBottom w:val="0"/>
      <w:divBdr>
        <w:top w:val="none" w:sz="0" w:space="0" w:color="auto"/>
        <w:left w:val="none" w:sz="0" w:space="0" w:color="auto"/>
        <w:bottom w:val="none" w:sz="0" w:space="0" w:color="auto"/>
        <w:right w:val="none" w:sz="0" w:space="0" w:color="auto"/>
      </w:divBdr>
    </w:div>
    <w:div w:id="289553197">
      <w:bodyDiv w:val="1"/>
      <w:marLeft w:val="0"/>
      <w:marRight w:val="0"/>
      <w:marTop w:val="0"/>
      <w:marBottom w:val="0"/>
      <w:divBdr>
        <w:top w:val="none" w:sz="0" w:space="0" w:color="auto"/>
        <w:left w:val="none" w:sz="0" w:space="0" w:color="auto"/>
        <w:bottom w:val="none" w:sz="0" w:space="0" w:color="auto"/>
        <w:right w:val="none" w:sz="0" w:space="0" w:color="auto"/>
      </w:divBdr>
    </w:div>
    <w:div w:id="292256250">
      <w:bodyDiv w:val="1"/>
      <w:marLeft w:val="0"/>
      <w:marRight w:val="0"/>
      <w:marTop w:val="0"/>
      <w:marBottom w:val="0"/>
      <w:divBdr>
        <w:top w:val="none" w:sz="0" w:space="0" w:color="auto"/>
        <w:left w:val="none" w:sz="0" w:space="0" w:color="auto"/>
        <w:bottom w:val="none" w:sz="0" w:space="0" w:color="auto"/>
        <w:right w:val="none" w:sz="0" w:space="0" w:color="auto"/>
      </w:divBdr>
    </w:div>
    <w:div w:id="309553587">
      <w:bodyDiv w:val="1"/>
      <w:marLeft w:val="0"/>
      <w:marRight w:val="0"/>
      <w:marTop w:val="0"/>
      <w:marBottom w:val="0"/>
      <w:divBdr>
        <w:top w:val="none" w:sz="0" w:space="0" w:color="auto"/>
        <w:left w:val="none" w:sz="0" w:space="0" w:color="auto"/>
        <w:bottom w:val="none" w:sz="0" w:space="0" w:color="auto"/>
        <w:right w:val="none" w:sz="0" w:space="0" w:color="auto"/>
      </w:divBdr>
    </w:div>
    <w:div w:id="328800442">
      <w:bodyDiv w:val="1"/>
      <w:marLeft w:val="0"/>
      <w:marRight w:val="0"/>
      <w:marTop w:val="0"/>
      <w:marBottom w:val="0"/>
      <w:divBdr>
        <w:top w:val="none" w:sz="0" w:space="0" w:color="auto"/>
        <w:left w:val="none" w:sz="0" w:space="0" w:color="auto"/>
        <w:bottom w:val="none" w:sz="0" w:space="0" w:color="auto"/>
        <w:right w:val="none" w:sz="0" w:space="0" w:color="auto"/>
      </w:divBdr>
    </w:div>
    <w:div w:id="328951575">
      <w:bodyDiv w:val="1"/>
      <w:marLeft w:val="0"/>
      <w:marRight w:val="0"/>
      <w:marTop w:val="0"/>
      <w:marBottom w:val="0"/>
      <w:divBdr>
        <w:top w:val="none" w:sz="0" w:space="0" w:color="auto"/>
        <w:left w:val="none" w:sz="0" w:space="0" w:color="auto"/>
        <w:bottom w:val="none" w:sz="0" w:space="0" w:color="auto"/>
        <w:right w:val="none" w:sz="0" w:space="0" w:color="auto"/>
      </w:divBdr>
    </w:div>
    <w:div w:id="333997466">
      <w:bodyDiv w:val="1"/>
      <w:marLeft w:val="0"/>
      <w:marRight w:val="0"/>
      <w:marTop w:val="0"/>
      <w:marBottom w:val="0"/>
      <w:divBdr>
        <w:top w:val="none" w:sz="0" w:space="0" w:color="auto"/>
        <w:left w:val="none" w:sz="0" w:space="0" w:color="auto"/>
        <w:bottom w:val="none" w:sz="0" w:space="0" w:color="auto"/>
        <w:right w:val="none" w:sz="0" w:space="0" w:color="auto"/>
      </w:divBdr>
    </w:div>
    <w:div w:id="334504876">
      <w:bodyDiv w:val="1"/>
      <w:marLeft w:val="0"/>
      <w:marRight w:val="0"/>
      <w:marTop w:val="0"/>
      <w:marBottom w:val="0"/>
      <w:divBdr>
        <w:top w:val="none" w:sz="0" w:space="0" w:color="auto"/>
        <w:left w:val="none" w:sz="0" w:space="0" w:color="auto"/>
        <w:bottom w:val="none" w:sz="0" w:space="0" w:color="auto"/>
        <w:right w:val="none" w:sz="0" w:space="0" w:color="auto"/>
      </w:divBdr>
    </w:div>
    <w:div w:id="372774070">
      <w:bodyDiv w:val="1"/>
      <w:marLeft w:val="0"/>
      <w:marRight w:val="0"/>
      <w:marTop w:val="0"/>
      <w:marBottom w:val="0"/>
      <w:divBdr>
        <w:top w:val="none" w:sz="0" w:space="0" w:color="auto"/>
        <w:left w:val="none" w:sz="0" w:space="0" w:color="auto"/>
        <w:bottom w:val="none" w:sz="0" w:space="0" w:color="auto"/>
        <w:right w:val="none" w:sz="0" w:space="0" w:color="auto"/>
      </w:divBdr>
    </w:div>
    <w:div w:id="377244659">
      <w:bodyDiv w:val="1"/>
      <w:marLeft w:val="0"/>
      <w:marRight w:val="0"/>
      <w:marTop w:val="0"/>
      <w:marBottom w:val="0"/>
      <w:divBdr>
        <w:top w:val="none" w:sz="0" w:space="0" w:color="auto"/>
        <w:left w:val="none" w:sz="0" w:space="0" w:color="auto"/>
        <w:bottom w:val="none" w:sz="0" w:space="0" w:color="auto"/>
        <w:right w:val="none" w:sz="0" w:space="0" w:color="auto"/>
      </w:divBdr>
    </w:div>
    <w:div w:id="379986984">
      <w:bodyDiv w:val="1"/>
      <w:marLeft w:val="0"/>
      <w:marRight w:val="0"/>
      <w:marTop w:val="0"/>
      <w:marBottom w:val="0"/>
      <w:divBdr>
        <w:top w:val="none" w:sz="0" w:space="0" w:color="auto"/>
        <w:left w:val="none" w:sz="0" w:space="0" w:color="auto"/>
        <w:bottom w:val="none" w:sz="0" w:space="0" w:color="auto"/>
        <w:right w:val="none" w:sz="0" w:space="0" w:color="auto"/>
      </w:divBdr>
    </w:div>
    <w:div w:id="391389135">
      <w:bodyDiv w:val="1"/>
      <w:marLeft w:val="0"/>
      <w:marRight w:val="0"/>
      <w:marTop w:val="0"/>
      <w:marBottom w:val="0"/>
      <w:divBdr>
        <w:top w:val="none" w:sz="0" w:space="0" w:color="auto"/>
        <w:left w:val="none" w:sz="0" w:space="0" w:color="auto"/>
        <w:bottom w:val="none" w:sz="0" w:space="0" w:color="auto"/>
        <w:right w:val="none" w:sz="0" w:space="0" w:color="auto"/>
      </w:divBdr>
    </w:div>
    <w:div w:id="413169356">
      <w:bodyDiv w:val="1"/>
      <w:marLeft w:val="0"/>
      <w:marRight w:val="0"/>
      <w:marTop w:val="0"/>
      <w:marBottom w:val="0"/>
      <w:divBdr>
        <w:top w:val="none" w:sz="0" w:space="0" w:color="auto"/>
        <w:left w:val="none" w:sz="0" w:space="0" w:color="auto"/>
        <w:bottom w:val="none" w:sz="0" w:space="0" w:color="auto"/>
        <w:right w:val="none" w:sz="0" w:space="0" w:color="auto"/>
      </w:divBdr>
    </w:div>
    <w:div w:id="416177142">
      <w:bodyDiv w:val="1"/>
      <w:marLeft w:val="0"/>
      <w:marRight w:val="0"/>
      <w:marTop w:val="0"/>
      <w:marBottom w:val="0"/>
      <w:divBdr>
        <w:top w:val="none" w:sz="0" w:space="0" w:color="auto"/>
        <w:left w:val="none" w:sz="0" w:space="0" w:color="auto"/>
        <w:bottom w:val="none" w:sz="0" w:space="0" w:color="auto"/>
        <w:right w:val="none" w:sz="0" w:space="0" w:color="auto"/>
      </w:divBdr>
      <w:divsChild>
        <w:div w:id="607154134">
          <w:marLeft w:val="0"/>
          <w:marRight w:val="0"/>
          <w:marTop w:val="0"/>
          <w:marBottom w:val="0"/>
          <w:divBdr>
            <w:top w:val="none" w:sz="0" w:space="0" w:color="auto"/>
            <w:left w:val="none" w:sz="0" w:space="0" w:color="auto"/>
            <w:bottom w:val="none" w:sz="0" w:space="0" w:color="auto"/>
            <w:right w:val="none" w:sz="0" w:space="0" w:color="auto"/>
          </w:divBdr>
          <w:divsChild>
            <w:div w:id="1360593090">
              <w:marLeft w:val="0"/>
              <w:marRight w:val="0"/>
              <w:marTop w:val="0"/>
              <w:marBottom w:val="0"/>
              <w:divBdr>
                <w:top w:val="none" w:sz="0" w:space="0" w:color="auto"/>
                <w:left w:val="none" w:sz="0" w:space="0" w:color="auto"/>
                <w:bottom w:val="none" w:sz="0" w:space="0" w:color="auto"/>
                <w:right w:val="none" w:sz="0" w:space="0" w:color="auto"/>
              </w:divBdr>
              <w:divsChild>
                <w:div w:id="2259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08977">
      <w:bodyDiv w:val="1"/>
      <w:marLeft w:val="0"/>
      <w:marRight w:val="0"/>
      <w:marTop w:val="0"/>
      <w:marBottom w:val="0"/>
      <w:divBdr>
        <w:top w:val="none" w:sz="0" w:space="0" w:color="auto"/>
        <w:left w:val="none" w:sz="0" w:space="0" w:color="auto"/>
        <w:bottom w:val="none" w:sz="0" w:space="0" w:color="auto"/>
        <w:right w:val="none" w:sz="0" w:space="0" w:color="auto"/>
      </w:divBdr>
    </w:div>
    <w:div w:id="420487346">
      <w:bodyDiv w:val="1"/>
      <w:marLeft w:val="0"/>
      <w:marRight w:val="0"/>
      <w:marTop w:val="0"/>
      <w:marBottom w:val="0"/>
      <w:divBdr>
        <w:top w:val="none" w:sz="0" w:space="0" w:color="auto"/>
        <w:left w:val="none" w:sz="0" w:space="0" w:color="auto"/>
        <w:bottom w:val="none" w:sz="0" w:space="0" w:color="auto"/>
        <w:right w:val="none" w:sz="0" w:space="0" w:color="auto"/>
      </w:divBdr>
    </w:div>
    <w:div w:id="425614109">
      <w:bodyDiv w:val="1"/>
      <w:marLeft w:val="0"/>
      <w:marRight w:val="0"/>
      <w:marTop w:val="0"/>
      <w:marBottom w:val="0"/>
      <w:divBdr>
        <w:top w:val="none" w:sz="0" w:space="0" w:color="auto"/>
        <w:left w:val="none" w:sz="0" w:space="0" w:color="auto"/>
        <w:bottom w:val="none" w:sz="0" w:space="0" w:color="auto"/>
        <w:right w:val="none" w:sz="0" w:space="0" w:color="auto"/>
      </w:divBdr>
      <w:divsChild>
        <w:div w:id="1626807315">
          <w:marLeft w:val="0"/>
          <w:marRight w:val="0"/>
          <w:marTop w:val="0"/>
          <w:marBottom w:val="0"/>
          <w:divBdr>
            <w:top w:val="none" w:sz="0" w:space="0" w:color="auto"/>
            <w:left w:val="none" w:sz="0" w:space="0" w:color="auto"/>
            <w:bottom w:val="none" w:sz="0" w:space="0" w:color="auto"/>
            <w:right w:val="none" w:sz="0" w:space="0" w:color="auto"/>
          </w:divBdr>
        </w:div>
      </w:divsChild>
    </w:div>
    <w:div w:id="426392066">
      <w:bodyDiv w:val="1"/>
      <w:marLeft w:val="0"/>
      <w:marRight w:val="0"/>
      <w:marTop w:val="0"/>
      <w:marBottom w:val="0"/>
      <w:divBdr>
        <w:top w:val="none" w:sz="0" w:space="0" w:color="auto"/>
        <w:left w:val="none" w:sz="0" w:space="0" w:color="auto"/>
        <w:bottom w:val="none" w:sz="0" w:space="0" w:color="auto"/>
        <w:right w:val="none" w:sz="0" w:space="0" w:color="auto"/>
      </w:divBdr>
    </w:div>
    <w:div w:id="442766205">
      <w:bodyDiv w:val="1"/>
      <w:marLeft w:val="0"/>
      <w:marRight w:val="0"/>
      <w:marTop w:val="0"/>
      <w:marBottom w:val="0"/>
      <w:divBdr>
        <w:top w:val="none" w:sz="0" w:space="0" w:color="auto"/>
        <w:left w:val="none" w:sz="0" w:space="0" w:color="auto"/>
        <w:bottom w:val="none" w:sz="0" w:space="0" w:color="auto"/>
        <w:right w:val="none" w:sz="0" w:space="0" w:color="auto"/>
      </w:divBdr>
    </w:div>
    <w:div w:id="445396327">
      <w:bodyDiv w:val="1"/>
      <w:marLeft w:val="0"/>
      <w:marRight w:val="0"/>
      <w:marTop w:val="0"/>
      <w:marBottom w:val="0"/>
      <w:divBdr>
        <w:top w:val="none" w:sz="0" w:space="0" w:color="auto"/>
        <w:left w:val="none" w:sz="0" w:space="0" w:color="auto"/>
        <w:bottom w:val="none" w:sz="0" w:space="0" w:color="auto"/>
        <w:right w:val="none" w:sz="0" w:space="0" w:color="auto"/>
      </w:divBdr>
      <w:divsChild>
        <w:div w:id="288705902">
          <w:marLeft w:val="0"/>
          <w:marRight w:val="0"/>
          <w:marTop w:val="0"/>
          <w:marBottom w:val="0"/>
          <w:divBdr>
            <w:top w:val="none" w:sz="0" w:space="0" w:color="auto"/>
            <w:left w:val="none" w:sz="0" w:space="0" w:color="auto"/>
            <w:bottom w:val="none" w:sz="0" w:space="0" w:color="auto"/>
            <w:right w:val="none" w:sz="0" w:space="0" w:color="auto"/>
          </w:divBdr>
        </w:div>
      </w:divsChild>
    </w:div>
    <w:div w:id="451559461">
      <w:bodyDiv w:val="1"/>
      <w:marLeft w:val="0"/>
      <w:marRight w:val="0"/>
      <w:marTop w:val="0"/>
      <w:marBottom w:val="0"/>
      <w:divBdr>
        <w:top w:val="none" w:sz="0" w:space="0" w:color="auto"/>
        <w:left w:val="none" w:sz="0" w:space="0" w:color="auto"/>
        <w:bottom w:val="none" w:sz="0" w:space="0" w:color="auto"/>
        <w:right w:val="none" w:sz="0" w:space="0" w:color="auto"/>
      </w:divBdr>
    </w:div>
    <w:div w:id="470098009">
      <w:bodyDiv w:val="1"/>
      <w:marLeft w:val="0"/>
      <w:marRight w:val="0"/>
      <w:marTop w:val="0"/>
      <w:marBottom w:val="0"/>
      <w:divBdr>
        <w:top w:val="none" w:sz="0" w:space="0" w:color="auto"/>
        <w:left w:val="none" w:sz="0" w:space="0" w:color="auto"/>
        <w:bottom w:val="none" w:sz="0" w:space="0" w:color="auto"/>
        <w:right w:val="none" w:sz="0" w:space="0" w:color="auto"/>
      </w:divBdr>
    </w:div>
    <w:div w:id="489098948">
      <w:bodyDiv w:val="1"/>
      <w:marLeft w:val="0"/>
      <w:marRight w:val="0"/>
      <w:marTop w:val="0"/>
      <w:marBottom w:val="0"/>
      <w:divBdr>
        <w:top w:val="none" w:sz="0" w:space="0" w:color="auto"/>
        <w:left w:val="none" w:sz="0" w:space="0" w:color="auto"/>
        <w:bottom w:val="none" w:sz="0" w:space="0" w:color="auto"/>
        <w:right w:val="none" w:sz="0" w:space="0" w:color="auto"/>
      </w:divBdr>
    </w:div>
    <w:div w:id="489560147">
      <w:bodyDiv w:val="1"/>
      <w:marLeft w:val="0"/>
      <w:marRight w:val="0"/>
      <w:marTop w:val="0"/>
      <w:marBottom w:val="0"/>
      <w:divBdr>
        <w:top w:val="none" w:sz="0" w:space="0" w:color="auto"/>
        <w:left w:val="none" w:sz="0" w:space="0" w:color="auto"/>
        <w:bottom w:val="none" w:sz="0" w:space="0" w:color="auto"/>
        <w:right w:val="none" w:sz="0" w:space="0" w:color="auto"/>
      </w:divBdr>
    </w:div>
    <w:div w:id="499349050">
      <w:bodyDiv w:val="1"/>
      <w:marLeft w:val="0"/>
      <w:marRight w:val="0"/>
      <w:marTop w:val="0"/>
      <w:marBottom w:val="0"/>
      <w:divBdr>
        <w:top w:val="none" w:sz="0" w:space="0" w:color="auto"/>
        <w:left w:val="none" w:sz="0" w:space="0" w:color="auto"/>
        <w:bottom w:val="none" w:sz="0" w:space="0" w:color="auto"/>
        <w:right w:val="none" w:sz="0" w:space="0" w:color="auto"/>
      </w:divBdr>
    </w:div>
    <w:div w:id="518012401">
      <w:bodyDiv w:val="1"/>
      <w:marLeft w:val="0"/>
      <w:marRight w:val="0"/>
      <w:marTop w:val="0"/>
      <w:marBottom w:val="0"/>
      <w:divBdr>
        <w:top w:val="none" w:sz="0" w:space="0" w:color="auto"/>
        <w:left w:val="none" w:sz="0" w:space="0" w:color="auto"/>
        <w:bottom w:val="none" w:sz="0" w:space="0" w:color="auto"/>
        <w:right w:val="none" w:sz="0" w:space="0" w:color="auto"/>
      </w:divBdr>
      <w:divsChild>
        <w:div w:id="1270158275">
          <w:marLeft w:val="0"/>
          <w:marRight w:val="0"/>
          <w:marTop w:val="0"/>
          <w:marBottom w:val="0"/>
          <w:divBdr>
            <w:top w:val="none" w:sz="0" w:space="0" w:color="auto"/>
            <w:left w:val="none" w:sz="0" w:space="0" w:color="auto"/>
            <w:bottom w:val="none" w:sz="0" w:space="0" w:color="auto"/>
            <w:right w:val="none" w:sz="0" w:space="0" w:color="auto"/>
          </w:divBdr>
          <w:divsChild>
            <w:div w:id="335961286">
              <w:marLeft w:val="0"/>
              <w:marRight w:val="0"/>
              <w:marTop w:val="0"/>
              <w:marBottom w:val="0"/>
              <w:divBdr>
                <w:top w:val="none" w:sz="0" w:space="0" w:color="auto"/>
                <w:left w:val="none" w:sz="0" w:space="0" w:color="auto"/>
                <w:bottom w:val="none" w:sz="0" w:space="0" w:color="auto"/>
                <w:right w:val="none" w:sz="0" w:space="0" w:color="auto"/>
              </w:divBdr>
              <w:divsChild>
                <w:div w:id="9130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442536">
      <w:bodyDiv w:val="1"/>
      <w:marLeft w:val="0"/>
      <w:marRight w:val="0"/>
      <w:marTop w:val="0"/>
      <w:marBottom w:val="0"/>
      <w:divBdr>
        <w:top w:val="none" w:sz="0" w:space="0" w:color="auto"/>
        <w:left w:val="none" w:sz="0" w:space="0" w:color="auto"/>
        <w:bottom w:val="none" w:sz="0" w:space="0" w:color="auto"/>
        <w:right w:val="none" w:sz="0" w:space="0" w:color="auto"/>
      </w:divBdr>
    </w:div>
    <w:div w:id="533005081">
      <w:bodyDiv w:val="1"/>
      <w:marLeft w:val="0"/>
      <w:marRight w:val="0"/>
      <w:marTop w:val="0"/>
      <w:marBottom w:val="0"/>
      <w:divBdr>
        <w:top w:val="none" w:sz="0" w:space="0" w:color="auto"/>
        <w:left w:val="none" w:sz="0" w:space="0" w:color="auto"/>
        <w:bottom w:val="none" w:sz="0" w:space="0" w:color="auto"/>
        <w:right w:val="none" w:sz="0" w:space="0" w:color="auto"/>
      </w:divBdr>
    </w:div>
    <w:div w:id="548686646">
      <w:bodyDiv w:val="1"/>
      <w:marLeft w:val="0"/>
      <w:marRight w:val="0"/>
      <w:marTop w:val="0"/>
      <w:marBottom w:val="0"/>
      <w:divBdr>
        <w:top w:val="none" w:sz="0" w:space="0" w:color="auto"/>
        <w:left w:val="none" w:sz="0" w:space="0" w:color="auto"/>
        <w:bottom w:val="none" w:sz="0" w:space="0" w:color="auto"/>
        <w:right w:val="none" w:sz="0" w:space="0" w:color="auto"/>
      </w:divBdr>
    </w:div>
    <w:div w:id="551969079">
      <w:bodyDiv w:val="1"/>
      <w:marLeft w:val="0"/>
      <w:marRight w:val="0"/>
      <w:marTop w:val="0"/>
      <w:marBottom w:val="0"/>
      <w:divBdr>
        <w:top w:val="none" w:sz="0" w:space="0" w:color="auto"/>
        <w:left w:val="none" w:sz="0" w:space="0" w:color="auto"/>
        <w:bottom w:val="none" w:sz="0" w:space="0" w:color="auto"/>
        <w:right w:val="none" w:sz="0" w:space="0" w:color="auto"/>
      </w:divBdr>
    </w:div>
    <w:div w:id="568998097">
      <w:bodyDiv w:val="1"/>
      <w:marLeft w:val="0"/>
      <w:marRight w:val="0"/>
      <w:marTop w:val="0"/>
      <w:marBottom w:val="0"/>
      <w:divBdr>
        <w:top w:val="none" w:sz="0" w:space="0" w:color="auto"/>
        <w:left w:val="none" w:sz="0" w:space="0" w:color="auto"/>
        <w:bottom w:val="none" w:sz="0" w:space="0" w:color="auto"/>
        <w:right w:val="none" w:sz="0" w:space="0" w:color="auto"/>
      </w:divBdr>
      <w:divsChild>
        <w:div w:id="509635993">
          <w:marLeft w:val="0"/>
          <w:marRight w:val="0"/>
          <w:marTop w:val="0"/>
          <w:marBottom w:val="0"/>
          <w:divBdr>
            <w:top w:val="none" w:sz="0" w:space="0" w:color="auto"/>
            <w:left w:val="none" w:sz="0" w:space="0" w:color="auto"/>
            <w:bottom w:val="none" w:sz="0" w:space="0" w:color="auto"/>
            <w:right w:val="none" w:sz="0" w:space="0" w:color="auto"/>
          </w:divBdr>
        </w:div>
      </w:divsChild>
    </w:div>
    <w:div w:id="570235629">
      <w:bodyDiv w:val="1"/>
      <w:marLeft w:val="0"/>
      <w:marRight w:val="0"/>
      <w:marTop w:val="0"/>
      <w:marBottom w:val="0"/>
      <w:divBdr>
        <w:top w:val="none" w:sz="0" w:space="0" w:color="auto"/>
        <w:left w:val="none" w:sz="0" w:space="0" w:color="auto"/>
        <w:bottom w:val="none" w:sz="0" w:space="0" w:color="auto"/>
        <w:right w:val="none" w:sz="0" w:space="0" w:color="auto"/>
      </w:divBdr>
      <w:divsChild>
        <w:div w:id="1286153816">
          <w:marLeft w:val="0"/>
          <w:marRight w:val="0"/>
          <w:marTop w:val="0"/>
          <w:marBottom w:val="0"/>
          <w:divBdr>
            <w:top w:val="single" w:sz="2" w:space="0" w:color="auto"/>
            <w:left w:val="single" w:sz="2" w:space="0" w:color="auto"/>
            <w:bottom w:val="single" w:sz="6" w:space="0" w:color="auto"/>
            <w:right w:val="single" w:sz="2" w:space="0" w:color="auto"/>
          </w:divBdr>
          <w:divsChild>
            <w:div w:id="1701009896">
              <w:marLeft w:val="0"/>
              <w:marRight w:val="0"/>
              <w:marTop w:val="100"/>
              <w:marBottom w:val="100"/>
              <w:divBdr>
                <w:top w:val="single" w:sz="2" w:space="0" w:color="D9D9E3"/>
                <w:left w:val="single" w:sz="2" w:space="0" w:color="D9D9E3"/>
                <w:bottom w:val="single" w:sz="2" w:space="0" w:color="D9D9E3"/>
                <w:right w:val="single" w:sz="2" w:space="0" w:color="D9D9E3"/>
              </w:divBdr>
              <w:divsChild>
                <w:div w:id="790510675">
                  <w:marLeft w:val="0"/>
                  <w:marRight w:val="0"/>
                  <w:marTop w:val="0"/>
                  <w:marBottom w:val="0"/>
                  <w:divBdr>
                    <w:top w:val="single" w:sz="2" w:space="0" w:color="D9D9E3"/>
                    <w:left w:val="single" w:sz="2" w:space="0" w:color="D9D9E3"/>
                    <w:bottom w:val="single" w:sz="2" w:space="0" w:color="D9D9E3"/>
                    <w:right w:val="single" w:sz="2" w:space="0" w:color="D9D9E3"/>
                  </w:divBdr>
                  <w:divsChild>
                    <w:div w:id="1756852647">
                      <w:marLeft w:val="0"/>
                      <w:marRight w:val="0"/>
                      <w:marTop w:val="0"/>
                      <w:marBottom w:val="0"/>
                      <w:divBdr>
                        <w:top w:val="single" w:sz="2" w:space="0" w:color="D9D9E3"/>
                        <w:left w:val="single" w:sz="2" w:space="0" w:color="D9D9E3"/>
                        <w:bottom w:val="single" w:sz="2" w:space="0" w:color="D9D9E3"/>
                        <w:right w:val="single" w:sz="2" w:space="0" w:color="D9D9E3"/>
                      </w:divBdr>
                      <w:divsChild>
                        <w:div w:id="1743526359">
                          <w:marLeft w:val="0"/>
                          <w:marRight w:val="0"/>
                          <w:marTop w:val="0"/>
                          <w:marBottom w:val="0"/>
                          <w:divBdr>
                            <w:top w:val="single" w:sz="2" w:space="0" w:color="D9D9E3"/>
                            <w:left w:val="single" w:sz="2" w:space="0" w:color="D9D9E3"/>
                            <w:bottom w:val="single" w:sz="2" w:space="0" w:color="D9D9E3"/>
                            <w:right w:val="single" w:sz="2" w:space="0" w:color="D9D9E3"/>
                          </w:divBdr>
                          <w:divsChild>
                            <w:div w:id="20864194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72469322">
      <w:bodyDiv w:val="1"/>
      <w:marLeft w:val="0"/>
      <w:marRight w:val="0"/>
      <w:marTop w:val="0"/>
      <w:marBottom w:val="0"/>
      <w:divBdr>
        <w:top w:val="none" w:sz="0" w:space="0" w:color="auto"/>
        <w:left w:val="none" w:sz="0" w:space="0" w:color="auto"/>
        <w:bottom w:val="none" w:sz="0" w:space="0" w:color="auto"/>
        <w:right w:val="none" w:sz="0" w:space="0" w:color="auto"/>
      </w:divBdr>
      <w:divsChild>
        <w:div w:id="850683655">
          <w:marLeft w:val="0"/>
          <w:marRight w:val="0"/>
          <w:marTop w:val="0"/>
          <w:marBottom w:val="0"/>
          <w:divBdr>
            <w:top w:val="none" w:sz="0" w:space="0" w:color="auto"/>
            <w:left w:val="none" w:sz="0" w:space="0" w:color="auto"/>
            <w:bottom w:val="none" w:sz="0" w:space="0" w:color="auto"/>
            <w:right w:val="none" w:sz="0" w:space="0" w:color="auto"/>
          </w:divBdr>
        </w:div>
      </w:divsChild>
    </w:div>
    <w:div w:id="573248920">
      <w:bodyDiv w:val="1"/>
      <w:marLeft w:val="0"/>
      <w:marRight w:val="0"/>
      <w:marTop w:val="0"/>
      <w:marBottom w:val="0"/>
      <w:divBdr>
        <w:top w:val="none" w:sz="0" w:space="0" w:color="auto"/>
        <w:left w:val="none" w:sz="0" w:space="0" w:color="auto"/>
        <w:bottom w:val="none" w:sz="0" w:space="0" w:color="auto"/>
        <w:right w:val="none" w:sz="0" w:space="0" w:color="auto"/>
      </w:divBdr>
    </w:div>
    <w:div w:id="573315767">
      <w:bodyDiv w:val="1"/>
      <w:marLeft w:val="0"/>
      <w:marRight w:val="0"/>
      <w:marTop w:val="0"/>
      <w:marBottom w:val="0"/>
      <w:divBdr>
        <w:top w:val="none" w:sz="0" w:space="0" w:color="auto"/>
        <w:left w:val="none" w:sz="0" w:space="0" w:color="auto"/>
        <w:bottom w:val="none" w:sz="0" w:space="0" w:color="auto"/>
        <w:right w:val="none" w:sz="0" w:space="0" w:color="auto"/>
      </w:divBdr>
    </w:div>
    <w:div w:id="603617617">
      <w:bodyDiv w:val="1"/>
      <w:marLeft w:val="0"/>
      <w:marRight w:val="0"/>
      <w:marTop w:val="0"/>
      <w:marBottom w:val="0"/>
      <w:divBdr>
        <w:top w:val="none" w:sz="0" w:space="0" w:color="auto"/>
        <w:left w:val="none" w:sz="0" w:space="0" w:color="auto"/>
        <w:bottom w:val="none" w:sz="0" w:space="0" w:color="auto"/>
        <w:right w:val="none" w:sz="0" w:space="0" w:color="auto"/>
      </w:divBdr>
    </w:div>
    <w:div w:id="656690074">
      <w:bodyDiv w:val="1"/>
      <w:marLeft w:val="0"/>
      <w:marRight w:val="0"/>
      <w:marTop w:val="0"/>
      <w:marBottom w:val="0"/>
      <w:divBdr>
        <w:top w:val="none" w:sz="0" w:space="0" w:color="auto"/>
        <w:left w:val="none" w:sz="0" w:space="0" w:color="auto"/>
        <w:bottom w:val="none" w:sz="0" w:space="0" w:color="auto"/>
        <w:right w:val="none" w:sz="0" w:space="0" w:color="auto"/>
      </w:divBdr>
    </w:div>
    <w:div w:id="662897169">
      <w:bodyDiv w:val="1"/>
      <w:marLeft w:val="0"/>
      <w:marRight w:val="0"/>
      <w:marTop w:val="0"/>
      <w:marBottom w:val="0"/>
      <w:divBdr>
        <w:top w:val="none" w:sz="0" w:space="0" w:color="auto"/>
        <w:left w:val="none" w:sz="0" w:space="0" w:color="auto"/>
        <w:bottom w:val="none" w:sz="0" w:space="0" w:color="auto"/>
        <w:right w:val="none" w:sz="0" w:space="0" w:color="auto"/>
      </w:divBdr>
    </w:div>
    <w:div w:id="664745995">
      <w:bodyDiv w:val="1"/>
      <w:marLeft w:val="0"/>
      <w:marRight w:val="0"/>
      <w:marTop w:val="0"/>
      <w:marBottom w:val="0"/>
      <w:divBdr>
        <w:top w:val="none" w:sz="0" w:space="0" w:color="auto"/>
        <w:left w:val="none" w:sz="0" w:space="0" w:color="auto"/>
        <w:bottom w:val="none" w:sz="0" w:space="0" w:color="auto"/>
        <w:right w:val="none" w:sz="0" w:space="0" w:color="auto"/>
      </w:divBdr>
    </w:div>
    <w:div w:id="676077022">
      <w:bodyDiv w:val="1"/>
      <w:marLeft w:val="0"/>
      <w:marRight w:val="0"/>
      <w:marTop w:val="0"/>
      <w:marBottom w:val="0"/>
      <w:divBdr>
        <w:top w:val="none" w:sz="0" w:space="0" w:color="auto"/>
        <w:left w:val="none" w:sz="0" w:space="0" w:color="auto"/>
        <w:bottom w:val="none" w:sz="0" w:space="0" w:color="auto"/>
        <w:right w:val="none" w:sz="0" w:space="0" w:color="auto"/>
      </w:divBdr>
      <w:divsChild>
        <w:div w:id="1079714356">
          <w:marLeft w:val="0"/>
          <w:marRight w:val="0"/>
          <w:marTop w:val="0"/>
          <w:marBottom w:val="0"/>
          <w:divBdr>
            <w:top w:val="none" w:sz="0" w:space="0" w:color="auto"/>
            <w:left w:val="none" w:sz="0" w:space="0" w:color="auto"/>
            <w:bottom w:val="none" w:sz="0" w:space="0" w:color="auto"/>
            <w:right w:val="none" w:sz="0" w:space="0" w:color="auto"/>
          </w:divBdr>
        </w:div>
      </w:divsChild>
    </w:div>
    <w:div w:id="681051524">
      <w:bodyDiv w:val="1"/>
      <w:marLeft w:val="0"/>
      <w:marRight w:val="0"/>
      <w:marTop w:val="0"/>
      <w:marBottom w:val="0"/>
      <w:divBdr>
        <w:top w:val="none" w:sz="0" w:space="0" w:color="auto"/>
        <w:left w:val="none" w:sz="0" w:space="0" w:color="auto"/>
        <w:bottom w:val="none" w:sz="0" w:space="0" w:color="auto"/>
        <w:right w:val="none" w:sz="0" w:space="0" w:color="auto"/>
      </w:divBdr>
    </w:div>
    <w:div w:id="684552453">
      <w:bodyDiv w:val="1"/>
      <w:marLeft w:val="0"/>
      <w:marRight w:val="0"/>
      <w:marTop w:val="0"/>
      <w:marBottom w:val="0"/>
      <w:divBdr>
        <w:top w:val="none" w:sz="0" w:space="0" w:color="auto"/>
        <w:left w:val="none" w:sz="0" w:space="0" w:color="auto"/>
        <w:bottom w:val="none" w:sz="0" w:space="0" w:color="auto"/>
        <w:right w:val="none" w:sz="0" w:space="0" w:color="auto"/>
      </w:divBdr>
    </w:div>
    <w:div w:id="689185780">
      <w:bodyDiv w:val="1"/>
      <w:marLeft w:val="0"/>
      <w:marRight w:val="0"/>
      <w:marTop w:val="0"/>
      <w:marBottom w:val="0"/>
      <w:divBdr>
        <w:top w:val="none" w:sz="0" w:space="0" w:color="auto"/>
        <w:left w:val="none" w:sz="0" w:space="0" w:color="auto"/>
        <w:bottom w:val="none" w:sz="0" w:space="0" w:color="auto"/>
        <w:right w:val="none" w:sz="0" w:space="0" w:color="auto"/>
      </w:divBdr>
    </w:div>
    <w:div w:id="694885458">
      <w:bodyDiv w:val="1"/>
      <w:marLeft w:val="0"/>
      <w:marRight w:val="0"/>
      <w:marTop w:val="0"/>
      <w:marBottom w:val="0"/>
      <w:divBdr>
        <w:top w:val="none" w:sz="0" w:space="0" w:color="auto"/>
        <w:left w:val="none" w:sz="0" w:space="0" w:color="auto"/>
        <w:bottom w:val="none" w:sz="0" w:space="0" w:color="auto"/>
        <w:right w:val="none" w:sz="0" w:space="0" w:color="auto"/>
      </w:divBdr>
    </w:div>
    <w:div w:id="698092736">
      <w:bodyDiv w:val="1"/>
      <w:marLeft w:val="0"/>
      <w:marRight w:val="0"/>
      <w:marTop w:val="0"/>
      <w:marBottom w:val="0"/>
      <w:divBdr>
        <w:top w:val="none" w:sz="0" w:space="0" w:color="auto"/>
        <w:left w:val="none" w:sz="0" w:space="0" w:color="auto"/>
        <w:bottom w:val="none" w:sz="0" w:space="0" w:color="auto"/>
        <w:right w:val="none" w:sz="0" w:space="0" w:color="auto"/>
      </w:divBdr>
    </w:div>
    <w:div w:id="733117882">
      <w:bodyDiv w:val="1"/>
      <w:marLeft w:val="0"/>
      <w:marRight w:val="0"/>
      <w:marTop w:val="0"/>
      <w:marBottom w:val="0"/>
      <w:divBdr>
        <w:top w:val="none" w:sz="0" w:space="0" w:color="auto"/>
        <w:left w:val="none" w:sz="0" w:space="0" w:color="auto"/>
        <w:bottom w:val="none" w:sz="0" w:space="0" w:color="auto"/>
        <w:right w:val="none" w:sz="0" w:space="0" w:color="auto"/>
      </w:divBdr>
    </w:div>
    <w:div w:id="737555261">
      <w:bodyDiv w:val="1"/>
      <w:marLeft w:val="0"/>
      <w:marRight w:val="0"/>
      <w:marTop w:val="0"/>
      <w:marBottom w:val="0"/>
      <w:divBdr>
        <w:top w:val="none" w:sz="0" w:space="0" w:color="auto"/>
        <w:left w:val="none" w:sz="0" w:space="0" w:color="auto"/>
        <w:bottom w:val="none" w:sz="0" w:space="0" w:color="auto"/>
        <w:right w:val="none" w:sz="0" w:space="0" w:color="auto"/>
      </w:divBdr>
    </w:div>
    <w:div w:id="764959331">
      <w:bodyDiv w:val="1"/>
      <w:marLeft w:val="0"/>
      <w:marRight w:val="0"/>
      <w:marTop w:val="0"/>
      <w:marBottom w:val="0"/>
      <w:divBdr>
        <w:top w:val="none" w:sz="0" w:space="0" w:color="auto"/>
        <w:left w:val="none" w:sz="0" w:space="0" w:color="auto"/>
        <w:bottom w:val="none" w:sz="0" w:space="0" w:color="auto"/>
        <w:right w:val="none" w:sz="0" w:space="0" w:color="auto"/>
      </w:divBdr>
    </w:div>
    <w:div w:id="775295911">
      <w:bodyDiv w:val="1"/>
      <w:marLeft w:val="0"/>
      <w:marRight w:val="0"/>
      <w:marTop w:val="0"/>
      <w:marBottom w:val="0"/>
      <w:divBdr>
        <w:top w:val="none" w:sz="0" w:space="0" w:color="auto"/>
        <w:left w:val="none" w:sz="0" w:space="0" w:color="auto"/>
        <w:bottom w:val="none" w:sz="0" w:space="0" w:color="auto"/>
        <w:right w:val="none" w:sz="0" w:space="0" w:color="auto"/>
      </w:divBdr>
    </w:div>
    <w:div w:id="783773653">
      <w:bodyDiv w:val="1"/>
      <w:marLeft w:val="0"/>
      <w:marRight w:val="0"/>
      <w:marTop w:val="0"/>
      <w:marBottom w:val="0"/>
      <w:divBdr>
        <w:top w:val="none" w:sz="0" w:space="0" w:color="auto"/>
        <w:left w:val="none" w:sz="0" w:space="0" w:color="auto"/>
        <w:bottom w:val="none" w:sz="0" w:space="0" w:color="auto"/>
        <w:right w:val="none" w:sz="0" w:space="0" w:color="auto"/>
      </w:divBdr>
      <w:divsChild>
        <w:div w:id="1809975438">
          <w:marLeft w:val="0"/>
          <w:marRight w:val="0"/>
          <w:marTop w:val="0"/>
          <w:marBottom w:val="0"/>
          <w:divBdr>
            <w:top w:val="none" w:sz="0" w:space="0" w:color="auto"/>
            <w:left w:val="none" w:sz="0" w:space="0" w:color="auto"/>
            <w:bottom w:val="none" w:sz="0" w:space="0" w:color="auto"/>
            <w:right w:val="none" w:sz="0" w:space="0" w:color="auto"/>
          </w:divBdr>
        </w:div>
      </w:divsChild>
    </w:div>
    <w:div w:id="789476170">
      <w:bodyDiv w:val="1"/>
      <w:marLeft w:val="0"/>
      <w:marRight w:val="0"/>
      <w:marTop w:val="0"/>
      <w:marBottom w:val="0"/>
      <w:divBdr>
        <w:top w:val="none" w:sz="0" w:space="0" w:color="auto"/>
        <w:left w:val="none" w:sz="0" w:space="0" w:color="auto"/>
        <w:bottom w:val="none" w:sz="0" w:space="0" w:color="auto"/>
        <w:right w:val="none" w:sz="0" w:space="0" w:color="auto"/>
      </w:divBdr>
    </w:div>
    <w:div w:id="867835647">
      <w:bodyDiv w:val="1"/>
      <w:marLeft w:val="0"/>
      <w:marRight w:val="0"/>
      <w:marTop w:val="0"/>
      <w:marBottom w:val="0"/>
      <w:divBdr>
        <w:top w:val="none" w:sz="0" w:space="0" w:color="auto"/>
        <w:left w:val="none" w:sz="0" w:space="0" w:color="auto"/>
        <w:bottom w:val="none" w:sz="0" w:space="0" w:color="auto"/>
        <w:right w:val="none" w:sz="0" w:space="0" w:color="auto"/>
      </w:divBdr>
    </w:div>
    <w:div w:id="870993745">
      <w:bodyDiv w:val="1"/>
      <w:marLeft w:val="0"/>
      <w:marRight w:val="0"/>
      <w:marTop w:val="0"/>
      <w:marBottom w:val="0"/>
      <w:divBdr>
        <w:top w:val="none" w:sz="0" w:space="0" w:color="auto"/>
        <w:left w:val="none" w:sz="0" w:space="0" w:color="auto"/>
        <w:bottom w:val="none" w:sz="0" w:space="0" w:color="auto"/>
        <w:right w:val="none" w:sz="0" w:space="0" w:color="auto"/>
      </w:divBdr>
    </w:div>
    <w:div w:id="897088600">
      <w:bodyDiv w:val="1"/>
      <w:marLeft w:val="0"/>
      <w:marRight w:val="0"/>
      <w:marTop w:val="0"/>
      <w:marBottom w:val="0"/>
      <w:divBdr>
        <w:top w:val="none" w:sz="0" w:space="0" w:color="auto"/>
        <w:left w:val="none" w:sz="0" w:space="0" w:color="auto"/>
        <w:bottom w:val="none" w:sz="0" w:space="0" w:color="auto"/>
        <w:right w:val="none" w:sz="0" w:space="0" w:color="auto"/>
      </w:divBdr>
    </w:div>
    <w:div w:id="901868134">
      <w:bodyDiv w:val="1"/>
      <w:marLeft w:val="0"/>
      <w:marRight w:val="0"/>
      <w:marTop w:val="0"/>
      <w:marBottom w:val="0"/>
      <w:divBdr>
        <w:top w:val="none" w:sz="0" w:space="0" w:color="auto"/>
        <w:left w:val="none" w:sz="0" w:space="0" w:color="auto"/>
        <w:bottom w:val="none" w:sz="0" w:space="0" w:color="auto"/>
        <w:right w:val="none" w:sz="0" w:space="0" w:color="auto"/>
      </w:divBdr>
    </w:div>
    <w:div w:id="903570193">
      <w:bodyDiv w:val="1"/>
      <w:marLeft w:val="0"/>
      <w:marRight w:val="0"/>
      <w:marTop w:val="0"/>
      <w:marBottom w:val="0"/>
      <w:divBdr>
        <w:top w:val="none" w:sz="0" w:space="0" w:color="auto"/>
        <w:left w:val="none" w:sz="0" w:space="0" w:color="auto"/>
        <w:bottom w:val="none" w:sz="0" w:space="0" w:color="auto"/>
        <w:right w:val="none" w:sz="0" w:space="0" w:color="auto"/>
      </w:divBdr>
    </w:div>
    <w:div w:id="919220471">
      <w:bodyDiv w:val="1"/>
      <w:marLeft w:val="0"/>
      <w:marRight w:val="0"/>
      <w:marTop w:val="0"/>
      <w:marBottom w:val="0"/>
      <w:divBdr>
        <w:top w:val="none" w:sz="0" w:space="0" w:color="auto"/>
        <w:left w:val="none" w:sz="0" w:space="0" w:color="auto"/>
        <w:bottom w:val="none" w:sz="0" w:space="0" w:color="auto"/>
        <w:right w:val="none" w:sz="0" w:space="0" w:color="auto"/>
      </w:divBdr>
    </w:div>
    <w:div w:id="921139841">
      <w:bodyDiv w:val="1"/>
      <w:marLeft w:val="0"/>
      <w:marRight w:val="0"/>
      <w:marTop w:val="0"/>
      <w:marBottom w:val="0"/>
      <w:divBdr>
        <w:top w:val="none" w:sz="0" w:space="0" w:color="auto"/>
        <w:left w:val="none" w:sz="0" w:space="0" w:color="auto"/>
        <w:bottom w:val="none" w:sz="0" w:space="0" w:color="auto"/>
        <w:right w:val="none" w:sz="0" w:space="0" w:color="auto"/>
      </w:divBdr>
      <w:divsChild>
        <w:div w:id="1158691665">
          <w:marLeft w:val="0"/>
          <w:marRight w:val="0"/>
          <w:marTop w:val="0"/>
          <w:marBottom w:val="0"/>
          <w:divBdr>
            <w:top w:val="single" w:sz="2" w:space="0" w:color="auto"/>
            <w:left w:val="single" w:sz="2" w:space="0" w:color="auto"/>
            <w:bottom w:val="single" w:sz="6" w:space="0" w:color="auto"/>
            <w:right w:val="single" w:sz="2" w:space="0" w:color="auto"/>
          </w:divBdr>
          <w:divsChild>
            <w:div w:id="2100327767">
              <w:marLeft w:val="0"/>
              <w:marRight w:val="0"/>
              <w:marTop w:val="100"/>
              <w:marBottom w:val="100"/>
              <w:divBdr>
                <w:top w:val="single" w:sz="2" w:space="0" w:color="D9D9E3"/>
                <w:left w:val="single" w:sz="2" w:space="0" w:color="D9D9E3"/>
                <w:bottom w:val="single" w:sz="2" w:space="0" w:color="D9D9E3"/>
                <w:right w:val="single" w:sz="2" w:space="0" w:color="D9D9E3"/>
              </w:divBdr>
              <w:divsChild>
                <w:div w:id="876047120">
                  <w:marLeft w:val="0"/>
                  <w:marRight w:val="0"/>
                  <w:marTop w:val="0"/>
                  <w:marBottom w:val="0"/>
                  <w:divBdr>
                    <w:top w:val="single" w:sz="2" w:space="0" w:color="D9D9E3"/>
                    <w:left w:val="single" w:sz="2" w:space="0" w:color="D9D9E3"/>
                    <w:bottom w:val="single" w:sz="2" w:space="0" w:color="D9D9E3"/>
                    <w:right w:val="single" w:sz="2" w:space="0" w:color="D9D9E3"/>
                  </w:divBdr>
                  <w:divsChild>
                    <w:div w:id="863634901">
                      <w:marLeft w:val="0"/>
                      <w:marRight w:val="0"/>
                      <w:marTop w:val="0"/>
                      <w:marBottom w:val="0"/>
                      <w:divBdr>
                        <w:top w:val="single" w:sz="2" w:space="0" w:color="D9D9E3"/>
                        <w:left w:val="single" w:sz="2" w:space="0" w:color="D9D9E3"/>
                        <w:bottom w:val="single" w:sz="2" w:space="0" w:color="D9D9E3"/>
                        <w:right w:val="single" w:sz="2" w:space="0" w:color="D9D9E3"/>
                      </w:divBdr>
                      <w:divsChild>
                        <w:div w:id="948706874">
                          <w:marLeft w:val="0"/>
                          <w:marRight w:val="0"/>
                          <w:marTop w:val="0"/>
                          <w:marBottom w:val="0"/>
                          <w:divBdr>
                            <w:top w:val="single" w:sz="2" w:space="0" w:color="D9D9E3"/>
                            <w:left w:val="single" w:sz="2" w:space="0" w:color="D9D9E3"/>
                            <w:bottom w:val="single" w:sz="2" w:space="0" w:color="D9D9E3"/>
                            <w:right w:val="single" w:sz="2" w:space="0" w:color="D9D9E3"/>
                          </w:divBdr>
                          <w:divsChild>
                            <w:div w:id="1736277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329025">
      <w:bodyDiv w:val="1"/>
      <w:marLeft w:val="0"/>
      <w:marRight w:val="0"/>
      <w:marTop w:val="0"/>
      <w:marBottom w:val="0"/>
      <w:divBdr>
        <w:top w:val="none" w:sz="0" w:space="0" w:color="auto"/>
        <w:left w:val="none" w:sz="0" w:space="0" w:color="auto"/>
        <w:bottom w:val="none" w:sz="0" w:space="0" w:color="auto"/>
        <w:right w:val="none" w:sz="0" w:space="0" w:color="auto"/>
      </w:divBdr>
    </w:div>
    <w:div w:id="922570297">
      <w:bodyDiv w:val="1"/>
      <w:marLeft w:val="0"/>
      <w:marRight w:val="0"/>
      <w:marTop w:val="0"/>
      <w:marBottom w:val="0"/>
      <w:divBdr>
        <w:top w:val="none" w:sz="0" w:space="0" w:color="auto"/>
        <w:left w:val="none" w:sz="0" w:space="0" w:color="auto"/>
        <w:bottom w:val="none" w:sz="0" w:space="0" w:color="auto"/>
        <w:right w:val="none" w:sz="0" w:space="0" w:color="auto"/>
      </w:divBdr>
      <w:divsChild>
        <w:div w:id="1174220621">
          <w:marLeft w:val="0"/>
          <w:marRight w:val="0"/>
          <w:marTop w:val="0"/>
          <w:marBottom w:val="0"/>
          <w:divBdr>
            <w:top w:val="none" w:sz="0" w:space="0" w:color="auto"/>
            <w:left w:val="none" w:sz="0" w:space="0" w:color="auto"/>
            <w:bottom w:val="none" w:sz="0" w:space="0" w:color="auto"/>
            <w:right w:val="none" w:sz="0" w:space="0" w:color="auto"/>
          </w:divBdr>
        </w:div>
      </w:divsChild>
    </w:div>
    <w:div w:id="927425161">
      <w:bodyDiv w:val="1"/>
      <w:marLeft w:val="0"/>
      <w:marRight w:val="0"/>
      <w:marTop w:val="0"/>
      <w:marBottom w:val="0"/>
      <w:divBdr>
        <w:top w:val="none" w:sz="0" w:space="0" w:color="auto"/>
        <w:left w:val="none" w:sz="0" w:space="0" w:color="auto"/>
        <w:bottom w:val="none" w:sz="0" w:space="0" w:color="auto"/>
        <w:right w:val="none" w:sz="0" w:space="0" w:color="auto"/>
      </w:divBdr>
    </w:div>
    <w:div w:id="928318285">
      <w:bodyDiv w:val="1"/>
      <w:marLeft w:val="0"/>
      <w:marRight w:val="0"/>
      <w:marTop w:val="0"/>
      <w:marBottom w:val="0"/>
      <w:divBdr>
        <w:top w:val="none" w:sz="0" w:space="0" w:color="auto"/>
        <w:left w:val="none" w:sz="0" w:space="0" w:color="auto"/>
        <w:bottom w:val="none" w:sz="0" w:space="0" w:color="auto"/>
        <w:right w:val="none" w:sz="0" w:space="0" w:color="auto"/>
      </w:divBdr>
    </w:div>
    <w:div w:id="928659426">
      <w:bodyDiv w:val="1"/>
      <w:marLeft w:val="0"/>
      <w:marRight w:val="0"/>
      <w:marTop w:val="0"/>
      <w:marBottom w:val="0"/>
      <w:divBdr>
        <w:top w:val="none" w:sz="0" w:space="0" w:color="auto"/>
        <w:left w:val="none" w:sz="0" w:space="0" w:color="auto"/>
        <w:bottom w:val="none" w:sz="0" w:space="0" w:color="auto"/>
        <w:right w:val="none" w:sz="0" w:space="0" w:color="auto"/>
      </w:divBdr>
    </w:div>
    <w:div w:id="969825695">
      <w:bodyDiv w:val="1"/>
      <w:marLeft w:val="0"/>
      <w:marRight w:val="0"/>
      <w:marTop w:val="0"/>
      <w:marBottom w:val="0"/>
      <w:divBdr>
        <w:top w:val="none" w:sz="0" w:space="0" w:color="auto"/>
        <w:left w:val="none" w:sz="0" w:space="0" w:color="auto"/>
        <w:bottom w:val="none" w:sz="0" w:space="0" w:color="auto"/>
        <w:right w:val="none" w:sz="0" w:space="0" w:color="auto"/>
      </w:divBdr>
    </w:div>
    <w:div w:id="991451276">
      <w:bodyDiv w:val="1"/>
      <w:marLeft w:val="0"/>
      <w:marRight w:val="0"/>
      <w:marTop w:val="0"/>
      <w:marBottom w:val="0"/>
      <w:divBdr>
        <w:top w:val="none" w:sz="0" w:space="0" w:color="auto"/>
        <w:left w:val="none" w:sz="0" w:space="0" w:color="auto"/>
        <w:bottom w:val="none" w:sz="0" w:space="0" w:color="auto"/>
        <w:right w:val="none" w:sz="0" w:space="0" w:color="auto"/>
      </w:divBdr>
      <w:divsChild>
        <w:div w:id="1580214970">
          <w:marLeft w:val="0"/>
          <w:marRight w:val="0"/>
          <w:marTop w:val="0"/>
          <w:marBottom w:val="0"/>
          <w:divBdr>
            <w:top w:val="none" w:sz="0" w:space="0" w:color="auto"/>
            <w:left w:val="none" w:sz="0" w:space="0" w:color="auto"/>
            <w:bottom w:val="none" w:sz="0" w:space="0" w:color="auto"/>
            <w:right w:val="none" w:sz="0" w:space="0" w:color="auto"/>
          </w:divBdr>
        </w:div>
      </w:divsChild>
    </w:div>
    <w:div w:id="1020742829">
      <w:bodyDiv w:val="1"/>
      <w:marLeft w:val="0"/>
      <w:marRight w:val="0"/>
      <w:marTop w:val="0"/>
      <w:marBottom w:val="0"/>
      <w:divBdr>
        <w:top w:val="none" w:sz="0" w:space="0" w:color="auto"/>
        <w:left w:val="none" w:sz="0" w:space="0" w:color="auto"/>
        <w:bottom w:val="none" w:sz="0" w:space="0" w:color="auto"/>
        <w:right w:val="none" w:sz="0" w:space="0" w:color="auto"/>
      </w:divBdr>
    </w:div>
    <w:div w:id="1034885432">
      <w:bodyDiv w:val="1"/>
      <w:marLeft w:val="0"/>
      <w:marRight w:val="0"/>
      <w:marTop w:val="0"/>
      <w:marBottom w:val="0"/>
      <w:divBdr>
        <w:top w:val="none" w:sz="0" w:space="0" w:color="auto"/>
        <w:left w:val="none" w:sz="0" w:space="0" w:color="auto"/>
        <w:bottom w:val="none" w:sz="0" w:space="0" w:color="auto"/>
        <w:right w:val="none" w:sz="0" w:space="0" w:color="auto"/>
      </w:divBdr>
    </w:div>
    <w:div w:id="1057556146">
      <w:bodyDiv w:val="1"/>
      <w:marLeft w:val="0"/>
      <w:marRight w:val="0"/>
      <w:marTop w:val="0"/>
      <w:marBottom w:val="0"/>
      <w:divBdr>
        <w:top w:val="none" w:sz="0" w:space="0" w:color="auto"/>
        <w:left w:val="none" w:sz="0" w:space="0" w:color="auto"/>
        <w:bottom w:val="none" w:sz="0" w:space="0" w:color="auto"/>
        <w:right w:val="none" w:sz="0" w:space="0" w:color="auto"/>
      </w:divBdr>
    </w:div>
    <w:div w:id="1061905020">
      <w:bodyDiv w:val="1"/>
      <w:marLeft w:val="0"/>
      <w:marRight w:val="0"/>
      <w:marTop w:val="0"/>
      <w:marBottom w:val="0"/>
      <w:divBdr>
        <w:top w:val="none" w:sz="0" w:space="0" w:color="auto"/>
        <w:left w:val="none" w:sz="0" w:space="0" w:color="auto"/>
        <w:bottom w:val="none" w:sz="0" w:space="0" w:color="auto"/>
        <w:right w:val="none" w:sz="0" w:space="0" w:color="auto"/>
      </w:divBdr>
    </w:div>
    <w:div w:id="1089279335">
      <w:bodyDiv w:val="1"/>
      <w:marLeft w:val="0"/>
      <w:marRight w:val="0"/>
      <w:marTop w:val="0"/>
      <w:marBottom w:val="0"/>
      <w:divBdr>
        <w:top w:val="none" w:sz="0" w:space="0" w:color="auto"/>
        <w:left w:val="none" w:sz="0" w:space="0" w:color="auto"/>
        <w:bottom w:val="none" w:sz="0" w:space="0" w:color="auto"/>
        <w:right w:val="none" w:sz="0" w:space="0" w:color="auto"/>
      </w:divBdr>
    </w:div>
    <w:div w:id="1091050858">
      <w:bodyDiv w:val="1"/>
      <w:marLeft w:val="0"/>
      <w:marRight w:val="0"/>
      <w:marTop w:val="0"/>
      <w:marBottom w:val="0"/>
      <w:divBdr>
        <w:top w:val="none" w:sz="0" w:space="0" w:color="auto"/>
        <w:left w:val="none" w:sz="0" w:space="0" w:color="auto"/>
        <w:bottom w:val="none" w:sz="0" w:space="0" w:color="auto"/>
        <w:right w:val="none" w:sz="0" w:space="0" w:color="auto"/>
      </w:divBdr>
    </w:div>
    <w:div w:id="1091703289">
      <w:bodyDiv w:val="1"/>
      <w:marLeft w:val="0"/>
      <w:marRight w:val="0"/>
      <w:marTop w:val="0"/>
      <w:marBottom w:val="0"/>
      <w:divBdr>
        <w:top w:val="none" w:sz="0" w:space="0" w:color="auto"/>
        <w:left w:val="none" w:sz="0" w:space="0" w:color="auto"/>
        <w:bottom w:val="none" w:sz="0" w:space="0" w:color="auto"/>
        <w:right w:val="none" w:sz="0" w:space="0" w:color="auto"/>
      </w:divBdr>
      <w:divsChild>
        <w:div w:id="808084872">
          <w:marLeft w:val="0"/>
          <w:marRight w:val="0"/>
          <w:marTop w:val="0"/>
          <w:marBottom w:val="0"/>
          <w:divBdr>
            <w:top w:val="none" w:sz="0" w:space="0" w:color="auto"/>
            <w:left w:val="none" w:sz="0" w:space="0" w:color="auto"/>
            <w:bottom w:val="none" w:sz="0" w:space="0" w:color="auto"/>
            <w:right w:val="none" w:sz="0" w:space="0" w:color="auto"/>
          </w:divBdr>
        </w:div>
      </w:divsChild>
    </w:div>
    <w:div w:id="1091927117">
      <w:bodyDiv w:val="1"/>
      <w:marLeft w:val="0"/>
      <w:marRight w:val="0"/>
      <w:marTop w:val="0"/>
      <w:marBottom w:val="0"/>
      <w:divBdr>
        <w:top w:val="none" w:sz="0" w:space="0" w:color="auto"/>
        <w:left w:val="none" w:sz="0" w:space="0" w:color="auto"/>
        <w:bottom w:val="none" w:sz="0" w:space="0" w:color="auto"/>
        <w:right w:val="none" w:sz="0" w:space="0" w:color="auto"/>
      </w:divBdr>
    </w:div>
    <w:div w:id="1113131081">
      <w:bodyDiv w:val="1"/>
      <w:marLeft w:val="0"/>
      <w:marRight w:val="0"/>
      <w:marTop w:val="0"/>
      <w:marBottom w:val="0"/>
      <w:divBdr>
        <w:top w:val="none" w:sz="0" w:space="0" w:color="auto"/>
        <w:left w:val="none" w:sz="0" w:space="0" w:color="auto"/>
        <w:bottom w:val="none" w:sz="0" w:space="0" w:color="auto"/>
        <w:right w:val="none" w:sz="0" w:space="0" w:color="auto"/>
      </w:divBdr>
    </w:div>
    <w:div w:id="1143473630">
      <w:bodyDiv w:val="1"/>
      <w:marLeft w:val="0"/>
      <w:marRight w:val="0"/>
      <w:marTop w:val="0"/>
      <w:marBottom w:val="0"/>
      <w:divBdr>
        <w:top w:val="none" w:sz="0" w:space="0" w:color="auto"/>
        <w:left w:val="none" w:sz="0" w:space="0" w:color="auto"/>
        <w:bottom w:val="none" w:sz="0" w:space="0" w:color="auto"/>
        <w:right w:val="none" w:sz="0" w:space="0" w:color="auto"/>
      </w:divBdr>
    </w:div>
    <w:div w:id="1144859699">
      <w:bodyDiv w:val="1"/>
      <w:marLeft w:val="0"/>
      <w:marRight w:val="0"/>
      <w:marTop w:val="0"/>
      <w:marBottom w:val="0"/>
      <w:divBdr>
        <w:top w:val="none" w:sz="0" w:space="0" w:color="auto"/>
        <w:left w:val="none" w:sz="0" w:space="0" w:color="auto"/>
        <w:bottom w:val="none" w:sz="0" w:space="0" w:color="auto"/>
        <w:right w:val="none" w:sz="0" w:space="0" w:color="auto"/>
      </w:divBdr>
    </w:div>
    <w:div w:id="1150825916">
      <w:bodyDiv w:val="1"/>
      <w:marLeft w:val="0"/>
      <w:marRight w:val="0"/>
      <w:marTop w:val="0"/>
      <w:marBottom w:val="0"/>
      <w:divBdr>
        <w:top w:val="none" w:sz="0" w:space="0" w:color="auto"/>
        <w:left w:val="none" w:sz="0" w:space="0" w:color="auto"/>
        <w:bottom w:val="none" w:sz="0" w:space="0" w:color="auto"/>
        <w:right w:val="none" w:sz="0" w:space="0" w:color="auto"/>
      </w:divBdr>
    </w:div>
    <w:div w:id="1153255796">
      <w:bodyDiv w:val="1"/>
      <w:marLeft w:val="0"/>
      <w:marRight w:val="0"/>
      <w:marTop w:val="0"/>
      <w:marBottom w:val="0"/>
      <w:divBdr>
        <w:top w:val="none" w:sz="0" w:space="0" w:color="auto"/>
        <w:left w:val="none" w:sz="0" w:space="0" w:color="auto"/>
        <w:bottom w:val="none" w:sz="0" w:space="0" w:color="auto"/>
        <w:right w:val="none" w:sz="0" w:space="0" w:color="auto"/>
      </w:divBdr>
    </w:div>
    <w:div w:id="1156147980">
      <w:bodyDiv w:val="1"/>
      <w:marLeft w:val="0"/>
      <w:marRight w:val="0"/>
      <w:marTop w:val="0"/>
      <w:marBottom w:val="0"/>
      <w:divBdr>
        <w:top w:val="none" w:sz="0" w:space="0" w:color="auto"/>
        <w:left w:val="none" w:sz="0" w:space="0" w:color="auto"/>
        <w:bottom w:val="none" w:sz="0" w:space="0" w:color="auto"/>
        <w:right w:val="none" w:sz="0" w:space="0" w:color="auto"/>
      </w:divBdr>
      <w:divsChild>
        <w:div w:id="1238441684">
          <w:marLeft w:val="0"/>
          <w:marRight w:val="0"/>
          <w:marTop w:val="0"/>
          <w:marBottom w:val="0"/>
          <w:divBdr>
            <w:top w:val="none" w:sz="0" w:space="0" w:color="auto"/>
            <w:left w:val="none" w:sz="0" w:space="0" w:color="auto"/>
            <w:bottom w:val="none" w:sz="0" w:space="0" w:color="auto"/>
            <w:right w:val="none" w:sz="0" w:space="0" w:color="auto"/>
          </w:divBdr>
          <w:divsChild>
            <w:div w:id="806120567">
              <w:marLeft w:val="0"/>
              <w:marRight w:val="0"/>
              <w:marTop w:val="0"/>
              <w:marBottom w:val="0"/>
              <w:divBdr>
                <w:top w:val="none" w:sz="0" w:space="0" w:color="auto"/>
                <w:left w:val="none" w:sz="0" w:space="0" w:color="auto"/>
                <w:bottom w:val="none" w:sz="0" w:space="0" w:color="auto"/>
                <w:right w:val="none" w:sz="0" w:space="0" w:color="auto"/>
              </w:divBdr>
              <w:divsChild>
                <w:div w:id="8564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87744">
      <w:bodyDiv w:val="1"/>
      <w:marLeft w:val="0"/>
      <w:marRight w:val="0"/>
      <w:marTop w:val="0"/>
      <w:marBottom w:val="0"/>
      <w:divBdr>
        <w:top w:val="none" w:sz="0" w:space="0" w:color="auto"/>
        <w:left w:val="none" w:sz="0" w:space="0" w:color="auto"/>
        <w:bottom w:val="none" w:sz="0" w:space="0" w:color="auto"/>
        <w:right w:val="none" w:sz="0" w:space="0" w:color="auto"/>
      </w:divBdr>
    </w:div>
    <w:div w:id="1158226969">
      <w:bodyDiv w:val="1"/>
      <w:marLeft w:val="0"/>
      <w:marRight w:val="0"/>
      <w:marTop w:val="0"/>
      <w:marBottom w:val="0"/>
      <w:divBdr>
        <w:top w:val="none" w:sz="0" w:space="0" w:color="auto"/>
        <w:left w:val="none" w:sz="0" w:space="0" w:color="auto"/>
        <w:bottom w:val="none" w:sz="0" w:space="0" w:color="auto"/>
        <w:right w:val="none" w:sz="0" w:space="0" w:color="auto"/>
      </w:divBdr>
    </w:div>
    <w:div w:id="1161044646">
      <w:bodyDiv w:val="1"/>
      <w:marLeft w:val="0"/>
      <w:marRight w:val="0"/>
      <w:marTop w:val="0"/>
      <w:marBottom w:val="0"/>
      <w:divBdr>
        <w:top w:val="none" w:sz="0" w:space="0" w:color="auto"/>
        <w:left w:val="none" w:sz="0" w:space="0" w:color="auto"/>
        <w:bottom w:val="none" w:sz="0" w:space="0" w:color="auto"/>
        <w:right w:val="none" w:sz="0" w:space="0" w:color="auto"/>
      </w:divBdr>
    </w:div>
    <w:div w:id="1170369684">
      <w:bodyDiv w:val="1"/>
      <w:marLeft w:val="0"/>
      <w:marRight w:val="0"/>
      <w:marTop w:val="0"/>
      <w:marBottom w:val="0"/>
      <w:divBdr>
        <w:top w:val="none" w:sz="0" w:space="0" w:color="auto"/>
        <w:left w:val="none" w:sz="0" w:space="0" w:color="auto"/>
        <w:bottom w:val="none" w:sz="0" w:space="0" w:color="auto"/>
        <w:right w:val="none" w:sz="0" w:space="0" w:color="auto"/>
      </w:divBdr>
      <w:divsChild>
        <w:div w:id="1797680521">
          <w:marLeft w:val="0"/>
          <w:marRight w:val="0"/>
          <w:marTop w:val="0"/>
          <w:marBottom w:val="0"/>
          <w:divBdr>
            <w:top w:val="none" w:sz="0" w:space="0" w:color="auto"/>
            <w:left w:val="none" w:sz="0" w:space="0" w:color="auto"/>
            <w:bottom w:val="none" w:sz="0" w:space="0" w:color="auto"/>
            <w:right w:val="none" w:sz="0" w:space="0" w:color="auto"/>
          </w:divBdr>
        </w:div>
      </w:divsChild>
    </w:div>
    <w:div w:id="1170489675">
      <w:bodyDiv w:val="1"/>
      <w:marLeft w:val="0"/>
      <w:marRight w:val="0"/>
      <w:marTop w:val="0"/>
      <w:marBottom w:val="0"/>
      <w:divBdr>
        <w:top w:val="none" w:sz="0" w:space="0" w:color="auto"/>
        <w:left w:val="none" w:sz="0" w:space="0" w:color="auto"/>
        <w:bottom w:val="none" w:sz="0" w:space="0" w:color="auto"/>
        <w:right w:val="none" w:sz="0" w:space="0" w:color="auto"/>
      </w:divBdr>
    </w:div>
    <w:div w:id="1223296826">
      <w:bodyDiv w:val="1"/>
      <w:marLeft w:val="0"/>
      <w:marRight w:val="0"/>
      <w:marTop w:val="0"/>
      <w:marBottom w:val="0"/>
      <w:divBdr>
        <w:top w:val="none" w:sz="0" w:space="0" w:color="auto"/>
        <w:left w:val="none" w:sz="0" w:space="0" w:color="auto"/>
        <w:bottom w:val="none" w:sz="0" w:space="0" w:color="auto"/>
        <w:right w:val="none" w:sz="0" w:space="0" w:color="auto"/>
      </w:divBdr>
    </w:div>
    <w:div w:id="1225026569">
      <w:bodyDiv w:val="1"/>
      <w:marLeft w:val="0"/>
      <w:marRight w:val="0"/>
      <w:marTop w:val="0"/>
      <w:marBottom w:val="0"/>
      <w:divBdr>
        <w:top w:val="none" w:sz="0" w:space="0" w:color="auto"/>
        <w:left w:val="none" w:sz="0" w:space="0" w:color="auto"/>
        <w:bottom w:val="none" w:sz="0" w:space="0" w:color="auto"/>
        <w:right w:val="none" w:sz="0" w:space="0" w:color="auto"/>
      </w:divBdr>
    </w:div>
    <w:div w:id="1256524343">
      <w:bodyDiv w:val="1"/>
      <w:marLeft w:val="0"/>
      <w:marRight w:val="0"/>
      <w:marTop w:val="0"/>
      <w:marBottom w:val="0"/>
      <w:divBdr>
        <w:top w:val="none" w:sz="0" w:space="0" w:color="auto"/>
        <w:left w:val="none" w:sz="0" w:space="0" w:color="auto"/>
        <w:bottom w:val="none" w:sz="0" w:space="0" w:color="auto"/>
        <w:right w:val="none" w:sz="0" w:space="0" w:color="auto"/>
      </w:divBdr>
    </w:div>
    <w:div w:id="1263948897">
      <w:bodyDiv w:val="1"/>
      <w:marLeft w:val="0"/>
      <w:marRight w:val="0"/>
      <w:marTop w:val="0"/>
      <w:marBottom w:val="0"/>
      <w:divBdr>
        <w:top w:val="none" w:sz="0" w:space="0" w:color="auto"/>
        <w:left w:val="none" w:sz="0" w:space="0" w:color="auto"/>
        <w:bottom w:val="none" w:sz="0" w:space="0" w:color="auto"/>
        <w:right w:val="none" w:sz="0" w:space="0" w:color="auto"/>
      </w:divBdr>
    </w:div>
    <w:div w:id="1273898366">
      <w:bodyDiv w:val="1"/>
      <w:marLeft w:val="0"/>
      <w:marRight w:val="0"/>
      <w:marTop w:val="0"/>
      <w:marBottom w:val="0"/>
      <w:divBdr>
        <w:top w:val="none" w:sz="0" w:space="0" w:color="auto"/>
        <w:left w:val="none" w:sz="0" w:space="0" w:color="auto"/>
        <w:bottom w:val="none" w:sz="0" w:space="0" w:color="auto"/>
        <w:right w:val="none" w:sz="0" w:space="0" w:color="auto"/>
      </w:divBdr>
    </w:div>
    <w:div w:id="1279218750">
      <w:bodyDiv w:val="1"/>
      <w:marLeft w:val="0"/>
      <w:marRight w:val="0"/>
      <w:marTop w:val="0"/>
      <w:marBottom w:val="0"/>
      <w:divBdr>
        <w:top w:val="none" w:sz="0" w:space="0" w:color="auto"/>
        <w:left w:val="none" w:sz="0" w:space="0" w:color="auto"/>
        <w:bottom w:val="none" w:sz="0" w:space="0" w:color="auto"/>
        <w:right w:val="none" w:sz="0" w:space="0" w:color="auto"/>
      </w:divBdr>
    </w:div>
    <w:div w:id="1295327498">
      <w:bodyDiv w:val="1"/>
      <w:marLeft w:val="0"/>
      <w:marRight w:val="0"/>
      <w:marTop w:val="0"/>
      <w:marBottom w:val="0"/>
      <w:divBdr>
        <w:top w:val="none" w:sz="0" w:space="0" w:color="auto"/>
        <w:left w:val="none" w:sz="0" w:space="0" w:color="auto"/>
        <w:bottom w:val="none" w:sz="0" w:space="0" w:color="auto"/>
        <w:right w:val="none" w:sz="0" w:space="0" w:color="auto"/>
      </w:divBdr>
      <w:divsChild>
        <w:div w:id="2130511317">
          <w:marLeft w:val="0"/>
          <w:marRight w:val="0"/>
          <w:marTop w:val="0"/>
          <w:marBottom w:val="0"/>
          <w:divBdr>
            <w:top w:val="none" w:sz="0" w:space="0" w:color="auto"/>
            <w:left w:val="none" w:sz="0" w:space="0" w:color="auto"/>
            <w:bottom w:val="none" w:sz="0" w:space="0" w:color="auto"/>
            <w:right w:val="none" w:sz="0" w:space="0" w:color="auto"/>
          </w:divBdr>
        </w:div>
      </w:divsChild>
    </w:div>
    <w:div w:id="1296057381">
      <w:bodyDiv w:val="1"/>
      <w:marLeft w:val="0"/>
      <w:marRight w:val="0"/>
      <w:marTop w:val="0"/>
      <w:marBottom w:val="0"/>
      <w:divBdr>
        <w:top w:val="none" w:sz="0" w:space="0" w:color="auto"/>
        <w:left w:val="none" w:sz="0" w:space="0" w:color="auto"/>
        <w:bottom w:val="none" w:sz="0" w:space="0" w:color="auto"/>
        <w:right w:val="none" w:sz="0" w:space="0" w:color="auto"/>
      </w:divBdr>
    </w:div>
    <w:div w:id="1307927730">
      <w:bodyDiv w:val="1"/>
      <w:marLeft w:val="0"/>
      <w:marRight w:val="0"/>
      <w:marTop w:val="0"/>
      <w:marBottom w:val="0"/>
      <w:divBdr>
        <w:top w:val="none" w:sz="0" w:space="0" w:color="auto"/>
        <w:left w:val="none" w:sz="0" w:space="0" w:color="auto"/>
        <w:bottom w:val="none" w:sz="0" w:space="0" w:color="auto"/>
        <w:right w:val="none" w:sz="0" w:space="0" w:color="auto"/>
      </w:divBdr>
      <w:divsChild>
        <w:div w:id="530265043">
          <w:marLeft w:val="0"/>
          <w:marRight w:val="0"/>
          <w:marTop w:val="0"/>
          <w:marBottom w:val="0"/>
          <w:divBdr>
            <w:top w:val="none" w:sz="0" w:space="0" w:color="auto"/>
            <w:left w:val="none" w:sz="0" w:space="0" w:color="auto"/>
            <w:bottom w:val="none" w:sz="0" w:space="0" w:color="auto"/>
            <w:right w:val="none" w:sz="0" w:space="0" w:color="auto"/>
          </w:divBdr>
        </w:div>
      </w:divsChild>
    </w:div>
    <w:div w:id="1311642279">
      <w:bodyDiv w:val="1"/>
      <w:marLeft w:val="0"/>
      <w:marRight w:val="0"/>
      <w:marTop w:val="0"/>
      <w:marBottom w:val="0"/>
      <w:divBdr>
        <w:top w:val="none" w:sz="0" w:space="0" w:color="auto"/>
        <w:left w:val="none" w:sz="0" w:space="0" w:color="auto"/>
        <w:bottom w:val="none" w:sz="0" w:space="0" w:color="auto"/>
        <w:right w:val="none" w:sz="0" w:space="0" w:color="auto"/>
      </w:divBdr>
    </w:div>
    <w:div w:id="1358048196">
      <w:bodyDiv w:val="1"/>
      <w:marLeft w:val="0"/>
      <w:marRight w:val="0"/>
      <w:marTop w:val="0"/>
      <w:marBottom w:val="0"/>
      <w:divBdr>
        <w:top w:val="none" w:sz="0" w:space="0" w:color="auto"/>
        <w:left w:val="none" w:sz="0" w:space="0" w:color="auto"/>
        <w:bottom w:val="none" w:sz="0" w:space="0" w:color="auto"/>
        <w:right w:val="none" w:sz="0" w:space="0" w:color="auto"/>
      </w:divBdr>
    </w:div>
    <w:div w:id="1358845548">
      <w:bodyDiv w:val="1"/>
      <w:marLeft w:val="0"/>
      <w:marRight w:val="0"/>
      <w:marTop w:val="0"/>
      <w:marBottom w:val="0"/>
      <w:divBdr>
        <w:top w:val="none" w:sz="0" w:space="0" w:color="auto"/>
        <w:left w:val="none" w:sz="0" w:space="0" w:color="auto"/>
        <w:bottom w:val="none" w:sz="0" w:space="0" w:color="auto"/>
        <w:right w:val="none" w:sz="0" w:space="0" w:color="auto"/>
      </w:divBdr>
    </w:div>
    <w:div w:id="1367021944">
      <w:bodyDiv w:val="1"/>
      <w:marLeft w:val="0"/>
      <w:marRight w:val="0"/>
      <w:marTop w:val="0"/>
      <w:marBottom w:val="0"/>
      <w:divBdr>
        <w:top w:val="none" w:sz="0" w:space="0" w:color="auto"/>
        <w:left w:val="none" w:sz="0" w:space="0" w:color="auto"/>
        <w:bottom w:val="none" w:sz="0" w:space="0" w:color="auto"/>
        <w:right w:val="none" w:sz="0" w:space="0" w:color="auto"/>
      </w:divBdr>
    </w:div>
    <w:div w:id="1375616736">
      <w:bodyDiv w:val="1"/>
      <w:marLeft w:val="0"/>
      <w:marRight w:val="0"/>
      <w:marTop w:val="0"/>
      <w:marBottom w:val="0"/>
      <w:divBdr>
        <w:top w:val="none" w:sz="0" w:space="0" w:color="auto"/>
        <w:left w:val="none" w:sz="0" w:space="0" w:color="auto"/>
        <w:bottom w:val="none" w:sz="0" w:space="0" w:color="auto"/>
        <w:right w:val="none" w:sz="0" w:space="0" w:color="auto"/>
      </w:divBdr>
      <w:divsChild>
        <w:div w:id="2080007891">
          <w:marLeft w:val="0"/>
          <w:marRight w:val="0"/>
          <w:marTop w:val="0"/>
          <w:marBottom w:val="0"/>
          <w:divBdr>
            <w:top w:val="none" w:sz="0" w:space="0" w:color="auto"/>
            <w:left w:val="none" w:sz="0" w:space="0" w:color="auto"/>
            <w:bottom w:val="none" w:sz="0" w:space="0" w:color="auto"/>
            <w:right w:val="none" w:sz="0" w:space="0" w:color="auto"/>
          </w:divBdr>
          <w:divsChild>
            <w:div w:id="1815219604">
              <w:marLeft w:val="0"/>
              <w:marRight w:val="0"/>
              <w:marTop w:val="0"/>
              <w:marBottom w:val="0"/>
              <w:divBdr>
                <w:top w:val="none" w:sz="0" w:space="0" w:color="auto"/>
                <w:left w:val="none" w:sz="0" w:space="0" w:color="auto"/>
                <w:bottom w:val="none" w:sz="0" w:space="0" w:color="auto"/>
                <w:right w:val="none" w:sz="0" w:space="0" w:color="auto"/>
              </w:divBdr>
              <w:divsChild>
                <w:div w:id="581135554">
                  <w:marLeft w:val="0"/>
                  <w:marRight w:val="0"/>
                  <w:marTop w:val="0"/>
                  <w:marBottom w:val="0"/>
                  <w:divBdr>
                    <w:top w:val="none" w:sz="0" w:space="0" w:color="auto"/>
                    <w:left w:val="none" w:sz="0" w:space="0" w:color="auto"/>
                    <w:bottom w:val="none" w:sz="0" w:space="0" w:color="auto"/>
                    <w:right w:val="none" w:sz="0" w:space="0" w:color="auto"/>
                  </w:divBdr>
                  <w:divsChild>
                    <w:div w:id="709837803">
                      <w:marLeft w:val="0"/>
                      <w:marRight w:val="0"/>
                      <w:marTop w:val="0"/>
                      <w:marBottom w:val="0"/>
                      <w:divBdr>
                        <w:top w:val="none" w:sz="0" w:space="0" w:color="auto"/>
                        <w:left w:val="none" w:sz="0" w:space="0" w:color="auto"/>
                        <w:bottom w:val="none" w:sz="0" w:space="0" w:color="auto"/>
                        <w:right w:val="none" w:sz="0" w:space="0" w:color="auto"/>
                      </w:divBdr>
                      <w:divsChild>
                        <w:div w:id="437481955">
                          <w:marLeft w:val="0"/>
                          <w:marRight w:val="0"/>
                          <w:marTop w:val="0"/>
                          <w:marBottom w:val="0"/>
                          <w:divBdr>
                            <w:top w:val="none" w:sz="0" w:space="0" w:color="auto"/>
                            <w:left w:val="none" w:sz="0" w:space="0" w:color="auto"/>
                            <w:bottom w:val="none" w:sz="0" w:space="0" w:color="auto"/>
                            <w:right w:val="none" w:sz="0" w:space="0" w:color="auto"/>
                          </w:divBdr>
                          <w:divsChild>
                            <w:div w:id="1973368796">
                              <w:marLeft w:val="0"/>
                              <w:marRight w:val="0"/>
                              <w:marTop w:val="0"/>
                              <w:marBottom w:val="0"/>
                              <w:divBdr>
                                <w:top w:val="none" w:sz="0" w:space="0" w:color="auto"/>
                                <w:left w:val="none" w:sz="0" w:space="0" w:color="auto"/>
                                <w:bottom w:val="none" w:sz="0" w:space="0" w:color="auto"/>
                                <w:right w:val="none" w:sz="0" w:space="0" w:color="auto"/>
                              </w:divBdr>
                              <w:divsChild>
                                <w:div w:id="6495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121149">
      <w:bodyDiv w:val="1"/>
      <w:marLeft w:val="0"/>
      <w:marRight w:val="0"/>
      <w:marTop w:val="0"/>
      <w:marBottom w:val="0"/>
      <w:divBdr>
        <w:top w:val="none" w:sz="0" w:space="0" w:color="auto"/>
        <w:left w:val="none" w:sz="0" w:space="0" w:color="auto"/>
        <w:bottom w:val="none" w:sz="0" w:space="0" w:color="auto"/>
        <w:right w:val="none" w:sz="0" w:space="0" w:color="auto"/>
      </w:divBdr>
    </w:div>
    <w:div w:id="1397628702">
      <w:bodyDiv w:val="1"/>
      <w:marLeft w:val="0"/>
      <w:marRight w:val="0"/>
      <w:marTop w:val="0"/>
      <w:marBottom w:val="0"/>
      <w:divBdr>
        <w:top w:val="none" w:sz="0" w:space="0" w:color="auto"/>
        <w:left w:val="none" w:sz="0" w:space="0" w:color="auto"/>
        <w:bottom w:val="none" w:sz="0" w:space="0" w:color="auto"/>
        <w:right w:val="none" w:sz="0" w:space="0" w:color="auto"/>
      </w:divBdr>
    </w:div>
    <w:div w:id="1402437078">
      <w:bodyDiv w:val="1"/>
      <w:marLeft w:val="0"/>
      <w:marRight w:val="0"/>
      <w:marTop w:val="0"/>
      <w:marBottom w:val="0"/>
      <w:divBdr>
        <w:top w:val="none" w:sz="0" w:space="0" w:color="auto"/>
        <w:left w:val="none" w:sz="0" w:space="0" w:color="auto"/>
        <w:bottom w:val="none" w:sz="0" w:space="0" w:color="auto"/>
        <w:right w:val="none" w:sz="0" w:space="0" w:color="auto"/>
      </w:divBdr>
    </w:div>
    <w:div w:id="1428041460">
      <w:bodyDiv w:val="1"/>
      <w:marLeft w:val="0"/>
      <w:marRight w:val="0"/>
      <w:marTop w:val="0"/>
      <w:marBottom w:val="0"/>
      <w:divBdr>
        <w:top w:val="none" w:sz="0" w:space="0" w:color="auto"/>
        <w:left w:val="none" w:sz="0" w:space="0" w:color="auto"/>
        <w:bottom w:val="none" w:sz="0" w:space="0" w:color="auto"/>
        <w:right w:val="none" w:sz="0" w:space="0" w:color="auto"/>
      </w:divBdr>
    </w:div>
    <w:div w:id="1436515744">
      <w:bodyDiv w:val="1"/>
      <w:marLeft w:val="0"/>
      <w:marRight w:val="0"/>
      <w:marTop w:val="0"/>
      <w:marBottom w:val="0"/>
      <w:divBdr>
        <w:top w:val="none" w:sz="0" w:space="0" w:color="auto"/>
        <w:left w:val="none" w:sz="0" w:space="0" w:color="auto"/>
        <w:bottom w:val="none" w:sz="0" w:space="0" w:color="auto"/>
        <w:right w:val="none" w:sz="0" w:space="0" w:color="auto"/>
      </w:divBdr>
    </w:div>
    <w:div w:id="1454979287">
      <w:bodyDiv w:val="1"/>
      <w:marLeft w:val="0"/>
      <w:marRight w:val="0"/>
      <w:marTop w:val="0"/>
      <w:marBottom w:val="0"/>
      <w:divBdr>
        <w:top w:val="none" w:sz="0" w:space="0" w:color="auto"/>
        <w:left w:val="none" w:sz="0" w:space="0" w:color="auto"/>
        <w:bottom w:val="none" w:sz="0" w:space="0" w:color="auto"/>
        <w:right w:val="none" w:sz="0" w:space="0" w:color="auto"/>
      </w:divBdr>
    </w:div>
    <w:div w:id="1462764699">
      <w:bodyDiv w:val="1"/>
      <w:marLeft w:val="0"/>
      <w:marRight w:val="0"/>
      <w:marTop w:val="0"/>
      <w:marBottom w:val="0"/>
      <w:divBdr>
        <w:top w:val="none" w:sz="0" w:space="0" w:color="auto"/>
        <w:left w:val="none" w:sz="0" w:space="0" w:color="auto"/>
        <w:bottom w:val="none" w:sz="0" w:space="0" w:color="auto"/>
        <w:right w:val="none" w:sz="0" w:space="0" w:color="auto"/>
      </w:divBdr>
      <w:divsChild>
        <w:div w:id="1462723863">
          <w:marLeft w:val="0"/>
          <w:marRight w:val="0"/>
          <w:marTop w:val="0"/>
          <w:marBottom w:val="0"/>
          <w:divBdr>
            <w:top w:val="none" w:sz="0" w:space="0" w:color="auto"/>
            <w:left w:val="none" w:sz="0" w:space="0" w:color="auto"/>
            <w:bottom w:val="none" w:sz="0" w:space="0" w:color="auto"/>
            <w:right w:val="none" w:sz="0" w:space="0" w:color="auto"/>
          </w:divBdr>
        </w:div>
      </w:divsChild>
    </w:div>
    <w:div w:id="1500851484">
      <w:bodyDiv w:val="1"/>
      <w:marLeft w:val="0"/>
      <w:marRight w:val="0"/>
      <w:marTop w:val="0"/>
      <w:marBottom w:val="0"/>
      <w:divBdr>
        <w:top w:val="none" w:sz="0" w:space="0" w:color="auto"/>
        <w:left w:val="none" w:sz="0" w:space="0" w:color="auto"/>
        <w:bottom w:val="none" w:sz="0" w:space="0" w:color="auto"/>
        <w:right w:val="none" w:sz="0" w:space="0" w:color="auto"/>
      </w:divBdr>
    </w:div>
    <w:div w:id="1541429407">
      <w:bodyDiv w:val="1"/>
      <w:marLeft w:val="0"/>
      <w:marRight w:val="0"/>
      <w:marTop w:val="0"/>
      <w:marBottom w:val="0"/>
      <w:divBdr>
        <w:top w:val="none" w:sz="0" w:space="0" w:color="auto"/>
        <w:left w:val="none" w:sz="0" w:space="0" w:color="auto"/>
        <w:bottom w:val="none" w:sz="0" w:space="0" w:color="auto"/>
        <w:right w:val="none" w:sz="0" w:space="0" w:color="auto"/>
      </w:divBdr>
    </w:div>
    <w:div w:id="1546327968">
      <w:bodyDiv w:val="1"/>
      <w:marLeft w:val="0"/>
      <w:marRight w:val="0"/>
      <w:marTop w:val="0"/>
      <w:marBottom w:val="0"/>
      <w:divBdr>
        <w:top w:val="none" w:sz="0" w:space="0" w:color="auto"/>
        <w:left w:val="none" w:sz="0" w:space="0" w:color="auto"/>
        <w:bottom w:val="none" w:sz="0" w:space="0" w:color="auto"/>
        <w:right w:val="none" w:sz="0" w:space="0" w:color="auto"/>
      </w:divBdr>
      <w:divsChild>
        <w:div w:id="420835245">
          <w:marLeft w:val="0"/>
          <w:marRight w:val="0"/>
          <w:marTop w:val="0"/>
          <w:marBottom w:val="0"/>
          <w:divBdr>
            <w:top w:val="none" w:sz="0" w:space="0" w:color="auto"/>
            <w:left w:val="none" w:sz="0" w:space="0" w:color="auto"/>
            <w:bottom w:val="none" w:sz="0" w:space="0" w:color="auto"/>
            <w:right w:val="none" w:sz="0" w:space="0" w:color="auto"/>
          </w:divBdr>
        </w:div>
      </w:divsChild>
    </w:div>
    <w:div w:id="1606620051">
      <w:bodyDiv w:val="1"/>
      <w:marLeft w:val="0"/>
      <w:marRight w:val="0"/>
      <w:marTop w:val="0"/>
      <w:marBottom w:val="0"/>
      <w:divBdr>
        <w:top w:val="none" w:sz="0" w:space="0" w:color="auto"/>
        <w:left w:val="none" w:sz="0" w:space="0" w:color="auto"/>
        <w:bottom w:val="none" w:sz="0" w:space="0" w:color="auto"/>
        <w:right w:val="none" w:sz="0" w:space="0" w:color="auto"/>
      </w:divBdr>
    </w:div>
    <w:div w:id="1619950116">
      <w:bodyDiv w:val="1"/>
      <w:marLeft w:val="0"/>
      <w:marRight w:val="0"/>
      <w:marTop w:val="0"/>
      <w:marBottom w:val="0"/>
      <w:divBdr>
        <w:top w:val="none" w:sz="0" w:space="0" w:color="auto"/>
        <w:left w:val="none" w:sz="0" w:space="0" w:color="auto"/>
        <w:bottom w:val="none" w:sz="0" w:space="0" w:color="auto"/>
        <w:right w:val="none" w:sz="0" w:space="0" w:color="auto"/>
      </w:divBdr>
    </w:div>
    <w:div w:id="1637908268">
      <w:bodyDiv w:val="1"/>
      <w:marLeft w:val="0"/>
      <w:marRight w:val="0"/>
      <w:marTop w:val="0"/>
      <w:marBottom w:val="0"/>
      <w:divBdr>
        <w:top w:val="none" w:sz="0" w:space="0" w:color="auto"/>
        <w:left w:val="none" w:sz="0" w:space="0" w:color="auto"/>
        <w:bottom w:val="none" w:sz="0" w:space="0" w:color="auto"/>
        <w:right w:val="none" w:sz="0" w:space="0" w:color="auto"/>
      </w:divBdr>
    </w:div>
    <w:div w:id="1650938865">
      <w:bodyDiv w:val="1"/>
      <w:marLeft w:val="0"/>
      <w:marRight w:val="0"/>
      <w:marTop w:val="0"/>
      <w:marBottom w:val="0"/>
      <w:divBdr>
        <w:top w:val="none" w:sz="0" w:space="0" w:color="auto"/>
        <w:left w:val="none" w:sz="0" w:space="0" w:color="auto"/>
        <w:bottom w:val="none" w:sz="0" w:space="0" w:color="auto"/>
        <w:right w:val="none" w:sz="0" w:space="0" w:color="auto"/>
      </w:divBdr>
    </w:div>
    <w:div w:id="1652757459">
      <w:bodyDiv w:val="1"/>
      <w:marLeft w:val="0"/>
      <w:marRight w:val="0"/>
      <w:marTop w:val="0"/>
      <w:marBottom w:val="0"/>
      <w:divBdr>
        <w:top w:val="none" w:sz="0" w:space="0" w:color="auto"/>
        <w:left w:val="none" w:sz="0" w:space="0" w:color="auto"/>
        <w:bottom w:val="none" w:sz="0" w:space="0" w:color="auto"/>
        <w:right w:val="none" w:sz="0" w:space="0" w:color="auto"/>
      </w:divBdr>
    </w:div>
    <w:div w:id="1652949685">
      <w:bodyDiv w:val="1"/>
      <w:marLeft w:val="0"/>
      <w:marRight w:val="0"/>
      <w:marTop w:val="0"/>
      <w:marBottom w:val="0"/>
      <w:divBdr>
        <w:top w:val="none" w:sz="0" w:space="0" w:color="auto"/>
        <w:left w:val="none" w:sz="0" w:space="0" w:color="auto"/>
        <w:bottom w:val="none" w:sz="0" w:space="0" w:color="auto"/>
        <w:right w:val="none" w:sz="0" w:space="0" w:color="auto"/>
      </w:divBdr>
    </w:div>
    <w:div w:id="1655528795">
      <w:bodyDiv w:val="1"/>
      <w:marLeft w:val="0"/>
      <w:marRight w:val="0"/>
      <w:marTop w:val="0"/>
      <w:marBottom w:val="0"/>
      <w:divBdr>
        <w:top w:val="none" w:sz="0" w:space="0" w:color="auto"/>
        <w:left w:val="none" w:sz="0" w:space="0" w:color="auto"/>
        <w:bottom w:val="none" w:sz="0" w:space="0" w:color="auto"/>
        <w:right w:val="none" w:sz="0" w:space="0" w:color="auto"/>
      </w:divBdr>
      <w:divsChild>
        <w:div w:id="655033724">
          <w:marLeft w:val="0"/>
          <w:marRight w:val="0"/>
          <w:marTop w:val="0"/>
          <w:marBottom w:val="0"/>
          <w:divBdr>
            <w:top w:val="none" w:sz="0" w:space="0" w:color="auto"/>
            <w:left w:val="none" w:sz="0" w:space="0" w:color="auto"/>
            <w:bottom w:val="none" w:sz="0" w:space="0" w:color="auto"/>
            <w:right w:val="none" w:sz="0" w:space="0" w:color="auto"/>
          </w:divBdr>
        </w:div>
      </w:divsChild>
    </w:div>
    <w:div w:id="1656109449">
      <w:bodyDiv w:val="1"/>
      <w:marLeft w:val="0"/>
      <w:marRight w:val="0"/>
      <w:marTop w:val="0"/>
      <w:marBottom w:val="0"/>
      <w:divBdr>
        <w:top w:val="none" w:sz="0" w:space="0" w:color="auto"/>
        <w:left w:val="none" w:sz="0" w:space="0" w:color="auto"/>
        <w:bottom w:val="none" w:sz="0" w:space="0" w:color="auto"/>
        <w:right w:val="none" w:sz="0" w:space="0" w:color="auto"/>
      </w:divBdr>
      <w:divsChild>
        <w:div w:id="1519197749">
          <w:marLeft w:val="0"/>
          <w:marRight w:val="0"/>
          <w:marTop w:val="0"/>
          <w:marBottom w:val="0"/>
          <w:divBdr>
            <w:top w:val="single" w:sz="2" w:space="0" w:color="auto"/>
            <w:left w:val="single" w:sz="2" w:space="0" w:color="auto"/>
            <w:bottom w:val="single" w:sz="6" w:space="0" w:color="auto"/>
            <w:right w:val="single" w:sz="2" w:space="0" w:color="auto"/>
          </w:divBdr>
          <w:divsChild>
            <w:div w:id="760250176">
              <w:marLeft w:val="0"/>
              <w:marRight w:val="0"/>
              <w:marTop w:val="100"/>
              <w:marBottom w:val="100"/>
              <w:divBdr>
                <w:top w:val="single" w:sz="2" w:space="0" w:color="D9D9E3"/>
                <w:left w:val="single" w:sz="2" w:space="0" w:color="D9D9E3"/>
                <w:bottom w:val="single" w:sz="2" w:space="0" w:color="D9D9E3"/>
                <w:right w:val="single" w:sz="2" w:space="0" w:color="D9D9E3"/>
              </w:divBdr>
              <w:divsChild>
                <w:div w:id="519777124">
                  <w:marLeft w:val="0"/>
                  <w:marRight w:val="0"/>
                  <w:marTop w:val="0"/>
                  <w:marBottom w:val="0"/>
                  <w:divBdr>
                    <w:top w:val="single" w:sz="2" w:space="0" w:color="D9D9E3"/>
                    <w:left w:val="single" w:sz="2" w:space="0" w:color="D9D9E3"/>
                    <w:bottom w:val="single" w:sz="2" w:space="0" w:color="D9D9E3"/>
                    <w:right w:val="single" w:sz="2" w:space="0" w:color="D9D9E3"/>
                  </w:divBdr>
                  <w:divsChild>
                    <w:div w:id="1981644686">
                      <w:marLeft w:val="0"/>
                      <w:marRight w:val="0"/>
                      <w:marTop w:val="0"/>
                      <w:marBottom w:val="0"/>
                      <w:divBdr>
                        <w:top w:val="single" w:sz="2" w:space="0" w:color="D9D9E3"/>
                        <w:left w:val="single" w:sz="2" w:space="0" w:color="D9D9E3"/>
                        <w:bottom w:val="single" w:sz="2" w:space="0" w:color="D9D9E3"/>
                        <w:right w:val="single" w:sz="2" w:space="0" w:color="D9D9E3"/>
                      </w:divBdr>
                      <w:divsChild>
                        <w:div w:id="21365670">
                          <w:marLeft w:val="0"/>
                          <w:marRight w:val="0"/>
                          <w:marTop w:val="0"/>
                          <w:marBottom w:val="0"/>
                          <w:divBdr>
                            <w:top w:val="single" w:sz="2" w:space="0" w:color="D9D9E3"/>
                            <w:left w:val="single" w:sz="2" w:space="0" w:color="D9D9E3"/>
                            <w:bottom w:val="single" w:sz="2" w:space="0" w:color="D9D9E3"/>
                            <w:right w:val="single" w:sz="2" w:space="0" w:color="D9D9E3"/>
                          </w:divBdr>
                          <w:divsChild>
                            <w:div w:id="16709107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3988145">
      <w:bodyDiv w:val="1"/>
      <w:marLeft w:val="0"/>
      <w:marRight w:val="0"/>
      <w:marTop w:val="0"/>
      <w:marBottom w:val="0"/>
      <w:divBdr>
        <w:top w:val="none" w:sz="0" w:space="0" w:color="auto"/>
        <w:left w:val="none" w:sz="0" w:space="0" w:color="auto"/>
        <w:bottom w:val="none" w:sz="0" w:space="0" w:color="auto"/>
        <w:right w:val="none" w:sz="0" w:space="0" w:color="auto"/>
      </w:divBdr>
      <w:divsChild>
        <w:div w:id="1248002748">
          <w:marLeft w:val="0"/>
          <w:marRight w:val="0"/>
          <w:marTop w:val="0"/>
          <w:marBottom w:val="0"/>
          <w:divBdr>
            <w:top w:val="none" w:sz="0" w:space="0" w:color="auto"/>
            <w:left w:val="none" w:sz="0" w:space="0" w:color="auto"/>
            <w:bottom w:val="none" w:sz="0" w:space="0" w:color="auto"/>
            <w:right w:val="none" w:sz="0" w:space="0" w:color="auto"/>
          </w:divBdr>
        </w:div>
      </w:divsChild>
    </w:div>
    <w:div w:id="1685815091">
      <w:bodyDiv w:val="1"/>
      <w:marLeft w:val="0"/>
      <w:marRight w:val="0"/>
      <w:marTop w:val="0"/>
      <w:marBottom w:val="0"/>
      <w:divBdr>
        <w:top w:val="none" w:sz="0" w:space="0" w:color="auto"/>
        <w:left w:val="none" w:sz="0" w:space="0" w:color="auto"/>
        <w:bottom w:val="none" w:sz="0" w:space="0" w:color="auto"/>
        <w:right w:val="none" w:sz="0" w:space="0" w:color="auto"/>
      </w:divBdr>
    </w:div>
    <w:div w:id="1702974212">
      <w:bodyDiv w:val="1"/>
      <w:marLeft w:val="0"/>
      <w:marRight w:val="0"/>
      <w:marTop w:val="0"/>
      <w:marBottom w:val="0"/>
      <w:divBdr>
        <w:top w:val="none" w:sz="0" w:space="0" w:color="auto"/>
        <w:left w:val="none" w:sz="0" w:space="0" w:color="auto"/>
        <w:bottom w:val="none" w:sz="0" w:space="0" w:color="auto"/>
        <w:right w:val="none" w:sz="0" w:space="0" w:color="auto"/>
      </w:divBdr>
    </w:div>
    <w:div w:id="1713261242">
      <w:bodyDiv w:val="1"/>
      <w:marLeft w:val="0"/>
      <w:marRight w:val="0"/>
      <w:marTop w:val="0"/>
      <w:marBottom w:val="0"/>
      <w:divBdr>
        <w:top w:val="none" w:sz="0" w:space="0" w:color="auto"/>
        <w:left w:val="none" w:sz="0" w:space="0" w:color="auto"/>
        <w:bottom w:val="none" w:sz="0" w:space="0" w:color="auto"/>
        <w:right w:val="none" w:sz="0" w:space="0" w:color="auto"/>
      </w:divBdr>
    </w:div>
    <w:div w:id="1718581080">
      <w:bodyDiv w:val="1"/>
      <w:marLeft w:val="0"/>
      <w:marRight w:val="0"/>
      <w:marTop w:val="0"/>
      <w:marBottom w:val="0"/>
      <w:divBdr>
        <w:top w:val="none" w:sz="0" w:space="0" w:color="auto"/>
        <w:left w:val="none" w:sz="0" w:space="0" w:color="auto"/>
        <w:bottom w:val="none" w:sz="0" w:space="0" w:color="auto"/>
        <w:right w:val="none" w:sz="0" w:space="0" w:color="auto"/>
      </w:divBdr>
      <w:divsChild>
        <w:div w:id="492381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9956920">
      <w:bodyDiv w:val="1"/>
      <w:marLeft w:val="0"/>
      <w:marRight w:val="0"/>
      <w:marTop w:val="0"/>
      <w:marBottom w:val="0"/>
      <w:divBdr>
        <w:top w:val="none" w:sz="0" w:space="0" w:color="auto"/>
        <w:left w:val="none" w:sz="0" w:space="0" w:color="auto"/>
        <w:bottom w:val="none" w:sz="0" w:space="0" w:color="auto"/>
        <w:right w:val="none" w:sz="0" w:space="0" w:color="auto"/>
      </w:divBdr>
    </w:div>
    <w:div w:id="1748108593">
      <w:bodyDiv w:val="1"/>
      <w:marLeft w:val="0"/>
      <w:marRight w:val="0"/>
      <w:marTop w:val="0"/>
      <w:marBottom w:val="0"/>
      <w:divBdr>
        <w:top w:val="none" w:sz="0" w:space="0" w:color="auto"/>
        <w:left w:val="none" w:sz="0" w:space="0" w:color="auto"/>
        <w:bottom w:val="none" w:sz="0" w:space="0" w:color="auto"/>
        <w:right w:val="none" w:sz="0" w:space="0" w:color="auto"/>
      </w:divBdr>
      <w:divsChild>
        <w:div w:id="1913273954">
          <w:marLeft w:val="0"/>
          <w:marRight w:val="0"/>
          <w:marTop w:val="0"/>
          <w:marBottom w:val="0"/>
          <w:divBdr>
            <w:top w:val="single" w:sz="2" w:space="0" w:color="D9D9E3"/>
            <w:left w:val="single" w:sz="2" w:space="0" w:color="D9D9E3"/>
            <w:bottom w:val="single" w:sz="2" w:space="0" w:color="D9D9E3"/>
            <w:right w:val="single" w:sz="2" w:space="0" w:color="D9D9E3"/>
          </w:divBdr>
          <w:divsChild>
            <w:div w:id="2010675468">
              <w:marLeft w:val="0"/>
              <w:marRight w:val="0"/>
              <w:marTop w:val="0"/>
              <w:marBottom w:val="0"/>
              <w:divBdr>
                <w:top w:val="single" w:sz="2" w:space="0" w:color="D9D9E3"/>
                <w:left w:val="single" w:sz="2" w:space="0" w:color="D9D9E3"/>
                <w:bottom w:val="single" w:sz="2" w:space="0" w:color="D9D9E3"/>
                <w:right w:val="single" w:sz="2" w:space="0" w:color="D9D9E3"/>
              </w:divBdr>
              <w:divsChild>
                <w:div w:id="1473868524">
                  <w:marLeft w:val="0"/>
                  <w:marRight w:val="0"/>
                  <w:marTop w:val="0"/>
                  <w:marBottom w:val="0"/>
                  <w:divBdr>
                    <w:top w:val="single" w:sz="2" w:space="0" w:color="D9D9E3"/>
                    <w:left w:val="single" w:sz="2" w:space="0" w:color="D9D9E3"/>
                    <w:bottom w:val="single" w:sz="2" w:space="0" w:color="D9D9E3"/>
                    <w:right w:val="single" w:sz="2" w:space="0" w:color="D9D9E3"/>
                  </w:divBdr>
                  <w:divsChild>
                    <w:div w:id="940382242">
                      <w:marLeft w:val="0"/>
                      <w:marRight w:val="0"/>
                      <w:marTop w:val="0"/>
                      <w:marBottom w:val="0"/>
                      <w:divBdr>
                        <w:top w:val="single" w:sz="2" w:space="0" w:color="D9D9E3"/>
                        <w:left w:val="single" w:sz="2" w:space="0" w:color="D9D9E3"/>
                        <w:bottom w:val="single" w:sz="2" w:space="0" w:color="D9D9E3"/>
                        <w:right w:val="single" w:sz="2" w:space="0" w:color="D9D9E3"/>
                      </w:divBdr>
                      <w:divsChild>
                        <w:div w:id="1093890995">
                          <w:marLeft w:val="0"/>
                          <w:marRight w:val="0"/>
                          <w:marTop w:val="0"/>
                          <w:marBottom w:val="0"/>
                          <w:divBdr>
                            <w:top w:val="single" w:sz="2" w:space="0" w:color="auto"/>
                            <w:left w:val="single" w:sz="2" w:space="0" w:color="auto"/>
                            <w:bottom w:val="single" w:sz="6" w:space="0" w:color="auto"/>
                            <w:right w:val="single" w:sz="2" w:space="0" w:color="auto"/>
                          </w:divBdr>
                          <w:divsChild>
                            <w:div w:id="1718581665">
                              <w:marLeft w:val="0"/>
                              <w:marRight w:val="0"/>
                              <w:marTop w:val="100"/>
                              <w:marBottom w:val="100"/>
                              <w:divBdr>
                                <w:top w:val="single" w:sz="2" w:space="0" w:color="D9D9E3"/>
                                <w:left w:val="single" w:sz="2" w:space="0" w:color="D9D9E3"/>
                                <w:bottom w:val="single" w:sz="2" w:space="0" w:color="D9D9E3"/>
                                <w:right w:val="single" w:sz="2" w:space="0" w:color="D9D9E3"/>
                              </w:divBdr>
                              <w:divsChild>
                                <w:div w:id="1570114653">
                                  <w:marLeft w:val="0"/>
                                  <w:marRight w:val="0"/>
                                  <w:marTop w:val="0"/>
                                  <w:marBottom w:val="0"/>
                                  <w:divBdr>
                                    <w:top w:val="single" w:sz="2" w:space="0" w:color="D9D9E3"/>
                                    <w:left w:val="single" w:sz="2" w:space="0" w:color="D9D9E3"/>
                                    <w:bottom w:val="single" w:sz="2" w:space="0" w:color="D9D9E3"/>
                                    <w:right w:val="single" w:sz="2" w:space="0" w:color="D9D9E3"/>
                                  </w:divBdr>
                                  <w:divsChild>
                                    <w:div w:id="479034913">
                                      <w:marLeft w:val="0"/>
                                      <w:marRight w:val="0"/>
                                      <w:marTop w:val="0"/>
                                      <w:marBottom w:val="0"/>
                                      <w:divBdr>
                                        <w:top w:val="single" w:sz="2" w:space="0" w:color="D9D9E3"/>
                                        <w:left w:val="single" w:sz="2" w:space="0" w:color="D9D9E3"/>
                                        <w:bottom w:val="single" w:sz="2" w:space="0" w:color="D9D9E3"/>
                                        <w:right w:val="single" w:sz="2" w:space="0" w:color="D9D9E3"/>
                                      </w:divBdr>
                                      <w:divsChild>
                                        <w:div w:id="58333210">
                                          <w:marLeft w:val="0"/>
                                          <w:marRight w:val="0"/>
                                          <w:marTop w:val="0"/>
                                          <w:marBottom w:val="0"/>
                                          <w:divBdr>
                                            <w:top w:val="single" w:sz="2" w:space="0" w:color="D9D9E3"/>
                                            <w:left w:val="single" w:sz="2" w:space="0" w:color="D9D9E3"/>
                                            <w:bottom w:val="single" w:sz="2" w:space="0" w:color="D9D9E3"/>
                                            <w:right w:val="single" w:sz="2" w:space="0" w:color="D9D9E3"/>
                                          </w:divBdr>
                                          <w:divsChild>
                                            <w:div w:id="1185739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57844668">
          <w:marLeft w:val="0"/>
          <w:marRight w:val="0"/>
          <w:marTop w:val="0"/>
          <w:marBottom w:val="0"/>
          <w:divBdr>
            <w:top w:val="none" w:sz="0" w:space="0" w:color="auto"/>
            <w:left w:val="none" w:sz="0" w:space="0" w:color="auto"/>
            <w:bottom w:val="none" w:sz="0" w:space="0" w:color="auto"/>
            <w:right w:val="none" w:sz="0" w:space="0" w:color="auto"/>
          </w:divBdr>
          <w:divsChild>
            <w:div w:id="1666085986">
              <w:marLeft w:val="0"/>
              <w:marRight w:val="0"/>
              <w:marTop w:val="0"/>
              <w:marBottom w:val="0"/>
              <w:divBdr>
                <w:top w:val="single" w:sz="2" w:space="0" w:color="D9D9E3"/>
                <w:left w:val="single" w:sz="2" w:space="0" w:color="D9D9E3"/>
                <w:bottom w:val="single" w:sz="2" w:space="0" w:color="D9D9E3"/>
                <w:right w:val="single" w:sz="2" w:space="0" w:color="D9D9E3"/>
              </w:divBdr>
              <w:divsChild>
                <w:div w:id="1147867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60709106">
      <w:bodyDiv w:val="1"/>
      <w:marLeft w:val="0"/>
      <w:marRight w:val="0"/>
      <w:marTop w:val="0"/>
      <w:marBottom w:val="0"/>
      <w:divBdr>
        <w:top w:val="none" w:sz="0" w:space="0" w:color="auto"/>
        <w:left w:val="none" w:sz="0" w:space="0" w:color="auto"/>
        <w:bottom w:val="none" w:sz="0" w:space="0" w:color="auto"/>
        <w:right w:val="none" w:sz="0" w:space="0" w:color="auto"/>
      </w:divBdr>
    </w:div>
    <w:div w:id="1761753747">
      <w:bodyDiv w:val="1"/>
      <w:marLeft w:val="0"/>
      <w:marRight w:val="0"/>
      <w:marTop w:val="0"/>
      <w:marBottom w:val="0"/>
      <w:divBdr>
        <w:top w:val="none" w:sz="0" w:space="0" w:color="auto"/>
        <w:left w:val="none" w:sz="0" w:space="0" w:color="auto"/>
        <w:bottom w:val="none" w:sz="0" w:space="0" w:color="auto"/>
        <w:right w:val="none" w:sz="0" w:space="0" w:color="auto"/>
      </w:divBdr>
    </w:div>
    <w:div w:id="1765950398">
      <w:bodyDiv w:val="1"/>
      <w:marLeft w:val="0"/>
      <w:marRight w:val="0"/>
      <w:marTop w:val="0"/>
      <w:marBottom w:val="0"/>
      <w:divBdr>
        <w:top w:val="none" w:sz="0" w:space="0" w:color="auto"/>
        <w:left w:val="none" w:sz="0" w:space="0" w:color="auto"/>
        <w:bottom w:val="none" w:sz="0" w:space="0" w:color="auto"/>
        <w:right w:val="none" w:sz="0" w:space="0" w:color="auto"/>
      </w:divBdr>
    </w:div>
    <w:div w:id="1768427414">
      <w:bodyDiv w:val="1"/>
      <w:marLeft w:val="0"/>
      <w:marRight w:val="0"/>
      <w:marTop w:val="0"/>
      <w:marBottom w:val="0"/>
      <w:divBdr>
        <w:top w:val="none" w:sz="0" w:space="0" w:color="auto"/>
        <w:left w:val="none" w:sz="0" w:space="0" w:color="auto"/>
        <w:bottom w:val="none" w:sz="0" w:space="0" w:color="auto"/>
        <w:right w:val="none" w:sz="0" w:space="0" w:color="auto"/>
      </w:divBdr>
    </w:div>
    <w:div w:id="1771928372">
      <w:bodyDiv w:val="1"/>
      <w:marLeft w:val="0"/>
      <w:marRight w:val="0"/>
      <w:marTop w:val="0"/>
      <w:marBottom w:val="0"/>
      <w:divBdr>
        <w:top w:val="none" w:sz="0" w:space="0" w:color="auto"/>
        <w:left w:val="none" w:sz="0" w:space="0" w:color="auto"/>
        <w:bottom w:val="none" w:sz="0" w:space="0" w:color="auto"/>
        <w:right w:val="none" w:sz="0" w:space="0" w:color="auto"/>
      </w:divBdr>
    </w:div>
    <w:div w:id="1784574730">
      <w:bodyDiv w:val="1"/>
      <w:marLeft w:val="0"/>
      <w:marRight w:val="0"/>
      <w:marTop w:val="0"/>
      <w:marBottom w:val="0"/>
      <w:divBdr>
        <w:top w:val="none" w:sz="0" w:space="0" w:color="auto"/>
        <w:left w:val="none" w:sz="0" w:space="0" w:color="auto"/>
        <w:bottom w:val="none" w:sz="0" w:space="0" w:color="auto"/>
        <w:right w:val="none" w:sz="0" w:space="0" w:color="auto"/>
      </w:divBdr>
    </w:div>
    <w:div w:id="1796749703">
      <w:bodyDiv w:val="1"/>
      <w:marLeft w:val="0"/>
      <w:marRight w:val="0"/>
      <w:marTop w:val="0"/>
      <w:marBottom w:val="0"/>
      <w:divBdr>
        <w:top w:val="none" w:sz="0" w:space="0" w:color="auto"/>
        <w:left w:val="none" w:sz="0" w:space="0" w:color="auto"/>
        <w:bottom w:val="none" w:sz="0" w:space="0" w:color="auto"/>
        <w:right w:val="none" w:sz="0" w:space="0" w:color="auto"/>
      </w:divBdr>
    </w:div>
    <w:div w:id="1797329717">
      <w:bodyDiv w:val="1"/>
      <w:marLeft w:val="0"/>
      <w:marRight w:val="0"/>
      <w:marTop w:val="0"/>
      <w:marBottom w:val="0"/>
      <w:divBdr>
        <w:top w:val="none" w:sz="0" w:space="0" w:color="auto"/>
        <w:left w:val="none" w:sz="0" w:space="0" w:color="auto"/>
        <w:bottom w:val="none" w:sz="0" w:space="0" w:color="auto"/>
        <w:right w:val="none" w:sz="0" w:space="0" w:color="auto"/>
      </w:divBdr>
    </w:div>
    <w:div w:id="1806509050">
      <w:bodyDiv w:val="1"/>
      <w:marLeft w:val="0"/>
      <w:marRight w:val="0"/>
      <w:marTop w:val="0"/>
      <w:marBottom w:val="0"/>
      <w:divBdr>
        <w:top w:val="none" w:sz="0" w:space="0" w:color="auto"/>
        <w:left w:val="none" w:sz="0" w:space="0" w:color="auto"/>
        <w:bottom w:val="none" w:sz="0" w:space="0" w:color="auto"/>
        <w:right w:val="none" w:sz="0" w:space="0" w:color="auto"/>
      </w:divBdr>
    </w:div>
    <w:div w:id="1820724705">
      <w:bodyDiv w:val="1"/>
      <w:marLeft w:val="0"/>
      <w:marRight w:val="0"/>
      <w:marTop w:val="0"/>
      <w:marBottom w:val="0"/>
      <w:divBdr>
        <w:top w:val="none" w:sz="0" w:space="0" w:color="auto"/>
        <w:left w:val="none" w:sz="0" w:space="0" w:color="auto"/>
        <w:bottom w:val="none" w:sz="0" w:space="0" w:color="auto"/>
        <w:right w:val="none" w:sz="0" w:space="0" w:color="auto"/>
      </w:divBdr>
    </w:div>
    <w:div w:id="1823697424">
      <w:bodyDiv w:val="1"/>
      <w:marLeft w:val="0"/>
      <w:marRight w:val="0"/>
      <w:marTop w:val="0"/>
      <w:marBottom w:val="0"/>
      <w:divBdr>
        <w:top w:val="none" w:sz="0" w:space="0" w:color="auto"/>
        <w:left w:val="none" w:sz="0" w:space="0" w:color="auto"/>
        <w:bottom w:val="none" w:sz="0" w:space="0" w:color="auto"/>
        <w:right w:val="none" w:sz="0" w:space="0" w:color="auto"/>
      </w:divBdr>
    </w:div>
    <w:div w:id="1829441355">
      <w:bodyDiv w:val="1"/>
      <w:marLeft w:val="0"/>
      <w:marRight w:val="0"/>
      <w:marTop w:val="0"/>
      <w:marBottom w:val="0"/>
      <w:divBdr>
        <w:top w:val="none" w:sz="0" w:space="0" w:color="auto"/>
        <w:left w:val="none" w:sz="0" w:space="0" w:color="auto"/>
        <w:bottom w:val="none" w:sz="0" w:space="0" w:color="auto"/>
        <w:right w:val="none" w:sz="0" w:space="0" w:color="auto"/>
      </w:divBdr>
    </w:div>
    <w:div w:id="1835804226">
      <w:bodyDiv w:val="1"/>
      <w:marLeft w:val="0"/>
      <w:marRight w:val="0"/>
      <w:marTop w:val="0"/>
      <w:marBottom w:val="0"/>
      <w:divBdr>
        <w:top w:val="none" w:sz="0" w:space="0" w:color="auto"/>
        <w:left w:val="none" w:sz="0" w:space="0" w:color="auto"/>
        <w:bottom w:val="none" w:sz="0" w:space="0" w:color="auto"/>
        <w:right w:val="none" w:sz="0" w:space="0" w:color="auto"/>
      </w:divBdr>
    </w:div>
    <w:div w:id="1851945862">
      <w:bodyDiv w:val="1"/>
      <w:marLeft w:val="0"/>
      <w:marRight w:val="0"/>
      <w:marTop w:val="0"/>
      <w:marBottom w:val="0"/>
      <w:divBdr>
        <w:top w:val="none" w:sz="0" w:space="0" w:color="auto"/>
        <w:left w:val="none" w:sz="0" w:space="0" w:color="auto"/>
        <w:bottom w:val="none" w:sz="0" w:space="0" w:color="auto"/>
        <w:right w:val="none" w:sz="0" w:space="0" w:color="auto"/>
      </w:divBdr>
    </w:div>
    <w:div w:id="1877620354">
      <w:bodyDiv w:val="1"/>
      <w:marLeft w:val="0"/>
      <w:marRight w:val="0"/>
      <w:marTop w:val="0"/>
      <w:marBottom w:val="0"/>
      <w:divBdr>
        <w:top w:val="none" w:sz="0" w:space="0" w:color="auto"/>
        <w:left w:val="none" w:sz="0" w:space="0" w:color="auto"/>
        <w:bottom w:val="none" w:sz="0" w:space="0" w:color="auto"/>
        <w:right w:val="none" w:sz="0" w:space="0" w:color="auto"/>
      </w:divBdr>
    </w:div>
    <w:div w:id="1903248021">
      <w:bodyDiv w:val="1"/>
      <w:marLeft w:val="0"/>
      <w:marRight w:val="0"/>
      <w:marTop w:val="0"/>
      <w:marBottom w:val="0"/>
      <w:divBdr>
        <w:top w:val="none" w:sz="0" w:space="0" w:color="auto"/>
        <w:left w:val="none" w:sz="0" w:space="0" w:color="auto"/>
        <w:bottom w:val="none" w:sz="0" w:space="0" w:color="auto"/>
        <w:right w:val="none" w:sz="0" w:space="0" w:color="auto"/>
      </w:divBdr>
    </w:div>
    <w:div w:id="1916625099">
      <w:bodyDiv w:val="1"/>
      <w:marLeft w:val="0"/>
      <w:marRight w:val="0"/>
      <w:marTop w:val="0"/>
      <w:marBottom w:val="0"/>
      <w:divBdr>
        <w:top w:val="none" w:sz="0" w:space="0" w:color="auto"/>
        <w:left w:val="none" w:sz="0" w:space="0" w:color="auto"/>
        <w:bottom w:val="none" w:sz="0" w:space="0" w:color="auto"/>
        <w:right w:val="none" w:sz="0" w:space="0" w:color="auto"/>
      </w:divBdr>
    </w:div>
    <w:div w:id="1918133074">
      <w:bodyDiv w:val="1"/>
      <w:marLeft w:val="0"/>
      <w:marRight w:val="0"/>
      <w:marTop w:val="0"/>
      <w:marBottom w:val="0"/>
      <w:divBdr>
        <w:top w:val="none" w:sz="0" w:space="0" w:color="auto"/>
        <w:left w:val="none" w:sz="0" w:space="0" w:color="auto"/>
        <w:bottom w:val="none" w:sz="0" w:space="0" w:color="auto"/>
        <w:right w:val="none" w:sz="0" w:space="0" w:color="auto"/>
      </w:divBdr>
    </w:div>
    <w:div w:id="1946184034">
      <w:bodyDiv w:val="1"/>
      <w:marLeft w:val="0"/>
      <w:marRight w:val="0"/>
      <w:marTop w:val="0"/>
      <w:marBottom w:val="0"/>
      <w:divBdr>
        <w:top w:val="none" w:sz="0" w:space="0" w:color="auto"/>
        <w:left w:val="none" w:sz="0" w:space="0" w:color="auto"/>
        <w:bottom w:val="none" w:sz="0" w:space="0" w:color="auto"/>
        <w:right w:val="none" w:sz="0" w:space="0" w:color="auto"/>
      </w:divBdr>
    </w:div>
    <w:div w:id="1949583006">
      <w:bodyDiv w:val="1"/>
      <w:marLeft w:val="0"/>
      <w:marRight w:val="0"/>
      <w:marTop w:val="0"/>
      <w:marBottom w:val="0"/>
      <w:divBdr>
        <w:top w:val="none" w:sz="0" w:space="0" w:color="auto"/>
        <w:left w:val="none" w:sz="0" w:space="0" w:color="auto"/>
        <w:bottom w:val="none" w:sz="0" w:space="0" w:color="auto"/>
        <w:right w:val="none" w:sz="0" w:space="0" w:color="auto"/>
      </w:divBdr>
    </w:div>
    <w:div w:id="1954096432">
      <w:bodyDiv w:val="1"/>
      <w:marLeft w:val="0"/>
      <w:marRight w:val="0"/>
      <w:marTop w:val="0"/>
      <w:marBottom w:val="0"/>
      <w:divBdr>
        <w:top w:val="none" w:sz="0" w:space="0" w:color="auto"/>
        <w:left w:val="none" w:sz="0" w:space="0" w:color="auto"/>
        <w:bottom w:val="none" w:sz="0" w:space="0" w:color="auto"/>
        <w:right w:val="none" w:sz="0" w:space="0" w:color="auto"/>
      </w:divBdr>
    </w:div>
    <w:div w:id="1955480086">
      <w:bodyDiv w:val="1"/>
      <w:marLeft w:val="0"/>
      <w:marRight w:val="0"/>
      <w:marTop w:val="0"/>
      <w:marBottom w:val="0"/>
      <w:divBdr>
        <w:top w:val="none" w:sz="0" w:space="0" w:color="auto"/>
        <w:left w:val="none" w:sz="0" w:space="0" w:color="auto"/>
        <w:bottom w:val="none" w:sz="0" w:space="0" w:color="auto"/>
        <w:right w:val="none" w:sz="0" w:space="0" w:color="auto"/>
      </w:divBdr>
    </w:div>
    <w:div w:id="1959264505">
      <w:bodyDiv w:val="1"/>
      <w:marLeft w:val="0"/>
      <w:marRight w:val="0"/>
      <w:marTop w:val="0"/>
      <w:marBottom w:val="0"/>
      <w:divBdr>
        <w:top w:val="none" w:sz="0" w:space="0" w:color="auto"/>
        <w:left w:val="none" w:sz="0" w:space="0" w:color="auto"/>
        <w:bottom w:val="none" w:sz="0" w:space="0" w:color="auto"/>
        <w:right w:val="none" w:sz="0" w:space="0" w:color="auto"/>
      </w:divBdr>
    </w:div>
    <w:div w:id="1963345384">
      <w:bodyDiv w:val="1"/>
      <w:marLeft w:val="0"/>
      <w:marRight w:val="0"/>
      <w:marTop w:val="0"/>
      <w:marBottom w:val="0"/>
      <w:divBdr>
        <w:top w:val="none" w:sz="0" w:space="0" w:color="auto"/>
        <w:left w:val="none" w:sz="0" w:space="0" w:color="auto"/>
        <w:bottom w:val="none" w:sz="0" w:space="0" w:color="auto"/>
        <w:right w:val="none" w:sz="0" w:space="0" w:color="auto"/>
      </w:divBdr>
    </w:div>
    <w:div w:id="1966229663">
      <w:bodyDiv w:val="1"/>
      <w:marLeft w:val="0"/>
      <w:marRight w:val="0"/>
      <w:marTop w:val="0"/>
      <w:marBottom w:val="0"/>
      <w:divBdr>
        <w:top w:val="none" w:sz="0" w:space="0" w:color="auto"/>
        <w:left w:val="none" w:sz="0" w:space="0" w:color="auto"/>
        <w:bottom w:val="none" w:sz="0" w:space="0" w:color="auto"/>
        <w:right w:val="none" w:sz="0" w:space="0" w:color="auto"/>
      </w:divBdr>
    </w:div>
    <w:div w:id="1981380735">
      <w:bodyDiv w:val="1"/>
      <w:marLeft w:val="0"/>
      <w:marRight w:val="0"/>
      <w:marTop w:val="0"/>
      <w:marBottom w:val="0"/>
      <w:divBdr>
        <w:top w:val="none" w:sz="0" w:space="0" w:color="auto"/>
        <w:left w:val="none" w:sz="0" w:space="0" w:color="auto"/>
        <w:bottom w:val="none" w:sz="0" w:space="0" w:color="auto"/>
        <w:right w:val="none" w:sz="0" w:space="0" w:color="auto"/>
      </w:divBdr>
    </w:div>
    <w:div w:id="1981960000">
      <w:bodyDiv w:val="1"/>
      <w:marLeft w:val="0"/>
      <w:marRight w:val="0"/>
      <w:marTop w:val="0"/>
      <w:marBottom w:val="0"/>
      <w:divBdr>
        <w:top w:val="none" w:sz="0" w:space="0" w:color="auto"/>
        <w:left w:val="none" w:sz="0" w:space="0" w:color="auto"/>
        <w:bottom w:val="none" w:sz="0" w:space="0" w:color="auto"/>
        <w:right w:val="none" w:sz="0" w:space="0" w:color="auto"/>
      </w:divBdr>
    </w:div>
    <w:div w:id="1989624564">
      <w:bodyDiv w:val="1"/>
      <w:marLeft w:val="0"/>
      <w:marRight w:val="0"/>
      <w:marTop w:val="0"/>
      <w:marBottom w:val="0"/>
      <w:divBdr>
        <w:top w:val="none" w:sz="0" w:space="0" w:color="auto"/>
        <w:left w:val="none" w:sz="0" w:space="0" w:color="auto"/>
        <w:bottom w:val="none" w:sz="0" w:space="0" w:color="auto"/>
        <w:right w:val="none" w:sz="0" w:space="0" w:color="auto"/>
      </w:divBdr>
    </w:div>
    <w:div w:id="2026901709">
      <w:bodyDiv w:val="1"/>
      <w:marLeft w:val="0"/>
      <w:marRight w:val="0"/>
      <w:marTop w:val="0"/>
      <w:marBottom w:val="0"/>
      <w:divBdr>
        <w:top w:val="none" w:sz="0" w:space="0" w:color="auto"/>
        <w:left w:val="none" w:sz="0" w:space="0" w:color="auto"/>
        <w:bottom w:val="none" w:sz="0" w:space="0" w:color="auto"/>
        <w:right w:val="none" w:sz="0" w:space="0" w:color="auto"/>
      </w:divBdr>
      <w:divsChild>
        <w:div w:id="296451914">
          <w:marLeft w:val="0"/>
          <w:marRight w:val="0"/>
          <w:marTop w:val="0"/>
          <w:marBottom w:val="0"/>
          <w:divBdr>
            <w:top w:val="single" w:sz="2" w:space="0" w:color="auto"/>
            <w:left w:val="single" w:sz="2" w:space="0" w:color="auto"/>
            <w:bottom w:val="single" w:sz="6" w:space="0" w:color="auto"/>
            <w:right w:val="single" w:sz="2" w:space="0" w:color="auto"/>
          </w:divBdr>
          <w:divsChild>
            <w:div w:id="46540686">
              <w:marLeft w:val="0"/>
              <w:marRight w:val="0"/>
              <w:marTop w:val="100"/>
              <w:marBottom w:val="100"/>
              <w:divBdr>
                <w:top w:val="single" w:sz="2" w:space="0" w:color="D9D9E3"/>
                <w:left w:val="single" w:sz="2" w:space="0" w:color="D9D9E3"/>
                <w:bottom w:val="single" w:sz="2" w:space="0" w:color="D9D9E3"/>
                <w:right w:val="single" w:sz="2" w:space="0" w:color="D9D9E3"/>
              </w:divBdr>
              <w:divsChild>
                <w:div w:id="578635217">
                  <w:marLeft w:val="0"/>
                  <w:marRight w:val="0"/>
                  <w:marTop w:val="0"/>
                  <w:marBottom w:val="0"/>
                  <w:divBdr>
                    <w:top w:val="single" w:sz="2" w:space="0" w:color="D9D9E3"/>
                    <w:left w:val="single" w:sz="2" w:space="0" w:color="D9D9E3"/>
                    <w:bottom w:val="single" w:sz="2" w:space="0" w:color="D9D9E3"/>
                    <w:right w:val="single" w:sz="2" w:space="0" w:color="D9D9E3"/>
                  </w:divBdr>
                  <w:divsChild>
                    <w:div w:id="2058894288">
                      <w:marLeft w:val="0"/>
                      <w:marRight w:val="0"/>
                      <w:marTop w:val="0"/>
                      <w:marBottom w:val="0"/>
                      <w:divBdr>
                        <w:top w:val="single" w:sz="2" w:space="0" w:color="D9D9E3"/>
                        <w:left w:val="single" w:sz="2" w:space="0" w:color="D9D9E3"/>
                        <w:bottom w:val="single" w:sz="2" w:space="0" w:color="D9D9E3"/>
                        <w:right w:val="single" w:sz="2" w:space="0" w:color="D9D9E3"/>
                      </w:divBdr>
                      <w:divsChild>
                        <w:div w:id="1983847282">
                          <w:marLeft w:val="0"/>
                          <w:marRight w:val="0"/>
                          <w:marTop w:val="0"/>
                          <w:marBottom w:val="0"/>
                          <w:divBdr>
                            <w:top w:val="single" w:sz="2" w:space="0" w:color="D9D9E3"/>
                            <w:left w:val="single" w:sz="2" w:space="0" w:color="D9D9E3"/>
                            <w:bottom w:val="single" w:sz="2" w:space="0" w:color="D9D9E3"/>
                            <w:right w:val="single" w:sz="2" w:space="0" w:color="D9D9E3"/>
                          </w:divBdr>
                          <w:divsChild>
                            <w:div w:id="1700279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31687609">
      <w:bodyDiv w:val="1"/>
      <w:marLeft w:val="0"/>
      <w:marRight w:val="0"/>
      <w:marTop w:val="0"/>
      <w:marBottom w:val="0"/>
      <w:divBdr>
        <w:top w:val="none" w:sz="0" w:space="0" w:color="auto"/>
        <w:left w:val="none" w:sz="0" w:space="0" w:color="auto"/>
        <w:bottom w:val="none" w:sz="0" w:space="0" w:color="auto"/>
        <w:right w:val="none" w:sz="0" w:space="0" w:color="auto"/>
      </w:divBdr>
      <w:divsChild>
        <w:div w:id="1114791432">
          <w:marLeft w:val="0"/>
          <w:marRight w:val="0"/>
          <w:marTop w:val="0"/>
          <w:marBottom w:val="0"/>
          <w:divBdr>
            <w:top w:val="single" w:sz="2" w:space="0" w:color="auto"/>
            <w:left w:val="single" w:sz="2" w:space="0" w:color="auto"/>
            <w:bottom w:val="single" w:sz="6" w:space="0" w:color="auto"/>
            <w:right w:val="single" w:sz="2" w:space="0" w:color="auto"/>
          </w:divBdr>
          <w:divsChild>
            <w:div w:id="1548100595">
              <w:marLeft w:val="0"/>
              <w:marRight w:val="0"/>
              <w:marTop w:val="100"/>
              <w:marBottom w:val="100"/>
              <w:divBdr>
                <w:top w:val="single" w:sz="2" w:space="0" w:color="D9D9E3"/>
                <w:left w:val="single" w:sz="2" w:space="0" w:color="D9D9E3"/>
                <w:bottom w:val="single" w:sz="2" w:space="0" w:color="D9D9E3"/>
                <w:right w:val="single" w:sz="2" w:space="0" w:color="D9D9E3"/>
              </w:divBdr>
              <w:divsChild>
                <w:div w:id="1141115797">
                  <w:marLeft w:val="0"/>
                  <w:marRight w:val="0"/>
                  <w:marTop w:val="0"/>
                  <w:marBottom w:val="0"/>
                  <w:divBdr>
                    <w:top w:val="single" w:sz="2" w:space="0" w:color="D9D9E3"/>
                    <w:left w:val="single" w:sz="2" w:space="0" w:color="D9D9E3"/>
                    <w:bottom w:val="single" w:sz="2" w:space="0" w:color="D9D9E3"/>
                    <w:right w:val="single" w:sz="2" w:space="0" w:color="D9D9E3"/>
                  </w:divBdr>
                  <w:divsChild>
                    <w:div w:id="1439367770">
                      <w:marLeft w:val="0"/>
                      <w:marRight w:val="0"/>
                      <w:marTop w:val="0"/>
                      <w:marBottom w:val="0"/>
                      <w:divBdr>
                        <w:top w:val="single" w:sz="2" w:space="0" w:color="D9D9E3"/>
                        <w:left w:val="single" w:sz="2" w:space="0" w:color="D9D9E3"/>
                        <w:bottom w:val="single" w:sz="2" w:space="0" w:color="D9D9E3"/>
                        <w:right w:val="single" w:sz="2" w:space="0" w:color="D9D9E3"/>
                      </w:divBdr>
                      <w:divsChild>
                        <w:div w:id="1086922773">
                          <w:marLeft w:val="0"/>
                          <w:marRight w:val="0"/>
                          <w:marTop w:val="0"/>
                          <w:marBottom w:val="0"/>
                          <w:divBdr>
                            <w:top w:val="single" w:sz="2" w:space="0" w:color="D9D9E3"/>
                            <w:left w:val="single" w:sz="2" w:space="0" w:color="D9D9E3"/>
                            <w:bottom w:val="single" w:sz="2" w:space="0" w:color="D9D9E3"/>
                            <w:right w:val="single" w:sz="2" w:space="0" w:color="D9D9E3"/>
                          </w:divBdr>
                          <w:divsChild>
                            <w:div w:id="7608757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34721692">
      <w:bodyDiv w:val="1"/>
      <w:marLeft w:val="0"/>
      <w:marRight w:val="0"/>
      <w:marTop w:val="0"/>
      <w:marBottom w:val="0"/>
      <w:divBdr>
        <w:top w:val="none" w:sz="0" w:space="0" w:color="auto"/>
        <w:left w:val="none" w:sz="0" w:space="0" w:color="auto"/>
        <w:bottom w:val="none" w:sz="0" w:space="0" w:color="auto"/>
        <w:right w:val="none" w:sz="0" w:space="0" w:color="auto"/>
      </w:divBdr>
      <w:divsChild>
        <w:div w:id="706641135">
          <w:marLeft w:val="0"/>
          <w:marRight w:val="0"/>
          <w:marTop w:val="0"/>
          <w:marBottom w:val="0"/>
          <w:divBdr>
            <w:top w:val="none" w:sz="0" w:space="0" w:color="auto"/>
            <w:left w:val="none" w:sz="0" w:space="0" w:color="auto"/>
            <w:bottom w:val="none" w:sz="0" w:space="0" w:color="auto"/>
            <w:right w:val="none" w:sz="0" w:space="0" w:color="auto"/>
          </w:divBdr>
          <w:divsChild>
            <w:div w:id="1723870389">
              <w:marLeft w:val="0"/>
              <w:marRight w:val="0"/>
              <w:marTop w:val="0"/>
              <w:marBottom w:val="0"/>
              <w:divBdr>
                <w:top w:val="none" w:sz="0" w:space="0" w:color="auto"/>
                <w:left w:val="none" w:sz="0" w:space="0" w:color="auto"/>
                <w:bottom w:val="none" w:sz="0" w:space="0" w:color="auto"/>
                <w:right w:val="none" w:sz="0" w:space="0" w:color="auto"/>
              </w:divBdr>
              <w:divsChild>
                <w:div w:id="11586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12954">
      <w:bodyDiv w:val="1"/>
      <w:marLeft w:val="0"/>
      <w:marRight w:val="0"/>
      <w:marTop w:val="0"/>
      <w:marBottom w:val="0"/>
      <w:divBdr>
        <w:top w:val="none" w:sz="0" w:space="0" w:color="auto"/>
        <w:left w:val="none" w:sz="0" w:space="0" w:color="auto"/>
        <w:bottom w:val="none" w:sz="0" w:space="0" w:color="auto"/>
        <w:right w:val="none" w:sz="0" w:space="0" w:color="auto"/>
      </w:divBdr>
    </w:div>
    <w:div w:id="2081252053">
      <w:bodyDiv w:val="1"/>
      <w:marLeft w:val="0"/>
      <w:marRight w:val="0"/>
      <w:marTop w:val="0"/>
      <w:marBottom w:val="0"/>
      <w:divBdr>
        <w:top w:val="none" w:sz="0" w:space="0" w:color="auto"/>
        <w:left w:val="none" w:sz="0" w:space="0" w:color="auto"/>
        <w:bottom w:val="none" w:sz="0" w:space="0" w:color="auto"/>
        <w:right w:val="none" w:sz="0" w:space="0" w:color="auto"/>
      </w:divBdr>
    </w:div>
    <w:div w:id="2117097925">
      <w:bodyDiv w:val="1"/>
      <w:marLeft w:val="0"/>
      <w:marRight w:val="0"/>
      <w:marTop w:val="0"/>
      <w:marBottom w:val="0"/>
      <w:divBdr>
        <w:top w:val="none" w:sz="0" w:space="0" w:color="auto"/>
        <w:left w:val="none" w:sz="0" w:space="0" w:color="auto"/>
        <w:bottom w:val="none" w:sz="0" w:space="0" w:color="auto"/>
        <w:right w:val="none" w:sz="0" w:space="0" w:color="auto"/>
      </w:divBdr>
    </w:div>
    <w:div w:id="2123916720">
      <w:bodyDiv w:val="1"/>
      <w:marLeft w:val="0"/>
      <w:marRight w:val="0"/>
      <w:marTop w:val="0"/>
      <w:marBottom w:val="0"/>
      <w:divBdr>
        <w:top w:val="none" w:sz="0" w:space="0" w:color="auto"/>
        <w:left w:val="none" w:sz="0" w:space="0" w:color="auto"/>
        <w:bottom w:val="none" w:sz="0" w:space="0" w:color="auto"/>
        <w:right w:val="none" w:sz="0" w:space="0" w:color="auto"/>
      </w:divBdr>
    </w:div>
    <w:div w:id="2141529021">
      <w:bodyDiv w:val="1"/>
      <w:marLeft w:val="0"/>
      <w:marRight w:val="0"/>
      <w:marTop w:val="0"/>
      <w:marBottom w:val="0"/>
      <w:divBdr>
        <w:top w:val="none" w:sz="0" w:space="0" w:color="auto"/>
        <w:left w:val="none" w:sz="0" w:space="0" w:color="auto"/>
        <w:bottom w:val="none" w:sz="0" w:space="0" w:color="auto"/>
        <w:right w:val="none" w:sz="0" w:space="0" w:color="auto"/>
      </w:divBdr>
      <w:divsChild>
        <w:div w:id="26755854">
          <w:marLeft w:val="0"/>
          <w:marRight w:val="0"/>
          <w:marTop w:val="0"/>
          <w:marBottom w:val="0"/>
          <w:divBdr>
            <w:top w:val="none" w:sz="0" w:space="0" w:color="auto"/>
            <w:left w:val="none" w:sz="0" w:space="0" w:color="auto"/>
            <w:bottom w:val="none" w:sz="0" w:space="0" w:color="auto"/>
            <w:right w:val="none" w:sz="0" w:space="0" w:color="auto"/>
          </w:divBdr>
        </w:div>
      </w:divsChild>
    </w:div>
    <w:div w:id="214435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s://doi.org/10.1016/j.jeconom.2020.09.012"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mailto:umbertonizza@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9887</Words>
  <Characters>56360</Characters>
  <Application>Microsoft Macintosh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 Umberto Nizza</dc:creator>
  <cp:keywords/>
  <dc:description/>
  <cp:lastModifiedBy>Microsoft Office User</cp:lastModifiedBy>
  <cp:revision>3</cp:revision>
  <dcterms:created xsi:type="dcterms:W3CDTF">2024-03-31T08:18:00Z</dcterms:created>
  <dcterms:modified xsi:type="dcterms:W3CDTF">2024-03-31T10:12:00Z</dcterms:modified>
</cp:coreProperties>
</file>