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7704" w14:textId="56F91961" w:rsidR="00D57D51" w:rsidRPr="00E42EAE" w:rsidRDefault="00F93D70" w:rsidP="00EA1E22">
      <w:pPr>
        <w:pStyle w:val="Title"/>
        <w:outlineLvl w:val="9"/>
      </w:pPr>
      <w:r w:rsidRPr="00E42EAE">
        <w:t>F</w:t>
      </w:r>
      <w:r w:rsidR="004A6B41" w:rsidRPr="00E42EAE">
        <w:t>airness</w:t>
      </w:r>
      <w:r w:rsidRPr="00E42EAE">
        <w:t>,</w:t>
      </w:r>
      <w:r w:rsidR="004A6B41" w:rsidRPr="00E42EAE">
        <w:t xml:space="preserve"> consumer welfare and efficiency</w:t>
      </w:r>
      <w:r w:rsidRPr="00E42EAE">
        <w:t xml:space="preserve"> in digital copyright regulation</w:t>
      </w:r>
      <w:r w:rsidR="004A6B41" w:rsidRPr="00E42EAE">
        <w:t>: evidence from private ordering mechanisms under DSA</w:t>
      </w:r>
      <w:r w:rsidR="00772300" w:rsidRPr="00E42EAE">
        <w:t xml:space="preserve"> </w:t>
      </w:r>
      <w:r w:rsidR="00A51373" w:rsidRPr="00E42EAE">
        <w:t>and CDSM</w:t>
      </w:r>
    </w:p>
    <w:p w14:paraId="16F99C7F" w14:textId="241F6B44" w:rsidR="004A6B41" w:rsidRPr="00E42EAE" w:rsidRDefault="00482913" w:rsidP="004A6B41">
      <w:pPr>
        <w:rPr>
          <w:lang w:val="en-US"/>
        </w:rPr>
      </w:pPr>
      <w:r w:rsidRPr="00E42EAE">
        <w:rPr>
          <w:lang w:val="en-US"/>
        </w:rPr>
        <w:t>Ondřej Woznica,</w:t>
      </w:r>
      <w:r w:rsidR="006C5225" w:rsidRPr="00E42EAE">
        <w:rPr>
          <w:rStyle w:val="FootnoteReference"/>
          <w:lang w:val="en-US"/>
        </w:rPr>
        <w:footnoteReference w:id="2"/>
      </w:r>
      <w:r w:rsidRPr="00E42EAE">
        <w:rPr>
          <w:lang w:val="en-US"/>
        </w:rPr>
        <w:t xml:space="preserve"> Andrej Kr</w:t>
      </w:r>
      <w:r w:rsidR="006C5225" w:rsidRPr="00E42EAE">
        <w:rPr>
          <w:lang w:val="en-US"/>
        </w:rPr>
        <w:t>i</w:t>
      </w:r>
      <w:r w:rsidRPr="00E42EAE">
        <w:rPr>
          <w:lang w:val="en-US"/>
        </w:rPr>
        <w:t>štofík,</w:t>
      </w:r>
      <w:r w:rsidR="009E36DA" w:rsidRPr="00E42EAE">
        <w:rPr>
          <w:rStyle w:val="FootnoteReference"/>
          <w:lang w:val="en-US"/>
        </w:rPr>
        <w:footnoteReference w:id="3"/>
      </w:r>
      <w:r w:rsidRPr="00E42EAE">
        <w:rPr>
          <w:lang w:val="en-US"/>
        </w:rPr>
        <w:t xml:space="preserve"> Matěj Myška</w:t>
      </w:r>
      <w:r w:rsidR="009E36DA" w:rsidRPr="00E42EAE">
        <w:rPr>
          <w:rStyle w:val="FootnoteReference"/>
          <w:lang w:val="en-US"/>
        </w:rPr>
        <w:footnoteReference w:id="4"/>
      </w:r>
    </w:p>
    <w:p w14:paraId="5592CC9A" w14:textId="4852472B" w:rsidR="007A5FD5" w:rsidRPr="00E42EAE" w:rsidRDefault="00164A48" w:rsidP="007A5FD5">
      <w:pPr>
        <w:jc w:val="both"/>
        <w:rPr>
          <w:i/>
          <w:iCs/>
          <w:lang w:val="en-US"/>
        </w:rPr>
      </w:pPr>
      <w:r w:rsidRPr="00E42EAE">
        <w:rPr>
          <w:i/>
          <w:iCs/>
          <w:lang w:val="en-US"/>
        </w:rPr>
        <w:t xml:space="preserve">Digital Services Act ("DSA") and the new wave of European digital regulation fundamentally reshapes the legal framework applicable to digital intermediaries. </w:t>
      </w:r>
      <w:r w:rsidR="007A5FD5" w:rsidRPr="00E42EAE">
        <w:rPr>
          <w:i/>
          <w:iCs/>
          <w:lang w:val="en-US"/>
        </w:rPr>
        <w:t xml:space="preserve">This article examines the evolving legal-economic equilibrium of copyright regulation on </w:t>
      </w:r>
      <w:r w:rsidR="00261D99" w:rsidRPr="00E42EAE">
        <w:rPr>
          <w:i/>
          <w:iCs/>
          <w:lang w:val="en-US"/>
        </w:rPr>
        <w:t>online</w:t>
      </w:r>
      <w:r w:rsidR="007A5FD5" w:rsidRPr="00E42EAE">
        <w:rPr>
          <w:i/>
          <w:iCs/>
          <w:lang w:val="en-US"/>
        </w:rPr>
        <w:t xml:space="preserve"> platforms in the wake of the DSA and Article 17 of the </w:t>
      </w:r>
      <w:r w:rsidR="00F670E2" w:rsidRPr="00E42EAE">
        <w:rPr>
          <w:i/>
          <w:iCs/>
          <w:lang w:val="en-US"/>
        </w:rPr>
        <w:t xml:space="preserve">Directive on </w:t>
      </w:r>
      <w:r w:rsidR="007A5FD5" w:rsidRPr="00E42EAE">
        <w:rPr>
          <w:i/>
          <w:iCs/>
          <w:lang w:val="en-US"/>
        </w:rPr>
        <w:t>Copyright in the Digital Single Market</w:t>
      </w:r>
      <w:r w:rsidR="00473183" w:rsidRPr="00E42EAE">
        <w:rPr>
          <w:i/>
          <w:iCs/>
          <w:lang w:val="en-US"/>
        </w:rPr>
        <w:t xml:space="preserve"> </w:t>
      </w:r>
      <w:r w:rsidR="00473183" w:rsidRPr="00E42EAE">
        <w:rPr>
          <w:lang w:val="en-US"/>
        </w:rPr>
        <w:t>(“CDSM”)</w:t>
      </w:r>
      <w:r w:rsidR="007A5FD5" w:rsidRPr="00E42EAE">
        <w:rPr>
          <w:i/>
          <w:iCs/>
          <w:lang w:val="en-US"/>
        </w:rPr>
        <w:t>. It explores how the principles of fairness, consumer welfare, and efficiency interact as regulatory standards. The analysis conceptualizes these principles as co-dependent forces shaped by regulatory modalities and investigates how recent legal obligations have reshaped the private ordering practices of online platforms.</w:t>
      </w:r>
    </w:p>
    <w:p w14:paraId="3BFAAF11" w14:textId="1870CCA2" w:rsidR="00164A48" w:rsidRPr="00E42EAE" w:rsidRDefault="007A5FD5" w:rsidP="00BF371A">
      <w:pPr>
        <w:jc w:val="both"/>
        <w:rPr>
          <w:i/>
          <w:iCs/>
          <w:lang w:val="en-US"/>
        </w:rPr>
      </w:pPr>
      <w:r w:rsidRPr="00E42EAE">
        <w:rPr>
          <w:i/>
          <w:iCs/>
          <w:lang w:val="en-US"/>
        </w:rPr>
        <w:t>Through a content analysis of terms and conditions from selected user-generated content platforms, the article assesses the degree to which platforms have incorporated DSA and CDSM requirements into their contractual frameworks. The findings suggest limited progress</w:t>
      </w:r>
      <w:r w:rsidR="00632C4B" w:rsidRPr="00E42EAE">
        <w:rPr>
          <w:i/>
          <w:iCs/>
          <w:lang w:val="en-US"/>
        </w:rPr>
        <w:t>.</w:t>
      </w:r>
      <w:r w:rsidRPr="00E42EAE">
        <w:rPr>
          <w:i/>
          <w:iCs/>
          <w:lang w:val="en-US"/>
        </w:rPr>
        <w:t xml:space="preserve"> </w:t>
      </w:r>
      <w:r w:rsidR="00632C4B" w:rsidRPr="00E42EAE">
        <w:rPr>
          <w:i/>
          <w:iCs/>
          <w:lang w:val="en-US"/>
        </w:rPr>
        <w:t>W</w:t>
      </w:r>
      <w:r w:rsidRPr="00E42EAE">
        <w:rPr>
          <w:i/>
          <w:iCs/>
          <w:lang w:val="en-US"/>
        </w:rPr>
        <w:t xml:space="preserve">hile some platforms demonstrate partial compliance and improved transparency, others maintain static, pre-DSA structures. This uneven implementation raises critical questions about the effectiveness of using contractual terms as a regulatory tool and underscores the need for meaningful enforcement to achieve the DSA’s </w:t>
      </w:r>
      <w:r w:rsidR="005B4B2A" w:rsidRPr="00E42EAE">
        <w:rPr>
          <w:i/>
          <w:iCs/>
          <w:lang w:val="en-US"/>
        </w:rPr>
        <w:t>goals</w:t>
      </w:r>
      <w:r w:rsidRPr="00E42EAE">
        <w:rPr>
          <w:i/>
          <w:iCs/>
          <w:lang w:val="en-US"/>
        </w:rPr>
        <w:t>.</w:t>
      </w:r>
    </w:p>
    <w:p w14:paraId="4953DA12" w14:textId="4AE219F2" w:rsidR="00D57D51" w:rsidRPr="00E42EAE" w:rsidRDefault="00BF371A" w:rsidP="00BF371A">
      <w:pPr>
        <w:jc w:val="both"/>
        <w:rPr>
          <w:i/>
          <w:iCs/>
          <w:lang w:val="en-US"/>
        </w:rPr>
      </w:pPr>
      <w:r w:rsidRPr="00E42EAE">
        <w:rPr>
          <w:i/>
          <w:iCs/>
          <w:lang w:val="en-US"/>
        </w:rPr>
        <w:t xml:space="preserve">Copyright, </w:t>
      </w:r>
      <w:r w:rsidR="008A43C4" w:rsidRPr="00E42EAE">
        <w:rPr>
          <w:i/>
          <w:iCs/>
          <w:lang w:val="en-US"/>
        </w:rPr>
        <w:t>c</w:t>
      </w:r>
      <w:r w:rsidR="00D55FFB" w:rsidRPr="00E42EAE">
        <w:rPr>
          <w:i/>
          <w:iCs/>
          <w:lang w:val="en-US"/>
        </w:rPr>
        <w:t xml:space="preserve">onsumer welfare, content analysis, </w:t>
      </w:r>
      <w:r w:rsidR="002C5E47" w:rsidRPr="00E42EAE">
        <w:rPr>
          <w:i/>
          <w:iCs/>
          <w:lang w:val="en-US"/>
        </w:rPr>
        <w:t>CDSM</w:t>
      </w:r>
      <w:r w:rsidR="00027D9C" w:rsidRPr="00E42EAE">
        <w:rPr>
          <w:i/>
          <w:iCs/>
          <w:lang w:val="en-US"/>
        </w:rPr>
        <w:t xml:space="preserve"> Directive, </w:t>
      </w:r>
      <w:r w:rsidR="00D55FFB" w:rsidRPr="00E42EAE">
        <w:rPr>
          <w:i/>
          <w:iCs/>
          <w:lang w:val="en-US"/>
        </w:rPr>
        <w:t>DSA, efficiency, private ordering, terms and conditions</w:t>
      </w:r>
    </w:p>
    <w:sdt>
      <w:sdtPr>
        <w:rPr>
          <w:lang w:val="en-US"/>
        </w:rPr>
        <w:id w:val="742765653"/>
        <w:docPartObj>
          <w:docPartGallery w:val="Table of Contents"/>
          <w:docPartUnique/>
        </w:docPartObj>
      </w:sdtPr>
      <w:sdtEndPr>
        <w:rPr>
          <w:b/>
          <w:bCs/>
        </w:rPr>
      </w:sdtEndPr>
      <w:sdtContent>
        <w:p w14:paraId="19DB0848" w14:textId="3D9D4405" w:rsidR="008C7DEF" w:rsidRPr="00E42EAE" w:rsidRDefault="008C7DEF" w:rsidP="000B5FD0">
          <w:pPr>
            <w:rPr>
              <w:lang w:val="en-US"/>
            </w:rPr>
          </w:pPr>
        </w:p>
        <w:p w14:paraId="0FAA3243" w14:textId="79D992BB" w:rsidR="00C87DE0" w:rsidRDefault="000B5FD0">
          <w:pPr>
            <w:pStyle w:val="TOC1"/>
            <w:tabs>
              <w:tab w:val="left" w:pos="440"/>
              <w:tab w:val="right" w:leader="dot" w:pos="9062"/>
            </w:tabs>
            <w:rPr>
              <w:rFonts w:eastAsiaTheme="minorEastAsia"/>
              <w:noProof/>
              <w:sz w:val="24"/>
              <w:szCs w:val="24"/>
              <w:lang w:eastAsia="cs-CZ"/>
            </w:rPr>
          </w:pPr>
          <w:r w:rsidRPr="00E42EAE">
            <w:rPr>
              <w:lang w:val="en-US"/>
            </w:rPr>
            <w:fldChar w:fldCharType="begin"/>
          </w:r>
          <w:r w:rsidRPr="00E42EAE">
            <w:rPr>
              <w:lang w:val="en-US"/>
            </w:rPr>
            <w:instrText xml:space="preserve"> TOC \o "1-3" \h \z \u </w:instrText>
          </w:r>
          <w:r w:rsidRPr="00E42EAE">
            <w:rPr>
              <w:lang w:val="en-US"/>
            </w:rPr>
            <w:fldChar w:fldCharType="separate"/>
          </w:r>
          <w:hyperlink w:anchor="_Toc215751864" w:history="1">
            <w:r w:rsidR="00C87DE0" w:rsidRPr="00353FA5">
              <w:rPr>
                <w:rStyle w:val="Hyperlink"/>
                <w:noProof/>
              </w:rPr>
              <w:t>1.</w:t>
            </w:r>
            <w:r w:rsidR="00C87DE0">
              <w:rPr>
                <w:rFonts w:eastAsiaTheme="minorEastAsia"/>
                <w:noProof/>
                <w:sz w:val="24"/>
                <w:szCs w:val="24"/>
                <w:lang w:eastAsia="cs-CZ"/>
              </w:rPr>
              <w:tab/>
            </w:r>
            <w:r w:rsidR="00C87DE0" w:rsidRPr="00353FA5">
              <w:rPr>
                <w:rStyle w:val="Hyperlink"/>
                <w:noProof/>
              </w:rPr>
              <w:t>Introduction</w:t>
            </w:r>
            <w:r w:rsidR="00C87DE0">
              <w:rPr>
                <w:noProof/>
                <w:webHidden/>
              </w:rPr>
              <w:tab/>
            </w:r>
            <w:r w:rsidR="00C87DE0">
              <w:rPr>
                <w:noProof/>
                <w:webHidden/>
              </w:rPr>
              <w:fldChar w:fldCharType="begin"/>
            </w:r>
            <w:r w:rsidR="00C87DE0">
              <w:rPr>
                <w:noProof/>
                <w:webHidden/>
              </w:rPr>
              <w:instrText xml:space="preserve"> PAGEREF _Toc215751864 \h </w:instrText>
            </w:r>
            <w:r w:rsidR="00C87DE0">
              <w:rPr>
                <w:noProof/>
                <w:webHidden/>
              </w:rPr>
            </w:r>
            <w:r w:rsidR="00C87DE0">
              <w:rPr>
                <w:noProof/>
                <w:webHidden/>
              </w:rPr>
              <w:fldChar w:fldCharType="separate"/>
            </w:r>
            <w:r w:rsidR="00C87DE0">
              <w:rPr>
                <w:noProof/>
                <w:webHidden/>
              </w:rPr>
              <w:t>2</w:t>
            </w:r>
            <w:r w:rsidR="00C87DE0">
              <w:rPr>
                <w:noProof/>
                <w:webHidden/>
              </w:rPr>
              <w:fldChar w:fldCharType="end"/>
            </w:r>
          </w:hyperlink>
        </w:p>
        <w:p w14:paraId="0F56FC6D" w14:textId="090AABD0" w:rsidR="00C87DE0" w:rsidRDefault="00C87DE0">
          <w:pPr>
            <w:pStyle w:val="TOC1"/>
            <w:tabs>
              <w:tab w:val="left" w:pos="440"/>
              <w:tab w:val="right" w:leader="dot" w:pos="9062"/>
            </w:tabs>
            <w:rPr>
              <w:rFonts w:eastAsiaTheme="minorEastAsia"/>
              <w:noProof/>
              <w:sz w:val="24"/>
              <w:szCs w:val="24"/>
              <w:lang w:eastAsia="cs-CZ"/>
            </w:rPr>
          </w:pPr>
          <w:hyperlink w:anchor="_Toc215751865" w:history="1">
            <w:r w:rsidRPr="00353FA5">
              <w:rPr>
                <w:rStyle w:val="Hyperlink"/>
                <w:noProof/>
              </w:rPr>
              <w:t>2.</w:t>
            </w:r>
            <w:r>
              <w:rPr>
                <w:rFonts w:eastAsiaTheme="minorEastAsia"/>
                <w:noProof/>
                <w:sz w:val="24"/>
                <w:szCs w:val="24"/>
                <w:lang w:eastAsia="cs-CZ"/>
              </w:rPr>
              <w:tab/>
            </w:r>
            <w:r w:rsidRPr="00353FA5">
              <w:rPr>
                <w:rStyle w:val="Hyperlink"/>
                <w:noProof/>
              </w:rPr>
              <w:t>Regulatory standards of fairness, consumer protection and efficiency</w:t>
            </w:r>
            <w:r>
              <w:rPr>
                <w:noProof/>
                <w:webHidden/>
              </w:rPr>
              <w:tab/>
            </w:r>
            <w:r>
              <w:rPr>
                <w:noProof/>
                <w:webHidden/>
              </w:rPr>
              <w:fldChar w:fldCharType="begin"/>
            </w:r>
            <w:r>
              <w:rPr>
                <w:noProof/>
                <w:webHidden/>
              </w:rPr>
              <w:instrText xml:space="preserve"> PAGEREF _Toc215751865 \h </w:instrText>
            </w:r>
            <w:r>
              <w:rPr>
                <w:noProof/>
                <w:webHidden/>
              </w:rPr>
            </w:r>
            <w:r>
              <w:rPr>
                <w:noProof/>
                <w:webHidden/>
              </w:rPr>
              <w:fldChar w:fldCharType="separate"/>
            </w:r>
            <w:r>
              <w:rPr>
                <w:noProof/>
                <w:webHidden/>
              </w:rPr>
              <w:t>3</w:t>
            </w:r>
            <w:r>
              <w:rPr>
                <w:noProof/>
                <w:webHidden/>
              </w:rPr>
              <w:fldChar w:fldCharType="end"/>
            </w:r>
          </w:hyperlink>
        </w:p>
        <w:p w14:paraId="171E8B09" w14:textId="78188ECE" w:rsidR="00C87DE0" w:rsidRDefault="00C87DE0">
          <w:pPr>
            <w:pStyle w:val="TOC2"/>
            <w:tabs>
              <w:tab w:val="left" w:pos="960"/>
              <w:tab w:val="right" w:leader="dot" w:pos="9062"/>
            </w:tabs>
            <w:rPr>
              <w:rFonts w:eastAsiaTheme="minorEastAsia"/>
              <w:noProof/>
              <w:sz w:val="24"/>
              <w:szCs w:val="24"/>
              <w:lang w:eastAsia="cs-CZ"/>
            </w:rPr>
          </w:pPr>
          <w:hyperlink w:anchor="_Toc215751866" w:history="1">
            <w:r w:rsidRPr="00353FA5">
              <w:rPr>
                <w:rStyle w:val="Hyperlink"/>
                <w:noProof/>
              </w:rPr>
              <w:t>2.1.</w:t>
            </w:r>
            <w:r>
              <w:rPr>
                <w:rFonts w:eastAsiaTheme="minorEastAsia"/>
                <w:noProof/>
                <w:sz w:val="24"/>
                <w:szCs w:val="24"/>
                <w:lang w:eastAsia="cs-CZ"/>
              </w:rPr>
              <w:tab/>
            </w:r>
            <w:r w:rsidRPr="00353FA5">
              <w:rPr>
                <w:rStyle w:val="Hyperlink"/>
                <w:noProof/>
              </w:rPr>
              <w:t>Fairness as central pillar to DSA &amp; CDSM</w:t>
            </w:r>
            <w:r>
              <w:rPr>
                <w:noProof/>
                <w:webHidden/>
              </w:rPr>
              <w:tab/>
            </w:r>
            <w:r>
              <w:rPr>
                <w:noProof/>
                <w:webHidden/>
              </w:rPr>
              <w:fldChar w:fldCharType="begin"/>
            </w:r>
            <w:r>
              <w:rPr>
                <w:noProof/>
                <w:webHidden/>
              </w:rPr>
              <w:instrText xml:space="preserve"> PAGEREF _Toc215751866 \h </w:instrText>
            </w:r>
            <w:r>
              <w:rPr>
                <w:noProof/>
                <w:webHidden/>
              </w:rPr>
            </w:r>
            <w:r>
              <w:rPr>
                <w:noProof/>
                <w:webHidden/>
              </w:rPr>
              <w:fldChar w:fldCharType="separate"/>
            </w:r>
            <w:r>
              <w:rPr>
                <w:noProof/>
                <w:webHidden/>
              </w:rPr>
              <w:t>5</w:t>
            </w:r>
            <w:r>
              <w:rPr>
                <w:noProof/>
                <w:webHidden/>
              </w:rPr>
              <w:fldChar w:fldCharType="end"/>
            </w:r>
          </w:hyperlink>
        </w:p>
        <w:p w14:paraId="09C89CE8" w14:textId="68A6FFC0" w:rsidR="00C87DE0" w:rsidRDefault="00C87DE0">
          <w:pPr>
            <w:pStyle w:val="TOC2"/>
            <w:tabs>
              <w:tab w:val="left" w:pos="960"/>
              <w:tab w:val="right" w:leader="dot" w:pos="9062"/>
            </w:tabs>
            <w:rPr>
              <w:rFonts w:eastAsiaTheme="minorEastAsia"/>
              <w:noProof/>
              <w:sz w:val="24"/>
              <w:szCs w:val="24"/>
              <w:lang w:eastAsia="cs-CZ"/>
            </w:rPr>
          </w:pPr>
          <w:hyperlink w:anchor="_Toc215751867" w:history="1">
            <w:r w:rsidRPr="00353FA5">
              <w:rPr>
                <w:rStyle w:val="Hyperlink"/>
                <w:noProof/>
              </w:rPr>
              <w:t>2.2.</w:t>
            </w:r>
            <w:r>
              <w:rPr>
                <w:rFonts w:eastAsiaTheme="minorEastAsia"/>
                <w:noProof/>
                <w:sz w:val="24"/>
                <w:szCs w:val="24"/>
                <w:lang w:eastAsia="cs-CZ"/>
              </w:rPr>
              <w:tab/>
            </w:r>
            <w:r w:rsidRPr="00353FA5">
              <w:rPr>
                <w:rStyle w:val="Hyperlink"/>
                <w:noProof/>
              </w:rPr>
              <w:t>Consumer welfare as normative limit</w:t>
            </w:r>
            <w:r>
              <w:rPr>
                <w:noProof/>
                <w:webHidden/>
              </w:rPr>
              <w:tab/>
            </w:r>
            <w:r>
              <w:rPr>
                <w:noProof/>
                <w:webHidden/>
              </w:rPr>
              <w:fldChar w:fldCharType="begin"/>
            </w:r>
            <w:r>
              <w:rPr>
                <w:noProof/>
                <w:webHidden/>
              </w:rPr>
              <w:instrText xml:space="preserve"> PAGEREF _Toc215751867 \h </w:instrText>
            </w:r>
            <w:r>
              <w:rPr>
                <w:noProof/>
                <w:webHidden/>
              </w:rPr>
            </w:r>
            <w:r>
              <w:rPr>
                <w:noProof/>
                <w:webHidden/>
              </w:rPr>
              <w:fldChar w:fldCharType="separate"/>
            </w:r>
            <w:r>
              <w:rPr>
                <w:noProof/>
                <w:webHidden/>
              </w:rPr>
              <w:t>7</w:t>
            </w:r>
            <w:r>
              <w:rPr>
                <w:noProof/>
                <w:webHidden/>
              </w:rPr>
              <w:fldChar w:fldCharType="end"/>
            </w:r>
          </w:hyperlink>
        </w:p>
        <w:p w14:paraId="70383271" w14:textId="09F1F0EC" w:rsidR="00C87DE0" w:rsidRDefault="00C87DE0">
          <w:pPr>
            <w:pStyle w:val="TOC2"/>
            <w:tabs>
              <w:tab w:val="left" w:pos="960"/>
              <w:tab w:val="right" w:leader="dot" w:pos="9062"/>
            </w:tabs>
            <w:rPr>
              <w:rFonts w:eastAsiaTheme="minorEastAsia"/>
              <w:noProof/>
              <w:sz w:val="24"/>
              <w:szCs w:val="24"/>
              <w:lang w:eastAsia="cs-CZ"/>
            </w:rPr>
          </w:pPr>
          <w:hyperlink w:anchor="_Toc215751868" w:history="1">
            <w:r w:rsidRPr="00353FA5">
              <w:rPr>
                <w:rStyle w:val="Hyperlink"/>
                <w:noProof/>
              </w:rPr>
              <w:t>2.3.</w:t>
            </w:r>
            <w:r>
              <w:rPr>
                <w:rFonts w:eastAsiaTheme="minorEastAsia"/>
                <w:noProof/>
                <w:sz w:val="24"/>
                <w:szCs w:val="24"/>
                <w:lang w:eastAsia="cs-CZ"/>
              </w:rPr>
              <w:tab/>
            </w:r>
            <w:r w:rsidRPr="00353FA5">
              <w:rPr>
                <w:rStyle w:val="Hyperlink"/>
                <w:noProof/>
              </w:rPr>
              <w:t>Efficiency as economic standard</w:t>
            </w:r>
            <w:r>
              <w:rPr>
                <w:noProof/>
                <w:webHidden/>
              </w:rPr>
              <w:tab/>
            </w:r>
            <w:r>
              <w:rPr>
                <w:noProof/>
                <w:webHidden/>
              </w:rPr>
              <w:fldChar w:fldCharType="begin"/>
            </w:r>
            <w:r>
              <w:rPr>
                <w:noProof/>
                <w:webHidden/>
              </w:rPr>
              <w:instrText xml:space="preserve"> PAGEREF _Toc215751868 \h </w:instrText>
            </w:r>
            <w:r>
              <w:rPr>
                <w:noProof/>
                <w:webHidden/>
              </w:rPr>
            </w:r>
            <w:r>
              <w:rPr>
                <w:noProof/>
                <w:webHidden/>
              </w:rPr>
              <w:fldChar w:fldCharType="separate"/>
            </w:r>
            <w:r>
              <w:rPr>
                <w:noProof/>
                <w:webHidden/>
              </w:rPr>
              <w:t>8</w:t>
            </w:r>
            <w:r>
              <w:rPr>
                <w:noProof/>
                <w:webHidden/>
              </w:rPr>
              <w:fldChar w:fldCharType="end"/>
            </w:r>
          </w:hyperlink>
        </w:p>
        <w:p w14:paraId="36F401CD" w14:textId="5534838F" w:rsidR="00C87DE0" w:rsidRDefault="00C87DE0">
          <w:pPr>
            <w:pStyle w:val="TOC2"/>
            <w:tabs>
              <w:tab w:val="left" w:pos="960"/>
              <w:tab w:val="right" w:leader="dot" w:pos="9062"/>
            </w:tabs>
            <w:rPr>
              <w:rFonts w:eastAsiaTheme="minorEastAsia"/>
              <w:noProof/>
              <w:sz w:val="24"/>
              <w:szCs w:val="24"/>
              <w:lang w:eastAsia="cs-CZ"/>
            </w:rPr>
          </w:pPr>
          <w:hyperlink w:anchor="_Toc215751869" w:history="1">
            <w:r w:rsidRPr="00353FA5">
              <w:rPr>
                <w:rStyle w:val="Hyperlink"/>
                <w:noProof/>
              </w:rPr>
              <w:t>2.4.</w:t>
            </w:r>
            <w:r>
              <w:rPr>
                <w:rFonts w:eastAsiaTheme="minorEastAsia"/>
                <w:noProof/>
                <w:sz w:val="24"/>
                <w:szCs w:val="24"/>
                <w:lang w:eastAsia="cs-CZ"/>
              </w:rPr>
              <w:tab/>
            </w:r>
            <w:r w:rsidRPr="00353FA5">
              <w:rPr>
                <w:rStyle w:val="Hyperlink"/>
                <w:noProof/>
              </w:rPr>
              <w:t>Fairness, consumer welfare and efficiency: regulatory modalities and legal-economic nexus</w:t>
            </w:r>
            <w:r>
              <w:rPr>
                <w:noProof/>
                <w:webHidden/>
              </w:rPr>
              <w:tab/>
            </w:r>
            <w:r>
              <w:rPr>
                <w:noProof/>
                <w:webHidden/>
              </w:rPr>
              <w:fldChar w:fldCharType="begin"/>
            </w:r>
            <w:r>
              <w:rPr>
                <w:noProof/>
                <w:webHidden/>
              </w:rPr>
              <w:instrText xml:space="preserve"> PAGEREF _Toc215751869 \h </w:instrText>
            </w:r>
            <w:r>
              <w:rPr>
                <w:noProof/>
                <w:webHidden/>
              </w:rPr>
            </w:r>
            <w:r>
              <w:rPr>
                <w:noProof/>
                <w:webHidden/>
              </w:rPr>
              <w:fldChar w:fldCharType="separate"/>
            </w:r>
            <w:r>
              <w:rPr>
                <w:noProof/>
                <w:webHidden/>
              </w:rPr>
              <w:t>10</w:t>
            </w:r>
            <w:r>
              <w:rPr>
                <w:noProof/>
                <w:webHidden/>
              </w:rPr>
              <w:fldChar w:fldCharType="end"/>
            </w:r>
          </w:hyperlink>
        </w:p>
        <w:p w14:paraId="49F5ECEA" w14:textId="3CBE50ED" w:rsidR="00C87DE0" w:rsidRDefault="00C87DE0">
          <w:pPr>
            <w:pStyle w:val="TOC1"/>
            <w:tabs>
              <w:tab w:val="left" w:pos="440"/>
              <w:tab w:val="right" w:leader="dot" w:pos="9062"/>
            </w:tabs>
            <w:rPr>
              <w:rFonts w:eastAsiaTheme="minorEastAsia"/>
              <w:noProof/>
              <w:sz w:val="24"/>
              <w:szCs w:val="24"/>
              <w:lang w:eastAsia="cs-CZ"/>
            </w:rPr>
          </w:pPr>
          <w:hyperlink w:anchor="_Toc215751870" w:history="1">
            <w:r w:rsidRPr="00353FA5">
              <w:rPr>
                <w:rStyle w:val="Hyperlink"/>
                <w:noProof/>
              </w:rPr>
              <w:t>3.</w:t>
            </w:r>
            <w:r>
              <w:rPr>
                <w:rFonts w:eastAsiaTheme="minorEastAsia"/>
                <w:noProof/>
                <w:sz w:val="24"/>
                <w:szCs w:val="24"/>
                <w:lang w:eastAsia="cs-CZ"/>
              </w:rPr>
              <w:tab/>
            </w:r>
            <w:r w:rsidRPr="00353FA5">
              <w:rPr>
                <w:rStyle w:val="Hyperlink"/>
                <w:noProof/>
              </w:rPr>
              <w:t>Content analysis of private ordering tools</w:t>
            </w:r>
            <w:r>
              <w:rPr>
                <w:noProof/>
                <w:webHidden/>
              </w:rPr>
              <w:tab/>
            </w:r>
            <w:r>
              <w:rPr>
                <w:noProof/>
                <w:webHidden/>
              </w:rPr>
              <w:fldChar w:fldCharType="begin"/>
            </w:r>
            <w:r>
              <w:rPr>
                <w:noProof/>
                <w:webHidden/>
              </w:rPr>
              <w:instrText xml:space="preserve"> PAGEREF _Toc215751870 \h </w:instrText>
            </w:r>
            <w:r>
              <w:rPr>
                <w:noProof/>
                <w:webHidden/>
              </w:rPr>
            </w:r>
            <w:r>
              <w:rPr>
                <w:noProof/>
                <w:webHidden/>
              </w:rPr>
              <w:fldChar w:fldCharType="separate"/>
            </w:r>
            <w:r>
              <w:rPr>
                <w:noProof/>
                <w:webHidden/>
              </w:rPr>
              <w:t>12</w:t>
            </w:r>
            <w:r>
              <w:rPr>
                <w:noProof/>
                <w:webHidden/>
              </w:rPr>
              <w:fldChar w:fldCharType="end"/>
            </w:r>
          </w:hyperlink>
        </w:p>
        <w:p w14:paraId="7A8EA5DF" w14:textId="162E8E57" w:rsidR="00C87DE0" w:rsidRDefault="00C87DE0">
          <w:pPr>
            <w:pStyle w:val="TOC2"/>
            <w:tabs>
              <w:tab w:val="left" w:pos="960"/>
              <w:tab w:val="right" w:leader="dot" w:pos="9062"/>
            </w:tabs>
            <w:rPr>
              <w:rFonts w:eastAsiaTheme="minorEastAsia"/>
              <w:noProof/>
              <w:sz w:val="24"/>
              <w:szCs w:val="24"/>
              <w:lang w:eastAsia="cs-CZ"/>
            </w:rPr>
          </w:pPr>
          <w:hyperlink w:anchor="_Toc215751871" w:history="1">
            <w:r w:rsidRPr="00353FA5">
              <w:rPr>
                <w:rStyle w:val="Hyperlink"/>
                <w:noProof/>
              </w:rPr>
              <w:t>3.1.</w:t>
            </w:r>
            <w:r>
              <w:rPr>
                <w:rFonts w:eastAsiaTheme="minorEastAsia"/>
                <w:noProof/>
                <w:sz w:val="24"/>
                <w:szCs w:val="24"/>
                <w:lang w:eastAsia="cs-CZ"/>
              </w:rPr>
              <w:tab/>
            </w:r>
            <w:r w:rsidRPr="00353FA5">
              <w:rPr>
                <w:rStyle w:val="Hyperlink"/>
                <w:noProof/>
              </w:rPr>
              <w:t>Method and conceptualization</w:t>
            </w:r>
            <w:r>
              <w:rPr>
                <w:noProof/>
                <w:webHidden/>
              </w:rPr>
              <w:tab/>
            </w:r>
            <w:r>
              <w:rPr>
                <w:noProof/>
                <w:webHidden/>
              </w:rPr>
              <w:fldChar w:fldCharType="begin"/>
            </w:r>
            <w:r>
              <w:rPr>
                <w:noProof/>
                <w:webHidden/>
              </w:rPr>
              <w:instrText xml:space="preserve"> PAGEREF _Toc215751871 \h </w:instrText>
            </w:r>
            <w:r>
              <w:rPr>
                <w:noProof/>
                <w:webHidden/>
              </w:rPr>
            </w:r>
            <w:r>
              <w:rPr>
                <w:noProof/>
                <w:webHidden/>
              </w:rPr>
              <w:fldChar w:fldCharType="separate"/>
            </w:r>
            <w:r>
              <w:rPr>
                <w:noProof/>
                <w:webHidden/>
              </w:rPr>
              <w:t>13</w:t>
            </w:r>
            <w:r>
              <w:rPr>
                <w:noProof/>
                <w:webHidden/>
              </w:rPr>
              <w:fldChar w:fldCharType="end"/>
            </w:r>
          </w:hyperlink>
        </w:p>
        <w:p w14:paraId="4D7E462F" w14:textId="5AE43C7B" w:rsidR="00C87DE0" w:rsidRDefault="00C87DE0">
          <w:pPr>
            <w:pStyle w:val="TOC2"/>
            <w:tabs>
              <w:tab w:val="left" w:pos="960"/>
              <w:tab w:val="right" w:leader="dot" w:pos="9062"/>
            </w:tabs>
            <w:rPr>
              <w:rFonts w:eastAsiaTheme="minorEastAsia"/>
              <w:noProof/>
              <w:sz w:val="24"/>
              <w:szCs w:val="24"/>
              <w:lang w:eastAsia="cs-CZ"/>
            </w:rPr>
          </w:pPr>
          <w:hyperlink w:anchor="_Toc215751872" w:history="1">
            <w:r w:rsidRPr="00353FA5">
              <w:rPr>
                <w:rStyle w:val="Hyperlink"/>
                <w:noProof/>
              </w:rPr>
              <w:t>3.2.</w:t>
            </w:r>
            <w:r>
              <w:rPr>
                <w:rFonts w:eastAsiaTheme="minorEastAsia"/>
                <w:noProof/>
                <w:sz w:val="24"/>
                <w:szCs w:val="24"/>
                <w:lang w:eastAsia="cs-CZ"/>
              </w:rPr>
              <w:tab/>
            </w:r>
            <w:r w:rsidRPr="00353FA5">
              <w:rPr>
                <w:rStyle w:val="Hyperlink"/>
                <w:noProof/>
              </w:rPr>
              <w:t>Content analysis results</w:t>
            </w:r>
            <w:r>
              <w:rPr>
                <w:noProof/>
                <w:webHidden/>
              </w:rPr>
              <w:tab/>
            </w:r>
            <w:r>
              <w:rPr>
                <w:noProof/>
                <w:webHidden/>
              </w:rPr>
              <w:fldChar w:fldCharType="begin"/>
            </w:r>
            <w:r>
              <w:rPr>
                <w:noProof/>
                <w:webHidden/>
              </w:rPr>
              <w:instrText xml:space="preserve"> PAGEREF _Toc215751872 \h </w:instrText>
            </w:r>
            <w:r>
              <w:rPr>
                <w:noProof/>
                <w:webHidden/>
              </w:rPr>
            </w:r>
            <w:r>
              <w:rPr>
                <w:noProof/>
                <w:webHidden/>
              </w:rPr>
              <w:fldChar w:fldCharType="separate"/>
            </w:r>
            <w:r>
              <w:rPr>
                <w:noProof/>
                <w:webHidden/>
              </w:rPr>
              <w:t>15</w:t>
            </w:r>
            <w:r>
              <w:rPr>
                <w:noProof/>
                <w:webHidden/>
              </w:rPr>
              <w:fldChar w:fldCharType="end"/>
            </w:r>
          </w:hyperlink>
        </w:p>
        <w:p w14:paraId="005761C1" w14:textId="2FAAAA9A" w:rsidR="00C87DE0" w:rsidRDefault="00C87DE0">
          <w:pPr>
            <w:pStyle w:val="TOC3"/>
            <w:tabs>
              <w:tab w:val="left" w:pos="1440"/>
              <w:tab w:val="right" w:leader="dot" w:pos="9062"/>
            </w:tabs>
            <w:rPr>
              <w:rFonts w:eastAsiaTheme="minorEastAsia"/>
              <w:noProof/>
              <w:sz w:val="24"/>
              <w:szCs w:val="24"/>
              <w:lang w:eastAsia="cs-CZ"/>
            </w:rPr>
          </w:pPr>
          <w:hyperlink w:anchor="_Toc215751873" w:history="1">
            <w:r w:rsidRPr="00353FA5">
              <w:rPr>
                <w:rStyle w:val="Hyperlink"/>
                <w:noProof/>
              </w:rPr>
              <w:t>3.2.1.</w:t>
            </w:r>
            <w:r>
              <w:rPr>
                <w:rFonts w:eastAsiaTheme="minorEastAsia"/>
                <w:noProof/>
                <w:sz w:val="24"/>
                <w:szCs w:val="24"/>
                <w:lang w:eastAsia="cs-CZ"/>
              </w:rPr>
              <w:tab/>
            </w:r>
            <w:r w:rsidRPr="00353FA5">
              <w:rPr>
                <w:rStyle w:val="Hyperlink"/>
                <w:noProof/>
              </w:rPr>
              <w:t>Frequent observations</w:t>
            </w:r>
            <w:r>
              <w:rPr>
                <w:noProof/>
                <w:webHidden/>
              </w:rPr>
              <w:tab/>
            </w:r>
            <w:r>
              <w:rPr>
                <w:noProof/>
                <w:webHidden/>
              </w:rPr>
              <w:fldChar w:fldCharType="begin"/>
            </w:r>
            <w:r>
              <w:rPr>
                <w:noProof/>
                <w:webHidden/>
              </w:rPr>
              <w:instrText xml:space="preserve"> PAGEREF _Toc215751873 \h </w:instrText>
            </w:r>
            <w:r>
              <w:rPr>
                <w:noProof/>
                <w:webHidden/>
              </w:rPr>
            </w:r>
            <w:r>
              <w:rPr>
                <w:noProof/>
                <w:webHidden/>
              </w:rPr>
              <w:fldChar w:fldCharType="separate"/>
            </w:r>
            <w:r>
              <w:rPr>
                <w:noProof/>
                <w:webHidden/>
              </w:rPr>
              <w:t>15</w:t>
            </w:r>
            <w:r>
              <w:rPr>
                <w:noProof/>
                <w:webHidden/>
              </w:rPr>
              <w:fldChar w:fldCharType="end"/>
            </w:r>
          </w:hyperlink>
        </w:p>
        <w:p w14:paraId="334DD313" w14:textId="4EF45F69" w:rsidR="00C87DE0" w:rsidRDefault="00C87DE0">
          <w:pPr>
            <w:pStyle w:val="TOC3"/>
            <w:tabs>
              <w:tab w:val="left" w:pos="1440"/>
              <w:tab w:val="right" w:leader="dot" w:pos="9062"/>
            </w:tabs>
            <w:rPr>
              <w:rFonts w:eastAsiaTheme="minorEastAsia"/>
              <w:noProof/>
              <w:sz w:val="24"/>
              <w:szCs w:val="24"/>
              <w:lang w:eastAsia="cs-CZ"/>
            </w:rPr>
          </w:pPr>
          <w:hyperlink w:anchor="_Toc215751874" w:history="1">
            <w:r w:rsidRPr="00353FA5">
              <w:rPr>
                <w:rStyle w:val="Hyperlink"/>
                <w:noProof/>
              </w:rPr>
              <w:t>3.2.2.</w:t>
            </w:r>
            <w:r>
              <w:rPr>
                <w:rFonts w:eastAsiaTheme="minorEastAsia"/>
                <w:noProof/>
                <w:sz w:val="24"/>
                <w:szCs w:val="24"/>
                <w:lang w:eastAsia="cs-CZ"/>
              </w:rPr>
              <w:tab/>
            </w:r>
            <w:r w:rsidRPr="00353FA5">
              <w:rPr>
                <w:rStyle w:val="Hyperlink"/>
                <w:noProof/>
              </w:rPr>
              <w:t>Compliance trends</w:t>
            </w:r>
            <w:r>
              <w:rPr>
                <w:noProof/>
                <w:webHidden/>
              </w:rPr>
              <w:tab/>
            </w:r>
            <w:r>
              <w:rPr>
                <w:noProof/>
                <w:webHidden/>
              </w:rPr>
              <w:fldChar w:fldCharType="begin"/>
            </w:r>
            <w:r>
              <w:rPr>
                <w:noProof/>
                <w:webHidden/>
              </w:rPr>
              <w:instrText xml:space="preserve"> PAGEREF _Toc215751874 \h </w:instrText>
            </w:r>
            <w:r>
              <w:rPr>
                <w:noProof/>
                <w:webHidden/>
              </w:rPr>
            </w:r>
            <w:r>
              <w:rPr>
                <w:noProof/>
                <w:webHidden/>
              </w:rPr>
              <w:fldChar w:fldCharType="separate"/>
            </w:r>
            <w:r>
              <w:rPr>
                <w:noProof/>
                <w:webHidden/>
              </w:rPr>
              <w:t>16</w:t>
            </w:r>
            <w:r>
              <w:rPr>
                <w:noProof/>
                <w:webHidden/>
              </w:rPr>
              <w:fldChar w:fldCharType="end"/>
            </w:r>
          </w:hyperlink>
        </w:p>
        <w:p w14:paraId="4BA74EF4" w14:textId="27A32548" w:rsidR="00C87DE0" w:rsidRDefault="00C87DE0">
          <w:pPr>
            <w:pStyle w:val="TOC1"/>
            <w:tabs>
              <w:tab w:val="left" w:pos="440"/>
              <w:tab w:val="right" w:leader="dot" w:pos="9062"/>
            </w:tabs>
            <w:rPr>
              <w:rFonts w:eastAsiaTheme="minorEastAsia"/>
              <w:noProof/>
              <w:sz w:val="24"/>
              <w:szCs w:val="24"/>
              <w:lang w:eastAsia="cs-CZ"/>
            </w:rPr>
          </w:pPr>
          <w:hyperlink w:anchor="_Toc215751875" w:history="1">
            <w:r w:rsidRPr="00353FA5">
              <w:rPr>
                <w:rStyle w:val="Hyperlink"/>
                <w:noProof/>
              </w:rPr>
              <w:t>4.</w:t>
            </w:r>
            <w:r>
              <w:rPr>
                <w:rFonts w:eastAsiaTheme="minorEastAsia"/>
                <w:noProof/>
                <w:sz w:val="24"/>
                <w:szCs w:val="24"/>
                <w:lang w:eastAsia="cs-CZ"/>
              </w:rPr>
              <w:tab/>
            </w:r>
            <w:r w:rsidRPr="00353FA5">
              <w:rPr>
                <w:rStyle w:val="Hyperlink"/>
                <w:noProof/>
              </w:rPr>
              <w:t>Critical outlook</w:t>
            </w:r>
            <w:r>
              <w:rPr>
                <w:noProof/>
                <w:webHidden/>
              </w:rPr>
              <w:tab/>
            </w:r>
            <w:r>
              <w:rPr>
                <w:noProof/>
                <w:webHidden/>
              </w:rPr>
              <w:fldChar w:fldCharType="begin"/>
            </w:r>
            <w:r>
              <w:rPr>
                <w:noProof/>
                <w:webHidden/>
              </w:rPr>
              <w:instrText xml:space="preserve"> PAGEREF _Toc215751875 \h </w:instrText>
            </w:r>
            <w:r>
              <w:rPr>
                <w:noProof/>
                <w:webHidden/>
              </w:rPr>
            </w:r>
            <w:r>
              <w:rPr>
                <w:noProof/>
                <w:webHidden/>
              </w:rPr>
              <w:fldChar w:fldCharType="separate"/>
            </w:r>
            <w:r>
              <w:rPr>
                <w:noProof/>
                <w:webHidden/>
              </w:rPr>
              <w:t>22</w:t>
            </w:r>
            <w:r>
              <w:rPr>
                <w:noProof/>
                <w:webHidden/>
              </w:rPr>
              <w:fldChar w:fldCharType="end"/>
            </w:r>
          </w:hyperlink>
        </w:p>
        <w:p w14:paraId="6C8CC0B4" w14:textId="164DD7C6" w:rsidR="00C87DE0" w:rsidRDefault="00C87DE0">
          <w:pPr>
            <w:pStyle w:val="TOC1"/>
            <w:tabs>
              <w:tab w:val="left" w:pos="440"/>
              <w:tab w:val="right" w:leader="dot" w:pos="9062"/>
            </w:tabs>
            <w:rPr>
              <w:rFonts w:eastAsiaTheme="minorEastAsia"/>
              <w:noProof/>
              <w:sz w:val="24"/>
              <w:szCs w:val="24"/>
              <w:lang w:eastAsia="cs-CZ"/>
            </w:rPr>
          </w:pPr>
          <w:hyperlink w:anchor="_Toc215751876" w:history="1">
            <w:r w:rsidRPr="00353FA5">
              <w:rPr>
                <w:rStyle w:val="Hyperlink"/>
                <w:noProof/>
              </w:rPr>
              <w:t>5.</w:t>
            </w:r>
            <w:r>
              <w:rPr>
                <w:rFonts w:eastAsiaTheme="minorEastAsia"/>
                <w:noProof/>
                <w:sz w:val="24"/>
                <w:szCs w:val="24"/>
                <w:lang w:eastAsia="cs-CZ"/>
              </w:rPr>
              <w:tab/>
            </w:r>
            <w:r w:rsidRPr="00353FA5">
              <w:rPr>
                <w:rStyle w:val="Hyperlink"/>
                <w:noProof/>
              </w:rPr>
              <w:t>Concluding remarks</w:t>
            </w:r>
            <w:r>
              <w:rPr>
                <w:noProof/>
                <w:webHidden/>
              </w:rPr>
              <w:tab/>
            </w:r>
            <w:r>
              <w:rPr>
                <w:noProof/>
                <w:webHidden/>
              </w:rPr>
              <w:fldChar w:fldCharType="begin"/>
            </w:r>
            <w:r>
              <w:rPr>
                <w:noProof/>
                <w:webHidden/>
              </w:rPr>
              <w:instrText xml:space="preserve"> PAGEREF _Toc215751876 \h </w:instrText>
            </w:r>
            <w:r>
              <w:rPr>
                <w:noProof/>
                <w:webHidden/>
              </w:rPr>
            </w:r>
            <w:r>
              <w:rPr>
                <w:noProof/>
                <w:webHidden/>
              </w:rPr>
              <w:fldChar w:fldCharType="separate"/>
            </w:r>
            <w:r>
              <w:rPr>
                <w:noProof/>
                <w:webHidden/>
              </w:rPr>
              <w:t>26</w:t>
            </w:r>
            <w:r>
              <w:rPr>
                <w:noProof/>
                <w:webHidden/>
              </w:rPr>
              <w:fldChar w:fldCharType="end"/>
            </w:r>
          </w:hyperlink>
        </w:p>
        <w:p w14:paraId="6EC99FF7" w14:textId="43179DEB" w:rsidR="00C87DE0" w:rsidRDefault="00C87DE0">
          <w:pPr>
            <w:pStyle w:val="TOC1"/>
            <w:tabs>
              <w:tab w:val="left" w:pos="440"/>
              <w:tab w:val="right" w:leader="dot" w:pos="9062"/>
            </w:tabs>
            <w:rPr>
              <w:rFonts w:eastAsiaTheme="minorEastAsia"/>
              <w:noProof/>
              <w:sz w:val="24"/>
              <w:szCs w:val="24"/>
              <w:lang w:eastAsia="cs-CZ"/>
            </w:rPr>
          </w:pPr>
          <w:hyperlink w:anchor="_Toc215751877" w:history="1">
            <w:r w:rsidRPr="00353FA5">
              <w:rPr>
                <w:rStyle w:val="Hyperlink"/>
                <w:noProof/>
              </w:rPr>
              <w:t>6.</w:t>
            </w:r>
            <w:r>
              <w:rPr>
                <w:rFonts w:eastAsiaTheme="minorEastAsia"/>
                <w:noProof/>
                <w:sz w:val="24"/>
                <w:szCs w:val="24"/>
                <w:lang w:eastAsia="cs-CZ"/>
              </w:rPr>
              <w:tab/>
            </w:r>
            <w:r w:rsidRPr="00353FA5">
              <w:rPr>
                <w:rStyle w:val="Hyperlink"/>
                <w:noProof/>
              </w:rPr>
              <w:t>List of analysed legal documents</w:t>
            </w:r>
            <w:r>
              <w:rPr>
                <w:noProof/>
                <w:webHidden/>
              </w:rPr>
              <w:tab/>
            </w:r>
            <w:r>
              <w:rPr>
                <w:noProof/>
                <w:webHidden/>
              </w:rPr>
              <w:fldChar w:fldCharType="begin"/>
            </w:r>
            <w:r>
              <w:rPr>
                <w:noProof/>
                <w:webHidden/>
              </w:rPr>
              <w:instrText xml:space="preserve"> PAGEREF _Toc215751877 \h </w:instrText>
            </w:r>
            <w:r>
              <w:rPr>
                <w:noProof/>
                <w:webHidden/>
              </w:rPr>
            </w:r>
            <w:r>
              <w:rPr>
                <w:noProof/>
                <w:webHidden/>
              </w:rPr>
              <w:fldChar w:fldCharType="separate"/>
            </w:r>
            <w:r>
              <w:rPr>
                <w:noProof/>
                <w:webHidden/>
              </w:rPr>
              <w:t>26</w:t>
            </w:r>
            <w:r>
              <w:rPr>
                <w:noProof/>
                <w:webHidden/>
              </w:rPr>
              <w:fldChar w:fldCharType="end"/>
            </w:r>
          </w:hyperlink>
        </w:p>
        <w:p w14:paraId="4B5B3393" w14:textId="480ABA32" w:rsidR="008C7DEF" w:rsidRPr="00E42EAE" w:rsidRDefault="000B5FD0" w:rsidP="008C7DEF">
          <w:pPr>
            <w:rPr>
              <w:lang w:val="en-US"/>
            </w:rPr>
          </w:pPr>
          <w:r w:rsidRPr="00E42EAE">
            <w:rPr>
              <w:lang w:val="en-US"/>
            </w:rPr>
            <w:fldChar w:fldCharType="end"/>
          </w:r>
        </w:p>
      </w:sdtContent>
    </w:sdt>
    <w:p w14:paraId="5745CB60" w14:textId="60099774" w:rsidR="004A6B41" w:rsidRPr="00E42EAE" w:rsidRDefault="004A6B41" w:rsidP="0055364C">
      <w:pPr>
        <w:pStyle w:val="Heading1"/>
      </w:pPr>
      <w:bookmarkStart w:id="0" w:name="_Toc215751864"/>
      <w:r w:rsidRPr="00E42EAE">
        <w:t>Introduction</w:t>
      </w:r>
      <w:bookmarkEnd w:id="0"/>
    </w:p>
    <w:p w14:paraId="6DF917AC" w14:textId="5AF21ED7" w:rsidR="00A272EC" w:rsidRPr="00E42EAE" w:rsidRDefault="0016040B" w:rsidP="00FE47C4">
      <w:pPr>
        <w:jc w:val="both"/>
        <w:rPr>
          <w:lang w:val="en-US"/>
        </w:rPr>
      </w:pPr>
      <w:r w:rsidRPr="00E42EAE">
        <w:rPr>
          <w:lang w:val="en-US"/>
        </w:rPr>
        <w:t xml:space="preserve">Digital </w:t>
      </w:r>
      <w:r w:rsidRPr="00E42EAE">
        <w:rPr>
          <w:rStyle w:val="FirstparagraphChar"/>
          <w:lang w:val="en-US"/>
        </w:rPr>
        <w:t xml:space="preserve">intermediaries </w:t>
      </w:r>
      <w:r w:rsidR="00457776" w:rsidRPr="00E42EAE">
        <w:rPr>
          <w:rStyle w:val="FirstparagraphChar"/>
          <w:lang w:val="en-US"/>
        </w:rPr>
        <w:t xml:space="preserve">recently found themselves in the </w:t>
      </w:r>
      <w:r w:rsidR="00901023" w:rsidRPr="00E42EAE">
        <w:rPr>
          <w:rStyle w:val="FirstparagraphChar"/>
          <w:lang w:val="en-US"/>
        </w:rPr>
        <w:t>centre of European regulatory focus</w:t>
      </w:r>
      <w:r w:rsidR="00390F8C" w:rsidRPr="00E42EAE">
        <w:rPr>
          <w:rStyle w:val="FirstparagraphChar"/>
          <w:lang w:val="en-US"/>
        </w:rPr>
        <w:t xml:space="preserve"> with adoption of Digital Services</w:t>
      </w:r>
      <w:r w:rsidR="00390F8C" w:rsidRPr="00E42EAE">
        <w:rPr>
          <w:lang w:val="en-US"/>
        </w:rPr>
        <w:t xml:space="preserve"> Act</w:t>
      </w:r>
      <w:r w:rsidR="0029128D" w:rsidRPr="00E42EAE">
        <w:rPr>
          <w:rStyle w:val="FootnoteReference"/>
          <w:lang w:val="en-US"/>
        </w:rPr>
        <w:footnoteReference w:id="5"/>
      </w:r>
      <w:r w:rsidR="00390F8C" w:rsidRPr="00E42EAE">
        <w:rPr>
          <w:lang w:val="en-US"/>
        </w:rPr>
        <w:t xml:space="preserve"> (“DSA”) and specifically </w:t>
      </w:r>
      <w:r w:rsidR="00A212DC" w:rsidRPr="00E42EAE">
        <w:rPr>
          <w:lang w:val="en-US"/>
        </w:rPr>
        <w:t>for</w:t>
      </w:r>
      <w:r w:rsidR="00390F8C" w:rsidRPr="00E42EAE">
        <w:rPr>
          <w:lang w:val="en-US"/>
        </w:rPr>
        <w:t xml:space="preserve"> area of copyright</w:t>
      </w:r>
      <w:r w:rsidR="009312FB" w:rsidRPr="00E42EAE">
        <w:rPr>
          <w:lang w:val="en-US"/>
        </w:rPr>
        <w:t xml:space="preserve"> with</w:t>
      </w:r>
      <w:r w:rsidR="00390F8C" w:rsidRPr="00E42EAE">
        <w:rPr>
          <w:lang w:val="en-US"/>
        </w:rPr>
        <w:t xml:space="preserve"> adoption of </w:t>
      </w:r>
      <w:r w:rsidR="00A272EC" w:rsidRPr="00E42EAE">
        <w:rPr>
          <w:lang w:val="en-US"/>
        </w:rPr>
        <w:t>Directive on copyright and related rights in the Digital Single Market</w:t>
      </w:r>
      <w:r w:rsidR="004B68F3" w:rsidRPr="00E42EAE">
        <w:rPr>
          <w:rStyle w:val="FootnoteReference"/>
          <w:lang w:val="en-US"/>
        </w:rPr>
        <w:footnoteReference w:id="6"/>
      </w:r>
      <w:r w:rsidR="00A272EC" w:rsidRPr="00E42EAE">
        <w:rPr>
          <w:lang w:val="en-US"/>
        </w:rPr>
        <w:t xml:space="preserve"> (“CDSM”). </w:t>
      </w:r>
      <w:r w:rsidR="007D05C5" w:rsidRPr="00E42EAE">
        <w:rPr>
          <w:lang w:val="en-US"/>
        </w:rPr>
        <w:t>This new regulatory framework attempts to find balance between interests of consumers, authors</w:t>
      </w:r>
      <w:r w:rsidR="00394C1B" w:rsidRPr="00E42EAE">
        <w:rPr>
          <w:lang w:val="en-US"/>
        </w:rPr>
        <w:t>, rightsholders</w:t>
      </w:r>
      <w:r w:rsidR="007D05C5" w:rsidRPr="00E42EAE">
        <w:rPr>
          <w:lang w:val="en-US"/>
        </w:rPr>
        <w:t>, digital creators</w:t>
      </w:r>
      <w:r w:rsidR="00394C1B" w:rsidRPr="00E42EAE">
        <w:rPr>
          <w:lang w:val="en-US"/>
        </w:rPr>
        <w:t xml:space="preserve"> and online platforms. Yet, their adoption only sets the pl</w:t>
      </w:r>
      <w:r w:rsidR="005275D7" w:rsidRPr="00E42EAE">
        <w:rPr>
          <w:lang w:val="en-US"/>
        </w:rPr>
        <w:t>a</w:t>
      </w:r>
      <w:r w:rsidR="00394C1B" w:rsidRPr="00E42EAE">
        <w:rPr>
          <w:lang w:val="en-US"/>
        </w:rPr>
        <w:t>ying field for this new balance to emerge.</w:t>
      </w:r>
      <w:r w:rsidR="00FE5D3C" w:rsidRPr="00E42EAE">
        <w:rPr>
          <w:rStyle w:val="FootnoteReference"/>
          <w:lang w:val="en-US"/>
        </w:rPr>
        <w:footnoteReference w:id="7"/>
      </w:r>
      <w:r w:rsidR="00394C1B" w:rsidRPr="00E42EAE">
        <w:rPr>
          <w:lang w:val="en-US"/>
        </w:rPr>
        <w:t xml:space="preserve"> In this article, we </w:t>
      </w:r>
      <w:r w:rsidR="00D45D9E" w:rsidRPr="00E42EAE">
        <w:rPr>
          <w:lang w:val="en-US"/>
        </w:rPr>
        <w:t>aim</w:t>
      </w:r>
      <w:r w:rsidR="00394C1B" w:rsidRPr="00E42EAE">
        <w:rPr>
          <w:lang w:val="en-US"/>
        </w:rPr>
        <w:t xml:space="preserve"> to understand the general shape of this emerging equilibrium</w:t>
      </w:r>
      <w:r w:rsidR="00A766B3" w:rsidRPr="00E42EAE">
        <w:rPr>
          <w:lang w:val="en-US"/>
        </w:rPr>
        <w:t xml:space="preserve"> </w:t>
      </w:r>
      <w:r w:rsidR="005275D7" w:rsidRPr="00E42EAE">
        <w:rPr>
          <w:lang w:val="en-US"/>
        </w:rPr>
        <w:t xml:space="preserve">of </w:t>
      </w:r>
      <w:r w:rsidR="00261D99" w:rsidRPr="00E42EAE">
        <w:rPr>
          <w:lang w:val="en-US"/>
        </w:rPr>
        <w:t>online</w:t>
      </w:r>
      <w:r w:rsidR="00261D99" w:rsidRPr="00E42EAE">
        <w:rPr>
          <w:i/>
          <w:iCs/>
          <w:lang w:val="en-US"/>
        </w:rPr>
        <w:t xml:space="preserve"> </w:t>
      </w:r>
      <w:r w:rsidR="004000FB" w:rsidRPr="00E42EAE">
        <w:rPr>
          <w:lang w:val="en-US"/>
        </w:rPr>
        <w:t>platform regulation in area of copyright.</w:t>
      </w:r>
      <w:r w:rsidR="00D82E5F" w:rsidRPr="00E42EAE">
        <w:rPr>
          <w:rStyle w:val="FootnoteReference"/>
          <w:lang w:val="en-US"/>
        </w:rPr>
        <w:footnoteReference w:id="8"/>
      </w:r>
    </w:p>
    <w:p w14:paraId="2052F3F9" w14:textId="3015E016" w:rsidR="002D4593" w:rsidRPr="00E42EAE" w:rsidRDefault="004000FB" w:rsidP="006727BC">
      <w:pPr>
        <w:pStyle w:val="Nextparagraphs"/>
        <w:rPr>
          <w:lang w:val="en-US"/>
        </w:rPr>
      </w:pPr>
      <w:r w:rsidRPr="00E42EAE">
        <w:rPr>
          <w:lang w:val="en-US"/>
        </w:rPr>
        <w:t xml:space="preserve">New </w:t>
      </w:r>
      <w:r w:rsidR="00D56277" w:rsidRPr="00E42EAE">
        <w:rPr>
          <w:lang w:val="en-US"/>
        </w:rPr>
        <w:t>regulatory</w:t>
      </w:r>
      <w:r w:rsidRPr="00E42EAE">
        <w:rPr>
          <w:lang w:val="en-US"/>
        </w:rPr>
        <w:t xml:space="preserve"> framework relies on several guiding principles to guide the </w:t>
      </w:r>
      <w:r w:rsidR="002D4593" w:rsidRPr="00E42EAE">
        <w:rPr>
          <w:lang w:val="en-US"/>
        </w:rPr>
        <w:t>practice</w:t>
      </w:r>
      <w:r w:rsidRPr="00E42EAE">
        <w:rPr>
          <w:lang w:val="en-US"/>
        </w:rPr>
        <w:t xml:space="preserve">. </w:t>
      </w:r>
      <w:r w:rsidR="00B15DBD" w:rsidRPr="00E42EAE">
        <w:rPr>
          <w:lang w:val="en-US"/>
        </w:rPr>
        <w:t xml:space="preserve">Market regulation results from maximization behaviour of market actors </w:t>
      </w:r>
      <w:r w:rsidR="00B71691" w:rsidRPr="00E42EAE">
        <w:rPr>
          <w:lang w:val="en-US"/>
        </w:rPr>
        <w:t>relying on efficiency and market asymmetries.</w:t>
      </w:r>
      <w:r w:rsidR="00724570" w:rsidRPr="00E42EAE">
        <w:rPr>
          <w:rStyle w:val="FootnoteReference"/>
          <w:lang w:val="en-US"/>
        </w:rPr>
        <w:footnoteReference w:id="9"/>
      </w:r>
      <w:r w:rsidR="00B71691" w:rsidRPr="00E42EAE">
        <w:rPr>
          <w:lang w:val="en-US"/>
        </w:rPr>
        <w:t xml:space="preserve"> </w:t>
      </w:r>
      <w:r w:rsidR="00422AE7" w:rsidRPr="00E42EAE">
        <w:rPr>
          <w:lang w:val="en-US"/>
        </w:rPr>
        <w:t xml:space="preserve">However, </w:t>
      </w:r>
      <w:r w:rsidRPr="00E42EAE">
        <w:rPr>
          <w:lang w:val="en-US"/>
        </w:rPr>
        <w:t xml:space="preserve">DSA institutes the fairness </w:t>
      </w:r>
      <w:r w:rsidR="00451739" w:rsidRPr="00E42EAE">
        <w:rPr>
          <w:lang w:val="en-US"/>
        </w:rPr>
        <w:t xml:space="preserve">and consumer welfare </w:t>
      </w:r>
      <w:r w:rsidRPr="00E42EAE">
        <w:rPr>
          <w:lang w:val="en-US"/>
        </w:rPr>
        <w:t>principl</w:t>
      </w:r>
      <w:r w:rsidR="00FE20E7" w:rsidRPr="00E42EAE">
        <w:rPr>
          <w:lang w:val="en-US"/>
        </w:rPr>
        <w:t>e</w:t>
      </w:r>
      <w:r w:rsidR="00451739" w:rsidRPr="00E42EAE">
        <w:rPr>
          <w:lang w:val="en-US"/>
        </w:rPr>
        <w:t>s</w:t>
      </w:r>
      <w:r w:rsidR="00FE20E7" w:rsidRPr="00E42EAE">
        <w:rPr>
          <w:lang w:val="en-US"/>
        </w:rPr>
        <w:t xml:space="preserve"> </w:t>
      </w:r>
      <w:r w:rsidR="00C40CD7" w:rsidRPr="00E42EAE">
        <w:rPr>
          <w:lang w:val="en-US"/>
        </w:rPr>
        <w:t xml:space="preserve">and </w:t>
      </w:r>
      <w:r w:rsidR="00451739" w:rsidRPr="00E42EAE">
        <w:rPr>
          <w:lang w:val="en-US"/>
        </w:rPr>
        <w:t>law</w:t>
      </w:r>
      <w:r w:rsidR="00C40CD7" w:rsidRPr="00E42EAE">
        <w:rPr>
          <w:lang w:val="en-US"/>
        </w:rPr>
        <w:t xml:space="preserve"> thus safeguard</w:t>
      </w:r>
      <w:r w:rsidR="00451739" w:rsidRPr="00E42EAE">
        <w:rPr>
          <w:lang w:val="en-US"/>
        </w:rPr>
        <w:t>s</w:t>
      </w:r>
      <w:r w:rsidR="00C40CD7" w:rsidRPr="00E42EAE">
        <w:rPr>
          <w:lang w:val="en-US"/>
        </w:rPr>
        <w:t xml:space="preserve"> users </w:t>
      </w:r>
      <w:r w:rsidR="001C0834" w:rsidRPr="00E42EAE">
        <w:rPr>
          <w:lang w:val="en-US"/>
        </w:rPr>
        <w:t>against</w:t>
      </w:r>
      <w:r w:rsidR="00422AE7" w:rsidRPr="00E42EAE">
        <w:rPr>
          <w:lang w:val="en-US"/>
        </w:rPr>
        <w:t xml:space="preserve"> </w:t>
      </w:r>
      <w:r w:rsidR="00451739" w:rsidRPr="00E42EAE">
        <w:rPr>
          <w:lang w:val="en-US"/>
        </w:rPr>
        <w:t>platform’s self-maximizing behaviour.</w:t>
      </w:r>
      <w:r w:rsidR="001C0834" w:rsidRPr="00E42EAE">
        <w:rPr>
          <w:rStyle w:val="FootnoteReference"/>
          <w:lang w:val="en-US"/>
        </w:rPr>
        <w:footnoteReference w:id="10"/>
      </w:r>
    </w:p>
    <w:p w14:paraId="20956CBF" w14:textId="04850531" w:rsidR="0036763F" w:rsidRPr="00E42EAE" w:rsidRDefault="00492C4F" w:rsidP="00F01A6B">
      <w:pPr>
        <w:pStyle w:val="Nextparagraphs"/>
        <w:rPr>
          <w:lang w:val="en-US"/>
        </w:rPr>
      </w:pPr>
      <w:r w:rsidRPr="00E42EAE">
        <w:rPr>
          <w:lang w:val="en-US"/>
        </w:rPr>
        <w:t xml:space="preserve">The three standards we discuss in this article result from </w:t>
      </w:r>
      <w:r w:rsidR="00D566B7" w:rsidRPr="00E42EAE">
        <w:rPr>
          <w:lang w:val="en-US"/>
        </w:rPr>
        <w:t xml:space="preserve">the interactions of </w:t>
      </w:r>
      <w:r w:rsidRPr="00E42EAE">
        <w:rPr>
          <w:lang w:val="en-US"/>
        </w:rPr>
        <w:t>legal and market regulation.</w:t>
      </w:r>
      <w:r w:rsidR="00D566B7" w:rsidRPr="00E42EAE">
        <w:rPr>
          <w:rStyle w:val="FootnoteReference"/>
          <w:lang w:val="en-US"/>
        </w:rPr>
        <w:footnoteReference w:id="11"/>
      </w:r>
      <w:r w:rsidR="00D566B7" w:rsidRPr="00E42EAE">
        <w:rPr>
          <w:lang w:val="en-US"/>
        </w:rPr>
        <w:t xml:space="preserve"> </w:t>
      </w:r>
      <w:r w:rsidR="00F01A6B" w:rsidRPr="00E42EAE">
        <w:rPr>
          <w:lang w:val="en-US"/>
        </w:rPr>
        <w:t xml:space="preserve">As such, we </w:t>
      </w:r>
      <w:r w:rsidR="00C7008F" w:rsidRPr="00E42EAE">
        <w:rPr>
          <w:lang w:val="en-US"/>
        </w:rPr>
        <w:t>consider</w:t>
      </w:r>
      <w:r w:rsidR="00F01A6B" w:rsidRPr="00E42EAE">
        <w:rPr>
          <w:lang w:val="en-US"/>
        </w:rPr>
        <w:t xml:space="preserve"> efficiency </w:t>
      </w:r>
      <w:r w:rsidR="00B63251" w:rsidRPr="00E42EAE">
        <w:rPr>
          <w:lang w:val="en-US"/>
        </w:rPr>
        <w:t>a manifestation of economic regulation while normative standards of fairness and consumer welfare stem from legal regulation.</w:t>
      </w:r>
    </w:p>
    <w:p w14:paraId="2B2EA4DF" w14:textId="747B2C36" w:rsidR="002D4593" w:rsidRPr="00E42EAE" w:rsidRDefault="00BD598C" w:rsidP="00284740">
      <w:pPr>
        <w:pStyle w:val="Nextparagraphs"/>
        <w:rPr>
          <w:lang w:val="en-US"/>
        </w:rPr>
      </w:pPr>
      <w:r w:rsidRPr="00E42EAE">
        <w:rPr>
          <w:lang w:val="en-US"/>
        </w:rPr>
        <w:t>Consequently, this article explores particular legal-economic equilibrium.</w:t>
      </w:r>
      <w:r w:rsidR="00B63251" w:rsidRPr="00E42EAE">
        <w:rPr>
          <w:rStyle w:val="FootnoteReference"/>
          <w:lang w:val="en-US"/>
        </w:rPr>
        <w:footnoteReference w:id="12"/>
      </w:r>
      <w:r w:rsidR="00F955B4" w:rsidRPr="00E42EAE">
        <w:rPr>
          <w:lang w:val="en-US"/>
        </w:rPr>
        <w:t xml:space="preserve"> </w:t>
      </w:r>
      <w:r w:rsidR="00B63251" w:rsidRPr="00E42EAE">
        <w:rPr>
          <w:lang w:val="en-US"/>
        </w:rPr>
        <w:t xml:space="preserve">In economic sense, </w:t>
      </w:r>
      <w:r w:rsidR="00BA1FC2" w:rsidRPr="00E42EAE">
        <w:rPr>
          <w:lang w:val="en-US"/>
        </w:rPr>
        <w:t xml:space="preserve">this interaction is the </w:t>
      </w:r>
      <w:r w:rsidR="00B63251" w:rsidRPr="00E42EAE">
        <w:rPr>
          <w:lang w:val="en-US"/>
        </w:rPr>
        <w:t>legal-economic nexus</w:t>
      </w:r>
      <w:r w:rsidR="00BA1FC2" w:rsidRPr="00E42EAE">
        <w:rPr>
          <w:lang w:val="en-US"/>
        </w:rPr>
        <w:t xml:space="preserve"> where forces interaction.</w:t>
      </w:r>
      <w:r w:rsidR="00BA1FC2" w:rsidRPr="00E42EAE">
        <w:rPr>
          <w:rStyle w:val="FootnoteReference"/>
          <w:lang w:val="en-US"/>
        </w:rPr>
        <w:footnoteReference w:id="13"/>
      </w:r>
      <w:r w:rsidR="00BA1FC2" w:rsidRPr="00E42EAE">
        <w:rPr>
          <w:lang w:val="en-US"/>
        </w:rPr>
        <w:t xml:space="preserve"> Both Lessig’s approach and Samuel</w:t>
      </w:r>
      <w:r w:rsidR="00297543" w:rsidRPr="00E42EAE">
        <w:rPr>
          <w:lang w:val="en-US"/>
        </w:rPr>
        <w:t>s</w:t>
      </w:r>
      <w:r w:rsidR="00BA1FC2" w:rsidRPr="00E42EAE">
        <w:rPr>
          <w:lang w:val="en-US"/>
        </w:rPr>
        <w:t xml:space="preserve">’ legal economic nexus demonstrate the </w:t>
      </w:r>
      <w:r w:rsidR="00B63251" w:rsidRPr="00E42EAE">
        <w:rPr>
          <w:lang w:val="en-US"/>
        </w:rPr>
        <w:t xml:space="preserve">codependent and interconnected </w:t>
      </w:r>
      <w:r w:rsidR="00BA1FC2" w:rsidRPr="00E42EAE">
        <w:rPr>
          <w:lang w:val="en-US"/>
        </w:rPr>
        <w:t>nature of regulatory forces</w:t>
      </w:r>
      <w:r w:rsidR="00B63251" w:rsidRPr="00E42EAE">
        <w:rPr>
          <w:lang w:val="en-US"/>
        </w:rPr>
        <w:t>.</w:t>
      </w:r>
      <w:r w:rsidR="001A1DEB" w:rsidRPr="00E42EAE">
        <w:rPr>
          <w:lang w:val="en-US"/>
        </w:rPr>
        <w:t xml:space="preserve"> </w:t>
      </w:r>
      <w:r w:rsidR="00BA1FC2" w:rsidRPr="00E42EAE">
        <w:rPr>
          <w:lang w:val="en-US"/>
        </w:rPr>
        <w:t xml:space="preserve">Consequently, the equilibrium is </w:t>
      </w:r>
      <w:r w:rsidR="00492C4F" w:rsidRPr="00E42EAE">
        <w:rPr>
          <w:lang w:val="en-US"/>
        </w:rPr>
        <w:t xml:space="preserve">a dynamic balance of regulatory forces </w:t>
      </w:r>
      <w:r w:rsidR="00631B4F" w:rsidRPr="00E42EAE">
        <w:rPr>
          <w:lang w:val="en-US"/>
        </w:rPr>
        <w:t>and interests</w:t>
      </w:r>
      <w:r w:rsidR="00BA1FC2" w:rsidRPr="00E42EAE">
        <w:rPr>
          <w:lang w:val="en-US"/>
        </w:rPr>
        <w:t xml:space="preserve"> where forces pushing and pulling against each other </w:t>
      </w:r>
      <w:r w:rsidR="00B205B7" w:rsidRPr="00E42EAE">
        <w:rPr>
          <w:lang w:val="en-US"/>
        </w:rPr>
        <w:t>stabilize</w:t>
      </w:r>
      <w:r w:rsidR="00631B4F" w:rsidRPr="00E42EAE">
        <w:rPr>
          <w:lang w:val="en-US"/>
        </w:rPr>
        <w:t>.</w:t>
      </w:r>
      <w:r w:rsidR="00751400" w:rsidRPr="00E42EAE">
        <w:rPr>
          <w:rStyle w:val="FootnoteReference"/>
          <w:lang w:val="en-US"/>
        </w:rPr>
        <w:footnoteReference w:id="14"/>
      </w:r>
      <w:r w:rsidR="002954D7" w:rsidRPr="00E42EAE">
        <w:rPr>
          <w:lang w:val="en-US"/>
        </w:rPr>
        <w:t xml:space="preserve"> </w:t>
      </w:r>
      <w:r w:rsidR="00751400" w:rsidRPr="00E42EAE">
        <w:rPr>
          <w:lang w:val="en-US"/>
        </w:rPr>
        <w:t>In other words, observed equilibrium is not necessarily efficient</w:t>
      </w:r>
      <w:r w:rsidR="00631B4F" w:rsidRPr="00E42EAE">
        <w:rPr>
          <w:lang w:val="en-US"/>
        </w:rPr>
        <w:t xml:space="preserve"> or fair, neither it necessarily respects rights of consumers</w:t>
      </w:r>
      <w:r w:rsidR="00751400" w:rsidRPr="00E42EAE">
        <w:rPr>
          <w:lang w:val="en-US"/>
        </w:rPr>
        <w:t>.</w:t>
      </w:r>
      <w:r w:rsidR="0052767D" w:rsidRPr="00E42EAE">
        <w:rPr>
          <w:lang w:val="en-US"/>
        </w:rPr>
        <w:t xml:space="preserve"> Rather, it is </w:t>
      </w:r>
      <w:r w:rsidR="00B205B7" w:rsidRPr="00E42EAE">
        <w:rPr>
          <w:lang w:val="en-US"/>
        </w:rPr>
        <w:t xml:space="preserve">the outcome of </w:t>
      </w:r>
      <w:r w:rsidR="006D007C" w:rsidRPr="00E42EAE">
        <w:rPr>
          <w:lang w:val="en-US"/>
        </w:rPr>
        <w:t xml:space="preserve">regulatory forces </w:t>
      </w:r>
      <w:r w:rsidR="00DE1033" w:rsidRPr="00E42EAE">
        <w:rPr>
          <w:lang w:val="en-US"/>
        </w:rPr>
        <w:t xml:space="preserve">such as </w:t>
      </w:r>
      <w:r w:rsidR="006D007C" w:rsidRPr="00E42EAE">
        <w:rPr>
          <w:lang w:val="en-US"/>
        </w:rPr>
        <w:t xml:space="preserve">detailed terms and conditions in plain language </w:t>
      </w:r>
      <w:r w:rsidR="00DE1033" w:rsidRPr="00E42EAE">
        <w:rPr>
          <w:lang w:val="en-US"/>
        </w:rPr>
        <w:lastRenderedPageBreak/>
        <w:t xml:space="preserve">as required by law </w:t>
      </w:r>
      <w:r w:rsidR="006D007C" w:rsidRPr="00E42EAE">
        <w:rPr>
          <w:lang w:val="en-US"/>
        </w:rPr>
        <w:t xml:space="preserve">that market actors transform into </w:t>
      </w:r>
      <w:r w:rsidR="00A2061B" w:rsidRPr="00E42EAE">
        <w:rPr>
          <w:lang w:val="en-US"/>
        </w:rPr>
        <w:t xml:space="preserve">confounding legal documents </w:t>
      </w:r>
      <w:r w:rsidR="009A7302" w:rsidRPr="00E42EAE">
        <w:rPr>
          <w:lang w:val="en-US"/>
        </w:rPr>
        <w:t xml:space="preserve">that </w:t>
      </w:r>
      <w:r w:rsidR="00666BBA" w:rsidRPr="00E42EAE">
        <w:rPr>
          <w:lang w:val="en-US"/>
        </w:rPr>
        <w:t>don’t respect legal obligations</w:t>
      </w:r>
      <w:r w:rsidR="009A7302" w:rsidRPr="00E42EAE">
        <w:rPr>
          <w:lang w:val="en-US"/>
        </w:rPr>
        <w:t>.</w:t>
      </w:r>
      <w:r w:rsidR="009A7302" w:rsidRPr="00E42EAE">
        <w:rPr>
          <w:rStyle w:val="FootnoteReference"/>
          <w:lang w:val="en-US"/>
        </w:rPr>
        <w:footnoteReference w:id="15"/>
      </w:r>
    </w:p>
    <w:p w14:paraId="09A66567" w14:textId="0C2C4C63" w:rsidR="00FE47C4" w:rsidRPr="00E42EAE" w:rsidRDefault="009844BF" w:rsidP="006727BC">
      <w:pPr>
        <w:pStyle w:val="Nextparagraphs"/>
        <w:rPr>
          <w:lang w:val="en-US"/>
        </w:rPr>
      </w:pPr>
      <w:r w:rsidRPr="00E42EAE">
        <w:rPr>
          <w:lang w:val="en-US"/>
        </w:rPr>
        <w:t xml:space="preserve">The research question for this article then is, </w:t>
      </w:r>
      <w:r w:rsidR="00085B28" w:rsidRPr="00E42EAE">
        <w:rPr>
          <w:lang w:val="en-US"/>
        </w:rPr>
        <w:t>what</w:t>
      </w:r>
      <w:r w:rsidR="00583F47" w:rsidRPr="00E42EAE">
        <w:rPr>
          <w:lang w:val="en-US"/>
        </w:rPr>
        <w:t xml:space="preserve"> shape the e</w:t>
      </w:r>
      <w:r w:rsidRPr="00E42EAE">
        <w:rPr>
          <w:lang w:val="en-US"/>
        </w:rPr>
        <w:t xml:space="preserve">merging equilibrium of </w:t>
      </w:r>
      <w:r w:rsidR="00261D99" w:rsidRPr="00E42EAE">
        <w:rPr>
          <w:lang w:val="en-US"/>
        </w:rPr>
        <w:t>online</w:t>
      </w:r>
      <w:r w:rsidR="00935E00" w:rsidRPr="00E42EAE">
        <w:rPr>
          <w:lang w:val="en-US"/>
        </w:rPr>
        <w:t xml:space="preserve"> platforms regulation in area of copyright post-DSA</w:t>
      </w:r>
      <w:r w:rsidR="00085B28" w:rsidRPr="00E42EAE">
        <w:rPr>
          <w:lang w:val="en-US"/>
        </w:rPr>
        <w:t xml:space="preserve"> takes</w:t>
      </w:r>
      <w:r w:rsidR="001851C1" w:rsidRPr="00E42EAE">
        <w:rPr>
          <w:lang w:val="en-US"/>
        </w:rPr>
        <w:t xml:space="preserve"> and to what degree does it reflect the </w:t>
      </w:r>
      <w:r w:rsidR="00085B28" w:rsidRPr="00E42EAE">
        <w:rPr>
          <w:lang w:val="en-US"/>
        </w:rPr>
        <w:t>regulatory</w:t>
      </w:r>
      <w:r w:rsidR="001851C1" w:rsidRPr="00E42EAE">
        <w:rPr>
          <w:lang w:val="en-US"/>
        </w:rPr>
        <w:t xml:space="preserve"> standard fairness</w:t>
      </w:r>
      <w:r w:rsidR="00085B28" w:rsidRPr="00E42EAE">
        <w:rPr>
          <w:lang w:val="en-US"/>
        </w:rPr>
        <w:t xml:space="preserve">, </w:t>
      </w:r>
      <w:r w:rsidR="001851C1" w:rsidRPr="00E42EAE">
        <w:rPr>
          <w:lang w:val="en-US"/>
        </w:rPr>
        <w:t>consumer welfare</w:t>
      </w:r>
      <w:r w:rsidR="00085B28" w:rsidRPr="00E42EAE">
        <w:rPr>
          <w:lang w:val="en-US"/>
        </w:rPr>
        <w:t xml:space="preserve"> and efficiency</w:t>
      </w:r>
      <w:r w:rsidR="00935E00" w:rsidRPr="00E42EAE">
        <w:rPr>
          <w:lang w:val="en-US"/>
        </w:rPr>
        <w:t xml:space="preserve">. </w:t>
      </w:r>
      <w:r w:rsidR="009E0471" w:rsidRPr="00E42EAE">
        <w:rPr>
          <w:lang w:val="en-US"/>
        </w:rPr>
        <w:t xml:space="preserve">To answer this question, article relies on content analysis tools to understand change pre- and post-DSA in </w:t>
      </w:r>
      <w:r w:rsidR="001834EC" w:rsidRPr="00E42EAE">
        <w:rPr>
          <w:lang w:val="en-US"/>
        </w:rPr>
        <w:t xml:space="preserve">legal </w:t>
      </w:r>
      <w:r w:rsidR="009E0471" w:rsidRPr="00E42EAE">
        <w:rPr>
          <w:lang w:val="en-US"/>
        </w:rPr>
        <w:t>private ordering tool</w:t>
      </w:r>
      <w:r w:rsidR="001437DD" w:rsidRPr="00E42EAE">
        <w:rPr>
          <w:lang w:val="en-US"/>
        </w:rPr>
        <w:t>s</w:t>
      </w:r>
      <w:r w:rsidR="001437DD" w:rsidRPr="00E42EAE">
        <w:rPr>
          <w:rStyle w:val="FootnoteReference"/>
          <w:lang w:val="en-US"/>
        </w:rPr>
        <w:footnoteReference w:id="16"/>
      </w:r>
      <w:r w:rsidR="009E0471" w:rsidRPr="00E42EAE">
        <w:rPr>
          <w:lang w:val="en-US"/>
        </w:rPr>
        <w:t xml:space="preserve"> employed by online platforms</w:t>
      </w:r>
      <w:r w:rsidR="001851C1" w:rsidRPr="00E42EAE">
        <w:rPr>
          <w:lang w:val="en-US"/>
        </w:rPr>
        <w:t xml:space="preserve">, as further explored in Chapter </w:t>
      </w:r>
      <w:r w:rsidR="001851C1" w:rsidRPr="00E42EAE">
        <w:rPr>
          <w:lang w:val="en-US"/>
        </w:rPr>
        <w:fldChar w:fldCharType="begin"/>
      </w:r>
      <w:r w:rsidR="001851C1" w:rsidRPr="00E42EAE">
        <w:rPr>
          <w:lang w:val="en-US"/>
        </w:rPr>
        <w:instrText xml:space="preserve"> REF _Ref193720687 \r \h </w:instrText>
      </w:r>
      <w:r w:rsidR="006727BC" w:rsidRPr="00E42EAE">
        <w:rPr>
          <w:lang w:val="en-US"/>
        </w:rPr>
        <w:instrText xml:space="preserve"> \* MERGEFORMAT </w:instrText>
      </w:r>
      <w:r w:rsidR="001851C1" w:rsidRPr="00E42EAE">
        <w:rPr>
          <w:lang w:val="en-US"/>
        </w:rPr>
      </w:r>
      <w:r w:rsidR="001851C1" w:rsidRPr="00E42EAE">
        <w:rPr>
          <w:lang w:val="en-US"/>
        </w:rPr>
        <w:fldChar w:fldCharType="separate"/>
      </w:r>
      <w:r w:rsidR="00FD2E6B">
        <w:rPr>
          <w:lang w:val="en-US"/>
        </w:rPr>
        <w:t>3</w:t>
      </w:r>
      <w:r w:rsidR="001851C1" w:rsidRPr="00E42EAE">
        <w:rPr>
          <w:lang w:val="en-US"/>
        </w:rPr>
        <w:fldChar w:fldCharType="end"/>
      </w:r>
      <w:r w:rsidR="001851C1" w:rsidRPr="00E42EAE">
        <w:rPr>
          <w:lang w:val="en-US"/>
        </w:rPr>
        <w:t>.</w:t>
      </w:r>
      <w:r w:rsidR="00530A94" w:rsidRPr="00E42EAE">
        <w:rPr>
          <w:rStyle w:val="FootnoteReference"/>
          <w:lang w:val="en-US"/>
        </w:rPr>
        <w:footnoteReference w:id="17"/>
      </w:r>
      <w:r w:rsidR="001851C1" w:rsidRPr="00E42EAE">
        <w:rPr>
          <w:lang w:val="en-US"/>
        </w:rPr>
        <w:t xml:space="preserve"> Nonetheless, we must highlight that narrower scope of copyright </w:t>
      </w:r>
      <w:r w:rsidR="004F1FE3" w:rsidRPr="00E42EAE">
        <w:rPr>
          <w:lang w:val="en-US"/>
        </w:rPr>
        <w:t xml:space="preserve">on </w:t>
      </w:r>
      <w:r w:rsidR="00261D99" w:rsidRPr="00E42EAE">
        <w:rPr>
          <w:lang w:val="en-US"/>
        </w:rPr>
        <w:t>online</w:t>
      </w:r>
      <w:r w:rsidR="00261D99" w:rsidRPr="00E42EAE">
        <w:rPr>
          <w:i/>
          <w:iCs/>
          <w:lang w:val="en-US"/>
        </w:rPr>
        <w:t xml:space="preserve"> </w:t>
      </w:r>
      <w:r w:rsidR="004F1FE3" w:rsidRPr="00E42EAE">
        <w:rPr>
          <w:lang w:val="en-US"/>
        </w:rPr>
        <w:t>platforms serves as the primary limit to the s</w:t>
      </w:r>
      <w:r w:rsidR="00FE47C4" w:rsidRPr="00E42EAE">
        <w:rPr>
          <w:lang w:val="en-US"/>
        </w:rPr>
        <w:t>tudy's feasibility</w:t>
      </w:r>
      <w:r w:rsidR="0099605D" w:rsidRPr="00E42EAE">
        <w:rPr>
          <w:lang w:val="en-US"/>
        </w:rPr>
        <w:t xml:space="preserve"> as it reduces the examined population in empirical assessment.</w:t>
      </w:r>
    </w:p>
    <w:p w14:paraId="56E41942" w14:textId="09C30B91" w:rsidR="00266F24" w:rsidRPr="00E42EAE" w:rsidRDefault="00266F24" w:rsidP="006727BC">
      <w:pPr>
        <w:pStyle w:val="Nextparagraphs"/>
        <w:rPr>
          <w:lang w:val="en-US"/>
        </w:rPr>
      </w:pPr>
      <w:r w:rsidRPr="00E42EAE">
        <w:rPr>
          <w:lang w:val="en-US"/>
        </w:rPr>
        <w:t xml:space="preserve">We </w:t>
      </w:r>
      <w:r w:rsidR="001F1C7E" w:rsidRPr="00E42EAE">
        <w:rPr>
          <w:lang w:val="en-US"/>
        </w:rPr>
        <w:t xml:space="preserve">explore the concepts of fairness, efficiency and consumer welfare and their interactions in </w:t>
      </w:r>
      <w:r w:rsidR="00CD0872" w:rsidRPr="00E42EAE">
        <w:rPr>
          <w:lang w:val="en-US"/>
        </w:rPr>
        <w:t>c</w:t>
      </w:r>
      <w:r w:rsidR="001F1C7E" w:rsidRPr="00E42EAE">
        <w:rPr>
          <w:lang w:val="en-US"/>
        </w:rPr>
        <w:t>hapter</w:t>
      </w:r>
      <w:r w:rsidRPr="00E42EAE">
        <w:rPr>
          <w:lang w:val="en-US"/>
        </w:rPr>
        <w:t> </w:t>
      </w:r>
      <w:r w:rsidR="00385E86" w:rsidRPr="00E42EAE">
        <w:rPr>
          <w:lang w:val="en-US"/>
        </w:rPr>
        <w:fldChar w:fldCharType="begin"/>
      </w:r>
      <w:r w:rsidR="00385E86" w:rsidRPr="00E42EAE">
        <w:rPr>
          <w:lang w:val="en-US"/>
        </w:rPr>
        <w:instrText xml:space="preserve"> REF _Ref197892460 \r \h </w:instrText>
      </w:r>
      <w:r w:rsidR="00385E86" w:rsidRPr="00E42EAE">
        <w:rPr>
          <w:lang w:val="en-US"/>
        </w:rPr>
      </w:r>
      <w:r w:rsidR="00385E86" w:rsidRPr="00E42EAE">
        <w:rPr>
          <w:lang w:val="en-US"/>
        </w:rPr>
        <w:fldChar w:fldCharType="separate"/>
      </w:r>
      <w:r w:rsidR="00FD2E6B">
        <w:rPr>
          <w:lang w:val="en-US"/>
        </w:rPr>
        <w:t>2</w:t>
      </w:r>
      <w:r w:rsidR="00385E86" w:rsidRPr="00E42EAE">
        <w:rPr>
          <w:lang w:val="en-US"/>
        </w:rPr>
        <w:fldChar w:fldCharType="end"/>
      </w:r>
      <w:r w:rsidRPr="00E42EAE">
        <w:rPr>
          <w:lang w:val="en-US"/>
        </w:rPr>
        <w:t xml:space="preserve">. Next, we explain the methodology and apply the content analysis method to legal private ordering tools in </w:t>
      </w:r>
      <w:r w:rsidR="00CD0872" w:rsidRPr="00E42EAE">
        <w:rPr>
          <w:lang w:val="en-US"/>
        </w:rPr>
        <w:t>c</w:t>
      </w:r>
      <w:r w:rsidRPr="00E42EAE">
        <w:rPr>
          <w:lang w:val="en-US"/>
        </w:rPr>
        <w:t xml:space="preserve">hapter </w:t>
      </w:r>
      <w:r w:rsidRPr="00E42EAE">
        <w:rPr>
          <w:lang w:val="en-US"/>
        </w:rPr>
        <w:fldChar w:fldCharType="begin"/>
      </w:r>
      <w:r w:rsidRPr="00E42EAE">
        <w:rPr>
          <w:lang w:val="en-US"/>
        </w:rPr>
        <w:instrText xml:space="preserve"> REF _Ref193720687 \r \h </w:instrText>
      </w:r>
      <w:r w:rsidR="006727BC" w:rsidRPr="00E42EAE">
        <w:rPr>
          <w:lang w:val="en-US"/>
        </w:rPr>
        <w:instrText xml:space="preserve"> \* MERGEFORMAT </w:instrText>
      </w:r>
      <w:r w:rsidRPr="00E42EAE">
        <w:rPr>
          <w:lang w:val="en-US"/>
        </w:rPr>
      </w:r>
      <w:r w:rsidRPr="00E42EAE">
        <w:rPr>
          <w:lang w:val="en-US"/>
        </w:rPr>
        <w:fldChar w:fldCharType="separate"/>
      </w:r>
      <w:r w:rsidR="00FD2E6B">
        <w:rPr>
          <w:lang w:val="en-US"/>
        </w:rPr>
        <w:t>3</w:t>
      </w:r>
      <w:r w:rsidRPr="00E42EAE">
        <w:rPr>
          <w:lang w:val="en-US"/>
        </w:rPr>
        <w:fldChar w:fldCharType="end"/>
      </w:r>
      <w:r w:rsidRPr="00E42EAE">
        <w:rPr>
          <w:lang w:val="en-US"/>
        </w:rPr>
        <w:t xml:space="preserve">. </w:t>
      </w:r>
      <w:r w:rsidR="00CD0872" w:rsidRPr="00E42EAE">
        <w:rPr>
          <w:lang w:val="en-US"/>
        </w:rPr>
        <w:t xml:space="preserve">In </w:t>
      </w:r>
      <w:r w:rsidR="00585218" w:rsidRPr="00E42EAE">
        <w:rPr>
          <w:lang w:val="en-US"/>
        </w:rPr>
        <w:t>c</w:t>
      </w:r>
      <w:r w:rsidR="00CD0872" w:rsidRPr="00E42EAE">
        <w:rPr>
          <w:lang w:val="en-US"/>
        </w:rPr>
        <w:t xml:space="preserve">hapter </w:t>
      </w:r>
      <w:r w:rsidR="00CD0872" w:rsidRPr="00E42EAE">
        <w:rPr>
          <w:lang w:val="en-US"/>
        </w:rPr>
        <w:fldChar w:fldCharType="begin"/>
      </w:r>
      <w:r w:rsidR="00CD0872" w:rsidRPr="00E42EAE">
        <w:rPr>
          <w:lang w:val="en-US"/>
        </w:rPr>
        <w:instrText xml:space="preserve"> REF _Ref193720944 \r \h </w:instrText>
      </w:r>
      <w:r w:rsidR="006727BC" w:rsidRPr="00E42EAE">
        <w:rPr>
          <w:lang w:val="en-US"/>
        </w:rPr>
        <w:instrText xml:space="preserve"> \* MERGEFORMAT </w:instrText>
      </w:r>
      <w:r w:rsidR="00CD0872" w:rsidRPr="00E42EAE">
        <w:rPr>
          <w:lang w:val="en-US"/>
        </w:rPr>
      </w:r>
      <w:r w:rsidR="00CD0872" w:rsidRPr="00E42EAE">
        <w:rPr>
          <w:lang w:val="en-US"/>
        </w:rPr>
        <w:fldChar w:fldCharType="separate"/>
      </w:r>
      <w:r w:rsidR="00FD2E6B">
        <w:rPr>
          <w:lang w:val="en-US"/>
        </w:rPr>
        <w:t>4</w:t>
      </w:r>
      <w:r w:rsidR="00CD0872" w:rsidRPr="00E42EAE">
        <w:rPr>
          <w:lang w:val="en-US"/>
        </w:rPr>
        <w:fldChar w:fldCharType="end"/>
      </w:r>
      <w:r w:rsidR="00CD0872" w:rsidRPr="00E42EAE">
        <w:rPr>
          <w:lang w:val="en-US"/>
        </w:rPr>
        <w:t xml:space="preserve"> we offer the answer to the research question based on </w:t>
      </w:r>
      <w:r w:rsidR="007B4C22" w:rsidRPr="00E42EAE">
        <w:rPr>
          <w:lang w:val="en-US"/>
        </w:rPr>
        <w:t xml:space="preserve">the content analysis results and offer outlook on future of </w:t>
      </w:r>
      <w:r w:rsidR="001437DD" w:rsidRPr="00E42EAE">
        <w:rPr>
          <w:lang w:val="en-US"/>
        </w:rPr>
        <w:t>o</w:t>
      </w:r>
      <w:r w:rsidR="00261D99" w:rsidRPr="00E42EAE">
        <w:rPr>
          <w:lang w:val="en-US"/>
        </w:rPr>
        <w:t>nline</w:t>
      </w:r>
      <w:r w:rsidR="00261D99" w:rsidRPr="00E42EAE">
        <w:rPr>
          <w:i/>
          <w:iCs/>
          <w:lang w:val="en-US"/>
        </w:rPr>
        <w:t xml:space="preserve"> </w:t>
      </w:r>
      <w:r w:rsidR="007B4C22" w:rsidRPr="00E42EAE">
        <w:rPr>
          <w:lang w:val="en-US"/>
        </w:rPr>
        <w:t>platform regulation.</w:t>
      </w:r>
    </w:p>
    <w:p w14:paraId="17E15AEC" w14:textId="6EBD31CA" w:rsidR="00266F24" w:rsidRPr="00E42EAE" w:rsidRDefault="00C25CD4" w:rsidP="006727BC">
      <w:pPr>
        <w:pStyle w:val="Nextparagraphs"/>
        <w:rPr>
          <w:lang w:val="en-US"/>
        </w:rPr>
      </w:pPr>
      <w:r w:rsidRPr="00E42EAE">
        <w:rPr>
          <w:lang w:val="en-US"/>
        </w:rPr>
        <w:t xml:space="preserve">The answer this article offers is </w:t>
      </w:r>
      <w:r w:rsidR="00C50D2E" w:rsidRPr="00E42EAE">
        <w:rPr>
          <w:lang w:val="en-US"/>
        </w:rPr>
        <w:t xml:space="preserve">that while DSA established robust framework to improve </w:t>
      </w:r>
      <w:r w:rsidR="00D90643" w:rsidRPr="00E42EAE">
        <w:rPr>
          <w:lang w:val="en-US"/>
        </w:rPr>
        <w:t>fairness, consumer welfare and efficiency, its implementation</w:t>
      </w:r>
      <w:r w:rsidR="009E5E2B" w:rsidRPr="00E42EAE">
        <w:rPr>
          <w:lang w:val="en-US"/>
        </w:rPr>
        <w:t xml:space="preserve"> </w:t>
      </w:r>
      <w:r w:rsidR="00D90643" w:rsidRPr="00E42EAE">
        <w:rPr>
          <w:lang w:val="en-US"/>
        </w:rPr>
        <w:t xml:space="preserve">remains uneven. </w:t>
      </w:r>
      <w:r w:rsidR="006575B6">
        <w:rPr>
          <w:lang w:val="en-US"/>
        </w:rPr>
        <w:t>While DSA did have an impact, there is still room for improvements to align online platform environment with DSA requirements</w:t>
      </w:r>
      <w:r w:rsidR="006727BC" w:rsidRPr="00E42EAE">
        <w:rPr>
          <w:lang w:val="en-US"/>
        </w:rPr>
        <w:t>.</w:t>
      </w:r>
    </w:p>
    <w:p w14:paraId="61AA13AB" w14:textId="4F1FC157" w:rsidR="00FE6CEF" w:rsidRPr="00E42EAE" w:rsidRDefault="00FE6CEF" w:rsidP="006707AE">
      <w:pPr>
        <w:pStyle w:val="Nextparagraphs"/>
        <w:rPr>
          <w:lang w:val="en-US"/>
        </w:rPr>
      </w:pPr>
      <w:r w:rsidRPr="00E42EAE">
        <w:rPr>
          <w:lang w:val="en-US"/>
        </w:rPr>
        <w:t xml:space="preserve">Consequently, the private ordering tools that reflect the legal-economic nexus highlight </w:t>
      </w:r>
      <w:r w:rsidR="004B4A62" w:rsidRPr="00E42EAE">
        <w:rPr>
          <w:lang w:val="en-US"/>
        </w:rPr>
        <w:t xml:space="preserve">gap between </w:t>
      </w:r>
      <w:r w:rsidR="00E02157" w:rsidRPr="00E42EAE">
        <w:rPr>
          <w:lang w:val="en-US"/>
        </w:rPr>
        <w:t>regulatory</w:t>
      </w:r>
      <w:r w:rsidR="004B4A62" w:rsidRPr="00E42EAE">
        <w:rPr>
          <w:lang w:val="en-US"/>
        </w:rPr>
        <w:t xml:space="preserve"> standards and the real outcome. We conclude</w:t>
      </w:r>
      <w:r w:rsidR="001E7BE4" w:rsidRPr="00E42EAE">
        <w:rPr>
          <w:lang w:val="en-US"/>
        </w:rPr>
        <w:t xml:space="preserve"> </w:t>
      </w:r>
      <w:r w:rsidR="004B4A62" w:rsidRPr="00E42EAE">
        <w:rPr>
          <w:lang w:val="en-US"/>
        </w:rPr>
        <w:t xml:space="preserve">that private ordering tools, despite their many weaknesses have </w:t>
      </w:r>
      <w:r w:rsidR="001E7BE4" w:rsidRPr="00E42EAE">
        <w:rPr>
          <w:lang w:val="en-US"/>
        </w:rPr>
        <w:t>value. The critical point, however, remains enforcement of new obligations</w:t>
      </w:r>
      <w:r w:rsidR="005B5D82" w:rsidRPr="00E42EAE">
        <w:rPr>
          <w:lang w:val="en-US"/>
        </w:rPr>
        <w:t>. Otherwise, DSA risks falling short of its original ambitions.</w:t>
      </w:r>
    </w:p>
    <w:p w14:paraId="255237A5" w14:textId="6099ECDF" w:rsidR="001E728F" w:rsidRPr="00E42EAE" w:rsidRDefault="000C5F3F" w:rsidP="0055364C">
      <w:pPr>
        <w:pStyle w:val="Heading1"/>
      </w:pPr>
      <w:bookmarkStart w:id="1" w:name="_Ref197892460"/>
      <w:bookmarkStart w:id="2" w:name="_Toc215751865"/>
      <w:r w:rsidRPr="00E42EAE">
        <w:t>Regulatory standards of fairness, consumer protection and efficiency</w:t>
      </w:r>
      <w:bookmarkEnd w:id="1"/>
      <w:bookmarkEnd w:id="2"/>
    </w:p>
    <w:p w14:paraId="7D13401C" w14:textId="22C41391" w:rsidR="00C25CD4" w:rsidRPr="00E42EAE" w:rsidRDefault="00C25CD4" w:rsidP="006A5037">
      <w:pPr>
        <w:pStyle w:val="Firstparagraph"/>
        <w:rPr>
          <w:lang w:val="en-US"/>
        </w:rPr>
      </w:pPr>
      <w:r w:rsidRPr="00E42EAE">
        <w:rPr>
          <w:lang w:val="en-US"/>
        </w:rPr>
        <w:t xml:space="preserve">The goal of the following chapter is to outline </w:t>
      </w:r>
      <w:r w:rsidR="006B1F26" w:rsidRPr="00E42EAE">
        <w:rPr>
          <w:lang w:val="en-US"/>
        </w:rPr>
        <w:t>the</w:t>
      </w:r>
      <w:r w:rsidR="00FE3E24" w:rsidRPr="00E42EAE">
        <w:rPr>
          <w:lang w:val="en-US"/>
        </w:rPr>
        <w:t xml:space="preserve"> </w:t>
      </w:r>
      <w:r w:rsidR="00822200" w:rsidRPr="00E42EAE">
        <w:rPr>
          <w:lang w:val="en-US"/>
        </w:rPr>
        <w:t xml:space="preserve">concepts of fairness, </w:t>
      </w:r>
      <w:r w:rsidR="00DF4CDD" w:rsidRPr="00E42EAE">
        <w:rPr>
          <w:lang w:val="en-US"/>
        </w:rPr>
        <w:t>consumer protection and efficiency</w:t>
      </w:r>
      <w:r w:rsidR="00FE3E24" w:rsidRPr="00E42EAE">
        <w:rPr>
          <w:lang w:val="en-US"/>
        </w:rPr>
        <w:t xml:space="preserve"> employed throughout the article</w:t>
      </w:r>
      <w:r w:rsidR="008B455B" w:rsidRPr="00E42EAE">
        <w:rPr>
          <w:lang w:val="en-US"/>
        </w:rPr>
        <w:t xml:space="preserve">. </w:t>
      </w:r>
      <w:r w:rsidR="00FE3E24" w:rsidRPr="00E42EAE">
        <w:rPr>
          <w:lang w:val="en-US"/>
        </w:rPr>
        <w:t xml:space="preserve">We discuss outlined standards separately </w:t>
      </w:r>
      <w:r w:rsidR="008C2761" w:rsidRPr="00E42EAE">
        <w:rPr>
          <w:lang w:val="en-US"/>
        </w:rPr>
        <w:t xml:space="preserve">and follow with discussion of how </w:t>
      </w:r>
      <w:r w:rsidR="008B455B" w:rsidRPr="00E42EAE">
        <w:rPr>
          <w:lang w:val="en-US"/>
        </w:rPr>
        <w:t>they connect into each other.</w:t>
      </w:r>
      <w:r w:rsidR="004A23F3" w:rsidRPr="00E42EAE">
        <w:rPr>
          <w:lang w:val="en-US"/>
        </w:rPr>
        <w:t xml:space="preserve"> This outline is followed in chapter 3 with analysis of </w:t>
      </w:r>
      <w:r w:rsidR="00B44FFF" w:rsidRPr="00E42EAE">
        <w:rPr>
          <w:lang w:val="en-US"/>
        </w:rPr>
        <w:t xml:space="preserve">how private ordering tools </w:t>
      </w:r>
      <w:r w:rsidR="007A5776" w:rsidRPr="00E42EAE">
        <w:rPr>
          <w:lang w:val="en-US"/>
        </w:rPr>
        <w:t>implement these standards</w:t>
      </w:r>
      <w:r w:rsidR="00B44FFF" w:rsidRPr="00E42EAE">
        <w:rPr>
          <w:lang w:val="en-US"/>
        </w:rPr>
        <w:t>.</w:t>
      </w:r>
    </w:p>
    <w:p w14:paraId="65FDC976" w14:textId="773908D8" w:rsidR="00E00FE8" w:rsidRPr="00E42EAE" w:rsidRDefault="004A23F3" w:rsidP="008C2761">
      <w:pPr>
        <w:pStyle w:val="Nextparagraphs"/>
        <w:rPr>
          <w:lang w:val="en-US"/>
        </w:rPr>
      </w:pPr>
      <w:r w:rsidRPr="00E42EAE">
        <w:rPr>
          <w:lang w:val="en-US"/>
        </w:rPr>
        <w:t>Fairness</w:t>
      </w:r>
      <w:r w:rsidR="00E20998" w:rsidRPr="00E42EAE">
        <w:rPr>
          <w:lang w:val="en-US"/>
        </w:rPr>
        <w:t xml:space="preserve"> </w:t>
      </w:r>
      <w:r w:rsidR="00394163" w:rsidRPr="00E42EAE">
        <w:rPr>
          <w:lang w:val="en-US"/>
        </w:rPr>
        <w:t>can be seen as a new trend in area of digital regulation.</w:t>
      </w:r>
      <w:r w:rsidR="00704B98" w:rsidRPr="00E42EAE">
        <w:rPr>
          <w:rStyle w:val="FootnoteReference"/>
          <w:lang w:val="en-US"/>
        </w:rPr>
        <w:footnoteReference w:id="18"/>
      </w:r>
      <w:r w:rsidR="00394163" w:rsidRPr="00E42EAE">
        <w:rPr>
          <w:lang w:val="en-US"/>
        </w:rPr>
        <w:t xml:space="preserve"> While fairness is not a new concept in EU law, frequently occurring in</w:t>
      </w:r>
      <w:r w:rsidR="00EA0538" w:rsidRPr="00E42EAE">
        <w:rPr>
          <w:lang w:val="en-US"/>
        </w:rPr>
        <w:t xml:space="preserve"> </w:t>
      </w:r>
      <w:r w:rsidR="00394163" w:rsidRPr="00E42EAE">
        <w:rPr>
          <w:lang w:val="en-US"/>
        </w:rPr>
        <w:t xml:space="preserve">secondary law, its application as primary standard in area of </w:t>
      </w:r>
      <w:r w:rsidR="00261D99" w:rsidRPr="00E42EAE">
        <w:rPr>
          <w:lang w:val="en-US"/>
        </w:rPr>
        <w:t>online</w:t>
      </w:r>
      <w:r w:rsidR="00261D99" w:rsidRPr="00E42EAE">
        <w:rPr>
          <w:i/>
          <w:iCs/>
          <w:lang w:val="en-US"/>
        </w:rPr>
        <w:t xml:space="preserve"> </w:t>
      </w:r>
      <w:r w:rsidR="00394163" w:rsidRPr="00E42EAE">
        <w:rPr>
          <w:lang w:val="en-US"/>
        </w:rPr>
        <w:t>platform regulation is novel.</w:t>
      </w:r>
      <w:r w:rsidR="00583786" w:rsidRPr="00E42EAE">
        <w:rPr>
          <w:rStyle w:val="FootnoteReference"/>
          <w:lang w:val="en-US"/>
        </w:rPr>
        <w:footnoteReference w:id="19"/>
      </w:r>
      <w:r w:rsidR="00394163" w:rsidRPr="00E42EAE">
        <w:rPr>
          <w:lang w:val="en-US"/>
        </w:rPr>
        <w:t xml:space="preserve"> </w:t>
      </w:r>
      <w:r w:rsidR="009C5722" w:rsidRPr="00E42EAE">
        <w:rPr>
          <w:lang w:val="en-US"/>
        </w:rPr>
        <w:t>DSA</w:t>
      </w:r>
      <w:r w:rsidR="00D0671E" w:rsidRPr="00E42EAE">
        <w:rPr>
          <w:lang w:val="en-US"/>
        </w:rPr>
        <w:t xml:space="preserve"> and CDSM</w:t>
      </w:r>
      <w:r w:rsidR="009C5722" w:rsidRPr="00E42EAE">
        <w:rPr>
          <w:lang w:val="en-US"/>
        </w:rPr>
        <w:t xml:space="preserve">, particularly, </w:t>
      </w:r>
      <w:r w:rsidR="00D0671E" w:rsidRPr="00E42EAE">
        <w:rPr>
          <w:lang w:val="en-US"/>
        </w:rPr>
        <w:t>are</w:t>
      </w:r>
      <w:r w:rsidR="009C5722" w:rsidRPr="00E42EAE">
        <w:rPr>
          <w:lang w:val="en-US"/>
        </w:rPr>
        <w:t xml:space="preserve"> concerned with micro-level </w:t>
      </w:r>
      <w:r w:rsidR="009C5722" w:rsidRPr="00E42EAE">
        <w:rPr>
          <w:lang w:val="en-US"/>
        </w:rPr>
        <w:lastRenderedPageBreak/>
        <w:t>fairness</w:t>
      </w:r>
      <w:r w:rsidR="007657AC" w:rsidRPr="00E42EAE">
        <w:rPr>
          <w:lang w:val="en-US"/>
        </w:rPr>
        <w:t xml:space="preserve"> </w:t>
      </w:r>
      <w:r w:rsidR="00AB536F" w:rsidRPr="00E42EAE">
        <w:rPr>
          <w:lang w:val="en-US"/>
        </w:rPr>
        <w:t>or fair conduct</w:t>
      </w:r>
      <w:r w:rsidR="0093385E" w:rsidRPr="00E42EAE">
        <w:rPr>
          <w:lang w:val="en-US"/>
        </w:rPr>
        <w:t xml:space="preserve"> and regulates abuse of power of online platforms against its users.</w:t>
      </w:r>
      <w:r w:rsidR="0093385E" w:rsidRPr="00E42EAE">
        <w:rPr>
          <w:rStyle w:val="FootnoteReference"/>
          <w:lang w:val="en-US"/>
        </w:rPr>
        <w:footnoteReference w:id="20"/>
      </w:r>
      <w:r w:rsidR="00540BC7" w:rsidRPr="00E42EAE">
        <w:rPr>
          <w:lang w:val="en-US"/>
        </w:rPr>
        <w:t xml:space="preserve"> These rules </w:t>
      </w:r>
      <w:r w:rsidR="009F0AF0" w:rsidRPr="00E42EAE">
        <w:rPr>
          <w:lang w:val="en-US"/>
        </w:rPr>
        <w:t>particularly are fair moderation processes,</w:t>
      </w:r>
      <w:r w:rsidR="00DB720D" w:rsidRPr="00E42EAE">
        <w:rPr>
          <w:rStyle w:val="FootnoteReference"/>
          <w:lang w:val="en-US"/>
        </w:rPr>
        <w:footnoteReference w:id="21"/>
      </w:r>
      <w:r w:rsidR="009F0AF0" w:rsidRPr="00E42EAE">
        <w:rPr>
          <w:lang w:val="en-US"/>
        </w:rPr>
        <w:t xml:space="preserve"> fair content rules</w:t>
      </w:r>
      <w:r w:rsidR="00DB720D" w:rsidRPr="00E42EAE">
        <w:rPr>
          <w:rStyle w:val="FootnoteReference"/>
          <w:lang w:val="en-US"/>
        </w:rPr>
        <w:footnoteReference w:id="22"/>
      </w:r>
      <w:r w:rsidR="009F0AF0" w:rsidRPr="00E42EAE">
        <w:rPr>
          <w:lang w:val="en-US"/>
        </w:rPr>
        <w:t xml:space="preserve"> and fair design practices</w:t>
      </w:r>
      <w:r w:rsidR="00DB720D" w:rsidRPr="00E42EAE">
        <w:rPr>
          <w:rStyle w:val="FootnoteReference"/>
          <w:lang w:val="en-US"/>
        </w:rPr>
        <w:footnoteReference w:id="23"/>
      </w:r>
      <w:r w:rsidR="00DB720D" w:rsidRPr="00E42EAE">
        <w:rPr>
          <w:lang w:val="en-US"/>
        </w:rPr>
        <w:t>.</w:t>
      </w:r>
    </w:p>
    <w:p w14:paraId="21BF3FCC" w14:textId="7D1D2329" w:rsidR="00EA2F7D" w:rsidRPr="00E42EAE" w:rsidRDefault="00EA2F7D" w:rsidP="008C2761">
      <w:pPr>
        <w:pStyle w:val="Nextparagraphs"/>
        <w:rPr>
          <w:lang w:val="en-US"/>
        </w:rPr>
      </w:pPr>
      <w:r w:rsidRPr="00E42EAE">
        <w:rPr>
          <w:lang w:val="en-US"/>
        </w:rPr>
        <w:t>Interestingly, consumer protection law is a frequent source of normative fairness in EU law.</w:t>
      </w:r>
      <w:r w:rsidRPr="00E42EAE">
        <w:rPr>
          <w:rStyle w:val="FootnoteReference"/>
          <w:lang w:val="en-US"/>
        </w:rPr>
        <w:footnoteReference w:id="24"/>
      </w:r>
      <w:r w:rsidR="00BC5A84" w:rsidRPr="00E42EAE">
        <w:rPr>
          <w:lang w:val="en-US"/>
        </w:rPr>
        <w:t xml:space="preserve"> </w:t>
      </w:r>
      <w:r w:rsidR="003475FE" w:rsidRPr="00E42EAE">
        <w:rPr>
          <w:lang w:val="en-US"/>
        </w:rPr>
        <w:t xml:space="preserve">As such, the normative standards of consumer </w:t>
      </w:r>
      <w:r w:rsidR="002023C7" w:rsidRPr="00E42EAE">
        <w:rPr>
          <w:lang w:val="en-US"/>
        </w:rPr>
        <w:t>welfare</w:t>
      </w:r>
      <w:r w:rsidR="003475FE" w:rsidRPr="00E42EAE">
        <w:rPr>
          <w:lang w:val="en-US"/>
        </w:rPr>
        <w:t xml:space="preserve"> and fairness are closely interlinked</w:t>
      </w:r>
      <w:r w:rsidR="00E069D0" w:rsidRPr="00E42EAE">
        <w:rPr>
          <w:lang w:val="en-US"/>
        </w:rPr>
        <w:t xml:space="preserve">. Yet, consumer protection </w:t>
      </w:r>
      <w:r w:rsidR="00882595" w:rsidRPr="00E42EAE">
        <w:rPr>
          <w:lang w:val="en-US"/>
        </w:rPr>
        <w:t xml:space="preserve">is reinforced as standalone standard, e.g., in Recital 3 </w:t>
      </w:r>
      <w:r w:rsidR="00136FAE" w:rsidRPr="00E42EAE">
        <w:rPr>
          <w:lang w:val="en-US"/>
        </w:rPr>
        <w:t xml:space="preserve">and Article 1 </w:t>
      </w:r>
      <w:r w:rsidR="00882595" w:rsidRPr="00E42EAE">
        <w:rPr>
          <w:lang w:val="en-US"/>
        </w:rPr>
        <w:t>DSA that prescribes a high-level of consumer protection.</w:t>
      </w:r>
      <w:r w:rsidR="00157B44" w:rsidRPr="00E42EAE">
        <w:rPr>
          <w:lang w:val="en-US"/>
        </w:rPr>
        <w:t xml:space="preserve"> </w:t>
      </w:r>
      <w:r w:rsidR="00953C61" w:rsidRPr="00E42EAE">
        <w:rPr>
          <w:lang w:val="en-US"/>
        </w:rPr>
        <w:t>Consumer protection surfaces particularly in contractual relationships between platforms and users.</w:t>
      </w:r>
      <w:r w:rsidR="001D4F25" w:rsidRPr="00E42EAE">
        <w:rPr>
          <w:rStyle w:val="FootnoteReference"/>
          <w:lang w:val="en-US"/>
        </w:rPr>
        <w:footnoteReference w:id="25"/>
      </w:r>
      <w:r w:rsidR="00953C61" w:rsidRPr="00E42EAE">
        <w:rPr>
          <w:lang w:val="en-US"/>
        </w:rPr>
        <w:t xml:space="preserve"> </w:t>
      </w:r>
      <w:r w:rsidR="00DE3B47" w:rsidRPr="00E42EAE">
        <w:rPr>
          <w:lang w:val="en-US"/>
        </w:rPr>
        <w:t>Consequently, consumer welfare is a distinct normative standard similarly concerned with</w:t>
      </w:r>
      <w:r w:rsidR="001D4F25" w:rsidRPr="00E42EAE">
        <w:rPr>
          <w:lang w:val="en-US"/>
        </w:rPr>
        <w:t xml:space="preserve"> the legal</w:t>
      </w:r>
      <w:r w:rsidR="00DE3B47" w:rsidRPr="00E42EAE">
        <w:rPr>
          <w:lang w:val="en-US"/>
        </w:rPr>
        <w:t xml:space="preserve"> relationship of platforms and users.</w:t>
      </w:r>
    </w:p>
    <w:p w14:paraId="256ACF2D" w14:textId="7A22DC82" w:rsidR="00455823" w:rsidRPr="00E42EAE" w:rsidRDefault="0009336F" w:rsidP="000C0A93">
      <w:pPr>
        <w:pStyle w:val="Nextparagraphs"/>
        <w:rPr>
          <w:lang w:val="en-US"/>
        </w:rPr>
      </w:pPr>
      <w:r w:rsidRPr="00E42EAE">
        <w:rPr>
          <w:lang w:val="en-US"/>
        </w:rPr>
        <w:t>Finally, e</w:t>
      </w:r>
      <w:r w:rsidR="005308E8" w:rsidRPr="00E42EAE">
        <w:rPr>
          <w:lang w:val="en-US"/>
        </w:rPr>
        <w:t xml:space="preserve">fficiency serves as organizing principle of markets where efficient allocation of </w:t>
      </w:r>
      <w:r w:rsidR="00F60B77" w:rsidRPr="00E42EAE">
        <w:rPr>
          <w:lang w:val="en-US"/>
        </w:rPr>
        <w:t>rights and obligations results from market transactions.</w:t>
      </w:r>
      <w:r w:rsidR="001B79C6" w:rsidRPr="00E42EAE">
        <w:rPr>
          <w:rStyle w:val="FootnoteReference"/>
          <w:lang w:val="en-US"/>
        </w:rPr>
        <w:footnoteReference w:id="26"/>
      </w:r>
      <w:r w:rsidR="00FA2C24" w:rsidRPr="00E42EAE">
        <w:rPr>
          <w:lang w:val="en-US"/>
        </w:rPr>
        <w:t xml:space="preserve"> In other words, </w:t>
      </w:r>
      <w:r w:rsidR="00FA2C10" w:rsidRPr="00E42EAE">
        <w:rPr>
          <w:lang w:val="en-US"/>
        </w:rPr>
        <w:t>market should self-organize efficiently</w:t>
      </w:r>
      <w:r w:rsidR="00897B22" w:rsidRPr="00E42EAE">
        <w:rPr>
          <w:lang w:val="en-US"/>
        </w:rPr>
        <w:t xml:space="preserve"> by itself</w:t>
      </w:r>
      <w:r w:rsidR="00FA2C10" w:rsidRPr="00E42EAE">
        <w:rPr>
          <w:lang w:val="en-US"/>
        </w:rPr>
        <w:t>. However, a</w:t>
      </w:r>
      <w:r w:rsidR="00F60B77" w:rsidRPr="00E42EAE">
        <w:rPr>
          <w:lang w:val="en-US"/>
        </w:rPr>
        <w:t>s Coase theorem posits, the efficient outcome is limited by existing transaction costs</w:t>
      </w:r>
      <w:r w:rsidR="00390A9C" w:rsidRPr="00E42EAE">
        <w:rPr>
          <w:rStyle w:val="FootnoteReference"/>
          <w:lang w:val="en-US"/>
        </w:rPr>
        <w:footnoteReference w:id="27"/>
      </w:r>
      <w:r w:rsidR="00F60B77" w:rsidRPr="00E42EAE">
        <w:rPr>
          <w:lang w:val="en-US"/>
        </w:rPr>
        <w:t xml:space="preserve"> in the market.</w:t>
      </w:r>
      <w:r w:rsidR="00F66F66" w:rsidRPr="00E42EAE">
        <w:rPr>
          <w:rStyle w:val="FootnoteReference"/>
          <w:lang w:val="en-US"/>
        </w:rPr>
        <w:footnoteReference w:id="28"/>
      </w:r>
      <w:r w:rsidR="00F60B77" w:rsidRPr="00E42EAE">
        <w:rPr>
          <w:lang w:val="en-US"/>
        </w:rPr>
        <w:t xml:space="preserve"> </w:t>
      </w:r>
      <w:r w:rsidR="00E25EDE" w:rsidRPr="00E42EAE">
        <w:rPr>
          <w:lang w:val="en-US"/>
        </w:rPr>
        <w:t>Put differently</w:t>
      </w:r>
      <w:r w:rsidR="00D906D9" w:rsidRPr="00E42EAE">
        <w:rPr>
          <w:lang w:val="en-US"/>
        </w:rPr>
        <w:t xml:space="preserve">, efficient </w:t>
      </w:r>
      <w:r w:rsidR="00105204" w:rsidRPr="00E42EAE">
        <w:rPr>
          <w:lang w:val="en-US"/>
        </w:rPr>
        <w:t>outcome is realised only to the limit not precluded by transaction costs as those shift the result.</w:t>
      </w:r>
      <w:r w:rsidR="001F2AEE" w:rsidRPr="00E42EAE">
        <w:rPr>
          <w:lang w:val="en-US"/>
        </w:rPr>
        <w:t xml:space="preserve"> </w:t>
      </w:r>
      <w:r w:rsidR="0097454A" w:rsidRPr="00E42EAE">
        <w:rPr>
          <w:lang w:val="en-US"/>
        </w:rPr>
        <w:t xml:space="preserve">Importantly, </w:t>
      </w:r>
      <w:r w:rsidR="00455823" w:rsidRPr="00E42EAE">
        <w:rPr>
          <w:lang w:val="en-US"/>
        </w:rPr>
        <w:t xml:space="preserve">transaction costs such as information and power asymmetries </w:t>
      </w:r>
      <w:r w:rsidR="00531640" w:rsidRPr="00E42EAE">
        <w:rPr>
          <w:lang w:val="en-US"/>
        </w:rPr>
        <w:t>are aggravated in digital environment further disadvantaging users</w:t>
      </w:r>
      <w:r w:rsidR="00455823" w:rsidRPr="00E42EAE">
        <w:rPr>
          <w:lang w:val="en-US"/>
        </w:rPr>
        <w:t>.</w:t>
      </w:r>
      <w:r w:rsidR="008D020F" w:rsidRPr="00E42EAE">
        <w:rPr>
          <w:rStyle w:val="FootnoteReference"/>
          <w:lang w:val="en-US"/>
        </w:rPr>
        <w:footnoteReference w:id="29"/>
      </w:r>
      <w:r w:rsidR="00787137" w:rsidRPr="00E42EAE">
        <w:rPr>
          <w:lang w:val="en-US"/>
        </w:rPr>
        <w:t xml:space="preserve"> Consequently, </w:t>
      </w:r>
      <w:r w:rsidR="00717D21" w:rsidRPr="00E42EAE">
        <w:rPr>
          <w:lang w:val="en-US"/>
        </w:rPr>
        <w:t>self-maximizing behaviour</w:t>
      </w:r>
      <w:r w:rsidR="00787137" w:rsidRPr="00E42EAE">
        <w:rPr>
          <w:lang w:val="en-US"/>
        </w:rPr>
        <w:t xml:space="preserve"> may lead to </w:t>
      </w:r>
      <w:r w:rsidR="00F202AE" w:rsidRPr="00E42EAE">
        <w:rPr>
          <w:lang w:val="en-US"/>
        </w:rPr>
        <w:t>transactions</w:t>
      </w:r>
      <w:r w:rsidR="009A0392" w:rsidRPr="00E42EAE">
        <w:rPr>
          <w:lang w:val="en-US"/>
        </w:rPr>
        <w:t xml:space="preserve"> that are not </w:t>
      </w:r>
      <w:r w:rsidR="00124230" w:rsidRPr="00E42EAE">
        <w:rPr>
          <w:lang w:val="en-US"/>
        </w:rPr>
        <w:t>efficient as they do not contribute to the social welfare.</w:t>
      </w:r>
      <w:r w:rsidR="00124230" w:rsidRPr="00E42EAE">
        <w:rPr>
          <w:rStyle w:val="FootnoteReference"/>
          <w:lang w:val="en-US"/>
        </w:rPr>
        <w:footnoteReference w:id="30"/>
      </w:r>
    </w:p>
    <w:p w14:paraId="0CC77000" w14:textId="4DA461FE" w:rsidR="0009336F" w:rsidRPr="00E42EAE" w:rsidRDefault="0009336F" w:rsidP="00041808">
      <w:pPr>
        <w:pStyle w:val="Nextparagraphs"/>
        <w:rPr>
          <w:lang w:val="en-US"/>
        </w:rPr>
      </w:pPr>
      <w:r w:rsidRPr="00E42EAE">
        <w:rPr>
          <w:lang w:val="en-US"/>
        </w:rPr>
        <w:t>Yet</w:t>
      </w:r>
      <w:r w:rsidR="001F2AEE" w:rsidRPr="00E42EAE">
        <w:rPr>
          <w:lang w:val="en-US"/>
        </w:rPr>
        <w:t>,</w:t>
      </w:r>
      <w:r w:rsidRPr="00E42EAE">
        <w:rPr>
          <w:lang w:val="en-US"/>
        </w:rPr>
        <w:t xml:space="preserve"> what is the interaction between normative and economic standards? </w:t>
      </w:r>
      <w:r w:rsidR="00314A3F" w:rsidRPr="00E42EAE">
        <w:rPr>
          <w:lang w:val="en-US"/>
        </w:rPr>
        <w:t>There are two possible understandings. Efficiency, fairness and consumer welfare can be seen as</w:t>
      </w:r>
      <w:r w:rsidR="001A7D63" w:rsidRPr="00E42EAE">
        <w:rPr>
          <w:lang w:val="en-US"/>
        </w:rPr>
        <w:t xml:space="preserve"> interdependent</w:t>
      </w:r>
      <w:r w:rsidR="00314A3F" w:rsidRPr="00E42EAE">
        <w:rPr>
          <w:lang w:val="en-US"/>
        </w:rPr>
        <w:t xml:space="preserve"> regulatory forces </w:t>
      </w:r>
      <w:r w:rsidR="001D41DB" w:rsidRPr="00E42EAE">
        <w:rPr>
          <w:lang w:val="en-US"/>
        </w:rPr>
        <w:t>pushing and pulling against each other</w:t>
      </w:r>
      <w:r w:rsidR="00314A3F" w:rsidRPr="00E42EAE">
        <w:rPr>
          <w:lang w:val="en-US"/>
        </w:rPr>
        <w:t>.</w:t>
      </w:r>
      <w:r w:rsidR="00A46B35" w:rsidRPr="00E42EAE">
        <w:rPr>
          <w:rStyle w:val="FootnoteReference"/>
          <w:lang w:val="en-US"/>
        </w:rPr>
        <w:footnoteReference w:id="31"/>
      </w:r>
      <w:r w:rsidR="00314A3F" w:rsidRPr="00E42EAE">
        <w:rPr>
          <w:lang w:val="en-US"/>
        </w:rPr>
        <w:t xml:space="preserve"> </w:t>
      </w:r>
      <w:r w:rsidR="001A7D63" w:rsidRPr="00E42EAE">
        <w:rPr>
          <w:lang w:val="en-US"/>
        </w:rPr>
        <w:t>E</w:t>
      </w:r>
      <w:r w:rsidR="00314A3F" w:rsidRPr="00E42EAE">
        <w:rPr>
          <w:lang w:val="en-US"/>
        </w:rPr>
        <w:t xml:space="preserve">fficient </w:t>
      </w:r>
      <w:r w:rsidR="00E51CCF" w:rsidRPr="00E42EAE">
        <w:rPr>
          <w:lang w:val="en-US"/>
        </w:rPr>
        <w:t xml:space="preserve">transacting that would disproportionately favour </w:t>
      </w:r>
      <w:r w:rsidR="00261D99" w:rsidRPr="00E42EAE">
        <w:rPr>
          <w:lang w:val="en-US"/>
        </w:rPr>
        <w:t>online</w:t>
      </w:r>
      <w:r w:rsidR="00261D99" w:rsidRPr="00E42EAE">
        <w:rPr>
          <w:i/>
          <w:iCs/>
          <w:lang w:val="en-US"/>
        </w:rPr>
        <w:t xml:space="preserve"> </w:t>
      </w:r>
      <w:r w:rsidR="00E51CCF" w:rsidRPr="00E42EAE">
        <w:rPr>
          <w:lang w:val="en-US"/>
        </w:rPr>
        <w:t>platforms is limited by imposition of normative standards</w:t>
      </w:r>
      <w:r w:rsidR="00F0158B" w:rsidRPr="00E42EAE">
        <w:rPr>
          <w:lang w:val="en-US"/>
        </w:rPr>
        <w:t xml:space="preserve"> tha</w:t>
      </w:r>
      <w:r w:rsidR="0047319E" w:rsidRPr="00E42EAE">
        <w:rPr>
          <w:lang w:val="en-US"/>
        </w:rPr>
        <w:t>t shield users</w:t>
      </w:r>
      <w:r w:rsidR="00E51CCF" w:rsidRPr="00E42EAE">
        <w:rPr>
          <w:lang w:val="en-US"/>
        </w:rPr>
        <w:t>.</w:t>
      </w:r>
      <w:r w:rsidR="001A7D63" w:rsidRPr="00E42EAE">
        <w:rPr>
          <w:rStyle w:val="FootnoteReference"/>
          <w:lang w:val="en-US"/>
        </w:rPr>
        <w:footnoteReference w:id="32"/>
      </w:r>
    </w:p>
    <w:p w14:paraId="35D4F7EA" w14:textId="717AC1E0" w:rsidR="00DF7B1D" w:rsidRPr="00E42EAE" w:rsidRDefault="00763D8E" w:rsidP="0076120A">
      <w:pPr>
        <w:pStyle w:val="Nextparagraphs"/>
        <w:rPr>
          <w:lang w:val="en-US"/>
        </w:rPr>
      </w:pPr>
      <w:r w:rsidRPr="00E42EAE">
        <w:rPr>
          <w:lang w:val="en-US"/>
        </w:rPr>
        <w:t xml:space="preserve">On the other hand, as </w:t>
      </w:r>
      <w:r w:rsidR="00A62DFA" w:rsidRPr="00E42EAE">
        <w:rPr>
          <w:lang w:val="en-US"/>
        </w:rPr>
        <w:t>established</w:t>
      </w:r>
      <w:r w:rsidRPr="00E42EAE">
        <w:rPr>
          <w:lang w:val="en-US"/>
        </w:rPr>
        <w:t xml:space="preserve"> by Esposito, </w:t>
      </w:r>
      <w:r w:rsidR="00F55503" w:rsidRPr="00E42EAE">
        <w:rPr>
          <w:lang w:val="en-US"/>
        </w:rPr>
        <w:t>efficiency, consumer welfare and fairness are not distinct principles.</w:t>
      </w:r>
      <w:r w:rsidR="003753E7" w:rsidRPr="00E42EAE">
        <w:rPr>
          <w:rStyle w:val="FootnoteReference"/>
          <w:lang w:val="en-US"/>
        </w:rPr>
        <w:footnoteReference w:id="33"/>
      </w:r>
      <w:r w:rsidR="00F55503" w:rsidRPr="00E42EAE">
        <w:rPr>
          <w:lang w:val="en-US"/>
        </w:rPr>
        <w:t xml:space="preserve"> Rather</w:t>
      </w:r>
      <w:r w:rsidR="00F817F9" w:rsidRPr="00E42EAE">
        <w:rPr>
          <w:lang w:val="en-US"/>
        </w:rPr>
        <w:t>, Esposito argues</w:t>
      </w:r>
      <w:r w:rsidR="001D41DB" w:rsidRPr="00E42EAE">
        <w:rPr>
          <w:lang w:val="en-US"/>
        </w:rPr>
        <w:t xml:space="preserve"> </w:t>
      </w:r>
      <w:r w:rsidR="00F817F9" w:rsidRPr="00E42EAE">
        <w:rPr>
          <w:lang w:val="en-US"/>
        </w:rPr>
        <w:t xml:space="preserve">that </w:t>
      </w:r>
      <w:r w:rsidR="00673CB7" w:rsidRPr="00E42EAE">
        <w:rPr>
          <w:lang w:val="en-US"/>
        </w:rPr>
        <w:t xml:space="preserve">efficiency occurs where consumer welfare is </w:t>
      </w:r>
      <w:r w:rsidR="00673CB7" w:rsidRPr="00E42EAE">
        <w:rPr>
          <w:lang w:val="en-US"/>
        </w:rPr>
        <w:lastRenderedPageBreak/>
        <w:t>maximised.</w:t>
      </w:r>
      <w:r w:rsidR="00F7106E" w:rsidRPr="00E42EAE">
        <w:rPr>
          <w:rStyle w:val="FootnoteReference"/>
          <w:lang w:val="en-US"/>
        </w:rPr>
        <w:footnoteReference w:id="34"/>
      </w:r>
      <w:r w:rsidR="00673CB7" w:rsidRPr="00E42EAE">
        <w:rPr>
          <w:lang w:val="en-US"/>
        </w:rPr>
        <w:t xml:space="preserve"> In such view, then, the primary focus of DSA should be fairness and consumer welfare as together they lead to maximal efficiency.</w:t>
      </w:r>
    </w:p>
    <w:p w14:paraId="45492401" w14:textId="1B8C6B72" w:rsidR="00673CB7" w:rsidRPr="00E42EAE" w:rsidRDefault="00673CB7" w:rsidP="0076120A">
      <w:pPr>
        <w:pStyle w:val="Nextparagraphs"/>
        <w:rPr>
          <w:lang w:val="en-US"/>
        </w:rPr>
      </w:pPr>
      <w:r w:rsidRPr="00E42EAE">
        <w:rPr>
          <w:lang w:val="en-US"/>
        </w:rPr>
        <w:t xml:space="preserve">In the following </w:t>
      </w:r>
      <w:r w:rsidR="00AD4122" w:rsidRPr="00E42EAE">
        <w:rPr>
          <w:lang w:val="en-US"/>
        </w:rPr>
        <w:t>subchapters</w:t>
      </w:r>
      <w:r w:rsidRPr="00E42EAE">
        <w:rPr>
          <w:lang w:val="en-US"/>
        </w:rPr>
        <w:t>, we expand on these concepts to lay foundation for empirical analysis in Chapter 3.</w:t>
      </w:r>
    </w:p>
    <w:p w14:paraId="2C90BE9F" w14:textId="4FCBCA1B" w:rsidR="001E728F" w:rsidRPr="00E42EAE" w:rsidRDefault="004A6B41" w:rsidP="0055364C">
      <w:pPr>
        <w:pStyle w:val="Heading2"/>
      </w:pPr>
      <w:bookmarkStart w:id="3" w:name="_Toc215751866"/>
      <w:r w:rsidRPr="00E42EAE">
        <w:t>Fairness as central pillar to DSA</w:t>
      </w:r>
      <w:r w:rsidR="00F44F65" w:rsidRPr="00E42EAE">
        <w:t xml:space="preserve"> &amp; CDSM</w:t>
      </w:r>
      <w:bookmarkEnd w:id="3"/>
    </w:p>
    <w:p w14:paraId="0FCC8090" w14:textId="336CDDAB" w:rsidR="009F26E3" w:rsidRPr="00E42EAE" w:rsidRDefault="00F13C9D" w:rsidP="009F26E3">
      <w:pPr>
        <w:pStyle w:val="Firstparagraph"/>
        <w:rPr>
          <w:lang w:val="en-US"/>
        </w:rPr>
      </w:pPr>
      <w:r w:rsidRPr="00E42EAE">
        <w:rPr>
          <w:lang w:val="en-US"/>
        </w:rPr>
        <w:t>As noted by S</w:t>
      </w:r>
      <w:r w:rsidR="00D666D3" w:rsidRPr="00E42EAE">
        <w:rPr>
          <w:lang w:val="en-US"/>
        </w:rPr>
        <w:t>c</w:t>
      </w:r>
      <w:r w:rsidRPr="00E42EAE">
        <w:rPr>
          <w:lang w:val="en-US"/>
        </w:rPr>
        <w:t xml:space="preserve">heuerer </w:t>
      </w:r>
      <w:r w:rsidR="00D666D3" w:rsidRPr="00E42EAE">
        <w:rPr>
          <w:lang w:val="en-US"/>
        </w:rPr>
        <w:t>f</w:t>
      </w:r>
      <w:r w:rsidR="001F51B9" w:rsidRPr="00E42EAE">
        <w:rPr>
          <w:lang w:val="en-US"/>
        </w:rPr>
        <w:t>airness seems to appear as the guiding principle of the digital economy</w:t>
      </w:r>
      <w:r w:rsidR="00DB1DF6" w:rsidRPr="00E42EAE">
        <w:rPr>
          <w:lang w:val="en-US"/>
        </w:rPr>
        <w:t xml:space="preserve">, including </w:t>
      </w:r>
      <w:r w:rsidR="00DB1DF6" w:rsidRPr="00E42EAE">
        <w:rPr>
          <w:i/>
          <w:lang w:val="en-US"/>
        </w:rPr>
        <w:t>“unfair competition, antitrust, IP, trade secrecy, contract, anti-discrimination and data law</w:t>
      </w:r>
      <w:r w:rsidR="00371101" w:rsidRPr="00E42EAE">
        <w:rPr>
          <w:i/>
          <w:lang w:val="en-US"/>
        </w:rPr>
        <w:t>”</w:t>
      </w:r>
      <w:r w:rsidR="00D666D3" w:rsidRPr="00E42EAE">
        <w:rPr>
          <w:lang w:val="en-US"/>
        </w:rPr>
        <w:t>.</w:t>
      </w:r>
      <w:r w:rsidR="00D666D3" w:rsidRPr="00E42EAE">
        <w:rPr>
          <w:rStyle w:val="FootnoteReference"/>
          <w:lang w:val="en-US"/>
        </w:rPr>
        <w:footnoteReference w:id="35"/>
      </w:r>
      <w:r w:rsidR="00C34FAC" w:rsidRPr="00E42EAE">
        <w:rPr>
          <w:lang w:val="en-US"/>
        </w:rPr>
        <w:t xml:space="preserve"> </w:t>
      </w:r>
      <w:r w:rsidR="00371101" w:rsidRPr="00E42EAE">
        <w:rPr>
          <w:lang w:val="en-US"/>
        </w:rPr>
        <w:t>In</w:t>
      </w:r>
      <w:r w:rsidR="00841C3F" w:rsidRPr="00E42EAE">
        <w:rPr>
          <w:lang w:val="en-US"/>
        </w:rPr>
        <w:t xml:space="preserve"> </w:t>
      </w:r>
      <w:r w:rsidR="00341A55" w:rsidRPr="00E42EAE">
        <w:rPr>
          <w:lang w:val="en-US"/>
        </w:rPr>
        <w:t>intellectual property law</w:t>
      </w:r>
      <w:r w:rsidR="00F4410D" w:rsidRPr="00E42EAE">
        <w:rPr>
          <w:lang w:val="en-US"/>
        </w:rPr>
        <w:t xml:space="preserve"> (including </w:t>
      </w:r>
      <w:r w:rsidR="00341A55" w:rsidRPr="00E42EAE">
        <w:rPr>
          <w:lang w:val="en-US"/>
        </w:rPr>
        <w:t>copyright law</w:t>
      </w:r>
      <w:r w:rsidR="00F4410D" w:rsidRPr="00E42EAE">
        <w:rPr>
          <w:lang w:val="en-US"/>
        </w:rPr>
        <w:t>)</w:t>
      </w:r>
      <w:r w:rsidR="00371101" w:rsidRPr="00E42EAE">
        <w:rPr>
          <w:lang w:val="en-US"/>
        </w:rPr>
        <w:t xml:space="preserve"> specifically</w:t>
      </w:r>
      <w:r w:rsidR="00341A55" w:rsidRPr="00E42EAE">
        <w:rPr>
          <w:lang w:val="en-US"/>
        </w:rPr>
        <w:t xml:space="preserve">, fairness is observed as being a </w:t>
      </w:r>
      <w:r w:rsidR="00B45348" w:rsidRPr="00E42EAE">
        <w:rPr>
          <w:i/>
          <w:lang w:val="en-US"/>
        </w:rPr>
        <w:t>“mediator between the property aspects of IP, market regulation and general welfare”</w:t>
      </w:r>
      <w:r w:rsidR="00B45348" w:rsidRPr="00E42EAE">
        <w:rPr>
          <w:lang w:val="en-US"/>
        </w:rPr>
        <w:t>.</w:t>
      </w:r>
      <w:r w:rsidR="00CE4673" w:rsidRPr="00E42EAE">
        <w:rPr>
          <w:rStyle w:val="FootnoteReference"/>
          <w:lang w:val="en-US"/>
        </w:rPr>
        <w:footnoteReference w:id="36"/>
      </w:r>
    </w:p>
    <w:p w14:paraId="02EF62E3" w14:textId="0B9077BA" w:rsidR="00274C3A" w:rsidRPr="00E42EAE" w:rsidRDefault="009F26E3" w:rsidP="00FA7059">
      <w:pPr>
        <w:pStyle w:val="Nextparagraphs"/>
        <w:rPr>
          <w:highlight w:val="green"/>
          <w:lang w:val="en-US"/>
        </w:rPr>
      </w:pPr>
      <w:r w:rsidRPr="00E42EAE">
        <w:rPr>
          <w:lang w:val="en-US"/>
        </w:rPr>
        <w:t>F</w:t>
      </w:r>
      <w:r w:rsidR="00C84DB8" w:rsidRPr="00E42EAE">
        <w:rPr>
          <w:lang w:val="en-US"/>
        </w:rPr>
        <w:t xml:space="preserve">airness might be understood </w:t>
      </w:r>
      <w:r w:rsidR="00582042" w:rsidRPr="00E42EAE">
        <w:rPr>
          <w:lang w:val="en-US"/>
        </w:rPr>
        <w:t xml:space="preserve">as functioning </w:t>
      </w:r>
      <w:r w:rsidR="002C50AA" w:rsidRPr="00E42EAE">
        <w:rPr>
          <w:lang w:val="en-US"/>
        </w:rPr>
        <w:t>in various multifaceted ways</w:t>
      </w:r>
      <w:r w:rsidR="00C84DB8" w:rsidRPr="00E42EAE">
        <w:rPr>
          <w:lang w:val="en-US"/>
        </w:rPr>
        <w:t xml:space="preserve">. </w:t>
      </w:r>
      <w:r w:rsidR="00F3014F" w:rsidRPr="00E42EAE">
        <w:rPr>
          <w:lang w:val="en-US"/>
        </w:rPr>
        <w:t xml:space="preserve">The most basic distinguishing is </w:t>
      </w:r>
      <w:r w:rsidR="00D91E21" w:rsidRPr="00E42EAE">
        <w:rPr>
          <w:lang w:val="en-US"/>
        </w:rPr>
        <w:t xml:space="preserve">distinction of conceptualizing fairness as </w:t>
      </w:r>
      <w:r w:rsidR="00C010EF" w:rsidRPr="00E42EAE">
        <w:rPr>
          <w:lang w:val="en-US"/>
        </w:rPr>
        <w:t>either substantive or procedural.</w:t>
      </w:r>
      <w:r w:rsidR="00C010EF" w:rsidRPr="00E42EAE">
        <w:rPr>
          <w:rStyle w:val="FootnoteReference"/>
          <w:lang w:val="en-US"/>
        </w:rPr>
        <w:footnoteReference w:id="37"/>
      </w:r>
      <w:r w:rsidRPr="00E42EAE">
        <w:rPr>
          <w:lang w:val="en-US"/>
        </w:rPr>
        <w:t xml:space="preserve"> </w:t>
      </w:r>
      <w:r w:rsidR="00274C3A" w:rsidRPr="00E42EAE">
        <w:rPr>
          <w:lang w:val="en-US"/>
        </w:rPr>
        <w:t>On the substantive level</w:t>
      </w:r>
      <w:r w:rsidR="000550B7" w:rsidRPr="00E42EAE">
        <w:rPr>
          <w:lang w:val="en-US"/>
        </w:rPr>
        <w:t xml:space="preserve">, </w:t>
      </w:r>
      <w:r w:rsidR="00A66EA4" w:rsidRPr="00E42EAE">
        <w:rPr>
          <w:lang w:val="en-US"/>
        </w:rPr>
        <w:t>fairness operates as a benchmark</w:t>
      </w:r>
      <w:r w:rsidR="00E32A85" w:rsidRPr="00E42EAE">
        <w:rPr>
          <w:lang w:val="en-US"/>
        </w:rPr>
        <w:t xml:space="preserve"> for statutes and law</w:t>
      </w:r>
      <w:r w:rsidR="001A55CA" w:rsidRPr="00E42EAE">
        <w:rPr>
          <w:lang w:val="en-US"/>
        </w:rPr>
        <w:t xml:space="preserve">, </w:t>
      </w:r>
      <w:r w:rsidR="00074041" w:rsidRPr="00E42EAE">
        <w:rPr>
          <w:lang w:val="en-US"/>
        </w:rPr>
        <w:t>such as</w:t>
      </w:r>
      <w:r w:rsidR="001A55CA" w:rsidRPr="00E42EAE">
        <w:rPr>
          <w:lang w:val="en-US"/>
        </w:rPr>
        <w:t xml:space="preserve">, whether </w:t>
      </w:r>
      <w:r w:rsidR="006B42BB" w:rsidRPr="00E42EAE">
        <w:rPr>
          <w:lang w:val="en-US"/>
        </w:rPr>
        <w:t xml:space="preserve">the contract terms </w:t>
      </w:r>
      <w:r w:rsidR="0088749F" w:rsidRPr="00E42EAE">
        <w:rPr>
          <w:lang w:val="en-US"/>
        </w:rPr>
        <w:t xml:space="preserve">do </w:t>
      </w:r>
      <w:r w:rsidR="006B42BB" w:rsidRPr="00E42EAE">
        <w:rPr>
          <w:lang w:val="en-US"/>
        </w:rPr>
        <w:t>not</w:t>
      </w:r>
      <w:r w:rsidR="00A66EA4" w:rsidRPr="00E42EAE">
        <w:rPr>
          <w:lang w:val="en-US"/>
        </w:rPr>
        <w:t xml:space="preserve"> </w:t>
      </w:r>
      <w:r w:rsidR="003D582B" w:rsidRPr="00E42EAE">
        <w:rPr>
          <w:lang w:val="en-US"/>
        </w:rPr>
        <w:t>unjustifiably prejudice the consumer</w:t>
      </w:r>
      <w:r w:rsidR="00B75822" w:rsidRPr="00E42EAE">
        <w:rPr>
          <w:rStyle w:val="FootnoteReference"/>
          <w:lang w:val="en-US"/>
        </w:rPr>
        <w:footnoteReference w:id="38"/>
      </w:r>
      <w:r w:rsidR="003D582B" w:rsidRPr="00E42EAE">
        <w:rPr>
          <w:lang w:val="en-US"/>
        </w:rPr>
        <w:t xml:space="preserve"> </w:t>
      </w:r>
      <w:r w:rsidR="00E47B45" w:rsidRPr="00E42EAE">
        <w:rPr>
          <w:lang w:val="en-US"/>
        </w:rPr>
        <w:t>or</w:t>
      </w:r>
      <w:r w:rsidR="00A66EA4" w:rsidRPr="00E42EAE">
        <w:rPr>
          <w:lang w:val="en-US"/>
        </w:rPr>
        <w:t xml:space="preserve"> that the </w:t>
      </w:r>
      <w:r w:rsidR="00E47B45" w:rsidRPr="00E42EAE">
        <w:rPr>
          <w:lang w:val="en-US"/>
        </w:rPr>
        <w:t>IP</w:t>
      </w:r>
      <w:r w:rsidR="00A66EA4" w:rsidRPr="00E42EAE">
        <w:rPr>
          <w:lang w:val="en-US"/>
        </w:rPr>
        <w:t xml:space="preserve"> enforcement measures shall be “fair” according to </w:t>
      </w:r>
      <w:r w:rsidR="00932C84" w:rsidRPr="00E42EAE">
        <w:rPr>
          <w:lang w:val="en-US"/>
        </w:rPr>
        <w:t>a</w:t>
      </w:r>
      <w:r w:rsidR="00A66EA4" w:rsidRPr="00E42EAE">
        <w:rPr>
          <w:lang w:val="en-US"/>
        </w:rPr>
        <w:t>rt. 3 para. 1</w:t>
      </w:r>
      <w:r w:rsidR="0053752C" w:rsidRPr="00E42EAE">
        <w:rPr>
          <w:lang w:val="en-US"/>
        </w:rPr>
        <w:t xml:space="preserve"> of the </w:t>
      </w:r>
      <w:r w:rsidR="00A66EA4" w:rsidRPr="00E42EAE">
        <w:rPr>
          <w:lang w:val="en-US"/>
        </w:rPr>
        <w:t xml:space="preserve">2004/48/EC </w:t>
      </w:r>
      <w:r w:rsidR="0053752C" w:rsidRPr="00E42EAE">
        <w:rPr>
          <w:lang w:val="en-US"/>
        </w:rPr>
        <w:t>Directive</w:t>
      </w:r>
      <w:r w:rsidR="002B76FA" w:rsidRPr="00E42EAE">
        <w:rPr>
          <w:rStyle w:val="FootnoteReference"/>
          <w:lang w:val="en-US"/>
        </w:rPr>
        <w:footnoteReference w:id="39"/>
      </w:r>
      <w:r w:rsidR="0053752C" w:rsidRPr="00E42EAE">
        <w:rPr>
          <w:lang w:val="en-US"/>
        </w:rPr>
        <w:t xml:space="preserve"> </w:t>
      </w:r>
      <w:r w:rsidR="00A66EA4" w:rsidRPr="00E42EAE">
        <w:rPr>
          <w:lang w:val="en-US"/>
        </w:rPr>
        <w:t>and thus respecting the principle of proportionality.</w:t>
      </w:r>
      <w:r w:rsidR="00A66EA4" w:rsidRPr="00E42EAE">
        <w:rPr>
          <w:rStyle w:val="FootnoteReference"/>
          <w:lang w:val="en-US"/>
        </w:rPr>
        <w:footnoteReference w:id="40"/>
      </w:r>
    </w:p>
    <w:p w14:paraId="22248B10" w14:textId="0E1E2C9C" w:rsidR="00EC5365" w:rsidRPr="00E42EAE" w:rsidRDefault="003A4C69" w:rsidP="00FA7059">
      <w:pPr>
        <w:pStyle w:val="Nextparagraphs"/>
        <w:rPr>
          <w:lang w:val="en-US"/>
        </w:rPr>
      </w:pPr>
      <w:r w:rsidRPr="00E42EAE">
        <w:rPr>
          <w:lang w:val="en-US"/>
        </w:rPr>
        <w:t>On the procedural level, fairness</w:t>
      </w:r>
      <w:r w:rsidR="001F2617" w:rsidRPr="00E42EAE">
        <w:rPr>
          <w:lang w:val="en-US"/>
        </w:rPr>
        <w:t xml:space="preserve">, reflects the </w:t>
      </w:r>
      <w:r w:rsidR="002F7C88" w:rsidRPr="00E42EAE">
        <w:rPr>
          <w:lang w:val="en-US"/>
        </w:rPr>
        <w:t>fundamental rights</w:t>
      </w:r>
      <w:r w:rsidR="00D31ECB" w:rsidRPr="00E42EAE">
        <w:rPr>
          <w:lang w:val="en-US"/>
        </w:rPr>
        <w:t xml:space="preserve">, </w:t>
      </w:r>
      <w:r w:rsidR="00E17754" w:rsidRPr="00E42EAE">
        <w:rPr>
          <w:lang w:val="en-US"/>
        </w:rPr>
        <w:t>mainly</w:t>
      </w:r>
      <w:r w:rsidR="00D31ECB" w:rsidRPr="00E42EAE">
        <w:rPr>
          <w:lang w:val="en-US"/>
        </w:rPr>
        <w:t xml:space="preserve"> the right to fair trial</w:t>
      </w:r>
      <w:r w:rsidR="00BC5D27" w:rsidRPr="00E42EAE">
        <w:rPr>
          <w:rStyle w:val="FootnoteReference"/>
          <w:lang w:val="en-US"/>
        </w:rPr>
        <w:footnoteReference w:id="41"/>
      </w:r>
      <w:r w:rsidR="00D31ECB" w:rsidRPr="00E42EAE">
        <w:rPr>
          <w:lang w:val="en-US"/>
        </w:rPr>
        <w:t xml:space="preserve"> and </w:t>
      </w:r>
      <w:r w:rsidR="00D93FD9" w:rsidRPr="00E42EAE">
        <w:rPr>
          <w:lang w:val="en-US"/>
        </w:rPr>
        <w:t>the right to an effective remedy</w:t>
      </w:r>
      <w:r w:rsidR="002B6A2C" w:rsidRPr="00E42EAE">
        <w:rPr>
          <w:lang w:val="en-US"/>
        </w:rPr>
        <w:t>,</w:t>
      </w:r>
      <w:r w:rsidR="00054E25" w:rsidRPr="00E42EAE">
        <w:rPr>
          <w:rStyle w:val="FootnoteReference"/>
          <w:lang w:val="en-US"/>
        </w:rPr>
        <w:footnoteReference w:id="42"/>
      </w:r>
      <w:r w:rsidR="002B6A2C" w:rsidRPr="00E42EAE">
        <w:rPr>
          <w:lang w:val="en-US"/>
        </w:rPr>
        <w:t xml:space="preserve"> </w:t>
      </w:r>
      <w:r w:rsidR="00BE55E4" w:rsidRPr="00E42EAE">
        <w:rPr>
          <w:lang w:val="en-US"/>
        </w:rPr>
        <w:t>which</w:t>
      </w:r>
      <w:r w:rsidR="002B6A2C" w:rsidRPr="00E42EAE">
        <w:rPr>
          <w:lang w:val="en-US"/>
        </w:rPr>
        <w:t xml:space="preserve"> together form the rather abstract </w:t>
      </w:r>
      <w:r w:rsidR="003342E7" w:rsidRPr="00E42EAE">
        <w:rPr>
          <w:lang w:val="en-US"/>
        </w:rPr>
        <w:t>concept of “</w:t>
      </w:r>
      <w:r w:rsidR="003342E7" w:rsidRPr="00E42EAE">
        <w:rPr>
          <w:i/>
          <w:iCs/>
          <w:lang w:val="en-US"/>
        </w:rPr>
        <w:t>access to justice</w:t>
      </w:r>
      <w:r w:rsidR="003342E7" w:rsidRPr="00E42EAE">
        <w:rPr>
          <w:lang w:val="en-US"/>
        </w:rPr>
        <w:t>”.</w:t>
      </w:r>
      <w:r w:rsidR="003342E7" w:rsidRPr="00E42EAE">
        <w:rPr>
          <w:rStyle w:val="FootnoteReference"/>
          <w:lang w:val="en-US"/>
        </w:rPr>
        <w:footnoteReference w:id="43"/>
      </w:r>
      <w:r w:rsidR="007B0CDE" w:rsidRPr="00E42EAE">
        <w:rPr>
          <w:lang w:val="en-US"/>
        </w:rPr>
        <w:t xml:space="preserve"> </w:t>
      </w:r>
      <w:r w:rsidR="0012734F" w:rsidRPr="00E42EAE">
        <w:rPr>
          <w:lang w:val="en-US"/>
        </w:rPr>
        <w:t>Access to justice is t</w:t>
      </w:r>
      <w:r w:rsidR="007B0CDE" w:rsidRPr="00E42EAE">
        <w:rPr>
          <w:lang w:val="en-US"/>
        </w:rPr>
        <w:t>raditionally applied before the administrative bodies and courts</w:t>
      </w:r>
      <w:r w:rsidR="0012734F" w:rsidRPr="00E42EAE">
        <w:rPr>
          <w:lang w:val="en-US"/>
        </w:rPr>
        <w:t>.</w:t>
      </w:r>
      <w:r w:rsidR="000A085B" w:rsidRPr="00E42EAE">
        <w:rPr>
          <w:rStyle w:val="FootnoteReference"/>
          <w:lang w:val="en-US"/>
        </w:rPr>
        <w:footnoteReference w:id="44"/>
      </w:r>
      <w:r w:rsidR="007B0CDE" w:rsidRPr="00E42EAE">
        <w:rPr>
          <w:lang w:val="en-US"/>
        </w:rPr>
        <w:t xml:space="preserve"> </w:t>
      </w:r>
      <w:r w:rsidR="00C658F5" w:rsidRPr="00E42EAE">
        <w:rPr>
          <w:lang w:val="en-US"/>
        </w:rPr>
        <w:t>T</w:t>
      </w:r>
      <w:r w:rsidR="007B0CDE" w:rsidRPr="00E42EAE">
        <w:rPr>
          <w:lang w:val="en-US"/>
        </w:rPr>
        <w:t xml:space="preserve">his understanding of fairness </w:t>
      </w:r>
      <w:r w:rsidR="00DB43FE" w:rsidRPr="00E42EAE">
        <w:rPr>
          <w:lang w:val="en-US"/>
        </w:rPr>
        <w:t xml:space="preserve">underscores not </w:t>
      </w:r>
      <w:r w:rsidR="00B446EC" w:rsidRPr="00E42EAE">
        <w:rPr>
          <w:lang w:val="en-US"/>
        </w:rPr>
        <w:t xml:space="preserve">merely </w:t>
      </w:r>
      <w:r w:rsidR="00DB43FE" w:rsidRPr="00E42EAE">
        <w:rPr>
          <w:lang w:val="en-US"/>
        </w:rPr>
        <w:t>the result of the proce</w:t>
      </w:r>
      <w:r w:rsidR="00D74661" w:rsidRPr="00E42EAE">
        <w:rPr>
          <w:lang w:val="en-US"/>
        </w:rPr>
        <w:t>eding, but the way how t</w:t>
      </w:r>
      <w:r w:rsidR="00657E91" w:rsidRPr="00E42EAE">
        <w:rPr>
          <w:lang w:val="en-US"/>
        </w:rPr>
        <w:t>he result was achieved</w:t>
      </w:r>
      <w:r w:rsidR="00DE72FC" w:rsidRPr="00E42EAE">
        <w:rPr>
          <w:rStyle w:val="FootnoteReference"/>
          <w:lang w:val="en-US"/>
        </w:rPr>
        <w:footnoteReference w:id="45"/>
      </w:r>
      <w:r w:rsidR="003577CD" w:rsidRPr="00E42EAE">
        <w:rPr>
          <w:lang w:val="en-US"/>
        </w:rPr>
        <w:t xml:space="preserve"> or </w:t>
      </w:r>
      <w:r w:rsidR="003577CD" w:rsidRPr="00E42EAE">
        <w:rPr>
          <w:i/>
          <w:lang w:val="en-US"/>
        </w:rPr>
        <w:t>“the way ‘justice is being done’”</w:t>
      </w:r>
      <w:r w:rsidR="003577CD" w:rsidRPr="00E42EAE">
        <w:rPr>
          <w:lang w:val="en-US"/>
        </w:rPr>
        <w:t>.</w:t>
      </w:r>
      <w:r w:rsidR="003577CD" w:rsidRPr="00E42EAE">
        <w:rPr>
          <w:rStyle w:val="FootnoteReference"/>
          <w:lang w:val="en-US"/>
        </w:rPr>
        <w:footnoteReference w:id="46"/>
      </w:r>
      <w:r w:rsidR="003577CD" w:rsidRPr="00E42EAE">
        <w:rPr>
          <w:lang w:val="en-US"/>
        </w:rPr>
        <w:t xml:space="preserve"> </w:t>
      </w:r>
    </w:p>
    <w:p w14:paraId="35F24902" w14:textId="5C801D1D" w:rsidR="000E43FB" w:rsidRPr="00E42EAE" w:rsidRDefault="00EB241E" w:rsidP="00FA7059">
      <w:pPr>
        <w:pStyle w:val="Nextparagraphs"/>
        <w:rPr>
          <w:lang w:val="en-US"/>
        </w:rPr>
      </w:pPr>
      <w:r w:rsidRPr="00E42EAE">
        <w:rPr>
          <w:lang w:val="en-US"/>
        </w:rPr>
        <w:lastRenderedPageBreak/>
        <w:t xml:space="preserve">Due to </w:t>
      </w:r>
      <w:r w:rsidR="006F2FED" w:rsidRPr="00E42EAE">
        <w:rPr>
          <w:lang w:val="en-US"/>
        </w:rPr>
        <w:t>the</w:t>
      </w:r>
      <w:r w:rsidRPr="00E42EAE">
        <w:rPr>
          <w:lang w:val="en-US"/>
        </w:rPr>
        <w:t xml:space="preserve"> technological development</w:t>
      </w:r>
      <w:r w:rsidR="004874BC" w:rsidRPr="00E42EAE">
        <w:rPr>
          <w:lang w:val="en-US"/>
        </w:rPr>
        <w:t xml:space="preserve"> </w:t>
      </w:r>
      <w:r w:rsidR="001B1B25" w:rsidRPr="00E42EAE">
        <w:rPr>
          <w:lang w:val="en-US"/>
        </w:rPr>
        <w:t>copyright enforcements on</w:t>
      </w:r>
      <w:r w:rsidRPr="00E42EAE">
        <w:rPr>
          <w:lang w:val="en-US"/>
        </w:rPr>
        <w:t xml:space="preserve"> platform</w:t>
      </w:r>
      <w:r w:rsidR="001B1B25" w:rsidRPr="00E42EAE">
        <w:rPr>
          <w:lang w:val="en-US"/>
        </w:rPr>
        <w:t xml:space="preserve">s </w:t>
      </w:r>
      <w:r w:rsidR="00F64902" w:rsidRPr="00E42EAE">
        <w:rPr>
          <w:lang w:val="en-US"/>
        </w:rPr>
        <w:t>(</w:t>
      </w:r>
      <w:r w:rsidR="00170A4E" w:rsidRPr="00E42EAE">
        <w:rPr>
          <w:lang w:val="en-US"/>
        </w:rPr>
        <w:t>and also content moderation in general)</w:t>
      </w:r>
      <w:r w:rsidRPr="00E42EAE">
        <w:rPr>
          <w:lang w:val="en-US"/>
        </w:rPr>
        <w:t xml:space="preserve">, this </w:t>
      </w:r>
      <w:r w:rsidR="00AE2253" w:rsidRPr="00E42EAE">
        <w:rPr>
          <w:lang w:val="en-US"/>
        </w:rPr>
        <w:t>“</w:t>
      </w:r>
      <w:r w:rsidR="00FC6FA9" w:rsidRPr="00E42EAE">
        <w:rPr>
          <w:lang w:val="en-US"/>
        </w:rPr>
        <w:t>doing</w:t>
      </w:r>
      <w:r w:rsidR="00EC5365" w:rsidRPr="00E42EAE">
        <w:rPr>
          <w:lang w:val="en-US"/>
        </w:rPr>
        <w:t xml:space="preserve"> of justice</w:t>
      </w:r>
      <w:r w:rsidR="00AE2253" w:rsidRPr="00E42EAE">
        <w:rPr>
          <w:lang w:val="en-US"/>
        </w:rPr>
        <w:t>”</w:t>
      </w:r>
      <w:r w:rsidRPr="00E42EAE">
        <w:rPr>
          <w:lang w:val="en-US"/>
        </w:rPr>
        <w:t xml:space="preserve"> was however profoundly</w:t>
      </w:r>
      <w:r w:rsidR="00FC6FA9" w:rsidRPr="00E42EAE">
        <w:rPr>
          <w:lang w:val="en-US"/>
        </w:rPr>
        <w:t xml:space="preserve"> changed</w:t>
      </w:r>
      <w:r w:rsidR="0065050C" w:rsidRPr="00E42EAE">
        <w:rPr>
          <w:lang w:val="en-US"/>
        </w:rPr>
        <w:t>.</w:t>
      </w:r>
      <w:r w:rsidR="00593336" w:rsidRPr="00E42EAE">
        <w:rPr>
          <w:rStyle w:val="FootnoteReference"/>
          <w:lang w:val="en-US"/>
        </w:rPr>
        <w:footnoteReference w:id="47"/>
      </w:r>
      <w:r w:rsidR="000E43FB" w:rsidRPr="00E42EAE">
        <w:rPr>
          <w:lang w:val="en-US"/>
        </w:rPr>
        <w:t xml:space="preserve"> The “</w:t>
      </w:r>
      <w:r w:rsidR="000E43FB" w:rsidRPr="00E42EAE">
        <w:rPr>
          <w:i/>
          <w:iCs/>
          <w:lang w:val="en-US"/>
        </w:rPr>
        <w:t>para-judicial nature of content moderation decisionmaking</w:t>
      </w:r>
      <w:r w:rsidR="000E43FB" w:rsidRPr="00E42EAE">
        <w:rPr>
          <w:lang w:val="en-US"/>
        </w:rPr>
        <w:t>”</w:t>
      </w:r>
      <w:r w:rsidR="000E43FB" w:rsidRPr="00E42EAE">
        <w:rPr>
          <w:rStyle w:val="FootnoteReference"/>
          <w:lang w:val="en-US"/>
        </w:rPr>
        <w:footnoteReference w:id="48"/>
      </w:r>
      <w:r w:rsidR="000E43FB" w:rsidRPr="00E42EAE">
        <w:rPr>
          <w:lang w:val="en-US"/>
        </w:rPr>
        <w:t xml:space="preserve"> put a lot of strain on keeping the </w:t>
      </w:r>
      <w:r w:rsidR="00E63EBD" w:rsidRPr="00E42EAE">
        <w:rPr>
          <w:lang w:val="en-US"/>
        </w:rPr>
        <w:t xml:space="preserve">procedural aspects of </w:t>
      </w:r>
      <w:r w:rsidR="00EC5365" w:rsidRPr="00E42EAE">
        <w:rPr>
          <w:lang w:val="en-US"/>
        </w:rPr>
        <w:t>process fair.</w:t>
      </w:r>
    </w:p>
    <w:p w14:paraId="05ED9A9A" w14:textId="041D1B01" w:rsidR="00AA19F2" w:rsidRPr="00E42EAE" w:rsidRDefault="00AA19F2" w:rsidP="00FA7059">
      <w:pPr>
        <w:pStyle w:val="Nextparagraphs"/>
        <w:rPr>
          <w:lang w:val="en-US"/>
        </w:rPr>
      </w:pPr>
      <w:r w:rsidRPr="00E42EAE">
        <w:rPr>
          <w:lang w:val="en-US"/>
        </w:rPr>
        <w:t xml:space="preserve">DSA </w:t>
      </w:r>
      <w:r w:rsidR="00310516" w:rsidRPr="00E42EAE">
        <w:rPr>
          <w:lang w:val="en-US"/>
        </w:rPr>
        <w:t>is</w:t>
      </w:r>
      <w:r w:rsidRPr="00E42EAE">
        <w:rPr>
          <w:lang w:val="en-US"/>
        </w:rPr>
        <w:t xml:space="preserve"> a practical </w:t>
      </w:r>
      <w:r w:rsidR="0018009F" w:rsidRPr="00E42EAE">
        <w:rPr>
          <w:lang w:val="en-US"/>
        </w:rPr>
        <w:t xml:space="preserve">regulatory </w:t>
      </w:r>
      <w:r w:rsidRPr="00E42EAE">
        <w:rPr>
          <w:lang w:val="en-US"/>
        </w:rPr>
        <w:t xml:space="preserve">implementation </w:t>
      </w:r>
      <w:r w:rsidR="00E07EAE" w:rsidRPr="00E42EAE">
        <w:rPr>
          <w:lang w:val="en-US"/>
        </w:rPr>
        <w:t>of</w:t>
      </w:r>
      <w:r w:rsidRPr="00E42EAE">
        <w:rPr>
          <w:lang w:val="en-US"/>
        </w:rPr>
        <w:t xml:space="preserve"> fairness</w:t>
      </w:r>
      <w:r w:rsidR="00D17F45" w:rsidRPr="00E42EAE">
        <w:rPr>
          <w:lang w:val="en-US"/>
        </w:rPr>
        <w:t xml:space="preserve"> </w:t>
      </w:r>
      <w:r w:rsidR="004C2CAD" w:rsidRPr="00E42EAE">
        <w:rPr>
          <w:lang w:val="en-US"/>
        </w:rPr>
        <w:t xml:space="preserve">that it aims to establish in the digital environment </w:t>
      </w:r>
      <w:r w:rsidR="00D17F45" w:rsidRPr="00E42EAE">
        <w:rPr>
          <w:lang w:val="en-US"/>
        </w:rPr>
        <w:t xml:space="preserve">together </w:t>
      </w:r>
      <w:r w:rsidR="00437DB5" w:rsidRPr="00E42EAE">
        <w:rPr>
          <w:lang w:val="en-US"/>
        </w:rPr>
        <w:t>with trust and safety</w:t>
      </w:r>
      <w:r w:rsidRPr="00E42EAE">
        <w:rPr>
          <w:lang w:val="en-US"/>
        </w:rPr>
        <w:t>.</w:t>
      </w:r>
      <w:r w:rsidR="00F94933" w:rsidRPr="00E42EAE">
        <w:rPr>
          <w:rStyle w:val="FootnoteReference"/>
          <w:lang w:val="en-US"/>
        </w:rPr>
        <w:footnoteReference w:id="49"/>
      </w:r>
      <w:r w:rsidRPr="00E42EAE">
        <w:rPr>
          <w:lang w:val="en-US"/>
        </w:rPr>
        <w:t xml:space="preserve"> Husovec aptly denominates</w:t>
      </w:r>
      <w:r w:rsidR="00C911F8" w:rsidRPr="00E42EAE">
        <w:rPr>
          <w:lang w:val="en-US"/>
        </w:rPr>
        <w:t xml:space="preserve"> DSA as dealing with the</w:t>
      </w:r>
      <w:r w:rsidRPr="00E42EAE">
        <w:rPr>
          <w:lang w:val="en-US"/>
        </w:rPr>
        <w:t xml:space="preserve"> “</w:t>
      </w:r>
      <w:r w:rsidRPr="00E42EAE">
        <w:rPr>
          <w:i/>
          <w:iCs/>
          <w:lang w:val="en-US"/>
        </w:rPr>
        <w:t>micro-level fairness</w:t>
      </w:r>
      <w:r w:rsidRPr="00E42EAE">
        <w:rPr>
          <w:lang w:val="en-US"/>
        </w:rPr>
        <w:t>”, i.e. regulating treatment of users by the providers.</w:t>
      </w:r>
      <w:r w:rsidRPr="00E42EAE">
        <w:rPr>
          <w:rStyle w:val="FootnoteReference"/>
          <w:lang w:val="en-US"/>
        </w:rPr>
        <w:footnoteReference w:id="50"/>
      </w:r>
      <w:r w:rsidR="00DC2BDF" w:rsidRPr="00E42EAE">
        <w:rPr>
          <w:lang w:val="en-US"/>
        </w:rPr>
        <w:t xml:space="preserve"> </w:t>
      </w:r>
      <w:r w:rsidR="0019503C" w:rsidRPr="00E42EAE">
        <w:rPr>
          <w:lang w:val="en-US"/>
        </w:rPr>
        <w:t>Consequently, DSA brought about a whole new dimension of obligations of the providers of intermediary services</w:t>
      </w:r>
      <w:r w:rsidR="00D42B8A" w:rsidRPr="00E42EAE">
        <w:rPr>
          <w:lang w:val="en-US"/>
        </w:rPr>
        <w:t xml:space="preserve">, </w:t>
      </w:r>
      <w:r w:rsidR="001E4F88" w:rsidRPr="00E42EAE">
        <w:rPr>
          <w:lang w:val="en-US"/>
        </w:rPr>
        <w:t>includ</w:t>
      </w:r>
      <w:r w:rsidR="00D42B8A" w:rsidRPr="00E42EAE">
        <w:rPr>
          <w:lang w:val="en-US"/>
        </w:rPr>
        <w:t>ing predominantly</w:t>
      </w:r>
      <w:r w:rsidR="001E4F88" w:rsidRPr="00E42EAE">
        <w:rPr>
          <w:lang w:val="en-US"/>
        </w:rPr>
        <w:t xml:space="preserve"> </w:t>
      </w:r>
      <w:r w:rsidR="00AE166D" w:rsidRPr="00E42EAE">
        <w:rPr>
          <w:lang w:val="en-US"/>
        </w:rPr>
        <w:t>procedural fairness elements</w:t>
      </w:r>
      <w:r w:rsidR="00F317F5" w:rsidRPr="00E42EAE">
        <w:rPr>
          <w:lang w:val="en-US"/>
        </w:rPr>
        <w:t xml:space="preserve"> </w:t>
      </w:r>
      <w:r w:rsidR="00DF6973" w:rsidRPr="00E42EAE">
        <w:rPr>
          <w:lang w:val="en-US"/>
        </w:rPr>
        <w:t>(</w:t>
      </w:r>
      <w:r w:rsidRPr="00E42EAE">
        <w:rPr>
          <w:lang w:val="en-US"/>
        </w:rPr>
        <w:t>due process rights</w:t>
      </w:r>
      <w:r w:rsidR="00DF6973" w:rsidRPr="00E42EAE">
        <w:rPr>
          <w:lang w:val="en-US"/>
        </w:rPr>
        <w:t>)</w:t>
      </w:r>
      <w:r w:rsidR="00AA44C6" w:rsidRPr="00E42EAE">
        <w:rPr>
          <w:lang w:val="en-US"/>
        </w:rPr>
        <w:t>.</w:t>
      </w:r>
      <w:r w:rsidRPr="00E42EAE">
        <w:rPr>
          <w:lang w:val="en-US"/>
        </w:rPr>
        <w:t xml:space="preserve"> Husovec summed up quite simply and succinctly </w:t>
      </w:r>
      <w:r w:rsidR="00B27F57" w:rsidRPr="00E42EAE">
        <w:rPr>
          <w:lang w:val="en-US"/>
        </w:rPr>
        <w:t>characterised these obligations</w:t>
      </w:r>
      <w:r w:rsidRPr="00E42EAE">
        <w:rPr>
          <w:lang w:val="en-US"/>
        </w:rPr>
        <w:t xml:space="preserve"> as the obligation</w:t>
      </w:r>
      <w:r w:rsidR="00B27F57" w:rsidRPr="00E42EAE">
        <w:rPr>
          <w:lang w:val="en-US"/>
        </w:rPr>
        <w:t>s</w:t>
      </w:r>
      <w:r w:rsidRPr="00E42EAE">
        <w:rPr>
          <w:lang w:val="en-US"/>
        </w:rPr>
        <w:t xml:space="preserve"> of the provider </w:t>
      </w:r>
      <w:r w:rsidRPr="00E42EAE">
        <w:rPr>
          <w:i/>
          <w:lang w:val="en-US"/>
        </w:rPr>
        <w:t>“to disclose rules, to explain decisions and processes, and to justify decisions“</w:t>
      </w:r>
      <w:r w:rsidRPr="00E42EAE">
        <w:rPr>
          <w:lang w:val="en-US"/>
        </w:rPr>
        <w:t>.</w:t>
      </w:r>
      <w:r w:rsidRPr="00E42EAE">
        <w:rPr>
          <w:rStyle w:val="FootnoteReference"/>
          <w:lang w:val="en-US"/>
        </w:rPr>
        <w:footnoteReference w:id="51"/>
      </w:r>
      <w:r w:rsidR="00560737" w:rsidRPr="00E42EAE">
        <w:rPr>
          <w:lang w:val="en-US"/>
        </w:rPr>
        <w:t xml:space="preserve"> </w:t>
      </w:r>
      <w:r w:rsidR="0043334D" w:rsidRPr="00E42EAE">
        <w:rPr>
          <w:lang w:val="en-US"/>
        </w:rPr>
        <w:t xml:space="preserve">Reflecting the reality of </w:t>
      </w:r>
      <w:r w:rsidR="0081457A" w:rsidRPr="00E42EAE">
        <w:rPr>
          <w:lang w:val="en-US"/>
        </w:rPr>
        <w:t xml:space="preserve">their </w:t>
      </w:r>
      <w:r w:rsidR="00006F13" w:rsidRPr="00E42EAE">
        <w:rPr>
          <w:lang w:val="en-US"/>
        </w:rPr>
        <w:t xml:space="preserve">market size and </w:t>
      </w:r>
      <w:r w:rsidR="004C2FC2" w:rsidRPr="00E42EAE">
        <w:rPr>
          <w:lang w:val="en-US"/>
        </w:rPr>
        <w:t>nature of the</w:t>
      </w:r>
      <w:r w:rsidR="0081457A" w:rsidRPr="00E42EAE">
        <w:rPr>
          <w:lang w:val="en-US"/>
        </w:rPr>
        <w:t>ir</w:t>
      </w:r>
      <w:r w:rsidR="004C2FC2" w:rsidRPr="00E42EAE">
        <w:rPr>
          <w:lang w:val="en-US"/>
        </w:rPr>
        <w:t xml:space="preserve"> activity, the fairness obligations are scalable</w:t>
      </w:r>
      <w:r w:rsidR="0081457A" w:rsidRPr="00E42EAE">
        <w:rPr>
          <w:lang w:val="en-US"/>
        </w:rPr>
        <w:t xml:space="preserve"> according to the respective provider</w:t>
      </w:r>
      <w:r w:rsidR="004C2FC2" w:rsidRPr="00E42EAE">
        <w:rPr>
          <w:lang w:val="en-US"/>
        </w:rPr>
        <w:t>.</w:t>
      </w:r>
      <w:r w:rsidR="004C2FC2" w:rsidRPr="00E42EAE">
        <w:rPr>
          <w:rStyle w:val="FootnoteReference"/>
          <w:lang w:val="en-US"/>
        </w:rPr>
        <w:footnoteReference w:id="52"/>
      </w:r>
      <w:r w:rsidR="004C2FC2" w:rsidRPr="00E42EAE">
        <w:rPr>
          <w:lang w:val="en-US"/>
        </w:rPr>
        <w:t xml:space="preserve"> </w:t>
      </w:r>
      <w:r w:rsidR="0081457A" w:rsidRPr="00E42EAE">
        <w:rPr>
          <w:lang w:val="en-US"/>
        </w:rPr>
        <w:t xml:space="preserve">As the least common denominator, </w:t>
      </w:r>
      <w:r w:rsidR="00C7654D" w:rsidRPr="00E42EAE">
        <w:rPr>
          <w:lang w:val="en-US"/>
        </w:rPr>
        <w:t xml:space="preserve">all providers are obliged to assess the </w:t>
      </w:r>
      <w:r w:rsidR="00B90EB5" w:rsidRPr="00E42EAE">
        <w:rPr>
          <w:lang w:val="en-US"/>
        </w:rPr>
        <w:t>fairness</w:t>
      </w:r>
      <w:r w:rsidR="00892D5C" w:rsidRPr="00E42EAE">
        <w:rPr>
          <w:lang w:val="en-US"/>
        </w:rPr>
        <w:t xml:space="preserve"> </w:t>
      </w:r>
      <w:r w:rsidR="00872B27" w:rsidRPr="00E42EAE">
        <w:rPr>
          <w:lang w:val="en-US"/>
        </w:rPr>
        <w:t xml:space="preserve">of </w:t>
      </w:r>
      <w:r w:rsidR="00AE5A79" w:rsidRPr="00E42EAE">
        <w:rPr>
          <w:lang w:val="en-US"/>
        </w:rPr>
        <w:t xml:space="preserve">their terms and conditions </w:t>
      </w:r>
      <w:r w:rsidR="006C138B" w:rsidRPr="00E42EAE">
        <w:rPr>
          <w:lang w:val="en-US"/>
        </w:rPr>
        <w:t xml:space="preserve">regulating use of the provided services </w:t>
      </w:r>
      <w:r w:rsidR="00AB729E" w:rsidRPr="00E42EAE">
        <w:rPr>
          <w:lang w:val="en-US"/>
        </w:rPr>
        <w:t>(Art. 1</w:t>
      </w:r>
      <w:r w:rsidR="00BA61B3" w:rsidRPr="00E42EAE">
        <w:rPr>
          <w:lang w:val="en-US"/>
        </w:rPr>
        <w:t xml:space="preserve">4 DSA) </w:t>
      </w:r>
      <w:r w:rsidR="00AE5A79" w:rsidRPr="00E42EAE">
        <w:rPr>
          <w:lang w:val="en-US"/>
        </w:rPr>
        <w:t xml:space="preserve">and </w:t>
      </w:r>
      <w:r w:rsidR="004C2CAD" w:rsidRPr="00E42EAE">
        <w:rPr>
          <w:lang w:val="en-US"/>
        </w:rPr>
        <w:t xml:space="preserve">to be </w:t>
      </w:r>
      <w:r w:rsidR="00C7654D" w:rsidRPr="00E42EAE">
        <w:rPr>
          <w:lang w:val="en-US"/>
        </w:rPr>
        <w:t xml:space="preserve">transparent </w:t>
      </w:r>
      <w:r w:rsidR="00727185" w:rsidRPr="00E42EAE">
        <w:rPr>
          <w:lang w:val="en-US"/>
        </w:rPr>
        <w:t>about content moderation</w:t>
      </w:r>
      <w:r w:rsidR="00BA61B3" w:rsidRPr="00E42EAE">
        <w:rPr>
          <w:lang w:val="en-US"/>
        </w:rPr>
        <w:t xml:space="preserve"> (Art. 15 DSA)</w:t>
      </w:r>
      <w:r w:rsidR="00727185" w:rsidRPr="00E42EAE">
        <w:rPr>
          <w:lang w:val="en-US"/>
        </w:rPr>
        <w:t xml:space="preserve">. </w:t>
      </w:r>
      <w:r w:rsidR="00AB729E" w:rsidRPr="00E42EAE">
        <w:rPr>
          <w:lang w:val="en-US"/>
        </w:rPr>
        <w:t>Advanced obligations are pertinent to hosting ser</w:t>
      </w:r>
      <w:r w:rsidR="00C82541" w:rsidRPr="00E42EAE">
        <w:rPr>
          <w:lang w:val="en-US"/>
        </w:rPr>
        <w:t>vices, online platforms and very large platforms</w:t>
      </w:r>
      <w:r w:rsidR="00786D66" w:rsidRPr="00E42EAE">
        <w:rPr>
          <w:lang w:val="en-US"/>
        </w:rPr>
        <w:t xml:space="preserve"> as specified below</w:t>
      </w:r>
      <w:r w:rsidR="005D7C5A" w:rsidRPr="00E42EAE">
        <w:rPr>
          <w:lang w:val="en-US"/>
        </w:rPr>
        <w:t xml:space="preserve"> in Chapter 3.</w:t>
      </w:r>
    </w:p>
    <w:p w14:paraId="7736C69A" w14:textId="17E44526" w:rsidR="00841C3F" w:rsidRPr="00E42EAE" w:rsidRDefault="00883513" w:rsidP="00FA7059">
      <w:pPr>
        <w:pStyle w:val="Nextparagraphs"/>
        <w:rPr>
          <w:lang w:val="en-US"/>
        </w:rPr>
      </w:pPr>
      <w:r w:rsidRPr="00E42EAE">
        <w:rPr>
          <w:lang w:val="en-US"/>
        </w:rPr>
        <w:t xml:space="preserve">Article 17 CDSM </w:t>
      </w:r>
      <w:r w:rsidR="00A15BE7" w:rsidRPr="00E42EAE">
        <w:rPr>
          <w:lang w:val="en-US"/>
        </w:rPr>
        <w:t xml:space="preserve">– </w:t>
      </w:r>
      <w:r w:rsidRPr="00E42EAE">
        <w:rPr>
          <w:lang w:val="en-US"/>
        </w:rPr>
        <w:t>the cornerstone</w:t>
      </w:r>
      <w:r w:rsidR="00B76F0F" w:rsidRPr="00E42EAE">
        <w:rPr>
          <w:lang w:val="en-US"/>
        </w:rPr>
        <w:t xml:space="preserve"> </w:t>
      </w:r>
      <w:r w:rsidRPr="00E42EAE">
        <w:rPr>
          <w:lang w:val="en-US"/>
        </w:rPr>
        <w:t xml:space="preserve">of digital copyright regulation and </w:t>
      </w:r>
      <w:r w:rsidR="00DA01F0" w:rsidRPr="00E42EAE">
        <w:rPr>
          <w:lang w:val="en-US"/>
        </w:rPr>
        <w:t>private ordering</w:t>
      </w:r>
      <w:r w:rsidR="00A15BE7" w:rsidRPr="00E42EAE">
        <w:rPr>
          <w:lang w:val="en-US"/>
        </w:rPr>
        <w:t xml:space="preserve"> –</w:t>
      </w:r>
      <w:r w:rsidR="00DA01F0" w:rsidRPr="00E42EAE">
        <w:rPr>
          <w:lang w:val="en-US"/>
        </w:rPr>
        <w:t xml:space="preserve"> </w:t>
      </w:r>
      <w:r w:rsidR="00A15BE7" w:rsidRPr="00E42EAE">
        <w:rPr>
          <w:lang w:val="en-US"/>
        </w:rPr>
        <w:t>also</w:t>
      </w:r>
      <w:r w:rsidR="00856D8D" w:rsidRPr="00E42EAE">
        <w:rPr>
          <w:lang w:val="en-US"/>
        </w:rPr>
        <w:t xml:space="preserve"> reflect </w:t>
      </w:r>
      <w:r w:rsidR="005858D2" w:rsidRPr="00E42EAE">
        <w:rPr>
          <w:lang w:val="en-US"/>
        </w:rPr>
        <w:t>fairness</w:t>
      </w:r>
      <w:r w:rsidR="005B04F9" w:rsidRPr="00E42EAE">
        <w:rPr>
          <w:lang w:val="en-US"/>
        </w:rPr>
        <w:t xml:space="preserve"> as a normative goal</w:t>
      </w:r>
      <w:r w:rsidR="001A189D" w:rsidRPr="00E42EAE">
        <w:rPr>
          <w:lang w:val="en-US"/>
        </w:rPr>
        <w:t xml:space="preserve">. </w:t>
      </w:r>
      <w:r w:rsidR="00CB08AF" w:rsidRPr="00E42EAE">
        <w:rPr>
          <w:lang w:val="en-US"/>
        </w:rPr>
        <w:t xml:space="preserve">It addresses both </w:t>
      </w:r>
      <w:r w:rsidR="006A462C" w:rsidRPr="00E42EAE">
        <w:rPr>
          <w:lang w:val="en-US"/>
        </w:rPr>
        <w:t>levels o</w:t>
      </w:r>
      <w:r w:rsidR="001A189D" w:rsidRPr="00E42EAE">
        <w:rPr>
          <w:lang w:val="en-US"/>
        </w:rPr>
        <w:t>f fairness.</w:t>
      </w:r>
      <w:r w:rsidR="00160D21" w:rsidRPr="00E42EAE">
        <w:rPr>
          <w:lang w:val="en-US"/>
        </w:rPr>
        <w:t xml:space="preserve"> On the substantive level, the </w:t>
      </w:r>
      <w:r w:rsidR="003F3A9F" w:rsidRPr="00E42EAE">
        <w:rPr>
          <w:lang w:val="en-US"/>
        </w:rPr>
        <w:t>“</w:t>
      </w:r>
      <w:r w:rsidR="003F3A9F" w:rsidRPr="00E42EAE">
        <w:rPr>
          <w:i/>
          <w:lang w:val="en-US"/>
        </w:rPr>
        <w:t>fair balance to be struck between the various fundamental rights protected by the Charter</w:t>
      </w:r>
      <w:r w:rsidR="003F3A9F" w:rsidRPr="00E42EAE">
        <w:rPr>
          <w:lang w:val="en-US"/>
        </w:rPr>
        <w:t xml:space="preserve">” must be achieved </w:t>
      </w:r>
      <w:r w:rsidR="001A189D" w:rsidRPr="00E42EAE">
        <w:rPr>
          <w:lang w:val="en-US"/>
        </w:rPr>
        <w:t>in the respective national transposition</w:t>
      </w:r>
      <w:r w:rsidR="003F3A9F" w:rsidRPr="00E42EAE">
        <w:rPr>
          <w:lang w:val="en-US"/>
        </w:rPr>
        <w:t>s</w:t>
      </w:r>
      <w:r w:rsidR="001A189D" w:rsidRPr="00E42EAE">
        <w:rPr>
          <w:lang w:val="en-US"/>
        </w:rPr>
        <w:t xml:space="preserve"> thereof.</w:t>
      </w:r>
      <w:r w:rsidR="001A189D" w:rsidRPr="00E42EAE">
        <w:rPr>
          <w:rStyle w:val="FootnoteReference"/>
          <w:lang w:val="en-US"/>
        </w:rPr>
        <w:footnoteReference w:id="53"/>
      </w:r>
      <w:r w:rsidR="003F3A9F" w:rsidRPr="00E42EAE">
        <w:rPr>
          <w:lang w:val="en-US"/>
        </w:rPr>
        <w:t xml:space="preserve"> </w:t>
      </w:r>
      <w:r w:rsidR="00CC1F06" w:rsidRPr="00E42EAE">
        <w:rPr>
          <w:lang w:val="en-US"/>
        </w:rPr>
        <w:t xml:space="preserve">This includes the respecting of the freedom of business of the platform, freedom of speech of the users as well as naturally the proprietary interests of the </w:t>
      </w:r>
      <w:r w:rsidR="00D0372A" w:rsidRPr="00E42EAE">
        <w:rPr>
          <w:lang w:val="en-US"/>
        </w:rPr>
        <w:t>rightsholders</w:t>
      </w:r>
      <w:r w:rsidR="00CC1F06" w:rsidRPr="00E42EAE">
        <w:rPr>
          <w:lang w:val="en-US"/>
        </w:rPr>
        <w:t>.</w:t>
      </w:r>
      <w:r w:rsidR="00AA3850" w:rsidRPr="00E42EAE">
        <w:rPr>
          <w:rStyle w:val="FootnoteReference"/>
          <w:lang w:val="en-US"/>
        </w:rPr>
        <w:footnoteReference w:id="54"/>
      </w:r>
      <w:r w:rsidR="00CC1F06" w:rsidRPr="00E42EAE">
        <w:rPr>
          <w:lang w:val="en-US"/>
        </w:rPr>
        <w:t xml:space="preserve"> </w:t>
      </w:r>
      <w:r w:rsidR="003F3A9F" w:rsidRPr="00E42EAE">
        <w:rPr>
          <w:lang w:val="en-US"/>
        </w:rPr>
        <w:t xml:space="preserve">On the procedural level, </w:t>
      </w:r>
      <w:r w:rsidR="001B3FA2" w:rsidRPr="00E42EAE">
        <w:rPr>
          <w:lang w:val="en-US"/>
        </w:rPr>
        <w:t xml:space="preserve">the </w:t>
      </w:r>
      <w:r w:rsidR="008931AD" w:rsidRPr="00E42EAE">
        <w:rPr>
          <w:lang w:val="en-US"/>
        </w:rPr>
        <w:t>providers</w:t>
      </w:r>
      <w:r w:rsidR="001B3FA2" w:rsidRPr="00E42EAE">
        <w:rPr>
          <w:lang w:val="en-US"/>
        </w:rPr>
        <w:t xml:space="preserve"> of online content sharing </w:t>
      </w:r>
      <w:r w:rsidR="00E4461B" w:rsidRPr="00E42EAE">
        <w:rPr>
          <w:lang w:val="en-US"/>
        </w:rPr>
        <w:t>service</w:t>
      </w:r>
      <w:r w:rsidR="00B0414D" w:rsidRPr="00E42EAE">
        <w:rPr>
          <w:lang w:val="en-US"/>
        </w:rPr>
        <w:t xml:space="preserve">s </w:t>
      </w:r>
      <w:r w:rsidR="00CC1F06" w:rsidRPr="00E42EAE">
        <w:rPr>
          <w:lang w:val="en-US"/>
        </w:rPr>
        <w:t xml:space="preserve"> must </w:t>
      </w:r>
      <w:r w:rsidR="00FB115D" w:rsidRPr="00E42EAE">
        <w:rPr>
          <w:lang w:val="en-US"/>
        </w:rPr>
        <w:t xml:space="preserve">employ mechanisms offering the users the possibility to challenge the content moderation decision </w:t>
      </w:r>
      <w:r w:rsidR="008C7CC2" w:rsidRPr="00E42EAE">
        <w:rPr>
          <w:lang w:val="en-US"/>
        </w:rPr>
        <w:t>against</w:t>
      </w:r>
      <w:r w:rsidR="00FB115D" w:rsidRPr="00E42EAE">
        <w:rPr>
          <w:lang w:val="en-US"/>
        </w:rPr>
        <w:t xml:space="preserve"> their uploaded content</w:t>
      </w:r>
      <w:r w:rsidR="003C0B92" w:rsidRPr="00E42EAE">
        <w:rPr>
          <w:lang w:val="en-US"/>
        </w:rPr>
        <w:t xml:space="preserve"> via internal mechanisms </w:t>
      </w:r>
      <w:r w:rsidR="00E2557F" w:rsidRPr="00E42EAE">
        <w:rPr>
          <w:lang w:val="en-US"/>
        </w:rPr>
        <w:t>(i.e., “effective and expeditious complaint and redress mechanism”</w:t>
      </w:r>
      <w:r w:rsidR="00E76E34" w:rsidRPr="00E42EAE">
        <w:rPr>
          <w:lang w:val="en-US"/>
        </w:rPr>
        <w:t>)</w:t>
      </w:r>
      <w:r w:rsidR="00E2557F" w:rsidRPr="00E42EAE">
        <w:rPr>
          <w:lang w:val="en-US"/>
        </w:rPr>
        <w:t xml:space="preserve">, as well as </w:t>
      </w:r>
      <w:r w:rsidR="00254211" w:rsidRPr="00E42EAE">
        <w:rPr>
          <w:lang w:val="en-US"/>
        </w:rPr>
        <w:t>provide</w:t>
      </w:r>
      <w:r w:rsidR="003C0B92" w:rsidRPr="00E42EAE">
        <w:rPr>
          <w:lang w:val="en-US"/>
        </w:rPr>
        <w:t xml:space="preserve"> inf</w:t>
      </w:r>
      <w:r w:rsidR="00E2557F" w:rsidRPr="00E42EAE">
        <w:rPr>
          <w:lang w:val="en-US"/>
        </w:rPr>
        <w:t xml:space="preserve">ormation about external </w:t>
      </w:r>
      <w:r w:rsidR="00560737" w:rsidRPr="00E42EAE">
        <w:rPr>
          <w:lang w:val="en-US"/>
        </w:rPr>
        <w:t>redress mechanism.</w:t>
      </w:r>
      <w:r w:rsidR="00A66EA4" w:rsidRPr="00E42EAE">
        <w:rPr>
          <w:rStyle w:val="FootnoteReference"/>
          <w:lang w:val="en-US"/>
        </w:rPr>
        <w:footnoteReference w:id="55"/>
      </w:r>
    </w:p>
    <w:p w14:paraId="4414187D" w14:textId="4FE450D4" w:rsidR="00F97168" w:rsidRPr="00E42EAE" w:rsidRDefault="00C56B58" w:rsidP="00FA7059">
      <w:pPr>
        <w:pStyle w:val="Nextparagraphs"/>
        <w:rPr>
          <w:i/>
          <w:lang w:val="en-US"/>
        </w:rPr>
      </w:pPr>
      <w:r w:rsidRPr="00E42EAE">
        <w:rPr>
          <w:lang w:val="en-US"/>
        </w:rPr>
        <w:lastRenderedPageBreak/>
        <w:t xml:space="preserve">Due to the </w:t>
      </w:r>
      <w:r w:rsidR="00751010" w:rsidRPr="00E42EAE">
        <w:rPr>
          <w:lang w:val="en-US"/>
        </w:rPr>
        <w:t xml:space="preserve">principle of mutual complementarity </w:t>
      </w:r>
      <w:r w:rsidR="00751010" w:rsidRPr="00E42EAE">
        <w:rPr>
          <w:i/>
          <w:iCs/>
          <w:lang w:val="en-US"/>
        </w:rPr>
        <w:t>(“Prinzip der  wechselseitigen Komplementarität”</w:t>
      </w:r>
      <w:r w:rsidR="00751010" w:rsidRPr="00E42EAE">
        <w:rPr>
          <w:lang w:val="en-US"/>
        </w:rPr>
        <w:t>), the more specific and detailed rule</w:t>
      </w:r>
      <w:r w:rsidR="003F48B9" w:rsidRPr="00E42EAE">
        <w:rPr>
          <w:lang w:val="en-US"/>
        </w:rPr>
        <w:t>s in DSA rega</w:t>
      </w:r>
      <w:r w:rsidR="0088558F" w:rsidRPr="00E42EAE">
        <w:rPr>
          <w:lang w:val="en-US"/>
        </w:rPr>
        <w:t>r</w:t>
      </w:r>
      <w:r w:rsidR="003F48B9" w:rsidRPr="00E42EAE">
        <w:rPr>
          <w:lang w:val="en-US"/>
        </w:rPr>
        <w:t xml:space="preserve">ding procedural fairness elements </w:t>
      </w:r>
      <w:r w:rsidR="00751010" w:rsidRPr="00E42EAE">
        <w:rPr>
          <w:lang w:val="en-US"/>
        </w:rPr>
        <w:t>should prevail</w:t>
      </w:r>
      <w:r w:rsidR="0063677B" w:rsidRPr="00E42EAE">
        <w:rPr>
          <w:lang w:val="en-US"/>
        </w:rPr>
        <w:t xml:space="preserve"> vis-à-vis article 17 CDSM</w:t>
      </w:r>
      <w:r w:rsidR="00F97168" w:rsidRPr="00E42EAE">
        <w:rPr>
          <w:lang w:val="en-US"/>
        </w:rPr>
        <w:t>.</w:t>
      </w:r>
      <w:r w:rsidR="008A77D5" w:rsidRPr="00E42EAE">
        <w:rPr>
          <w:rStyle w:val="FootnoteReference"/>
          <w:lang w:val="en-US"/>
        </w:rPr>
        <w:footnoteReference w:id="56"/>
      </w:r>
    </w:p>
    <w:p w14:paraId="213D1AA9" w14:textId="6C218FA8" w:rsidR="001E728F" w:rsidRPr="00E42EAE" w:rsidRDefault="001E728F" w:rsidP="0055364C">
      <w:pPr>
        <w:pStyle w:val="Heading2"/>
      </w:pPr>
      <w:bookmarkStart w:id="4" w:name="_Toc215751867"/>
      <w:r w:rsidRPr="00E42EAE">
        <w:t>Consumer welfare as normative limit</w:t>
      </w:r>
      <w:bookmarkEnd w:id="4"/>
    </w:p>
    <w:p w14:paraId="3D2EA1A5" w14:textId="77777777" w:rsidR="00E53DC1" w:rsidRPr="00E42EAE" w:rsidRDefault="00D43F4F" w:rsidP="006660B2">
      <w:pPr>
        <w:pStyle w:val="Firstparagraph"/>
        <w:rPr>
          <w:lang w:val="en-US"/>
        </w:rPr>
      </w:pPr>
      <w:r w:rsidRPr="00E42EAE">
        <w:rPr>
          <w:lang w:val="en-US"/>
        </w:rPr>
        <w:t xml:space="preserve">Consumer welfare presents one of the key normative </w:t>
      </w:r>
      <w:r w:rsidR="00793367" w:rsidRPr="00E42EAE">
        <w:rPr>
          <w:lang w:val="en-US"/>
        </w:rPr>
        <w:t>limits</w:t>
      </w:r>
      <w:r w:rsidRPr="00E42EAE">
        <w:rPr>
          <w:lang w:val="en-US"/>
        </w:rPr>
        <w:t xml:space="preserve"> within private ordering</w:t>
      </w:r>
      <w:r w:rsidR="00B31682" w:rsidRPr="00E42EAE">
        <w:rPr>
          <w:lang w:val="en-US"/>
        </w:rPr>
        <w:t xml:space="preserve"> as well as more generally </w:t>
      </w:r>
      <w:r w:rsidR="00437E2F" w:rsidRPr="00E42EAE">
        <w:rPr>
          <w:lang w:val="en-US"/>
        </w:rPr>
        <w:t xml:space="preserve">within the </w:t>
      </w:r>
      <w:r w:rsidR="0058787A" w:rsidRPr="00E42EAE">
        <w:rPr>
          <w:lang w:val="en-US"/>
        </w:rPr>
        <w:t xml:space="preserve">general (market) regulation. </w:t>
      </w:r>
      <w:r w:rsidR="00DF08B9" w:rsidRPr="00E42EAE">
        <w:rPr>
          <w:lang w:val="en-US"/>
        </w:rPr>
        <w:t>As su</w:t>
      </w:r>
      <w:r w:rsidR="00A94D6F" w:rsidRPr="00E42EAE">
        <w:rPr>
          <w:lang w:val="en-US"/>
        </w:rPr>
        <w:t>c</w:t>
      </w:r>
      <w:r w:rsidR="00DF08B9" w:rsidRPr="00E42EAE">
        <w:rPr>
          <w:lang w:val="en-US"/>
        </w:rPr>
        <w:t xml:space="preserve">h, the </w:t>
      </w:r>
      <w:r w:rsidR="00413D99" w:rsidRPr="00E42EAE">
        <w:rPr>
          <w:lang w:val="en-US"/>
        </w:rPr>
        <w:t xml:space="preserve">DSA </w:t>
      </w:r>
      <w:r w:rsidR="00657581" w:rsidRPr="00E42EAE">
        <w:rPr>
          <w:lang w:val="en-US"/>
        </w:rPr>
        <w:t>regulation</w:t>
      </w:r>
      <w:r w:rsidR="00F1463B" w:rsidRPr="00E42EAE">
        <w:rPr>
          <w:lang w:val="en-US"/>
        </w:rPr>
        <w:t xml:space="preserve">, as many different </w:t>
      </w:r>
      <w:r w:rsidR="00793367" w:rsidRPr="00E42EAE">
        <w:rPr>
          <w:lang w:val="en-US"/>
        </w:rPr>
        <w:t>European</w:t>
      </w:r>
      <w:r w:rsidR="0007728F" w:rsidRPr="00E42EAE">
        <w:rPr>
          <w:lang w:val="en-US"/>
        </w:rPr>
        <w:t xml:space="preserve"> platform</w:t>
      </w:r>
      <w:r w:rsidR="007812E1" w:rsidRPr="00E42EAE">
        <w:rPr>
          <w:lang w:val="en-US"/>
        </w:rPr>
        <w:t>-oriented</w:t>
      </w:r>
      <w:r w:rsidR="0007728F" w:rsidRPr="00E42EAE">
        <w:rPr>
          <w:lang w:val="en-US"/>
        </w:rPr>
        <w:t xml:space="preserve"> regulations</w:t>
      </w:r>
      <w:r w:rsidR="007812E1" w:rsidRPr="00E42EAE">
        <w:rPr>
          <w:lang w:val="en-US"/>
        </w:rPr>
        <w:t xml:space="preserve">, </w:t>
      </w:r>
      <w:r w:rsidR="00B65710" w:rsidRPr="00E42EAE">
        <w:rPr>
          <w:lang w:val="en-US"/>
        </w:rPr>
        <w:t>focuses on the contractual</w:t>
      </w:r>
      <w:r w:rsidR="009F0720" w:rsidRPr="00E42EAE">
        <w:rPr>
          <w:lang w:val="en-US"/>
        </w:rPr>
        <w:t xml:space="preserve"> nat</w:t>
      </w:r>
      <w:r w:rsidR="00C577BA" w:rsidRPr="00E42EAE">
        <w:rPr>
          <w:lang w:val="en-US"/>
        </w:rPr>
        <w:t>ure of the</w:t>
      </w:r>
      <w:r w:rsidR="00B65710" w:rsidRPr="00E42EAE">
        <w:rPr>
          <w:lang w:val="en-US"/>
        </w:rPr>
        <w:t xml:space="preserve"> relationship between the </w:t>
      </w:r>
      <w:r w:rsidR="00C577BA" w:rsidRPr="00E42EAE">
        <w:rPr>
          <w:lang w:val="en-US"/>
        </w:rPr>
        <w:t>platform and its user (consumer)</w:t>
      </w:r>
      <w:r w:rsidR="008F22C0" w:rsidRPr="00E42EAE">
        <w:rPr>
          <w:lang w:val="en-US"/>
        </w:rPr>
        <w:t xml:space="preserve">, particularly in relation </w:t>
      </w:r>
      <w:r w:rsidR="002C0589" w:rsidRPr="00E42EAE">
        <w:rPr>
          <w:lang w:val="en-US"/>
        </w:rPr>
        <w:t>t</w:t>
      </w:r>
      <w:r w:rsidR="00793367" w:rsidRPr="00E42EAE">
        <w:rPr>
          <w:lang w:val="en-US"/>
        </w:rPr>
        <w:t>o the power imbalance in such relation.</w:t>
      </w:r>
      <w:r w:rsidR="006B68FC" w:rsidRPr="00E42EAE">
        <w:rPr>
          <w:rStyle w:val="FootnoteReference"/>
          <w:lang w:val="en-US"/>
        </w:rPr>
        <w:footnoteReference w:id="57"/>
      </w:r>
      <w:r w:rsidR="00BC7843" w:rsidRPr="00E42EAE">
        <w:rPr>
          <w:lang w:val="en-US"/>
        </w:rPr>
        <w:t xml:space="preserve"> </w:t>
      </w:r>
      <w:r w:rsidR="00B66654" w:rsidRPr="00E42EAE">
        <w:rPr>
          <w:lang w:val="en-US"/>
        </w:rPr>
        <w:t>The role that is played by consumer protection within the DSA</w:t>
      </w:r>
      <w:r w:rsidR="0002027E" w:rsidRPr="00E42EAE">
        <w:rPr>
          <w:lang w:val="en-US"/>
        </w:rPr>
        <w:t xml:space="preserve"> seems to be especially important, considering </w:t>
      </w:r>
      <w:r w:rsidR="00027995" w:rsidRPr="00E42EAE">
        <w:rPr>
          <w:lang w:val="en-US"/>
        </w:rPr>
        <w:t xml:space="preserve">the framing of the protection of consumers on </w:t>
      </w:r>
      <w:r w:rsidR="00261D99" w:rsidRPr="00E42EAE">
        <w:rPr>
          <w:lang w:val="en-US"/>
        </w:rPr>
        <w:t>online</w:t>
      </w:r>
      <w:r w:rsidR="00261D99" w:rsidRPr="00E42EAE">
        <w:rPr>
          <w:i/>
          <w:iCs/>
          <w:lang w:val="en-US"/>
        </w:rPr>
        <w:t xml:space="preserve"> </w:t>
      </w:r>
      <w:r w:rsidR="00027995" w:rsidRPr="00E42EAE">
        <w:rPr>
          <w:lang w:val="en-US"/>
        </w:rPr>
        <w:t>platforms as a protection of (their) fundamental rights.</w:t>
      </w:r>
      <w:r w:rsidR="00027995" w:rsidRPr="00E42EAE">
        <w:rPr>
          <w:rStyle w:val="FootnoteReference"/>
          <w:lang w:val="en-US"/>
        </w:rPr>
        <w:footnoteReference w:id="58"/>
      </w:r>
      <w:r w:rsidR="00A500F1" w:rsidRPr="00E42EAE">
        <w:rPr>
          <w:lang w:val="en-US"/>
        </w:rPr>
        <w:t xml:space="preserve"> </w:t>
      </w:r>
      <w:r w:rsidR="000E5E44" w:rsidRPr="00E42EAE">
        <w:rPr>
          <w:lang w:val="en-US"/>
        </w:rPr>
        <w:t xml:space="preserve">Such position is warranted </w:t>
      </w:r>
      <w:r w:rsidR="00DA4628" w:rsidRPr="00E42EAE">
        <w:rPr>
          <w:lang w:val="en-US"/>
        </w:rPr>
        <w:t xml:space="preserve">specifically considering the unequal </w:t>
      </w:r>
      <w:r w:rsidR="006F4067" w:rsidRPr="00E42EAE">
        <w:rPr>
          <w:lang w:val="en-US"/>
        </w:rPr>
        <w:t xml:space="preserve">position in relation to strong informational </w:t>
      </w:r>
      <w:r w:rsidR="008A2830" w:rsidRPr="00E42EAE">
        <w:rPr>
          <w:lang w:val="en-US"/>
        </w:rPr>
        <w:t xml:space="preserve">asymmetry between the platform and the user which creates a grave obstacle </w:t>
      </w:r>
      <w:r w:rsidR="00DE20F0" w:rsidRPr="00E42EAE">
        <w:rPr>
          <w:lang w:val="en-US"/>
        </w:rPr>
        <w:t>in the exercise of their rights</w:t>
      </w:r>
      <w:r w:rsidR="0082262D" w:rsidRPr="00E42EAE">
        <w:rPr>
          <w:lang w:val="en-US"/>
        </w:rPr>
        <w:t xml:space="preserve">. </w:t>
      </w:r>
    </w:p>
    <w:p w14:paraId="235534FF" w14:textId="39C7B319" w:rsidR="003037BD" w:rsidRPr="00E42EAE" w:rsidRDefault="00A36C71" w:rsidP="000C21C8">
      <w:pPr>
        <w:pStyle w:val="Firstparagraph"/>
        <w:rPr>
          <w:lang w:val="en-US"/>
        </w:rPr>
      </w:pPr>
      <w:r w:rsidRPr="00E42EAE">
        <w:rPr>
          <w:lang w:val="en-US"/>
        </w:rPr>
        <w:t>This position has repeatedly appeared in the public consulta</w:t>
      </w:r>
      <w:r w:rsidR="00372190" w:rsidRPr="00E42EAE">
        <w:rPr>
          <w:lang w:val="en-US"/>
        </w:rPr>
        <w:t xml:space="preserve">tion on the EU Digital Package of legislation, specifically in regards to the </w:t>
      </w:r>
      <w:r w:rsidR="00364C3C" w:rsidRPr="00E42EAE">
        <w:rPr>
          <w:lang w:val="en-US"/>
        </w:rPr>
        <w:t xml:space="preserve">“monopolistic” position of </w:t>
      </w:r>
      <w:r w:rsidR="00261D99" w:rsidRPr="00E42EAE">
        <w:rPr>
          <w:lang w:val="en-US"/>
        </w:rPr>
        <w:t>online</w:t>
      </w:r>
      <w:r w:rsidR="00261D99" w:rsidRPr="00E42EAE">
        <w:rPr>
          <w:i/>
          <w:iCs/>
          <w:lang w:val="en-US"/>
        </w:rPr>
        <w:t xml:space="preserve"> </w:t>
      </w:r>
      <w:r w:rsidR="00364C3C" w:rsidRPr="00E42EAE">
        <w:rPr>
          <w:lang w:val="en-US"/>
        </w:rPr>
        <w:t>platforms in regards to the service they are providing</w:t>
      </w:r>
      <w:r w:rsidR="00224DE2" w:rsidRPr="00E42EAE">
        <w:rPr>
          <w:lang w:val="en-US"/>
        </w:rPr>
        <w:t>.</w:t>
      </w:r>
      <w:r w:rsidR="00FC149D" w:rsidRPr="00E42EAE">
        <w:rPr>
          <w:rStyle w:val="FootnoteReference"/>
          <w:lang w:val="en-US"/>
        </w:rPr>
        <w:footnoteReference w:id="59"/>
      </w:r>
      <w:r w:rsidR="00DE20F0" w:rsidRPr="00E42EAE">
        <w:rPr>
          <w:lang w:val="en-US"/>
        </w:rPr>
        <w:t xml:space="preserve"> </w:t>
      </w:r>
      <w:r w:rsidR="00224DE2" w:rsidRPr="00E42EAE">
        <w:rPr>
          <w:lang w:val="en-US"/>
        </w:rPr>
        <w:t xml:space="preserve">The obstacles in exercising consumers rights seems to be </w:t>
      </w:r>
      <w:r w:rsidR="00DE20F0" w:rsidRPr="00E42EAE">
        <w:rPr>
          <w:lang w:val="en-US"/>
        </w:rPr>
        <w:t xml:space="preserve"> a general negative effect of the power imbalance presented by the </w:t>
      </w:r>
      <w:r w:rsidR="00E53DC1" w:rsidRPr="00E42EAE">
        <w:rPr>
          <w:lang w:val="en-US"/>
        </w:rPr>
        <w:t>online</w:t>
      </w:r>
      <w:r w:rsidR="00DE20F0" w:rsidRPr="00E42EAE">
        <w:rPr>
          <w:lang w:val="en-US"/>
        </w:rPr>
        <w:t xml:space="preserve"> platforms and consumers, to which</w:t>
      </w:r>
      <w:r w:rsidR="00224DE2" w:rsidRPr="00E42EAE">
        <w:rPr>
          <w:lang w:val="en-US"/>
        </w:rPr>
        <w:t xml:space="preserve"> EU reacts, for example in the</w:t>
      </w:r>
      <w:r w:rsidR="00DE20F0" w:rsidRPr="00E42EAE">
        <w:rPr>
          <w:lang w:val="en-US"/>
        </w:rPr>
        <w:t xml:space="preserve"> DSA</w:t>
      </w:r>
      <w:r w:rsidR="00224DE2" w:rsidRPr="00E42EAE">
        <w:rPr>
          <w:lang w:val="en-US"/>
        </w:rPr>
        <w:t>,</w:t>
      </w:r>
      <w:r w:rsidR="00DE20F0" w:rsidRPr="00E42EAE">
        <w:rPr>
          <w:lang w:val="en-US"/>
        </w:rPr>
        <w:t xml:space="preserve"> by introducing a various transparency obligations for the platforms.</w:t>
      </w:r>
      <w:r w:rsidR="00DE20F0" w:rsidRPr="00E42EAE">
        <w:rPr>
          <w:rStyle w:val="FootnoteReference"/>
          <w:lang w:val="en-US"/>
        </w:rPr>
        <w:footnoteReference w:id="60"/>
      </w:r>
    </w:p>
    <w:p w14:paraId="4519217C" w14:textId="77777777" w:rsidR="00E53DC1" w:rsidRPr="00E42EAE" w:rsidRDefault="00B4797A" w:rsidP="000C21C8">
      <w:pPr>
        <w:pStyle w:val="Nextparagraphs"/>
        <w:rPr>
          <w:lang w:val="en-US"/>
        </w:rPr>
      </w:pPr>
      <w:r w:rsidRPr="00E42EAE">
        <w:rPr>
          <w:lang w:val="en-US"/>
        </w:rPr>
        <w:t>In general</w:t>
      </w:r>
      <w:r w:rsidR="00CA0B09" w:rsidRPr="00E42EAE">
        <w:rPr>
          <w:lang w:val="en-US"/>
        </w:rPr>
        <w:t xml:space="preserve">, the protection of consumer has played an important role in the </w:t>
      </w:r>
      <w:r w:rsidR="000342B3" w:rsidRPr="00E42EAE">
        <w:rPr>
          <w:lang w:val="en-US"/>
        </w:rPr>
        <w:t>legislative undertakings of the European Union</w:t>
      </w:r>
      <w:r w:rsidR="00A6132B" w:rsidRPr="00E42EAE">
        <w:rPr>
          <w:lang w:val="en-US"/>
        </w:rPr>
        <w:t>, as it is, in its very fundamental terms, an economic union with single market</w:t>
      </w:r>
      <w:r w:rsidR="003D16E5" w:rsidRPr="00E42EAE">
        <w:rPr>
          <w:lang w:val="en-US"/>
        </w:rPr>
        <w:t xml:space="preserve">. </w:t>
      </w:r>
      <w:r w:rsidR="007316C0" w:rsidRPr="00E42EAE">
        <w:rPr>
          <w:lang w:val="en-US"/>
        </w:rPr>
        <w:t xml:space="preserve">Therefore the </w:t>
      </w:r>
      <w:r w:rsidR="00F72A18" w:rsidRPr="00E42EAE">
        <w:rPr>
          <w:lang w:val="en-US"/>
        </w:rPr>
        <w:t xml:space="preserve">legislative environment seeks balance between the </w:t>
      </w:r>
      <w:r w:rsidR="00FE3BF1" w:rsidRPr="00E42EAE">
        <w:rPr>
          <w:lang w:val="en-US"/>
        </w:rPr>
        <w:t xml:space="preserve">protection of the </w:t>
      </w:r>
      <w:r w:rsidR="00FE7C1B" w:rsidRPr="00E42EAE">
        <w:rPr>
          <w:lang w:val="en-US"/>
        </w:rPr>
        <w:t xml:space="preserve">economic interests of the businesses </w:t>
      </w:r>
      <w:r w:rsidR="00E31C47" w:rsidRPr="00E42EAE">
        <w:rPr>
          <w:lang w:val="en-US"/>
        </w:rPr>
        <w:t>acting on the single market and the private interests of the consumer</w:t>
      </w:r>
      <w:r w:rsidR="00771960" w:rsidRPr="00E42EAE">
        <w:rPr>
          <w:lang w:val="en-US"/>
        </w:rPr>
        <w:t xml:space="preserve">, even though </w:t>
      </w:r>
      <w:r w:rsidR="003C0745" w:rsidRPr="00E42EAE">
        <w:rPr>
          <w:lang w:val="en-US"/>
        </w:rPr>
        <w:t>the European approach has arguably proven that those two interests are not necessarily in direct opposition, at least concerning their outcome</w:t>
      </w:r>
      <w:r w:rsidR="00E31C47" w:rsidRPr="00E42EAE">
        <w:rPr>
          <w:lang w:val="en-US"/>
        </w:rPr>
        <w:t>.</w:t>
      </w:r>
      <w:r w:rsidR="003C0745" w:rsidRPr="00E42EAE">
        <w:rPr>
          <w:lang w:val="en-US"/>
        </w:rPr>
        <w:t xml:space="preserve"> This has been </w:t>
      </w:r>
      <w:r w:rsidR="00994998" w:rsidRPr="00E42EAE">
        <w:rPr>
          <w:lang w:val="en-US"/>
        </w:rPr>
        <w:t xml:space="preserve">the base of argument that </w:t>
      </w:r>
      <w:r w:rsidR="005D6E2F" w:rsidRPr="00E42EAE">
        <w:rPr>
          <w:lang w:val="en-US"/>
        </w:rPr>
        <w:t xml:space="preserve">greater consumer protection leads to </w:t>
      </w:r>
      <w:r w:rsidR="001A49F5" w:rsidRPr="00E42EAE">
        <w:rPr>
          <w:lang w:val="en-US"/>
        </w:rPr>
        <w:t>improvement in the trust between the businesses and their consumers</w:t>
      </w:r>
      <w:r w:rsidR="00E31C47" w:rsidRPr="00E42EAE">
        <w:rPr>
          <w:lang w:val="en-US"/>
        </w:rPr>
        <w:t xml:space="preserve"> </w:t>
      </w:r>
      <w:r w:rsidR="00EA2222" w:rsidRPr="00E42EAE">
        <w:rPr>
          <w:lang w:val="en-US"/>
        </w:rPr>
        <w:t>which demonstrates itself as increased purchasing activity on the part of the consumer.</w:t>
      </w:r>
      <w:r w:rsidR="00EA2222" w:rsidRPr="00E42EAE">
        <w:rPr>
          <w:rStyle w:val="FootnoteReference"/>
          <w:lang w:val="en-US"/>
        </w:rPr>
        <w:footnoteReference w:id="61"/>
      </w:r>
      <w:r w:rsidR="00E31C47" w:rsidRPr="00E42EAE">
        <w:rPr>
          <w:lang w:val="en-US"/>
        </w:rPr>
        <w:t xml:space="preserve"> </w:t>
      </w:r>
    </w:p>
    <w:p w14:paraId="7DE4FE49" w14:textId="63DD8A8D" w:rsidR="00B4797A" w:rsidRPr="00E42EAE" w:rsidRDefault="00E87A8E" w:rsidP="000C21C8">
      <w:pPr>
        <w:pStyle w:val="Nextparagraphs"/>
        <w:rPr>
          <w:lang w:val="en-US"/>
        </w:rPr>
      </w:pPr>
      <w:r w:rsidRPr="00E42EAE">
        <w:rPr>
          <w:lang w:val="en-US"/>
        </w:rPr>
        <w:t xml:space="preserve">This necessary standard of trust </w:t>
      </w:r>
      <w:r w:rsidR="005B3F23" w:rsidRPr="00E42EAE">
        <w:rPr>
          <w:lang w:val="en-US"/>
        </w:rPr>
        <w:t xml:space="preserve">plays even more important role in the </w:t>
      </w:r>
      <w:r w:rsidR="00180420" w:rsidRPr="00E42EAE">
        <w:rPr>
          <w:lang w:val="en-US"/>
        </w:rPr>
        <w:t>virtual environment</w:t>
      </w:r>
      <w:r w:rsidR="00453061" w:rsidRPr="00E42EAE">
        <w:rPr>
          <w:lang w:val="en-US"/>
        </w:rPr>
        <w:t xml:space="preserve"> where there is considerable distance between the involved parties.</w:t>
      </w:r>
      <w:r w:rsidR="006C7FF5" w:rsidRPr="00E42EAE">
        <w:rPr>
          <w:lang w:val="en-US"/>
        </w:rPr>
        <w:t xml:space="preserve"> And as such, 50 years </w:t>
      </w:r>
      <w:r w:rsidR="004359DC" w:rsidRPr="00E42EAE">
        <w:rPr>
          <w:lang w:val="en-US"/>
        </w:rPr>
        <w:t xml:space="preserve">after the conception of EU consumer protection rules in general, we are seeing their adoption and uptake for the </w:t>
      </w:r>
      <w:r w:rsidR="00FB2D82" w:rsidRPr="00E42EAE">
        <w:rPr>
          <w:lang w:val="en-US"/>
        </w:rPr>
        <w:t xml:space="preserve">virtual </w:t>
      </w:r>
      <w:r w:rsidR="00AD4D6E" w:rsidRPr="00E42EAE">
        <w:rPr>
          <w:lang w:val="en-US"/>
        </w:rPr>
        <w:lastRenderedPageBreak/>
        <w:t>environment as well,</w:t>
      </w:r>
      <w:r w:rsidR="00F95747" w:rsidRPr="00E42EAE">
        <w:rPr>
          <w:rStyle w:val="FootnoteReference"/>
          <w:lang w:val="en-US"/>
        </w:rPr>
        <w:footnoteReference w:id="62"/>
      </w:r>
      <w:r w:rsidR="00AD4D6E" w:rsidRPr="00E42EAE">
        <w:rPr>
          <w:lang w:val="en-US"/>
        </w:rPr>
        <w:t xml:space="preserve"> through </w:t>
      </w:r>
      <w:r w:rsidR="00F95747" w:rsidRPr="00E42EAE">
        <w:rPr>
          <w:lang w:val="en-US"/>
        </w:rPr>
        <w:t>either specific acts such as the DMA, DSA or CDSM</w:t>
      </w:r>
      <w:r w:rsidR="00175F0C" w:rsidRPr="00E42EAE">
        <w:rPr>
          <w:lang w:val="en-US"/>
        </w:rPr>
        <w:t xml:space="preserve"> or in more general strategies and conceptual plans of economic development</w:t>
      </w:r>
      <w:r w:rsidR="003F2DB5" w:rsidRPr="00E42EAE">
        <w:rPr>
          <w:lang w:val="en-US"/>
        </w:rPr>
        <w:t xml:space="preserve"> for the digital age</w:t>
      </w:r>
      <w:r w:rsidR="00175F0C" w:rsidRPr="00E42EAE">
        <w:rPr>
          <w:lang w:val="en-US"/>
        </w:rPr>
        <w:t>.</w:t>
      </w:r>
      <w:r w:rsidR="00A41F2D" w:rsidRPr="00E42EAE">
        <w:rPr>
          <w:rStyle w:val="FootnoteReference"/>
          <w:lang w:val="en-US"/>
        </w:rPr>
        <w:footnoteReference w:id="63"/>
      </w:r>
    </w:p>
    <w:p w14:paraId="0976D62D" w14:textId="1F846A35" w:rsidR="00BF61C3" w:rsidRPr="00E42EAE" w:rsidRDefault="00B61918" w:rsidP="000C21C8">
      <w:pPr>
        <w:pStyle w:val="Nextparagraphs"/>
        <w:rPr>
          <w:lang w:val="en-US"/>
        </w:rPr>
      </w:pPr>
      <w:r w:rsidRPr="00E42EAE">
        <w:rPr>
          <w:lang w:val="en-US"/>
        </w:rPr>
        <w:t>The</w:t>
      </w:r>
      <w:r w:rsidR="00EF7839" w:rsidRPr="00E42EAE">
        <w:rPr>
          <w:lang w:val="en-US"/>
        </w:rPr>
        <w:t xml:space="preserve"> general role of these regulations </w:t>
      </w:r>
      <w:r w:rsidR="00E7500A" w:rsidRPr="00E42EAE">
        <w:rPr>
          <w:lang w:val="en-US"/>
        </w:rPr>
        <w:t>is to shape, if not recalibrate, the relationship between the businesses and con</w:t>
      </w:r>
      <w:r w:rsidR="00535B66" w:rsidRPr="00E42EAE">
        <w:rPr>
          <w:lang w:val="en-US"/>
        </w:rPr>
        <w:t>sumers (</w:t>
      </w:r>
      <w:r w:rsidR="004C3D2F" w:rsidRPr="00E42EAE">
        <w:rPr>
          <w:lang w:val="en-US"/>
        </w:rPr>
        <w:t>p</w:t>
      </w:r>
      <w:r w:rsidR="00535B66" w:rsidRPr="00E42EAE">
        <w:rPr>
          <w:lang w:val="en-US"/>
        </w:rPr>
        <w:t xml:space="preserve">latforms and users) in a way that reflects their unequal position and </w:t>
      </w:r>
      <w:r w:rsidR="00774DF5" w:rsidRPr="00E42EAE">
        <w:rPr>
          <w:lang w:val="en-US"/>
        </w:rPr>
        <w:t xml:space="preserve">requires proactive and systemic protection that ensures the protection of (fundamental) rights of the consumer, ideally in such an extent that </w:t>
      </w:r>
      <w:r w:rsidR="00894531" w:rsidRPr="00E42EAE">
        <w:rPr>
          <w:lang w:val="en-US"/>
        </w:rPr>
        <w:t>still allows the business to follow their own interest (as such bilaterality is of course a prerequisite of</w:t>
      </w:r>
      <w:r w:rsidR="007E7451" w:rsidRPr="00E42EAE">
        <w:rPr>
          <w:lang w:val="en-US"/>
        </w:rPr>
        <w:t xml:space="preserve"> the free market that is at the foundation of the EU as an economic union).</w:t>
      </w:r>
      <w:r w:rsidR="000C6516" w:rsidRPr="00E42EAE">
        <w:rPr>
          <w:rStyle w:val="FootnoteReference"/>
          <w:lang w:val="en-US"/>
        </w:rPr>
        <w:footnoteReference w:id="64"/>
      </w:r>
      <w:r w:rsidR="000C6516" w:rsidRPr="00E42EAE">
        <w:rPr>
          <w:lang w:val="en-US"/>
        </w:rPr>
        <w:t xml:space="preserve"> </w:t>
      </w:r>
      <w:r w:rsidR="00DE7B94" w:rsidRPr="00E42EAE">
        <w:rPr>
          <w:lang w:val="en-US"/>
        </w:rPr>
        <w:t xml:space="preserve">Normative limit </w:t>
      </w:r>
      <w:r w:rsidR="008C66F2" w:rsidRPr="00E42EAE">
        <w:rPr>
          <w:lang w:val="en-US"/>
        </w:rPr>
        <w:t xml:space="preserve">presented by </w:t>
      </w:r>
      <w:r w:rsidR="00F329E6" w:rsidRPr="00E42EAE">
        <w:rPr>
          <w:lang w:val="en-US"/>
        </w:rPr>
        <w:t>European</w:t>
      </w:r>
      <w:r w:rsidR="008C66F2" w:rsidRPr="00E42EAE">
        <w:rPr>
          <w:lang w:val="en-US"/>
        </w:rPr>
        <w:t xml:space="preserve"> consumer</w:t>
      </w:r>
      <w:r w:rsidR="001158BF" w:rsidRPr="00E42EAE">
        <w:rPr>
          <w:lang w:val="en-US"/>
        </w:rPr>
        <w:t xml:space="preserve"> rights restrict</w:t>
      </w:r>
      <w:r w:rsidR="008C66F2" w:rsidRPr="00E42EAE">
        <w:rPr>
          <w:lang w:val="en-US"/>
        </w:rPr>
        <w:t>s</w:t>
      </w:r>
      <w:r w:rsidR="001158BF" w:rsidRPr="00E42EAE">
        <w:rPr>
          <w:lang w:val="en-US"/>
        </w:rPr>
        <w:t xml:space="preserve"> the </w:t>
      </w:r>
      <w:r w:rsidR="008C66F2" w:rsidRPr="00E42EAE">
        <w:rPr>
          <w:lang w:val="en-US"/>
        </w:rPr>
        <w:t>(over)</w:t>
      </w:r>
      <w:r w:rsidR="001158BF" w:rsidRPr="00E42EAE">
        <w:rPr>
          <w:lang w:val="en-US"/>
        </w:rPr>
        <w:t>reach of contracts and aim</w:t>
      </w:r>
      <w:r w:rsidR="008C66F2" w:rsidRPr="00E42EAE">
        <w:rPr>
          <w:lang w:val="en-US"/>
        </w:rPr>
        <w:t>s</w:t>
      </w:r>
      <w:r w:rsidR="001158BF" w:rsidRPr="00E42EAE">
        <w:rPr>
          <w:lang w:val="en-US"/>
        </w:rPr>
        <w:t xml:space="preserve"> to harmonize consumer protection across jurisdictions, thus limiting unfair contractual terms and business practices</w:t>
      </w:r>
      <w:r w:rsidR="00DE7B94" w:rsidRPr="00E42EAE">
        <w:rPr>
          <w:lang w:val="en-US"/>
        </w:rPr>
        <w:t xml:space="preserve">. </w:t>
      </w:r>
      <w:r w:rsidR="000C6516" w:rsidRPr="00E42EAE">
        <w:rPr>
          <w:lang w:val="en-US"/>
        </w:rPr>
        <w:t xml:space="preserve">This principle has demonstrated itself in the digital environment, and the relevant regulation, </w:t>
      </w:r>
      <w:r w:rsidR="00F329E6" w:rsidRPr="00E42EAE">
        <w:rPr>
          <w:lang w:val="en-US"/>
        </w:rPr>
        <w:t xml:space="preserve">with advent of which the importance of the </w:t>
      </w:r>
      <w:r w:rsidR="00C847B8" w:rsidRPr="00E42EAE">
        <w:rPr>
          <w:lang w:val="en-US"/>
        </w:rPr>
        <w:t>cross-jurisdictional minimal standard protection has become evermore important.</w:t>
      </w:r>
    </w:p>
    <w:p w14:paraId="6CA2CA1B" w14:textId="77777777" w:rsidR="00AB7422" w:rsidRPr="00E42EAE" w:rsidRDefault="72F918E0" w:rsidP="005C150A">
      <w:pPr>
        <w:pStyle w:val="Nextparagraphs"/>
        <w:rPr>
          <w:lang w:val="en-US"/>
        </w:rPr>
      </w:pPr>
      <w:r w:rsidRPr="00E42EAE">
        <w:rPr>
          <w:lang w:val="en-US"/>
        </w:rPr>
        <w:t>Outside the specific regulatory duties imposed by the EU on platforms, such as the transparency obligation, with many of its aspects (such as providing the information on the order of presented content)</w:t>
      </w:r>
      <w:r w:rsidR="46706B01" w:rsidRPr="00E42EAE">
        <w:rPr>
          <w:lang w:val="en-US"/>
        </w:rPr>
        <w:t>, or providing a statement of reason in the case of removal of content, the EU has</w:t>
      </w:r>
      <w:r w:rsidR="19A81E15" w:rsidRPr="00E42EAE">
        <w:rPr>
          <w:lang w:val="en-US"/>
        </w:rPr>
        <w:t xml:space="preserve"> put further focus</w:t>
      </w:r>
      <w:r w:rsidR="46706B01" w:rsidRPr="00E42EAE">
        <w:rPr>
          <w:lang w:val="en-US"/>
        </w:rPr>
        <w:t xml:space="preserve"> on</w:t>
      </w:r>
      <w:r w:rsidR="0A9DF341" w:rsidRPr="00E42EAE">
        <w:rPr>
          <w:lang w:val="en-US"/>
        </w:rPr>
        <w:t xml:space="preserve"> the compliance of </w:t>
      </w:r>
      <w:r w:rsidR="00261D99" w:rsidRPr="00E42EAE">
        <w:rPr>
          <w:lang w:val="en-US"/>
        </w:rPr>
        <w:t>online</w:t>
      </w:r>
      <w:r w:rsidR="00261D99" w:rsidRPr="00E42EAE">
        <w:rPr>
          <w:i/>
          <w:iCs/>
          <w:lang w:val="en-US"/>
        </w:rPr>
        <w:t xml:space="preserve"> </w:t>
      </w:r>
      <w:r w:rsidR="0A9DF341" w:rsidRPr="00E42EAE">
        <w:rPr>
          <w:lang w:val="en-US"/>
        </w:rPr>
        <w:t xml:space="preserve">platforms with the existing consumer protection rules. </w:t>
      </w:r>
    </w:p>
    <w:p w14:paraId="21ACFCD8" w14:textId="7B970B8B" w:rsidR="002F45CA" w:rsidRPr="00E42EAE" w:rsidRDefault="0A9DF341" w:rsidP="005C150A">
      <w:pPr>
        <w:pStyle w:val="Nextparagraphs"/>
        <w:rPr>
          <w:lang w:val="en-US"/>
        </w:rPr>
      </w:pPr>
      <w:r w:rsidRPr="00E42EAE">
        <w:rPr>
          <w:lang w:val="en-US"/>
        </w:rPr>
        <w:t>This has demonstrated itself mainly as the “Digital fairness – fitness check on EU consumer law” initiative</w:t>
      </w:r>
      <w:r w:rsidR="72F918E0" w:rsidRPr="00E42EAE">
        <w:rPr>
          <w:rStyle w:val="FootnoteReference"/>
          <w:lang w:val="en-US"/>
        </w:rPr>
        <w:footnoteReference w:id="65"/>
      </w:r>
      <w:r w:rsidR="25C61102" w:rsidRPr="00E42EAE">
        <w:rPr>
          <w:lang w:val="en-US"/>
        </w:rPr>
        <w:t xml:space="preserve"> the goal of which is to make sure that the </w:t>
      </w:r>
      <w:r w:rsidR="00261D99" w:rsidRPr="00E42EAE">
        <w:rPr>
          <w:lang w:val="en-US"/>
        </w:rPr>
        <w:t>online</w:t>
      </w:r>
      <w:r w:rsidR="00261D99" w:rsidRPr="00E42EAE">
        <w:rPr>
          <w:i/>
          <w:iCs/>
          <w:lang w:val="en-US"/>
        </w:rPr>
        <w:t xml:space="preserve"> </w:t>
      </w:r>
      <w:r w:rsidR="25C61102" w:rsidRPr="00E42EAE">
        <w:rPr>
          <w:lang w:val="en-US"/>
        </w:rPr>
        <w:t>platforms are not offered any leeway in providing the customers with lesser standards than any ”analog” business within EU would ha</w:t>
      </w:r>
      <w:r w:rsidR="5C6347B7" w:rsidRPr="00E42EAE">
        <w:rPr>
          <w:lang w:val="en-US"/>
        </w:rPr>
        <w:t xml:space="preserve">ve to. As such these concerns mainly the compliance with the Unfair Commercial Practices Directive, the Consumer Rights Directive and the Unfair Contract Terms Directive. Jointly with the specific rules for </w:t>
      </w:r>
      <w:r w:rsidR="00261D99" w:rsidRPr="00E42EAE">
        <w:rPr>
          <w:lang w:val="en-US"/>
        </w:rPr>
        <w:t>online</w:t>
      </w:r>
      <w:r w:rsidR="00261D99" w:rsidRPr="00E42EAE">
        <w:rPr>
          <w:i/>
          <w:iCs/>
          <w:lang w:val="en-US"/>
        </w:rPr>
        <w:t xml:space="preserve"> </w:t>
      </w:r>
      <w:r w:rsidR="5C6347B7" w:rsidRPr="00E42EAE">
        <w:rPr>
          <w:lang w:val="en-US"/>
        </w:rPr>
        <w:t>platforms thusly the EU sets forth the protection of consumer as a key normative limit.</w:t>
      </w:r>
    </w:p>
    <w:p w14:paraId="1301B06C" w14:textId="18A78D66" w:rsidR="00DF4CDD" w:rsidRPr="00E42EAE" w:rsidRDefault="00DF4CDD" w:rsidP="00DF4CDD">
      <w:pPr>
        <w:pStyle w:val="Heading2"/>
      </w:pPr>
      <w:bookmarkStart w:id="5" w:name="_Toc215751868"/>
      <w:r w:rsidRPr="00E42EAE">
        <w:t xml:space="preserve">Efficiency </w:t>
      </w:r>
      <w:r w:rsidR="00805118" w:rsidRPr="00E42EAE">
        <w:t>as</w:t>
      </w:r>
      <w:r w:rsidRPr="00E42EAE">
        <w:t xml:space="preserve"> </w:t>
      </w:r>
      <w:r w:rsidR="00FD00BA" w:rsidRPr="00E42EAE">
        <w:t>economic standard</w:t>
      </w:r>
      <w:bookmarkEnd w:id="5"/>
    </w:p>
    <w:p w14:paraId="1A02DCA5" w14:textId="4B969AAB" w:rsidR="004046A5" w:rsidRPr="00E42EAE" w:rsidRDefault="00037521" w:rsidP="00ED4917">
      <w:pPr>
        <w:pStyle w:val="Firstparagraph"/>
        <w:rPr>
          <w:lang w:val="en-US"/>
        </w:rPr>
      </w:pPr>
      <w:r w:rsidRPr="00E42EAE">
        <w:rPr>
          <w:lang w:val="en-US"/>
        </w:rPr>
        <w:t>Classical economic</w:t>
      </w:r>
      <w:r w:rsidR="004046A5" w:rsidRPr="00E42EAE">
        <w:rPr>
          <w:lang w:val="en-US"/>
        </w:rPr>
        <w:t xml:space="preserve"> theory </w:t>
      </w:r>
      <w:r w:rsidR="00D21D19" w:rsidRPr="00E42EAE">
        <w:rPr>
          <w:lang w:val="en-US"/>
        </w:rPr>
        <w:t xml:space="preserve">works with a number of </w:t>
      </w:r>
      <w:r w:rsidR="009A6E3A" w:rsidRPr="00E42EAE">
        <w:rPr>
          <w:lang w:val="en-US"/>
        </w:rPr>
        <w:t>definitions of efficiency.</w:t>
      </w:r>
      <w:r w:rsidR="00B2228C" w:rsidRPr="00E42EAE">
        <w:rPr>
          <w:rStyle w:val="FootnoteReference"/>
          <w:lang w:val="en-US"/>
        </w:rPr>
        <w:footnoteReference w:id="66"/>
      </w:r>
      <w:r w:rsidR="009A6E3A" w:rsidRPr="00E42EAE">
        <w:rPr>
          <w:lang w:val="en-US"/>
        </w:rPr>
        <w:t xml:space="preserve"> These are mainly the </w:t>
      </w:r>
      <w:r w:rsidR="008A2B75" w:rsidRPr="00E42EAE">
        <w:rPr>
          <w:lang w:val="en-US"/>
        </w:rPr>
        <w:t xml:space="preserve">Pareto optimality as state where no individual can be better off without </w:t>
      </w:r>
      <w:r w:rsidR="00ED4917" w:rsidRPr="00E42EAE">
        <w:rPr>
          <w:lang w:val="en-US"/>
        </w:rPr>
        <w:t>worsening another’s position</w:t>
      </w:r>
      <w:r w:rsidR="00CF3977" w:rsidRPr="00E42EAE">
        <w:rPr>
          <w:lang w:val="en-US"/>
        </w:rPr>
        <w:t xml:space="preserve"> and</w:t>
      </w:r>
      <w:r w:rsidR="00ED4917" w:rsidRPr="00E42EAE">
        <w:rPr>
          <w:lang w:val="en-US"/>
        </w:rPr>
        <w:t xml:space="preserve"> </w:t>
      </w:r>
      <w:r w:rsidR="00C02464" w:rsidRPr="00E42EAE">
        <w:rPr>
          <w:lang w:val="en-US"/>
        </w:rPr>
        <w:t xml:space="preserve">Kaldor-Hicks </w:t>
      </w:r>
      <w:r w:rsidR="00604C83" w:rsidRPr="00E42EAE">
        <w:rPr>
          <w:lang w:val="en-US"/>
        </w:rPr>
        <w:t xml:space="preserve">efficiency </w:t>
      </w:r>
      <w:r w:rsidR="00CF3977" w:rsidRPr="00E42EAE">
        <w:rPr>
          <w:lang w:val="en-US"/>
        </w:rPr>
        <w:t xml:space="preserve">which </w:t>
      </w:r>
      <w:r w:rsidR="00604C83" w:rsidRPr="00E42EAE">
        <w:rPr>
          <w:lang w:val="en-US"/>
        </w:rPr>
        <w:t xml:space="preserve">grants larger flexibility as </w:t>
      </w:r>
      <w:r w:rsidR="00A46054" w:rsidRPr="00E42EAE">
        <w:rPr>
          <w:lang w:val="en-US"/>
        </w:rPr>
        <w:t>redistributions are possible as long as overall welfare increases.</w:t>
      </w:r>
      <w:r w:rsidR="00CF3977" w:rsidRPr="00E42EAE">
        <w:rPr>
          <w:rStyle w:val="FootnoteReference"/>
          <w:lang w:val="en-US"/>
        </w:rPr>
        <w:footnoteReference w:id="67"/>
      </w:r>
      <w:r w:rsidR="00F902F6" w:rsidRPr="00E42EAE">
        <w:rPr>
          <w:lang w:val="en-US"/>
        </w:rPr>
        <w:t xml:space="preserve"> For the remainder of this article, we consider the Kaldor-Hicks criterium</w:t>
      </w:r>
      <w:r w:rsidR="00E47C5B" w:rsidRPr="00E42EAE">
        <w:rPr>
          <w:lang w:val="en-US"/>
        </w:rPr>
        <w:t xml:space="preserve"> that maximizes the social welfare.</w:t>
      </w:r>
    </w:p>
    <w:p w14:paraId="35F8083B" w14:textId="69D4DE68" w:rsidR="004046A5" w:rsidRPr="00E42EAE" w:rsidRDefault="00CC35D6" w:rsidP="00ED4917">
      <w:pPr>
        <w:pStyle w:val="Nextparagraphs"/>
        <w:rPr>
          <w:lang w:val="en-US"/>
        </w:rPr>
      </w:pPr>
      <w:r w:rsidRPr="00E42EAE">
        <w:rPr>
          <w:lang w:val="en-US"/>
        </w:rPr>
        <w:lastRenderedPageBreak/>
        <w:t>Coasean theorem than provides an important insight into efficiency deficit of such outcome.</w:t>
      </w:r>
      <w:r w:rsidR="00446ED0" w:rsidRPr="00E42EAE">
        <w:rPr>
          <w:rStyle w:val="FootnoteReference"/>
          <w:lang w:val="en-US"/>
        </w:rPr>
        <w:footnoteReference w:id="68"/>
      </w:r>
      <w:r w:rsidRPr="00E42EAE">
        <w:rPr>
          <w:lang w:val="en-US"/>
        </w:rPr>
        <w:t xml:space="preserve"> While </w:t>
      </w:r>
      <w:r w:rsidR="00EB4B47" w:rsidRPr="00E42EAE">
        <w:rPr>
          <w:lang w:val="en-US"/>
        </w:rPr>
        <w:t xml:space="preserve">ideal market conditions would result in the most efficient outcome, real market with transaction costs can only </w:t>
      </w:r>
      <w:r w:rsidR="006F572B" w:rsidRPr="00E42EAE">
        <w:rPr>
          <w:lang w:val="en-US"/>
        </w:rPr>
        <w:t xml:space="preserve">work up to </w:t>
      </w:r>
      <w:r w:rsidR="006C24AC" w:rsidRPr="00E42EAE">
        <w:rPr>
          <w:lang w:val="en-US"/>
        </w:rPr>
        <w:t>a</w:t>
      </w:r>
      <w:r w:rsidR="006F572B" w:rsidRPr="00E42EAE">
        <w:rPr>
          <w:lang w:val="en-US"/>
        </w:rPr>
        <w:t xml:space="preserve"> limit.</w:t>
      </w:r>
      <w:r w:rsidR="00F17DA9" w:rsidRPr="00E42EAE">
        <w:rPr>
          <w:rStyle w:val="FootnoteReference"/>
          <w:lang w:val="en-US"/>
        </w:rPr>
        <w:footnoteReference w:id="69"/>
      </w:r>
      <w:r w:rsidR="006F572B" w:rsidRPr="00E42EAE">
        <w:rPr>
          <w:lang w:val="en-US"/>
        </w:rPr>
        <w:t xml:space="preserve"> Consequently, </w:t>
      </w:r>
      <w:r w:rsidR="00067C56" w:rsidRPr="00E42EAE">
        <w:rPr>
          <w:lang w:val="en-US"/>
        </w:rPr>
        <w:t xml:space="preserve">changes in regulatory forces </w:t>
      </w:r>
      <w:r w:rsidR="004C29CC" w:rsidRPr="00E42EAE">
        <w:rPr>
          <w:lang w:val="en-US"/>
        </w:rPr>
        <w:t>can impact efficiency of outcome as they may lower or altogether change transaction costs.</w:t>
      </w:r>
      <w:r w:rsidR="00B0745E" w:rsidRPr="00E42EAE">
        <w:rPr>
          <w:rStyle w:val="FootnoteReference"/>
          <w:lang w:val="en-US"/>
        </w:rPr>
        <w:footnoteReference w:id="70"/>
      </w:r>
    </w:p>
    <w:p w14:paraId="27E8C6DC" w14:textId="6F5CD798" w:rsidR="004F7057" w:rsidRPr="00E42EAE" w:rsidRDefault="002C1484" w:rsidP="00ED4917">
      <w:pPr>
        <w:pStyle w:val="Nextparagraphs"/>
        <w:rPr>
          <w:lang w:val="en-US"/>
        </w:rPr>
      </w:pPr>
      <w:r w:rsidRPr="00E42EAE">
        <w:rPr>
          <w:lang w:val="en-US"/>
        </w:rPr>
        <w:t xml:space="preserve">Digital markets </w:t>
      </w:r>
      <w:r w:rsidR="001918F0" w:rsidRPr="00E42EAE">
        <w:rPr>
          <w:lang w:val="en-US"/>
        </w:rPr>
        <w:t xml:space="preserve">can be specifically characterised by </w:t>
      </w:r>
      <w:r w:rsidR="002B131C" w:rsidRPr="00E42EAE">
        <w:rPr>
          <w:lang w:val="en-US"/>
        </w:rPr>
        <w:t>digital asymmetries, as described by participating bodies and member states in 202</w:t>
      </w:r>
      <w:r w:rsidR="00C7370F" w:rsidRPr="00E42EAE">
        <w:rPr>
          <w:lang w:val="en-US"/>
        </w:rPr>
        <w:t>4</w:t>
      </w:r>
      <w:r w:rsidR="002B131C" w:rsidRPr="00E42EAE">
        <w:rPr>
          <w:lang w:val="en-US"/>
        </w:rPr>
        <w:t xml:space="preserve"> </w:t>
      </w:r>
      <w:r w:rsidR="00957D2A" w:rsidRPr="00E42EAE">
        <w:rPr>
          <w:lang w:val="en-US"/>
        </w:rPr>
        <w:t>Digital fairness fitness check initiative.</w:t>
      </w:r>
      <w:r w:rsidR="00C7370F" w:rsidRPr="00E42EAE">
        <w:rPr>
          <w:rStyle w:val="FootnoteReference"/>
          <w:lang w:val="en-US"/>
        </w:rPr>
        <w:footnoteReference w:id="71"/>
      </w:r>
      <w:r w:rsidR="00E23AC7" w:rsidRPr="00E42EAE">
        <w:rPr>
          <w:lang w:val="en-US"/>
        </w:rPr>
        <w:t xml:space="preserve"> </w:t>
      </w:r>
      <w:r w:rsidR="00036F6F" w:rsidRPr="00E42EAE">
        <w:rPr>
          <w:lang w:val="en-US"/>
        </w:rPr>
        <w:t xml:space="preserve">Digital asymmetry </w:t>
      </w:r>
      <w:r w:rsidR="00AE2806" w:rsidRPr="00E42EAE">
        <w:rPr>
          <w:lang w:val="en-US"/>
        </w:rPr>
        <w:t xml:space="preserve">compromises various external </w:t>
      </w:r>
      <w:r w:rsidR="006F3068" w:rsidRPr="00E42EAE">
        <w:rPr>
          <w:lang w:val="en-US"/>
        </w:rPr>
        <w:t>factors such as the “</w:t>
      </w:r>
      <w:r w:rsidR="006F3068" w:rsidRPr="00E42EAE">
        <w:rPr>
          <w:i/>
          <w:iCs/>
          <w:lang w:val="en-US"/>
        </w:rPr>
        <w:t xml:space="preserve">digitally mediated relationship, the choice architecture, </w:t>
      </w:r>
      <w:r w:rsidR="004C597B" w:rsidRPr="00E42EAE">
        <w:rPr>
          <w:i/>
          <w:iCs/>
          <w:lang w:val="en-US"/>
        </w:rPr>
        <w:t>the architectural infrastructure, and the knowledge gap</w:t>
      </w:r>
      <w:r w:rsidR="004C597B" w:rsidRPr="00E42EAE">
        <w:rPr>
          <w:lang w:val="en-US"/>
        </w:rPr>
        <w:t>.”</w:t>
      </w:r>
      <w:r w:rsidR="004C597B" w:rsidRPr="00E42EAE">
        <w:rPr>
          <w:rStyle w:val="FootnoteReference"/>
          <w:lang w:val="en-US"/>
        </w:rPr>
        <w:footnoteReference w:id="72"/>
      </w:r>
      <w:r w:rsidR="00487E5F" w:rsidRPr="00E42EAE">
        <w:rPr>
          <w:lang w:val="en-US"/>
        </w:rPr>
        <w:t xml:space="preserve"> </w:t>
      </w:r>
      <w:r w:rsidR="006B4BCB" w:rsidRPr="00E42EAE">
        <w:rPr>
          <w:lang w:val="en-US"/>
        </w:rPr>
        <w:t>This means that users typically have little bargaining p</w:t>
      </w:r>
      <w:r w:rsidR="005A71D1" w:rsidRPr="00E42EAE">
        <w:rPr>
          <w:lang w:val="en-US"/>
        </w:rPr>
        <w:t>ower in digital transactions</w:t>
      </w:r>
      <w:r w:rsidR="004755EF" w:rsidRPr="00E42EAE">
        <w:rPr>
          <w:lang w:val="en-US"/>
        </w:rPr>
        <w:t xml:space="preserve">, frequently </w:t>
      </w:r>
      <w:r w:rsidR="004E08D8" w:rsidRPr="00E42EAE">
        <w:rPr>
          <w:lang w:val="en-US"/>
        </w:rPr>
        <w:t>facing take-it-or-leave it terms</w:t>
      </w:r>
      <w:r w:rsidR="009E04F9" w:rsidRPr="00E42EAE">
        <w:rPr>
          <w:lang w:val="en-US"/>
        </w:rPr>
        <w:t>.</w:t>
      </w:r>
      <w:r w:rsidR="006C24AC" w:rsidRPr="00E42EAE">
        <w:rPr>
          <w:rStyle w:val="FootnoteReference"/>
          <w:lang w:val="en-US"/>
        </w:rPr>
        <w:footnoteReference w:id="73"/>
      </w:r>
      <w:r w:rsidR="009E04F9" w:rsidRPr="00E42EAE">
        <w:rPr>
          <w:lang w:val="en-US"/>
        </w:rPr>
        <w:t xml:space="preserve"> </w:t>
      </w:r>
      <w:r w:rsidR="00AB6BE2" w:rsidRPr="00E42EAE">
        <w:rPr>
          <w:lang w:val="en-US"/>
        </w:rPr>
        <w:t>Additionally, users lack also the information to scrutinize complicated legal terms.</w:t>
      </w:r>
      <w:r w:rsidR="00FB09EF" w:rsidRPr="00E42EAE">
        <w:rPr>
          <w:rStyle w:val="FootnoteReference"/>
          <w:lang w:val="en-US"/>
        </w:rPr>
        <w:footnoteReference w:id="74"/>
      </w:r>
    </w:p>
    <w:p w14:paraId="771187F9" w14:textId="4A76A4F9" w:rsidR="0058515C" w:rsidRPr="00E42EAE" w:rsidRDefault="004F7057" w:rsidP="00ED4917">
      <w:pPr>
        <w:pStyle w:val="Nextparagraphs"/>
        <w:rPr>
          <w:lang w:val="en-US"/>
        </w:rPr>
      </w:pPr>
      <w:r w:rsidRPr="00E42EAE">
        <w:rPr>
          <w:lang w:val="en-US"/>
        </w:rPr>
        <w:t xml:space="preserve">DSA addresses several previously identified market failures in </w:t>
      </w:r>
      <w:r w:rsidR="00261D99" w:rsidRPr="00E42EAE">
        <w:rPr>
          <w:lang w:val="en-US"/>
        </w:rPr>
        <w:t>online</w:t>
      </w:r>
      <w:r w:rsidR="00261D99" w:rsidRPr="00E42EAE">
        <w:rPr>
          <w:i/>
          <w:iCs/>
          <w:lang w:val="en-US"/>
        </w:rPr>
        <w:t xml:space="preserve"> </w:t>
      </w:r>
      <w:r w:rsidRPr="00E42EAE">
        <w:rPr>
          <w:lang w:val="en-US"/>
        </w:rPr>
        <w:t>platform regulation. It targets information asymmetries through enhanced transparency and disclosure obligations, enabling users to better understand how content, data, and algorithms affect them.</w:t>
      </w:r>
      <w:r w:rsidR="004659BA" w:rsidRPr="00E42EAE">
        <w:rPr>
          <w:rStyle w:val="FootnoteReference"/>
          <w:lang w:val="en-US"/>
        </w:rPr>
        <w:footnoteReference w:id="75"/>
      </w:r>
      <w:r w:rsidRPr="00E42EAE">
        <w:rPr>
          <w:lang w:val="en-US"/>
        </w:rPr>
        <w:t xml:space="preserve"> It also imposes a duty of care on platforms, requiring them to internalize negative externalities such as the societal costs of illegal or harmful content that were previously externalized under safe harbour regimes.</w:t>
      </w:r>
      <w:r w:rsidR="004659BA" w:rsidRPr="00E42EAE">
        <w:rPr>
          <w:rStyle w:val="FootnoteReference"/>
          <w:lang w:val="en-US"/>
        </w:rPr>
        <w:footnoteReference w:id="76"/>
      </w:r>
      <w:r w:rsidRPr="00E42EAE">
        <w:rPr>
          <w:lang w:val="en-US"/>
        </w:rPr>
        <w:t xml:space="preserve"> Additionally, the DSA introduces asymmetric obligations for larger platforms, including VLOPs, thereby addressing power imbalances.</w:t>
      </w:r>
      <w:r w:rsidR="00585BA5" w:rsidRPr="00E42EAE">
        <w:rPr>
          <w:rStyle w:val="FootnoteReference"/>
          <w:lang w:val="en-US"/>
        </w:rPr>
        <w:footnoteReference w:id="77"/>
      </w:r>
      <w:r w:rsidRPr="00E42EAE">
        <w:rPr>
          <w:lang w:val="en-US"/>
        </w:rPr>
        <w:t xml:space="preserve"> In this sense, the DSA can be seen as a regulatory response aimed at correcting key distortions in digital markets and steering them toward a more balanced and efficient outcome.</w:t>
      </w:r>
    </w:p>
    <w:p w14:paraId="153EA2D9" w14:textId="4D78EBDE" w:rsidR="00877069" w:rsidRPr="00E42EAE" w:rsidRDefault="00877069" w:rsidP="00C74590">
      <w:pPr>
        <w:pStyle w:val="Nextparagraphs"/>
        <w:rPr>
          <w:lang w:val="en-US"/>
        </w:rPr>
      </w:pPr>
      <w:r w:rsidRPr="00E42EAE">
        <w:rPr>
          <w:lang w:val="en-US"/>
        </w:rPr>
        <w:t xml:space="preserve">Similarly, Article 17 targets information and power asymmetries. </w:t>
      </w:r>
      <w:r w:rsidR="003255BC" w:rsidRPr="00E42EAE">
        <w:rPr>
          <w:lang w:val="en-US"/>
        </w:rPr>
        <w:t xml:space="preserve">In copyright licensing markets for use in UGC the largest information and power asymmetries existed between </w:t>
      </w:r>
      <w:r w:rsidR="00D03332" w:rsidRPr="00E42EAE">
        <w:rPr>
          <w:lang w:val="en-US"/>
        </w:rPr>
        <w:t xml:space="preserve">rightsholders and users. Article 17 shifts licensing obligation towards online platforms, thus </w:t>
      </w:r>
      <w:r w:rsidR="00935300" w:rsidRPr="00E42EAE">
        <w:rPr>
          <w:lang w:val="en-US"/>
        </w:rPr>
        <w:t xml:space="preserve">easing the burden on users. Unfortunately, users are not informed on this shift </w:t>
      </w:r>
      <w:r w:rsidR="00297688" w:rsidRPr="00E42EAE">
        <w:rPr>
          <w:lang w:val="en-US"/>
        </w:rPr>
        <w:t xml:space="preserve">and even platform terms often state that users are liable to obtain authorization </w:t>
      </w:r>
      <w:r w:rsidR="006F561A" w:rsidRPr="00E42EAE">
        <w:rPr>
          <w:lang w:val="en-US"/>
        </w:rPr>
        <w:t>themselves.</w:t>
      </w:r>
      <w:r w:rsidR="006F561A" w:rsidRPr="00E42EAE">
        <w:rPr>
          <w:rStyle w:val="FootnoteReference"/>
          <w:lang w:val="en-US"/>
        </w:rPr>
        <w:footnoteReference w:id="78"/>
      </w:r>
    </w:p>
    <w:p w14:paraId="0DD9F667" w14:textId="08F0FD17" w:rsidR="00E623E7" w:rsidRPr="00E42EAE" w:rsidRDefault="005D7AAA" w:rsidP="00C74590">
      <w:pPr>
        <w:pStyle w:val="Nextparagraphs"/>
        <w:rPr>
          <w:lang w:val="en-US"/>
        </w:rPr>
      </w:pPr>
      <w:r w:rsidRPr="00E42EAE">
        <w:rPr>
          <w:lang w:val="en-US"/>
        </w:rPr>
        <w:t>Yet, the general question remains. Is the DSA</w:t>
      </w:r>
      <w:r w:rsidR="00086A86" w:rsidRPr="00E42EAE">
        <w:rPr>
          <w:lang w:val="en-US"/>
        </w:rPr>
        <w:t>, CDSM</w:t>
      </w:r>
      <w:r w:rsidRPr="00E42EAE">
        <w:rPr>
          <w:lang w:val="en-US"/>
        </w:rPr>
        <w:t xml:space="preserve"> and</w:t>
      </w:r>
      <w:r w:rsidR="00086A86" w:rsidRPr="00E42EAE">
        <w:rPr>
          <w:lang w:val="en-US"/>
        </w:rPr>
        <w:t xml:space="preserve"> the</w:t>
      </w:r>
      <w:r w:rsidRPr="00E42EAE">
        <w:rPr>
          <w:lang w:val="en-US"/>
        </w:rPr>
        <w:t xml:space="preserve"> new resulting equilibrium between legal and economic forces more efficient? </w:t>
      </w:r>
      <w:r w:rsidR="00C74590" w:rsidRPr="00E42EAE">
        <w:rPr>
          <w:lang w:val="en-US"/>
        </w:rPr>
        <w:t xml:space="preserve">Grimmelmann and Zhang draw a useful distinction of maximizing behaviour in </w:t>
      </w:r>
      <w:r w:rsidR="00261D99" w:rsidRPr="00E42EAE">
        <w:rPr>
          <w:lang w:val="en-US"/>
        </w:rPr>
        <w:t>online</w:t>
      </w:r>
      <w:r w:rsidR="00261D99" w:rsidRPr="00E42EAE">
        <w:rPr>
          <w:i/>
          <w:iCs/>
          <w:lang w:val="en-US"/>
        </w:rPr>
        <w:t xml:space="preserve"> </w:t>
      </w:r>
      <w:r w:rsidR="00C74590" w:rsidRPr="00E42EAE">
        <w:rPr>
          <w:lang w:val="en-US"/>
        </w:rPr>
        <w:t>platform regulation.</w:t>
      </w:r>
      <w:r w:rsidR="00C74590" w:rsidRPr="00E42EAE">
        <w:rPr>
          <w:rStyle w:val="FootnoteReference"/>
          <w:lang w:val="en-US"/>
        </w:rPr>
        <w:footnoteReference w:id="79"/>
      </w:r>
      <w:r w:rsidR="00C74590" w:rsidRPr="00E42EAE">
        <w:rPr>
          <w:lang w:val="en-US"/>
        </w:rPr>
        <w:t xml:space="preserve"> </w:t>
      </w:r>
      <w:r w:rsidR="00261D99" w:rsidRPr="00E42EAE">
        <w:rPr>
          <w:lang w:val="en-US"/>
        </w:rPr>
        <w:t>Online</w:t>
      </w:r>
      <w:r w:rsidR="00261D99" w:rsidRPr="00E42EAE">
        <w:rPr>
          <w:i/>
          <w:iCs/>
          <w:lang w:val="en-US"/>
        </w:rPr>
        <w:t xml:space="preserve"> </w:t>
      </w:r>
      <w:r w:rsidR="00970CB8" w:rsidRPr="00E42EAE">
        <w:rPr>
          <w:lang w:val="en-US"/>
        </w:rPr>
        <w:t xml:space="preserve">platforms pursue self-maximization where their decisions are shaped by internal utility functions such as metrics, user engagement or </w:t>
      </w:r>
      <w:r w:rsidR="00970CB8" w:rsidRPr="00E42EAE">
        <w:rPr>
          <w:lang w:val="en-US"/>
        </w:rPr>
        <w:lastRenderedPageBreak/>
        <w:t>advertisement.</w:t>
      </w:r>
      <w:r w:rsidR="00DA012C" w:rsidRPr="00E42EAE">
        <w:rPr>
          <w:rStyle w:val="FootnoteReference"/>
          <w:lang w:val="en-US"/>
        </w:rPr>
        <w:footnoteReference w:id="80"/>
      </w:r>
      <w:r w:rsidR="00C435C7" w:rsidRPr="00E42EAE">
        <w:rPr>
          <w:lang w:val="en-US"/>
        </w:rPr>
        <w:t xml:space="preserve"> </w:t>
      </w:r>
      <w:r w:rsidR="00B201E6" w:rsidRPr="00E42EAE">
        <w:rPr>
          <w:lang w:val="en-US"/>
        </w:rPr>
        <w:t>E</w:t>
      </w:r>
      <w:r w:rsidR="00C435C7" w:rsidRPr="00E42EAE">
        <w:rPr>
          <w:lang w:val="en-US"/>
        </w:rPr>
        <w:t xml:space="preserve">ven harmful content with negative externalities </w:t>
      </w:r>
      <w:r w:rsidR="00BD5521" w:rsidRPr="00E42EAE">
        <w:rPr>
          <w:lang w:val="en-US"/>
        </w:rPr>
        <w:t xml:space="preserve">can boost </w:t>
      </w:r>
      <w:r w:rsidR="00CE4E45" w:rsidRPr="00E42EAE">
        <w:rPr>
          <w:lang w:val="en-US"/>
        </w:rPr>
        <w:t>platform’s benefits.</w:t>
      </w:r>
      <w:r w:rsidR="00CE4E45" w:rsidRPr="00E42EAE">
        <w:rPr>
          <w:rStyle w:val="FootnoteReference"/>
          <w:lang w:val="en-US"/>
        </w:rPr>
        <w:footnoteReference w:id="81"/>
      </w:r>
      <w:r w:rsidR="00F007FA" w:rsidRPr="00E42EAE">
        <w:rPr>
          <w:lang w:val="en-US"/>
        </w:rPr>
        <w:t xml:space="preserve"> </w:t>
      </w:r>
      <w:r w:rsidR="00BD5521" w:rsidRPr="00E42EAE">
        <w:rPr>
          <w:lang w:val="en-US"/>
        </w:rPr>
        <w:t xml:space="preserve">As such, platform efficient behaviour diverges from socially efficient outcome where total welfare maximization </w:t>
      </w:r>
      <w:r w:rsidR="00E623E7" w:rsidRPr="00E42EAE">
        <w:rPr>
          <w:lang w:val="en-US"/>
        </w:rPr>
        <w:t>is pursued, including reducing said externalities.</w:t>
      </w:r>
      <w:r w:rsidR="00A662F3" w:rsidRPr="00E42EAE">
        <w:rPr>
          <w:rStyle w:val="FootnoteReference"/>
          <w:lang w:val="en-US"/>
        </w:rPr>
        <w:footnoteReference w:id="82"/>
      </w:r>
    </w:p>
    <w:p w14:paraId="237F29C6" w14:textId="39C1817F" w:rsidR="0091708E" w:rsidRPr="00E42EAE" w:rsidRDefault="00885690" w:rsidP="00BB2684">
      <w:pPr>
        <w:pStyle w:val="Nextparagraphs"/>
        <w:rPr>
          <w:lang w:val="en-US"/>
        </w:rPr>
      </w:pPr>
      <w:r w:rsidRPr="00E42EAE">
        <w:rPr>
          <w:lang w:val="en-US"/>
        </w:rPr>
        <w:t>Consequently, the efficiency gap exists. It can stem either from undermoderation where</w:t>
      </w:r>
      <w:r w:rsidR="004C67C6" w:rsidRPr="00E42EAE">
        <w:rPr>
          <w:lang w:val="en-US"/>
        </w:rPr>
        <w:t xml:space="preserve"> platform leaves online content harming social welfare or overmoderation where social welfare suffers due to </w:t>
      </w:r>
      <w:r w:rsidR="00352D2F" w:rsidRPr="00E42EAE">
        <w:rPr>
          <w:lang w:val="en-US"/>
        </w:rPr>
        <w:t>removal of non-harmful content that does not generate revenue.</w:t>
      </w:r>
      <w:r w:rsidR="00275EB7" w:rsidRPr="00E42EAE">
        <w:rPr>
          <w:rStyle w:val="FootnoteReference"/>
          <w:lang w:val="en-US"/>
        </w:rPr>
        <w:footnoteReference w:id="83"/>
      </w:r>
      <w:r w:rsidR="00352D2F" w:rsidRPr="00E42EAE">
        <w:rPr>
          <w:lang w:val="en-US"/>
        </w:rPr>
        <w:t xml:space="preserve"> </w:t>
      </w:r>
      <w:r w:rsidR="00B64E18" w:rsidRPr="00E42EAE">
        <w:rPr>
          <w:lang w:val="en-US"/>
        </w:rPr>
        <w:t xml:space="preserve">In </w:t>
      </w:r>
      <w:r w:rsidR="00A84298" w:rsidRPr="00E42EAE">
        <w:rPr>
          <w:lang w:val="en-US"/>
        </w:rPr>
        <w:t xml:space="preserve">these cases, platforms fail to internalize externalities, particularly the costs of harmful content and </w:t>
      </w:r>
      <w:r w:rsidR="00C71BE7" w:rsidRPr="00E42EAE">
        <w:rPr>
          <w:lang w:val="en-US"/>
        </w:rPr>
        <w:t>full value of non-harmful content.</w:t>
      </w:r>
      <w:r w:rsidR="00E47E05" w:rsidRPr="00E42EAE">
        <w:rPr>
          <w:rStyle w:val="FootnoteReference"/>
          <w:lang w:val="en-US"/>
        </w:rPr>
        <w:footnoteReference w:id="84"/>
      </w:r>
      <w:r w:rsidR="0091708E" w:rsidRPr="00E42EAE">
        <w:rPr>
          <w:lang w:val="en-US"/>
        </w:rPr>
        <w:t xml:space="preserve"> </w:t>
      </w:r>
      <w:r w:rsidR="00C71BE7" w:rsidRPr="00E42EAE">
        <w:rPr>
          <w:lang w:val="en-US"/>
        </w:rPr>
        <w:t>Grimmelmann and Zhang continue to discuss how various models of platform liability influence the efficiency gap.</w:t>
      </w:r>
      <w:r w:rsidR="00736E05" w:rsidRPr="00E42EAE">
        <w:rPr>
          <w:rStyle w:val="FootnoteReference"/>
          <w:lang w:val="en-US"/>
        </w:rPr>
        <w:footnoteReference w:id="85"/>
      </w:r>
      <w:r w:rsidR="00C71BE7" w:rsidRPr="00E42EAE">
        <w:rPr>
          <w:lang w:val="en-US"/>
        </w:rPr>
        <w:t xml:space="preserve"> </w:t>
      </w:r>
    </w:p>
    <w:p w14:paraId="05830789" w14:textId="70B7A3BA" w:rsidR="00C6757D" w:rsidRPr="00E42EAE" w:rsidRDefault="008B4E38" w:rsidP="00C6757D">
      <w:pPr>
        <w:pStyle w:val="Nextparagraphs"/>
        <w:rPr>
          <w:lang w:val="en-US"/>
        </w:rPr>
      </w:pPr>
      <w:r w:rsidRPr="00E42EAE">
        <w:rPr>
          <w:lang w:val="en-US"/>
        </w:rPr>
        <w:t>DSA</w:t>
      </w:r>
      <w:r w:rsidR="0091708E" w:rsidRPr="00E42EAE">
        <w:rPr>
          <w:lang w:val="en-US"/>
        </w:rPr>
        <w:t>, particularly,</w:t>
      </w:r>
      <w:r w:rsidRPr="00E42EAE">
        <w:rPr>
          <w:lang w:val="en-US"/>
        </w:rPr>
        <w:t xml:space="preserve"> introduces conditioned liability where platforms are protected unless they fail to act on actual knowledge</w:t>
      </w:r>
      <w:r w:rsidR="00F60C08" w:rsidRPr="00E42EAE">
        <w:rPr>
          <w:lang w:val="en-US"/>
        </w:rPr>
        <w:t xml:space="preserve"> while not </w:t>
      </w:r>
      <w:r w:rsidR="00EA6123" w:rsidRPr="00E42EAE">
        <w:rPr>
          <w:lang w:val="en-US"/>
        </w:rPr>
        <w:t>disincentivizing</w:t>
      </w:r>
      <w:r w:rsidR="00F60C08" w:rsidRPr="00E42EAE">
        <w:rPr>
          <w:lang w:val="en-US"/>
        </w:rPr>
        <w:t xml:space="preserve"> </w:t>
      </w:r>
      <w:r w:rsidR="00EA6123" w:rsidRPr="00E42EAE">
        <w:rPr>
          <w:lang w:val="en-US"/>
        </w:rPr>
        <w:t>voluntary moderation</w:t>
      </w:r>
      <w:r w:rsidR="00FB38EC" w:rsidRPr="00E42EAE">
        <w:rPr>
          <w:lang w:val="en-US"/>
        </w:rPr>
        <w:t xml:space="preserve"> which steers the efficiency closer to socia</w:t>
      </w:r>
      <w:r w:rsidR="00F60C08" w:rsidRPr="00E42EAE">
        <w:rPr>
          <w:lang w:val="en-US"/>
        </w:rPr>
        <w:t>l welfare.</w:t>
      </w:r>
      <w:r w:rsidR="002E3E9C" w:rsidRPr="00E42EAE">
        <w:rPr>
          <w:rStyle w:val="FootnoteReference"/>
          <w:lang w:val="en-US"/>
        </w:rPr>
        <w:footnoteReference w:id="86"/>
      </w:r>
      <w:r w:rsidR="0091708E" w:rsidRPr="00E42EAE">
        <w:rPr>
          <w:lang w:val="en-US"/>
        </w:rPr>
        <w:t xml:space="preserve"> As such, DSA avoids several </w:t>
      </w:r>
      <w:r w:rsidR="00EF1567" w:rsidRPr="00E42EAE">
        <w:rPr>
          <w:lang w:val="en-US"/>
        </w:rPr>
        <w:t>inefficiencies</w:t>
      </w:r>
      <w:r w:rsidR="005F1284" w:rsidRPr="00E42EAE">
        <w:rPr>
          <w:lang w:val="en-US"/>
        </w:rPr>
        <w:t xml:space="preserve"> observed in Grimmelmann and Zhang model.</w:t>
      </w:r>
      <w:r w:rsidR="005F1284" w:rsidRPr="00E42EAE">
        <w:rPr>
          <w:rStyle w:val="FootnoteReference"/>
          <w:lang w:val="en-US"/>
        </w:rPr>
        <w:footnoteReference w:id="87"/>
      </w:r>
      <w:r w:rsidR="00E2433F" w:rsidRPr="00E42EAE">
        <w:rPr>
          <w:lang w:val="en-US"/>
        </w:rPr>
        <w:t xml:space="preserve"> Article 17 CDSM, on the other hand imposes </w:t>
      </w:r>
      <w:r w:rsidR="00E94242" w:rsidRPr="00E42EAE">
        <w:rPr>
          <w:lang w:val="en-US"/>
        </w:rPr>
        <w:t>model closer to strict liability.</w:t>
      </w:r>
      <w:r w:rsidR="00E94242" w:rsidRPr="00E42EAE">
        <w:rPr>
          <w:rStyle w:val="FootnoteReference"/>
          <w:lang w:val="en-US"/>
        </w:rPr>
        <w:footnoteReference w:id="88"/>
      </w:r>
      <w:r w:rsidR="0012363C" w:rsidRPr="00E42EAE">
        <w:rPr>
          <w:lang w:val="en-US"/>
        </w:rPr>
        <w:t xml:space="preserve"> </w:t>
      </w:r>
      <w:r w:rsidR="004E74D5" w:rsidRPr="00E42EAE">
        <w:rPr>
          <w:lang w:val="en-US"/>
        </w:rPr>
        <w:t xml:space="preserve">As such, the model results in </w:t>
      </w:r>
      <w:r w:rsidR="00426B61" w:rsidRPr="00E42EAE">
        <w:rPr>
          <w:lang w:val="en-US"/>
        </w:rPr>
        <w:t>overmoderation</w:t>
      </w:r>
      <w:r w:rsidR="004E74D5" w:rsidRPr="00E42EAE">
        <w:rPr>
          <w:lang w:val="en-US"/>
        </w:rPr>
        <w:t xml:space="preserve"> and losing on social welfare.</w:t>
      </w:r>
      <w:r w:rsidR="004E74D5" w:rsidRPr="00E42EAE">
        <w:rPr>
          <w:rStyle w:val="FootnoteReference"/>
          <w:lang w:val="en-US"/>
        </w:rPr>
        <w:footnoteReference w:id="89"/>
      </w:r>
      <w:r w:rsidR="00C6757D" w:rsidRPr="00E42EAE">
        <w:rPr>
          <w:lang w:val="en-US"/>
        </w:rPr>
        <w:t xml:space="preserve"> Grimmelmann and Zhang describe several policies that can limit the </w:t>
      </w:r>
      <w:r w:rsidR="00426B61" w:rsidRPr="00E42EAE">
        <w:rPr>
          <w:lang w:val="en-US"/>
        </w:rPr>
        <w:t>overmoderation</w:t>
      </w:r>
      <w:r w:rsidR="00C6757D" w:rsidRPr="00E42EAE">
        <w:rPr>
          <w:lang w:val="en-US"/>
        </w:rPr>
        <w:t xml:space="preserve"> but Article 17 CDSM fails to incorporate any outlined strategy.</w:t>
      </w:r>
      <w:r w:rsidR="00C6757D" w:rsidRPr="00E42EAE">
        <w:rPr>
          <w:rStyle w:val="FootnoteReference"/>
          <w:lang w:val="en-US"/>
        </w:rPr>
        <w:footnoteReference w:id="90"/>
      </w:r>
      <w:r w:rsidR="00C6757D" w:rsidRPr="00E42EAE">
        <w:rPr>
          <w:lang w:val="en-US"/>
        </w:rPr>
        <w:t xml:space="preserve"> Instead it merely imposes normative limits meant to protect the users that are likely failing users.</w:t>
      </w:r>
      <w:r w:rsidR="00C6757D" w:rsidRPr="00E42EAE">
        <w:rPr>
          <w:rStyle w:val="FootnoteReference"/>
          <w:lang w:val="en-US"/>
        </w:rPr>
        <w:footnoteReference w:id="91"/>
      </w:r>
    </w:p>
    <w:p w14:paraId="02F66EEB" w14:textId="57A87AC5" w:rsidR="004E3C67" w:rsidRPr="00E42EAE" w:rsidRDefault="0079372D" w:rsidP="00AD4122">
      <w:pPr>
        <w:pStyle w:val="Heading2"/>
      </w:pPr>
      <w:bookmarkStart w:id="6" w:name="_Toc215751869"/>
      <w:r w:rsidRPr="00E42EAE">
        <w:t>Fairness, consumer welfare and efficiency</w:t>
      </w:r>
      <w:r w:rsidR="00671A92" w:rsidRPr="00E42EAE">
        <w:t xml:space="preserve">: </w:t>
      </w:r>
      <w:r w:rsidR="00ED2A73" w:rsidRPr="00E42EAE">
        <w:t>regulatory modalities and legal-economic nexus</w:t>
      </w:r>
      <w:bookmarkEnd w:id="6"/>
    </w:p>
    <w:p w14:paraId="3951CBA5" w14:textId="65132A06" w:rsidR="00FE0DFE" w:rsidRPr="00E42EAE" w:rsidRDefault="00140467" w:rsidP="00AD27BC">
      <w:pPr>
        <w:pStyle w:val="Firstparagraph"/>
        <w:rPr>
          <w:lang w:val="en-US"/>
        </w:rPr>
      </w:pPr>
      <w:r w:rsidRPr="00E42EAE">
        <w:rPr>
          <w:lang w:val="en-US"/>
        </w:rPr>
        <w:t>Fairness, consumer welfare and efficiency together form a</w:t>
      </w:r>
      <w:r w:rsidR="003251FE" w:rsidRPr="00E42EAE">
        <w:rPr>
          <w:lang w:val="en-US"/>
        </w:rPr>
        <w:t xml:space="preserve"> dynamic </w:t>
      </w:r>
      <w:r w:rsidRPr="00E42EAE">
        <w:rPr>
          <w:lang w:val="en-US"/>
        </w:rPr>
        <w:t xml:space="preserve">triangle </w:t>
      </w:r>
      <w:r w:rsidR="000F5A9D" w:rsidRPr="00E42EAE">
        <w:rPr>
          <w:lang w:val="en-US"/>
        </w:rPr>
        <w:t>of codependent interactions.</w:t>
      </w:r>
      <w:r w:rsidR="008D152B" w:rsidRPr="00E42EAE">
        <w:rPr>
          <w:lang w:val="en-US"/>
        </w:rPr>
        <w:t xml:space="preserve"> </w:t>
      </w:r>
      <w:r w:rsidR="000F5A9D" w:rsidRPr="00E42EAE">
        <w:rPr>
          <w:lang w:val="en-US"/>
        </w:rPr>
        <w:t>As highlighted in previous parts, f</w:t>
      </w:r>
      <w:r w:rsidR="008D152B" w:rsidRPr="00E42EAE">
        <w:rPr>
          <w:lang w:val="en-US"/>
        </w:rPr>
        <w:t xml:space="preserve">airness and consumer welfare </w:t>
      </w:r>
      <w:r w:rsidR="00784AA2" w:rsidRPr="00E42EAE">
        <w:rPr>
          <w:lang w:val="en-US"/>
        </w:rPr>
        <w:t xml:space="preserve">are normative standards that form part of </w:t>
      </w:r>
      <w:r w:rsidR="00E1111D" w:rsidRPr="00E42EAE">
        <w:rPr>
          <w:lang w:val="en-US"/>
        </w:rPr>
        <w:t xml:space="preserve">legal </w:t>
      </w:r>
      <w:r w:rsidR="000F5A9D" w:rsidRPr="00E42EAE">
        <w:rPr>
          <w:lang w:val="en-US"/>
        </w:rPr>
        <w:t>regulation while e</w:t>
      </w:r>
      <w:r w:rsidR="009C0D3F" w:rsidRPr="00E42EAE">
        <w:rPr>
          <w:lang w:val="en-US"/>
        </w:rPr>
        <w:t xml:space="preserve">fficiency </w:t>
      </w:r>
      <w:r w:rsidR="000E2524" w:rsidRPr="00E42EAE">
        <w:rPr>
          <w:lang w:val="en-US"/>
        </w:rPr>
        <w:t xml:space="preserve">reflects the economic </w:t>
      </w:r>
      <w:r w:rsidR="000F5A9D" w:rsidRPr="00E42EAE">
        <w:rPr>
          <w:lang w:val="en-US"/>
        </w:rPr>
        <w:t>regulation</w:t>
      </w:r>
      <w:r w:rsidR="000E2524" w:rsidRPr="00E42EAE">
        <w:rPr>
          <w:lang w:val="en-US"/>
        </w:rPr>
        <w:t xml:space="preserve">. </w:t>
      </w:r>
      <w:r w:rsidR="00E1111D" w:rsidRPr="00E42EAE">
        <w:rPr>
          <w:lang w:val="en-US"/>
        </w:rPr>
        <w:t xml:space="preserve">Together, these </w:t>
      </w:r>
      <w:r w:rsidR="00E1111D" w:rsidRPr="00E42EAE">
        <w:rPr>
          <w:lang w:val="en-US"/>
        </w:rPr>
        <w:lastRenderedPageBreak/>
        <w:t xml:space="preserve">forces </w:t>
      </w:r>
      <w:r w:rsidR="0068467E" w:rsidRPr="00E42EAE">
        <w:rPr>
          <w:lang w:val="en-US"/>
        </w:rPr>
        <w:t xml:space="preserve">push and pull and create </w:t>
      </w:r>
      <w:r w:rsidR="0072398F" w:rsidRPr="00E42EAE">
        <w:rPr>
          <w:lang w:val="en-US"/>
        </w:rPr>
        <w:t xml:space="preserve">the broader regulatory framework where no </w:t>
      </w:r>
      <w:r w:rsidR="001D68AA" w:rsidRPr="00E42EAE">
        <w:rPr>
          <w:lang w:val="en-US"/>
        </w:rPr>
        <w:t>isolated</w:t>
      </w:r>
      <w:r w:rsidR="0072398F" w:rsidRPr="00E42EAE">
        <w:rPr>
          <w:lang w:val="en-US"/>
        </w:rPr>
        <w:t xml:space="preserve"> regulatory force is responsible for regulatory outcomes</w:t>
      </w:r>
      <w:r w:rsidR="009B1073" w:rsidRPr="00E42EAE">
        <w:rPr>
          <w:lang w:val="en-US"/>
        </w:rPr>
        <w:t>.</w:t>
      </w:r>
      <w:r w:rsidR="009B1073" w:rsidRPr="00E42EAE">
        <w:rPr>
          <w:rStyle w:val="FootnoteReference"/>
          <w:lang w:val="en-US"/>
        </w:rPr>
        <w:footnoteReference w:id="92"/>
      </w:r>
    </w:p>
    <w:p w14:paraId="13881761" w14:textId="4CCAAEE9" w:rsidR="00711802" w:rsidRPr="00E42EAE" w:rsidRDefault="00AF57A1" w:rsidP="0068467E">
      <w:pPr>
        <w:pStyle w:val="Nextparagraphs"/>
        <w:rPr>
          <w:i/>
          <w:iCs/>
          <w:lang w:val="en-US"/>
        </w:rPr>
      </w:pPr>
      <w:r w:rsidRPr="00E42EAE">
        <w:rPr>
          <w:lang w:val="en-US"/>
        </w:rPr>
        <w:t>Our understanding builds on conceptual frameworks</w:t>
      </w:r>
      <w:r w:rsidR="0068467E" w:rsidRPr="00E42EAE">
        <w:rPr>
          <w:lang w:val="en-US"/>
        </w:rPr>
        <w:t xml:space="preserve"> from law and technology and law and economics theory</w:t>
      </w:r>
      <w:r w:rsidRPr="00E42EAE">
        <w:rPr>
          <w:lang w:val="en-US"/>
        </w:rPr>
        <w:t xml:space="preserve">. </w:t>
      </w:r>
      <w:r w:rsidR="0068467E" w:rsidRPr="00E42EAE">
        <w:rPr>
          <w:lang w:val="en-US"/>
        </w:rPr>
        <w:t xml:space="preserve">In law and technology theory, Lessing distinguished </w:t>
      </w:r>
      <w:r w:rsidR="00B61BFD" w:rsidRPr="00E42EAE">
        <w:rPr>
          <w:lang w:val="en-US"/>
        </w:rPr>
        <w:t>four regulatory forces</w:t>
      </w:r>
      <w:r w:rsidR="00E7439E" w:rsidRPr="00E42EAE">
        <w:rPr>
          <w:lang w:val="en-US"/>
        </w:rPr>
        <w:t xml:space="preserve"> of law, markets, technology and social norms</w:t>
      </w:r>
      <w:r w:rsidR="00B61BFD" w:rsidRPr="00E42EAE">
        <w:rPr>
          <w:lang w:val="en-US"/>
        </w:rPr>
        <w:t xml:space="preserve"> that together </w:t>
      </w:r>
      <w:r w:rsidR="00605434" w:rsidRPr="00E42EAE">
        <w:rPr>
          <w:lang w:val="en-US"/>
        </w:rPr>
        <w:t>regulate individuals’ behaviour.</w:t>
      </w:r>
      <w:r w:rsidR="0068467E" w:rsidRPr="00E42EAE">
        <w:rPr>
          <w:rStyle w:val="FootnoteReference"/>
          <w:lang w:val="en-US"/>
        </w:rPr>
        <w:footnoteReference w:id="93"/>
      </w:r>
      <w:r w:rsidR="00605434" w:rsidRPr="00E42EAE">
        <w:rPr>
          <w:lang w:val="en-US"/>
        </w:rPr>
        <w:t xml:space="preserve"> </w:t>
      </w:r>
      <w:r w:rsidR="00E7439E" w:rsidRPr="00E42EAE">
        <w:rPr>
          <w:lang w:val="en-US"/>
        </w:rPr>
        <w:t xml:space="preserve">In law and economics, on the other hand, </w:t>
      </w:r>
      <w:r w:rsidR="00D5345E" w:rsidRPr="00E42EAE">
        <w:rPr>
          <w:lang w:val="en-US"/>
        </w:rPr>
        <w:t>Samuel</w:t>
      </w:r>
      <w:r w:rsidR="00C501B3" w:rsidRPr="00E42EAE">
        <w:rPr>
          <w:lang w:val="en-US"/>
        </w:rPr>
        <w:t>s</w:t>
      </w:r>
      <w:r w:rsidR="00E7439E" w:rsidRPr="00E42EAE">
        <w:rPr>
          <w:lang w:val="en-US"/>
        </w:rPr>
        <w:t xml:space="preserve"> outlines </w:t>
      </w:r>
      <w:r w:rsidR="00C501B3" w:rsidRPr="00E42EAE">
        <w:rPr>
          <w:lang w:val="en-US"/>
        </w:rPr>
        <w:t>the legal-economic nexus where law and markets interact and are mutually dependent.</w:t>
      </w:r>
      <w:r w:rsidR="005E1CDB" w:rsidRPr="00E42EAE">
        <w:rPr>
          <w:rStyle w:val="FootnoteReference"/>
          <w:lang w:val="en-US"/>
        </w:rPr>
        <w:footnoteReference w:id="94"/>
      </w:r>
      <w:r w:rsidR="00CF4511" w:rsidRPr="00E42EAE">
        <w:rPr>
          <w:lang w:val="en-US"/>
        </w:rPr>
        <w:t xml:space="preserve"> Particularly, he notes that: </w:t>
      </w:r>
      <w:r w:rsidR="00711802" w:rsidRPr="00E42EAE">
        <w:rPr>
          <w:i/>
          <w:iCs/>
          <w:lang w:val="en-US"/>
        </w:rPr>
        <w:t>“</w:t>
      </w:r>
      <w:r w:rsidR="000C718B" w:rsidRPr="00E42EAE">
        <w:rPr>
          <w:i/>
          <w:iCs/>
          <w:lang w:val="en-US"/>
        </w:rPr>
        <w:t>the law is a function of the economy, and the economy (…) is a function of law.</w:t>
      </w:r>
      <w:r w:rsidR="00711802" w:rsidRPr="00E42EAE">
        <w:rPr>
          <w:i/>
          <w:iCs/>
          <w:lang w:val="en-US"/>
        </w:rPr>
        <w:t>”</w:t>
      </w:r>
      <w:r w:rsidR="00FA73EB" w:rsidRPr="00E42EAE">
        <w:rPr>
          <w:rStyle w:val="FootnoteReference"/>
          <w:i/>
          <w:iCs/>
          <w:lang w:val="en-US"/>
        </w:rPr>
        <w:footnoteReference w:id="95"/>
      </w:r>
    </w:p>
    <w:p w14:paraId="4F621138" w14:textId="4C9AD1AB" w:rsidR="005065A8" w:rsidRPr="00E42EAE" w:rsidRDefault="00B13729" w:rsidP="00370AC1">
      <w:pPr>
        <w:pStyle w:val="Nextparagraphs"/>
        <w:rPr>
          <w:lang w:val="en-US"/>
        </w:rPr>
      </w:pPr>
      <w:r w:rsidRPr="00E42EAE">
        <w:rPr>
          <w:lang w:val="en-US"/>
        </w:rPr>
        <w:t>These theoretical frameworks</w:t>
      </w:r>
      <w:r w:rsidR="00370AC1" w:rsidRPr="00E42EAE">
        <w:rPr>
          <w:lang w:val="en-US"/>
        </w:rPr>
        <w:t xml:space="preserve"> together </w:t>
      </w:r>
      <w:r w:rsidRPr="00E42EAE">
        <w:rPr>
          <w:lang w:val="en-US"/>
        </w:rPr>
        <w:t>teach a</w:t>
      </w:r>
      <w:r w:rsidR="00370AC1" w:rsidRPr="00E42EAE">
        <w:rPr>
          <w:lang w:val="en-US"/>
        </w:rPr>
        <w:t xml:space="preserve"> </w:t>
      </w:r>
      <w:r w:rsidR="005065A8" w:rsidRPr="00E42EAE">
        <w:rPr>
          <w:lang w:val="en-US"/>
        </w:rPr>
        <w:t xml:space="preserve">very similar lesson, albeit from different perspectives. Law does not exist in vacuum. </w:t>
      </w:r>
      <w:r w:rsidR="00AB5AB6" w:rsidRPr="00E42EAE">
        <w:rPr>
          <w:lang w:val="en-US"/>
        </w:rPr>
        <w:t>Regulatory forces coexist and mutually influence each other.</w:t>
      </w:r>
      <w:r w:rsidR="0091185C" w:rsidRPr="00E42EAE">
        <w:rPr>
          <w:rStyle w:val="FootnoteReference"/>
          <w:lang w:val="en-US"/>
        </w:rPr>
        <w:footnoteReference w:id="96"/>
      </w:r>
      <w:r w:rsidR="00064D3F" w:rsidRPr="00E42EAE">
        <w:rPr>
          <w:lang w:val="en-US"/>
        </w:rPr>
        <w:t xml:space="preserve"> Its results are product of dynamic</w:t>
      </w:r>
      <w:r w:rsidR="00394850" w:rsidRPr="00E42EAE">
        <w:rPr>
          <w:lang w:val="en-US"/>
        </w:rPr>
        <w:t xml:space="preserve"> interdependent </w:t>
      </w:r>
      <w:r w:rsidR="004F21D7" w:rsidRPr="00E42EAE">
        <w:rPr>
          <w:lang w:val="en-US"/>
        </w:rPr>
        <w:t>system where shift in one regulatory modality provokes response in others.</w:t>
      </w:r>
      <w:r w:rsidR="005F7350" w:rsidRPr="00E42EAE">
        <w:rPr>
          <w:rStyle w:val="FootnoteReference"/>
          <w:lang w:val="en-US"/>
        </w:rPr>
        <w:footnoteReference w:id="97"/>
      </w:r>
      <w:r w:rsidR="004F21D7" w:rsidRPr="00E42EAE">
        <w:rPr>
          <w:lang w:val="en-US"/>
        </w:rPr>
        <w:t xml:space="preserve"> </w:t>
      </w:r>
      <w:r w:rsidR="005065A8" w:rsidRPr="00E42EAE">
        <w:rPr>
          <w:lang w:val="en-US"/>
        </w:rPr>
        <w:t>To truly understand legal impacts</w:t>
      </w:r>
      <w:r w:rsidR="004F21D7" w:rsidRPr="00E42EAE">
        <w:rPr>
          <w:lang w:val="en-US"/>
        </w:rPr>
        <w:t>, such as the outcome of DSA</w:t>
      </w:r>
      <w:r w:rsidR="0066170E" w:rsidRPr="00E42EAE">
        <w:rPr>
          <w:lang w:val="en-US"/>
        </w:rPr>
        <w:t xml:space="preserve"> and CDSM</w:t>
      </w:r>
      <w:r w:rsidR="005065A8" w:rsidRPr="00E42EAE">
        <w:rPr>
          <w:lang w:val="en-US"/>
        </w:rPr>
        <w:t xml:space="preserve">, one must investigate </w:t>
      </w:r>
      <w:r w:rsidR="006C22F4" w:rsidRPr="00E42EAE">
        <w:rPr>
          <w:lang w:val="en-US"/>
        </w:rPr>
        <w:t xml:space="preserve">beyond the formal content of </w:t>
      </w:r>
      <w:r w:rsidR="00D17AA4" w:rsidRPr="00E42EAE">
        <w:rPr>
          <w:lang w:val="en-US"/>
        </w:rPr>
        <w:t>law</w:t>
      </w:r>
      <w:r w:rsidR="006C22F4" w:rsidRPr="00E42EAE">
        <w:rPr>
          <w:lang w:val="en-US"/>
        </w:rPr>
        <w:t xml:space="preserve">. Consequently, the </w:t>
      </w:r>
      <w:r w:rsidR="005065A8" w:rsidRPr="00E42EAE">
        <w:rPr>
          <w:lang w:val="en-US"/>
        </w:rPr>
        <w:t>tensions of regulatory forces</w:t>
      </w:r>
      <w:r w:rsidR="006C22F4" w:rsidRPr="00E42EAE">
        <w:rPr>
          <w:lang w:val="en-US"/>
        </w:rPr>
        <w:t xml:space="preserve"> come forward</w:t>
      </w:r>
      <w:r w:rsidR="00AD16DE" w:rsidRPr="00E42EAE">
        <w:rPr>
          <w:lang w:val="en-US"/>
        </w:rPr>
        <w:t>.</w:t>
      </w:r>
    </w:p>
    <w:p w14:paraId="015549B8" w14:textId="52FB653E" w:rsidR="005065A8" w:rsidRPr="00E42EAE" w:rsidRDefault="00BB131A" w:rsidP="00370AC1">
      <w:pPr>
        <w:pStyle w:val="Nextparagraphs"/>
        <w:rPr>
          <w:lang w:val="en-US"/>
        </w:rPr>
      </w:pPr>
      <w:r w:rsidRPr="00E42EAE">
        <w:rPr>
          <w:lang w:val="en-US"/>
        </w:rPr>
        <w:t>Interactions of economic and legal standards discussed in this article capture this regulatory “</w:t>
      </w:r>
      <w:r w:rsidRPr="00E42EAE">
        <w:rPr>
          <w:i/>
          <w:iCs/>
          <w:lang w:val="en-US"/>
        </w:rPr>
        <w:t>tug of war</w:t>
      </w:r>
      <w:r w:rsidRPr="00E42EAE">
        <w:rPr>
          <w:lang w:val="en-US"/>
        </w:rPr>
        <w:t xml:space="preserve">”. </w:t>
      </w:r>
      <w:r w:rsidR="00723C22" w:rsidRPr="00E42EAE">
        <w:rPr>
          <w:lang w:val="en-US"/>
        </w:rPr>
        <w:t xml:space="preserve">Platforms guided by their self-maximizing interests seek to </w:t>
      </w:r>
      <w:r w:rsidR="002F3433" w:rsidRPr="00E42EAE">
        <w:rPr>
          <w:lang w:val="en-US"/>
        </w:rPr>
        <w:t>optimize revenues, engagement and operation costs.</w:t>
      </w:r>
      <w:r w:rsidR="00BD124C" w:rsidRPr="00E42EAE">
        <w:rPr>
          <w:rStyle w:val="FootnoteReference"/>
          <w:lang w:val="en-US"/>
        </w:rPr>
        <w:footnoteReference w:id="98"/>
      </w:r>
      <w:r w:rsidR="002F3433" w:rsidRPr="00E42EAE">
        <w:rPr>
          <w:lang w:val="en-US"/>
        </w:rPr>
        <w:t xml:space="preserve"> Fairness and consumer welfare, on the other hand</w:t>
      </w:r>
      <w:r w:rsidR="00F32CFC" w:rsidRPr="00E42EAE">
        <w:rPr>
          <w:lang w:val="en-US"/>
        </w:rPr>
        <w:t xml:space="preserve">, impose normative constraints that limits the self-maximizing efficient outcome. The result of each force pulling and pushing </w:t>
      </w:r>
      <w:r w:rsidR="001D0BB4" w:rsidRPr="00E42EAE">
        <w:rPr>
          <w:lang w:val="en-US"/>
        </w:rPr>
        <w:t>results in a dynamic equilibrium</w:t>
      </w:r>
      <w:r w:rsidR="00FE0541" w:rsidRPr="00E42EAE">
        <w:rPr>
          <w:lang w:val="en-US"/>
        </w:rPr>
        <w:t xml:space="preserve"> as a point of temporary stability </w:t>
      </w:r>
      <w:r w:rsidR="00B545C4" w:rsidRPr="00E42EAE">
        <w:rPr>
          <w:lang w:val="en-US"/>
        </w:rPr>
        <w:t>of various regulatory forces.</w:t>
      </w:r>
      <w:r w:rsidR="00501B31" w:rsidRPr="00E42EAE">
        <w:rPr>
          <w:rStyle w:val="FootnoteReference"/>
          <w:lang w:val="en-US"/>
        </w:rPr>
        <w:footnoteReference w:id="99"/>
      </w:r>
    </w:p>
    <w:p w14:paraId="5F1A7A4F" w14:textId="27A419EF" w:rsidR="001D0BB4" w:rsidRPr="00E42EAE" w:rsidRDefault="009A0B7C" w:rsidP="00370AC1">
      <w:pPr>
        <w:pStyle w:val="Nextparagraphs"/>
        <w:rPr>
          <w:lang w:val="en-US"/>
        </w:rPr>
      </w:pPr>
      <w:r w:rsidRPr="00E42EAE">
        <w:rPr>
          <w:lang w:val="en-US"/>
        </w:rPr>
        <w:t>DSA</w:t>
      </w:r>
      <w:r w:rsidR="005B706E" w:rsidRPr="00E42EAE">
        <w:rPr>
          <w:lang w:val="en-US"/>
        </w:rPr>
        <w:t xml:space="preserve"> and CDSM</w:t>
      </w:r>
      <w:r w:rsidRPr="00E42EAE">
        <w:rPr>
          <w:lang w:val="en-US"/>
        </w:rPr>
        <w:t xml:space="preserve"> showcase this process where </w:t>
      </w:r>
      <w:r w:rsidR="009C0BA1" w:rsidRPr="00E42EAE">
        <w:rPr>
          <w:lang w:val="en-US"/>
        </w:rPr>
        <w:t>platforms’</w:t>
      </w:r>
      <w:r w:rsidRPr="00E42EAE">
        <w:rPr>
          <w:lang w:val="en-US"/>
        </w:rPr>
        <w:t xml:space="preserve"> efficiency is meant to be reconciled with social efficiency.</w:t>
      </w:r>
      <w:r w:rsidR="009C0BA1" w:rsidRPr="00E42EAE">
        <w:rPr>
          <w:rStyle w:val="FootnoteReference"/>
          <w:lang w:val="en-US"/>
        </w:rPr>
        <w:footnoteReference w:id="100"/>
      </w:r>
      <w:r w:rsidRPr="00E42EAE">
        <w:rPr>
          <w:lang w:val="en-US"/>
        </w:rPr>
        <w:t xml:space="preserve"> </w:t>
      </w:r>
      <w:r w:rsidR="005B706E" w:rsidRPr="00E42EAE">
        <w:rPr>
          <w:lang w:val="en-US"/>
        </w:rPr>
        <w:t>Fairness and consumer welfare in the form of t</w:t>
      </w:r>
      <w:r w:rsidR="00EF7733" w:rsidRPr="00E42EAE">
        <w:rPr>
          <w:lang w:val="en-US"/>
        </w:rPr>
        <w:t xml:space="preserve">ransparency obligations, user rights or systemic risks measures </w:t>
      </w:r>
      <w:r w:rsidR="00A26611" w:rsidRPr="00E42EAE">
        <w:rPr>
          <w:lang w:val="en-US"/>
        </w:rPr>
        <w:t>restrict</w:t>
      </w:r>
      <w:r w:rsidR="00EF7733" w:rsidRPr="00E42EAE">
        <w:rPr>
          <w:lang w:val="en-US"/>
        </w:rPr>
        <w:t xml:space="preserve"> platforms</w:t>
      </w:r>
      <w:r w:rsidR="00A26611" w:rsidRPr="00E42EAE">
        <w:rPr>
          <w:lang w:val="en-US"/>
        </w:rPr>
        <w:t>’ maximizing</w:t>
      </w:r>
      <w:r w:rsidR="00EF7733" w:rsidRPr="00E42EAE">
        <w:rPr>
          <w:lang w:val="en-US"/>
        </w:rPr>
        <w:t xml:space="preserve"> behaviour. </w:t>
      </w:r>
      <w:r w:rsidR="00F72EDB" w:rsidRPr="00E42EAE">
        <w:rPr>
          <w:lang w:val="en-US"/>
        </w:rPr>
        <w:t xml:space="preserve">As a consequence, DSA </w:t>
      </w:r>
      <w:r w:rsidR="005B706E" w:rsidRPr="00E42EAE">
        <w:rPr>
          <w:lang w:val="en-US"/>
        </w:rPr>
        <w:t>and CDSM a</w:t>
      </w:r>
      <w:r w:rsidR="00F72EDB" w:rsidRPr="00E42EAE">
        <w:rPr>
          <w:lang w:val="en-US"/>
        </w:rPr>
        <w:t>ttempt to narrow</w:t>
      </w:r>
      <w:r w:rsidR="00453AD8" w:rsidRPr="00E42EAE">
        <w:rPr>
          <w:lang w:val="en-US"/>
        </w:rPr>
        <w:t xml:space="preserve"> or close</w:t>
      </w:r>
      <w:r w:rsidR="00F72EDB" w:rsidRPr="00E42EAE">
        <w:rPr>
          <w:lang w:val="en-US"/>
        </w:rPr>
        <w:t xml:space="preserve"> the efficiency gap described by Grimmelmann and Zhang.</w:t>
      </w:r>
      <w:r w:rsidR="00453AD8" w:rsidRPr="00E42EAE">
        <w:rPr>
          <w:rStyle w:val="FootnoteReference"/>
          <w:lang w:val="en-US"/>
        </w:rPr>
        <w:footnoteReference w:id="101"/>
      </w:r>
    </w:p>
    <w:p w14:paraId="398D48FC" w14:textId="09162D96" w:rsidR="004A2FBD" w:rsidRPr="00E42EAE" w:rsidRDefault="002B7C42" w:rsidP="00370AC1">
      <w:pPr>
        <w:pStyle w:val="Nextparagraphs"/>
        <w:rPr>
          <w:lang w:val="en-US"/>
        </w:rPr>
      </w:pPr>
      <w:r w:rsidRPr="00E42EAE">
        <w:rPr>
          <w:lang w:val="en-US"/>
        </w:rPr>
        <w:t>Esposito further offers the insight that efficiency is a function of consumer welfare.</w:t>
      </w:r>
      <w:r w:rsidR="00A951AC" w:rsidRPr="00E42EAE">
        <w:rPr>
          <w:rStyle w:val="FootnoteReference"/>
          <w:lang w:val="en-US"/>
        </w:rPr>
        <w:footnoteReference w:id="102"/>
      </w:r>
      <w:r w:rsidRPr="00E42EAE">
        <w:rPr>
          <w:lang w:val="en-US"/>
        </w:rPr>
        <w:t xml:space="preserve"> </w:t>
      </w:r>
      <w:r w:rsidR="00E112D3" w:rsidRPr="00E42EAE">
        <w:rPr>
          <w:lang w:val="en-US"/>
        </w:rPr>
        <w:t>Esposito concludes that the allocative efficiency is concerned with consumer welfare.</w:t>
      </w:r>
      <w:r w:rsidR="00E112D3" w:rsidRPr="00E42EAE">
        <w:rPr>
          <w:rStyle w:val="FootnoteReference"/>
          <w:lang w:val="en-US"/>
        </w:rPr>
        <w:footnoteReference w:id="103"/>
      </w:r>
      <w:r w:rsidR="004B19AA" w:rsidRPr="00E42EAE">
        <w:rPr>
          <w:lang w:val="en-US"/>
        </w:rPr>
        <w:t xml:space="preserve"> To support this conclusion, Esposito first analyses the economic reasoning of allocative efficiency to conclude that consumers are the sovereigns in market economy whose interests as principals should be prioritised as most efficient.</w:t>
      </w:r>
      <w:r w:rsidR="004B19AA" w:rsidRPr="00E42EAE">
        <w:rPr>
          <w:rStyle w:val="FootnoteReference"/>
          <w:lang w:val="en-US"/>
        </w:rPr>
        <w:footnoteReference w:id="104"/>
      </w:r>
      <w:r w:rsidR="00FA5B78" w:rsidRPr="00E42EAE">
        <w:rPr>
          <w:lang w:val="en-US"/>
        </w:rPr>
        <w:t xml:space="preserve"> Esposito further supports these findings with analysis of EU law concluding that </w:t>
      </w:r>
      <w:r w:rsidR="00FA5B78" w:rsidRPr="00E42EAE">
        <w:rPr>
          <w:lang w:val="en-US"/>
        </w:rPr>
        <w:lastRenderedPageBreak/>
        <w:t>European law fits well with these concepts as its goals are consumer empowerment and consumer protection.</w:t>
      </w:r>
      <w:r w:rsidR="00FA5B78" w:rsidRPr="00E42EAE">
        <w:rPr>
          <w:rStyle w:val="FootnoteReference"/>
          <w:lang w:val="en-US"/>
        </w:rPr>
        <w:footnoteReference w:id="105"/>
      </w:r>
    </w:p>
    <w:p w14:paraId="33186607" w14:textId="04889F2C" w:rsidR="002B7C42" w:rsidRPr="00E42EAE" w:rsidRDefault="002B7C42" w:rsidP="00370AC1">
      <w:pPr>
        <w:pStyle w:val="Nextparagraphs"/>
        <w:rPr>
          <w:lang w:val="en-US"/>
        </w:rPr>
      </w:pPr>
      <w:r w:rsidRPr="00E42EAE">
        <w:rPr>
          <w:lang w:val="en-US"/>
        </w:rPr>
        <w:t xml:space="preserve">In the context of DSA that would mean that </w:t>
      </w:r>
      <w:r w:rsidR="000A6CF5" w:rsidRPr="00E42EAE">
        <w:rPr>
          <w:lang w:val="en-US"/>
        </w:rPr>
        <w:t xml:space="preserve">fairness and consumer protection maximization </w:t>
      </w:r>
      <w:r w:rsidR="00EE50D6" w:rsidRPr="00E42EAE">
        <w:rPr>
          <w:lang w:val="en-US"/>
        </w:rPr>
        <w:t>lead to efficiency</w:t>
      </w:r>
      <w:r w:rsidR="000A6CF5" w:rsidRPr="00E42EAE">
        <w:rPr>
          <w:lang w:val="en-US"/>
        </w:rPr>
        <w:t xml:space="preserve"> maximization.</w:t>
      </w:r>
      <w:r w:rsidR="0034607D" w:rsidRPr="00E42EAE">
        <w:rPr>
          <w:lang w:val="en-US"/>
        </w:rPr>
        <w:t xml:space="preserve"> In this view, consumer welfare that </w:t>
      </w:r>
      <w:r w:rsidR="00FA5B78" w:rsidRPr="00E42EAE">
        <w:rPr>
          <w:lang w:val="en-US"/>
        </w:rPr>
        <w:t>is tied closely to</w:t>
      </w:r>
      <w:r w:rsidR="0034607D" w:rsidRPr="00E42EAE">
        <w:rPr>
          <w:lang w:val="en-US"/>
        </w:rPr>
        <w:t xml:space="preserve"> fairness is the route to efficiency</w:t>
      </w:r>
      <w:r w:rsidR="00183D11" w:rsidRPr="00E42EAE">
        <w:rPr>
          <w:lang w:val="en-US"/>
        </w:rPr>
        <w:t xml:space="preserve"> and closing the efficiency gap. DSA implicitly aligns with this view with the prominence of </w:t>
      </w:r>
      <w:r w:rsidR="00FA5B78" w:rsidRPr="00E42EAE">
        <w:rPr>
          <w:lang w:val="en-US"/>
        </w:rPr>
        <w:t>consumer empowerment and consumer protection measures</w:t>
      </w:r>
      <w:r w:rsidR="00183D11" w:rsidRPr="00E42EAE">
        <w:rPr>
          <w:lang w:val="en-US"/>
        </w:rPr>
        <w:t>.</w:t>
      </w:r>
    </w:p>
    <w:p w14:paraId="1C7400F0" w14:textId="72EDE967" w:rsidR="00A52023" w:rsidRPr="00E42EAE" w:rsidRDefault="003D2C8F" w:rsidP="00A52023">
      <w:pPr>
        <w:pStyle w:val="Nextparagraphs"/>
        <w:rPr>
          <w:lang w:val="en-US"/>
        </w:rPr>
      </w:pPr>
      <w:r w:rsidRPr="00E42EAE">
        <w:rPr>
          <w:lang w:val="en-US"/>
        </w:rPr>
        <w:t xml:space="preserve">Consequently, </w:t>
      </w:r>
      <w:r w:rsidR="00AB0363" w:rsidRPr="00E42EAE">
        <w:rPr>
          <w:lang w:val="en-US"/>
        </w:rPr>
        <w:t xml:space="preserve">DSA does not eliminate economic </w:t>
      </w:r>
      <w:r w:rsidR="00B45C7D" w:rsidRPr="00E42EAE">
        <w:rPr>
          <w:lang w:val="en-US"/>
        </w:rPr>
        <w:t>rationality but reconfigures the legal setting</w:t>
      </w:r>
      <w:r w:rsidR="00C861CC" w:rsidRPr="00E42EAE">
        <w:rPr>
          <w:lang w:val="en-US"/>
        </w:rPr>
        <w:t xml:space="preserve"> </w:t>
      </w:r>
      <w:r w:rsidR="00B45C7D" w:rsidRPr="00E42EAE">
        <w:rPr>
          <w:lang w:val="en-US"/>
        </w:rPr>
        <w:t xml:space="preserve">to mitigate transaction costs </w:t>
      </w:r>
      <w:r w:rsidR="00C861CC" w:rsidRPr="00E42EAE">
        <w:rPr>
          <w:lang w:val="en-US"/>
        </w:rPr>
        <w:t xml:space="preserve">that limit the socially </w:t>
      </w:r>
      <w:r w:rsidR="000A04E3" w:rsidRPr="00E42EAE">
        <w:rPr>
          <w:lang w:val="en-US"/>
        </w:rPr>
        <w:t>efficient</w:t>
      </w:r>
      <w:r w:rsidR="00C861CC" w:rsidRPr="00E42EAE">
        <w:rPr>
          <w:lang w:val="en-US"/>
        </w:rPr>
        <w:t xml:space="preserve"> outcome. </w:t>
      </w:r>
      <w:r w:rsidR="00EF6728" w:rsidRPr="00E42EAE">
        <w:rPr>
          <w:lang w:val="en-US"/>
        </w:rPr>
        <w:t xml:space="preserve">Changes to transaction costs, such as new legal rights, price on incompliance and architectural measures </w:t>
      </w:r>
      <w:r w:rsidR="00A52023" w:rsidRPr="00E42EAE">
        <w:rPr>
          <w:lang w:val="en-US"/>
        </w:rPr>
        <w:t>revamp to operation of platform liability.</w:t>
      </w:r>
    </w:p>
    <w:p w14:paraId="54471393" w14:textId="569A6895" w:rsidR="00DB4B82" w:rsidRPr="00E42EAE" w:rsidRDefault="00A52023" w:rsidP="00DB4B82">
      <w:pPr>
        <w:pStyle w:val="Nextparagraphs"/>
        <w:rPr>
          <w:lang w:val="en-US"/>
        </w:rPr>
      </w:pPr>
      <w:r w:rsidRPr="00E42EAE">
        <w:rPr>
          <w:lang w:val="en-US"/>
        </w:rPr>
        <w:t>This transformation, however, is not static. As Lessig reinforces, regulatory modalities push and pull over time, thus creating regulatory dynamism.</w:t>
      </w:r>
      <w:r w:rsidR="00405834" w:rsidRPr="00E42EAE">
        <w:rPr>
          <w:rStyle w:val="FootnoteReference"/>
          <w:lang w:val="en-US"/>
        </w:rPr>
        <w:footnoteReference w:id="106"/>
      </w:r>
      <w:r w:rsidRPr="00E42EAE">
        <w:rPr>
          <w:lang w:val="en-US"/>
        </w:rPr>
        <w:t xml:space="preserve"> </w:t>
      </w:r>
      <w:r w:rsidR="00814EBC" w:rsidRPr="00E42EAE">
        <w:rPr>
          <w:lang w:val="en-US"/>
        </w:rPr>
        <w:t>While the legal framework is now set in stone and relatively stable, market is finding its answer and adapts its practices to ensure compliance, or possibly efficient incompliance</w:t>
      </w:r>
      <w:r w:rsidR="00DB4B82" w:rsidRPr="00E42EAE">
        <w:rPr>
          <w:lang w:val="en-US"/>
        </w:rPr>
        <w:t>.</w:t>
      </w:r>
    </w:p>
    <w:p w14:paraId="230512B1" w14:textId="7965A18C" w:rsidR="005248BF" w:rsidRPr="00E42EAE" w:rsidRDefault="00DB4B82" w:rsidP="00E90BF1">
      <w:pPr>
        <w:pStyle w:val="Nextparagraphs"/>
        <w:rPr>
          <w:lang w:val="en-US"/>
        </w:rPr>
      </w:pPr>
      <w:r w:rsidRPr="00E42EAE">
        <w:rPr>
          <w:lang w:val="en-US"/>
        </w:rPr>
        <w:t>Private ordering practices, thus, are a focal point of focus as they represent the dynamic change due to DSA</w:t>
      </w:r>
      <w:r w:rsidR="005248BF" w:rsidRPr="00E42EAE">
        <w:rPr>
          <w:lang w:val="en-US"/>
        </w:rPr>
        <w:t xml:space="preserve"> and CDSM</w:t>
      </w:r>
      <w:r w:rsidRPr="00E42EAE">
        <w:rPr>
          <w:lang w:val="en-US"/>
        </w:rPr>
        <w:t xml:space="preserve"> in how market regulates its relationships with users.</w:t>
      </w:r>
      <w:r w:rsidR="005248BF" w:rsidRPr="00E42EAE">
        <w:rPr>
          <w:lang w:val="en-US"/>
        </w:rPr>
        <w:t xml:space="preserve"> Should online platforms </w:t>
      </w:r>
      <w:r w:rsidR="00094B31" w:rsidRPr="00E42EAE">
        <w:rPr>
          <w:lang w:val="en-US"/>
        </w:rPr>
        <w:t>follow</w:t>
      </w:r>
      <w:r w:rsidR="005248BF" w:rsidRPr="00E42EAE">
        <w:rPr>
          <w:lang w:val="en-US"/>
        </w:rPr>
        <w:t xml:space="preserve"> obligations imposed by DSA and CDSM, the result would be seen as positive. Depending on the approach, such result would either mean narrowing the efficiency gap </w:t>
      </w:r>
      <w:r w:rsidR="00094B31" w:rsidRPr="00E42EAE">
        <w:rPr>
          <w:lang w:val="en-US"/>
        </w:rPr>
        <w:t>as intended by DSA and CDSM or increasing consumer welfare that signifies also increase in efficiency.</w:t>
      </w:r>
    </w:p>
    <w:p w14:paraId="6136BB8A" w14:textId="517BF3B5" w:rsidR="001E728F" w:rsidRPr="00E42EAE" w:rsidRDefault="005875BB" w:rsidP="0055364C">
      <w:pPr>
        <w:pStyle w:val="Heading1"/>
      </w:pPr>
      <w:bookmarkStart w:id="7" w:name="_Ref193720687"/>
      <w:bookmarkStart w:id="8" w:name="_Toc215751870"/>
      <w:r w:rsidRPr="00E42EAE">
        <w:t>Content analysis of private ordering tools</w:t>
      </w:r>
      <w:bookmarkEnd w:id="7"/>
      <w:bookmarkEnd w:id="8"/>
    </w:p>
    <w:p w14:paraId="326DAD70" w14:textId="02FE316B" w:rsidR="00AD333D" w:rsidRPr="00E42EAE" w:rsidRDefault="00AD333D" w:rsidP="00E97C60">
      <w:pPr>
        <w:pStyle w:val="Firstparagraph"/>
        <w:rPr>
          <w:lang w:val="en-US"/>
        </w:rPr>
      </w:pPr>
      <w:r w:rsidRPr="00E42EAE">
        <w:rPr>
          <w:lang w:val="en-US"/>
        </w:rPr>
        <w:t>Goal of the following chapter is to understand how economic and legal forces interact in the context of private ordering</w:t>
      </w:r>
      <w:r w:rsidR="00E97C60" w:rsidRPr="00E42EAE">
        <w:rPr>
          <w:lang w:val="en-US"/>
        </w:rPr>
        <w:t xml:space="preserve"> pre- and post-DSA. In our analysis we focus on terms and conditions between online platforms and their users to determine how the principles of fairness and consumer welfare</w:t>
      </w:r>
      <w:r w:rsidR="004E4C03" w:rsidRPr="00E42EAE">
        <w:rPr>
          <w:lang w:val="en-US"/>
        </w:rPr>
        <w:t xml:space="preserve"> as represented in DSA and CDSM</w:t>
      </w:r>
      <w:r w:rsidR="00E97C60" w:rsidRPr="00E42EAE">
        <w:rPr>
          <w:lang w:val="en-US"/>
        </w:rPr>
        <w:t xml:space="preserve"> are implemented</w:t>
      </w:r>
      <w:r w:rsidR="002D2573" w:rsidRPr="00E42EAE">
        <w:rPr>
          <w:lang w:val="en-US"/>
        </w:rPr>
        <w:t xml:space="preserve"> and how their implementation changed </w:t>
      </w:r>
      <w:r w:rsidR="004E4C03" w:rsidRPr="00E42EAE">
        <w:rPr>
          <w:lang w:val="en-US"/>
        </w:rPr>
        <w:t>with</w:t>
      </w:r>
      <w:r w:rsidR="002D2573" w:rsidRPr="00E42EAE">
        <w:rPr>
          <w:lang w:val="en-US"/>
        </w:rPr>
        <w:t xml:space="preserve"> DSA.</w:t>
      </w:r>
    </w:p>
    <w:p w14:paraId="0ACFB546" w14:textId="39105D90" w:rsidR="00AD5908" w:rsidRPr="00E42EAE" w:rsidRDefault="00C13B45" w:rsidP="002D2573">
      <w:pPr>
        <w:pStyle w:val="Nextparagraphs"/>
        <w:rPr>
          <w:lang w:val="en-US" w:eastAsia="en-US"/>
        </w:rPr>
      </w:pPr>
      <w:r w:rsidRPr="00E42EAE">
        <w:rPr>
          <w:lang w:val="en-US" w:eastAsia="en-US"/>
        </w:rPr>
        <w:t>Private ordering includes various forms of regulation that are employed outside traditional public ordering, i.e.,</w:t>
      </w:r>
      <w:r w:rsidR="006E1E8B" w:rsidRPr="00E42EAE">
        <w:rPr>
          <w:lang w:val="en-US" w:eastAsia="en-US"/>
        </w:rPr>
        <w:t xml:space="preserve"> regulation of platforms or more simply</w:t>
      </w:r>
      <w:r w:rsidRPr="00E42EAE">
        <w:rPr>
          <w:lang w:val="en-US" w:eastAsia="en-US"/>
        </w:rPr>
        <w:t xml:space="preserve"> law.</w:t>
      </w:r>
      <w:r w:rsidR="00AB68C0" w:rsidRPr="00E42EAE">
        <w:rPr>
          <w:rStyle w:val="FootnoteReference"/>
          <w:lang w:val="en-US" w:eastAsia="en-US"/>
        </w:rPr>
        <w:footnoteReference w:id="107"/>
      </w:r>
      <w:r w:rsidRPr="00E42EAE">
        <w:rPr>
          <w:lang w:val="en-US" w:eastAsia="en-US"/>
        </w:rPr>
        <w:t xml:space="preserve"> </w:t>
      </w:r>
      <w:r w:rsidR="00AD5908" w:rsidRPr="00E42EAE">
        <w:rPr>
          <w:lang w:val="en-US" w:eastAsia="en-US"/>
        </w:rPr>
        <w:t xml:space="preserve">In the context of online platforms, private ordering takes the form of regulation by platform that sets contractual, technological and procedural rules that regulate </w:t>
      </w:r>
      <w:r w:rsidR="00D24E8B" w:rsidRPr="00E42EAE">
        <w:rPr>
          <w:lang w:val="en-US" w:eastAsia="en-US"/>
        </w:rPr>
        <w:t>behaviour of those engaging with it.</w:t>
      </w:r>
      <w:r w:rsidR="008D18CD" w:rsidRPr="00E42EAE">
        <w:rPr>
          <w:rStyle w:val="FootnoteReference"/>
          <w:lang w:val="en-US" w:eastAsia="en-US"/>
        </w:rPr>
        <w:footnoteReference w:id="108"/>
      </w:r>
    </w:p>
    <w:p w14:paraId="644828F4" w14:textId="06FDE9E1" w:rsidR="002D2573" w:rsidRPr="00E42EAE" w:rsidRDefault="00EB2C50" w:rsidP="002D2573">
      <w:pPr>
        <w:pStyle w:val="Nextparagraphs"/>
        <w:rPr>
          <w:lang w:val="en-US" w:eastAsia="en-US"/>
        </w:rPr>
      </w:pPr>
      <w:r w:rsidRPr="00E42EAE">
        <w:rPr>
          <w:lang w:val="en-US" w:eastAsia="en-US"/>
        </w:rPr>
        <w:t xml:space="preserve">Consequently, private ordering reflects the discussed interaction between law and </w:t>
      </w:r>
      <w:r w:rsidR="00D24E8B" w:rsidRPr="00E42EAE">
        <w:rPr>
          <w:lang w:val="en-US" w:eastAsia="en-US"/>
        </w:rPr>
        <w:t xml:space="preserve">market. On one hand, market actors are </w:t>
      </w:r>
      <w:r w:rsidR="005C214B" w:rsidRPr="00E42EAE">
        <w:rPr>
          <w:lang w:val="en-US" w:eastAsia="en-US"/>
        </w:rPr>
        <w:t>defining the rules. At the same time, legal regulation defines rules and limits of any platform-imposed regulation.</w:t>
      </w:r>
    </w:p>
    <w:p w14:paraId="143740FD" w14:textId="788A72E6" w:rsidR="006D73DA" w:rsidRPr="00E42EAE" w:rsidRDefault="001577D5" w:rsidP="00177387">
      <w:pPr>
        <w:pStyle w:val="Nextparagraphs"/>
        <w:rPr>
          <w:lang w:val="en-US"/>
        </w:rPr>
      </w:pPr>
      <w:r w:rsidRPr="00E42EAE">
        <w:rPr>
          <w:lang w:val="en-US"/>
        </w:rPr>
        <w:lastRenderedPageBreak/>
        <w:t xml:space="preserve">In the following study, we focus on </w:t>
      </w:r>
      <w:r w:rsidR="00177387" w:rsidRPr="00E42EAE">
        <w:rPr>
          <w:lang w:val="en-US"/>
        </w:rPr>
        <w:t>terms and conditions, i.e., contractual private ordering, on selected platforms. We use content analysis tools to understand how these terms implemented DSA</w:t>
      </w:r>
      <w:r w:rsidR="00354248" w:rsidRPr="00E42EAE">
        <w:rPr>
          <w:lang w:val="en-US"/>
        </w:rPr>
        <w:t xml:space="preserve"> and CDSM</w:t>
      </w:r>
      <w:r w:rsidR="00177387" w:rsidRPr="00E42EAE">
        <w:rPr>
          <w:lang w:val="en-US"/>
        </w:rPr>
        <w:t xml:space="preserve">. Our </w:t>
      </w:r>
      <w:r w:rsidR="009E22EC" w:rsidRPr="00E42EAE">
        <w:rPr>
          <w:lang w:val="en-US"/>
        </w:rPr>
        <w:t>current conclusions, however, are inconclusive due to limited sample and varying levels of compliance.</w:t>
      </w:r>
    </w:p>
    <w:p w14:paraId="485BBACC" w14:textId="2DA5CC54" w:rsidR="005875BB" w:rsidRPr="00E42EAE" w:rsidRDefault="005875BB" w:rsidP="0055364C">
      <w:pPr>
        <w:pStyle w:val="Heading2"/>
      </w:pPr>
      <w:bookmarkStart w:id="9" w:name="_Toc215751871"/>
      <w:r w:rsidRPr="00E42EAE">
        <w:t>Method and conceptualization</w:t>
      </w:r>
      <w:bookmarkEnd w:id="9"/>
    </w:p>
    <w:p w14:paraId="296EA5C8" w14:textId="17D929C7" w:rsidR="005D44E3" w:rsidRPr="00E42EAE" w:rsidRDefault="00784516" w:rsidP="008570B3">
      <w:pPr>
        <w:pStyle w:val="Firstparagraph"/>
        <w:rPr>
          <w:lang w:val="en-US"/>
        </w:rPr>
      </w:pPr>
      <w:r w:rsidRPr="00E42EAE">
        <w:rPr>
          <w:lang w:val="en-US"/>
        </w:rPr>
        <w:t xml:space="preserve">Following chapter outlines the content analysis as method used for empirical assessment of private ordering tools in this article. </w:t>
      </w:r>
      <w:r w:rsidR="00C36191" w:rsidRPr="00E42EAE">
        <w:rPr>
          <w:lang w:val="en-US"/>
        </w:rPr>
        <w:t xml:space="preserve">At its core, this qualitative research method enables </w:t>
      </w:r>
      <w:r w:rsidR="005D44E3" w:rsidRPr="00E42EAE">
        <w:rPr>
          <w:lang w:val="en-US"/>
        </w:rPr>
        <w:t>derivation of empirical data from contents of legal documents</w:t>
      </w:r>
      <w:r w:rsidR="00D92F56" w:rsidRPr="00E42EAE">
        <w:rPr>
          <w:lang w:val="en-US"/>
        </w:rPr>
        <w:t xml:space="preserve">, particularly </w:t>
      </w:r>
      <w:r w:rsidR="003C4D1B" w:rsidRPr="00E42EAE">
        <w:rPr>
          <w:lang w:val="en-US"/>
        </w:rPr>
        <w:t>the</w:t>
      </w:r>
      <w:r w:rsidR="00D92F56" w:rsidRPr="00E42EAE">
        <w:rPr>
          <w:lang w:val="en-US"/>
        </w:rPr>
        <w:t xml:space="preserve"> underlying themes and patterns.</w:t>
      </w:r>
      <w:r w:rsidR="001D27F9" w:rsidRPr="00E42EAE">
        <w:rPr>
          <w:rStyle w:val="FootnoteReference"/>
          <w:lang w:val="en-US"/>
        </w:rPr>
        <w:footnoteReference w:id="109"/>
      </w:r>
      <w:r w:rsidR="00DD2E91" w:rsidRPr="00E42EAE">
        <w:rPr>
          <w:lang w:val="en-US"/>
        </w:rPr>
        <w:t xml:space="preserve"> We must also highlight that </w:t>
      </w:r>
      <w:r w:rsidR="00930EE6" w:rsidRPr="00E42EAE">
        <w:rPr>
          <w:lang w:val="en-US"/>
        </w:rPr>
        <w:t>Mezei and Harkai</w:t>
      </w:r>
      <w:r w:rsidR="00DD2E91" w:rsidRPr="00E42EAE">
        <w:rPr>
          <w:lang w:val="en-US"/>
        </w:rPr>
        <w:t xml:space="preserve"> conducted similar </w:t>
      </w:r>
      <w:r w:rsidR="00930EE6" w:rsidRPr="00E42EAE">
        <w:rPr>
          <w:lang w:val="en-US"/>
        </w:rPr>
        <w:t>empirical study</w:t>
      </w:r>
      <w:r w:rsidR="00DD2E91" w:rsidRPr="00E42EAE">
        <w:rPr>
          <w:lang w:val="en-US"/>
        </w:rPr>
        <w:t xml:space="preserve"> but with different methodological underpinning.</w:t>
      </w:r>
      <w:r w:rsidR="00DD2E91" w:rsidRPr="00E42EAE">
        <w:rPr>
          <w:rStyle w:val="FootnoteReference"/>
          <w:lang w:val="en-US"/>
        </w:rPr>
        <w:footnoteReference w:id="110"/>
      </w:r>
    </w:p>
    <w:p w14:paraId="08F03699" w14:textId="27905CF3" w:rsidR="00BF2D74" w:rsidRPr="00E42EAE" w:rsidRDefault="00E7593A" w:rsidP="008570B3">
      <w:pPr>
        <w:pStyle w:val="Nextparagraphs"/>
        <w:rPr>
          <w:lang w:val="en-US"/>
        </w:rPr>
      </w:pPr>
      <w:r w:rsidRPr="0007250F">
        <w:rPr>
          <w:lang w:val="en-US"/>
        </w:rPr>
        <w:t>For our analysis we choose only</w:t>
      </w:r>
      <w:r w:rsidR="0007250F">
        <w:rPr>
          <w:lang w:val="en-US"/>
        </w:rPr>
        <w:t xml:space="preserve"> the most prominent</w:t>
      </w:r>
      <w:r w:rsidRPr="0007250F">
        <w:rPr>
          <w:lang w:val="en-US"/>
        </w:rPr>
        <w:t xml:space="preserve"> online platforms that fall at the intersection of DSA and CDSM. These platforms include </w:t>
      </w:r>
      <w:r w:rsidR="00504701" w:rsidRPr="0007250F">
        <w:rPr>
          <w:lang w:val="en-US"/>
        </w:rPr>
        <w:t>only</w:t>
      </w:r>
      <w:r w:rsidR="00A92CF8" w:rsidRPr="0007250F">
        <w:rPr>
          <w:lang w:val="en-US"/>
        </w:rPr>
        <w:t xml:space="preserve"> VLOPs</w:t>
      </w:r>
      <w:r w:rsidR="00504701" w:rsidRPr="0007250F">
        <w:rPr>
          <w:lang w:val="en-US"/>
        </w:rPr>
        <w:t xml:space="preserve"> that are also subject to Article 17 CDSM framework</w:t>
      </w:r>
      <w:r w:rsidR="00CF61C3" w:rsidRPr="0007250F">
        <w:rPr>
          <w:lang w:val="en-US"/>
        </w:rPr>
        <w:t xml:space="preserve">. </w:t>
      </w:r>
      <w:r w:rsidR="00504701" w:rsidRPr="0007250F">
        <w:rPr>
          <w:lang w:val="en-US"/>
        </w:rPr>
        <w:t xml:space="preserve">Namely these platforms include </w:t>
      </w:r>
      <w:bookmarkStart w:id="10" w:name="_Hlk215674191"/>
      <w:r w:rsidR="0007250F" w:rsidRPr="0007250F">
        <w:rPr>
          <w:lang w:val="en-US"/>
        </w:rPr>
        <w:t>Facebook, Instagram, Linkedin, Pinterest, Pornub, TikTok, X/Twittter, XNXX, Xvideos and YouTube.</w:t>
      </w:r>
      <w:bookmarkEnd w:id="10"/>
      <w:r w:rsidR="00313943">
        <w:rPr>
          <w:lang w:val="en-US"/>
        </w:rPr>
        <w:t xml:space="preserve"> </w:t>
      </w:r>
      <w:r w:rsidR="00313943" w:rsidRPr="0056372D">
        <w:t xml:space="preserve">As primary data source, we use </w:t>
      </w:r>
      <w:r w:rsidR="0014474F" w:rsidRPr="0014474F">
        <w:rPr>
          <w:lang w:val="en-US"/>
        </w:rPr>
        <w:t>Open Terms Archive</w:t>
      </w:r>
      <w:r w:rsidR="0014474F">
        <w:rPr>
          <w:lang w:val="en-US"/>
        </w:rPr>
        <w:t>.</w:t>
      </w:r>
      <w:r w:rsidR="0014474F">
        <w:rPr>
          <w:rStyle w:val="FootnoteReference"/>
          <w:lang w:val="en-US"/>
        </w:rPr>
        <w:footnoteReference w:id="111"/>
      </w:r>
      <w:r w:rsidR="0060330A">
        <w:rPr>
          <w:lang w:val="en-US"/>
        </w:rPr>
        <w:t xml:space="preserve"> </w:t>
      </w:r>
      <w:r w:rsidR="0060330A" w:rsidRPr="0056372D">
        <w:t xml:space="preserve">Wherever, data are missing, we use </w:t>
      </w:r>
      <w:r w:rsidR="00705213" w:rsidRPr="0056372D">
        <w:t>Wayback Machine provided by web</w:t>
      </w:r>
      <w:r w:rsidR="00AF6179">
        <w:t xml:space="preserve"> </w:t>
      </w:r>
      <w:r w:rsidR="00705213" w:rsidRPr="0056372D">
        <w:t xml:space="preserve">archive. Specific legal documents are then listed </w:t>
      </w:r>
      <w:r w:rsidR="0056372D" w:rsidRPr="0056372D">
        <w:t>at the end of this article.</w:t>
      </w:r>
    </w:p>
    <w:p w14:paraId="2EE3D80E" w14:textId="72031713" w:rsidR="00065571" w:rsidRPr="00E42EAE" w:rsidRDefault="0007250F" w:rsidP="00065571">
      <w:pPr>
        <w:pStyle w:val="Nextparagraphs"/>
        <w:rPr>
          <w:lang w:val="en-US" w:eastAsia="en-US"/>
        </w:rPr>
      </w:pPr>
      <w:r>
        <w:rPr>
          <w:lang w:val="en-US" w:eastAsia="en-US"/>
        </w:rPr>
        <w:t>W</w:t>
      </w:r>
      <w:r w:rsidR="00065571" w:rsidRPr="00E42EAE">
        <w:rPr>
          <w:lang w:val="en-US" w:eastAsia="en-US"/>
        </w:rPr>
        <w:t xml:space="preserve">e collect and compare data at three </w:t>
      </w:r>
      <w:r w:rsidR="00C66492" w:rsidRPr="00E42EAE">
        <w:rPr>
          <w:lang w:val="en-US" w:eastAsia="en-US"/>
        </w:rPr>
        <w:t>time</w:t>
      </w:r>
      <w:r w:rsidR="00065571" w:rsidRPr="00E42EAE">
        <w:rPr>
          <w:lang w:val="en-US" w:eastAsia="en-US"/>
        </w:rPr>
        <w:t xml:space="preserve"> points</w:t>
      </w:r>
      <w:r w:rsidR="00DF5F25" w:rsidRPr="00E42EAE">
        <w:rPr>
          <w:lang w:val="en-US" w:eastAsia="en-US"/>
        </w:rPr>
        <w:t xml:space="preserve"> as we are primarily concerned about change in time</w:t>
      </w:r>
      <w:r w:rsidR="00065571" w:rsidRPr="00E42EAE">
        <w:rPr>
          <w:lang w:val="en-US" w:eastAsia="en-US"/>
        </w:rPr>
        <w:t xml:space="preserve">. First, we consider the pre-DSA status quo </w:t>
      </w:r>
      <w:r w:rsidR="00270712" w:rsidRPr="00E42EAE">
        <w:rPr>
          <w:lang w:val="en-US" w:eastAsia="en-US"/>
        </w:rPr>
        <w:t xml:space="preserve">by analysing relevant terms and conditions in 2022. We choose 2022 versions as they would not be influenced by DSA that was adopted only in </w:t>
      </w:r>
      <w:r w:rsidR="00C262BF" w:rsidRPr="00E42EAE">
        <w:rPr>
          <w:lang w:val="en-US" w:eastAsia="en-US"/>
        </w:rPr>
        <w:t xml:space="preserve">November 2022. </w:t>
      </w:r>
      <w:r w:rsidR="00DF5F25" w:rsidRPr="00E42EAE">
        <w:rPr>
          <w:lang w:val="en-US" w:eastAsia="en-US"/>
        </w:rPr>
        <w:t>These versions are the first available versions in that year in respective sources.</w:t>
      </w:r>
      <w:r w:rsidR="00C262BF" w:rsidRPr="00E42EAE">
        <w:rPr>
          <w:lang w:val="en-US" w:eastAsia="en-US"/>
        </w:rPr>
        <w:t xml:space="preserve"> Second data point is in </w:t>
      </w:r>
      <w:r w:rsidR="00DF5F25" w:rsidRPr="00E42EAE">
        <w:rPr>
          <w:lang w:val="en-US" w:eastAsia="en-US"/>
        </w:rPr>
        <w:t xml:space="preserve">March or April </w:t>
      </w:r>
      <w:r w:rsidR="00C262BF" w:rsidRPr="00E42EAE">
        <w:rPr>
          <w:lang w:val="en-US" w:eastAsia="en-US"/>
        </w:rPr>
        <w:t xml:space="preserve">2024 to understand what changes were adopted </w:t>
      </w:r>
      <w:r w:rsidR="00DF5F25" w:rsidRPr="00E42EAE">
        <w:rPr>
          <w:lang w:val="en-US" w:eastAsia="en-US"/>
        </w:rPr>
        <w:t>after DSA took</w:t>
      </w:r>
      <w:r w:rsidR="00C262BF" w:rsidRPr="00E42EAE">
        <w:rPr>
          <w:lang w:val="en-US" w:eastAsia="en-US"/>
        </w:rPr>
        <w:t xml:space="preserve"> effect</w:t>
      </w:r>
      <w:r w:rsidR="00DF5F25" w:rsidRPr="00E42EAE">
        <w:rPr>
          <w:lang w:val="en-US" w:eastAsia="en-US"/>
        </w:rPr>
        <w:t xml:space="preserve"> in February 2024.</w:t>
      </w:r>
      <w:r w:rsidR="00A449D8" w:rsidRPr="00E42EAE">
        <w:rPr>
          <w:rStyle w:val="FootnoteReference"/>
          <w:lang w:val="en-US" w:eastAsia="en-US"/>
        </w:rPr>
        <w:footnoteReference w:id="112"/>
      </w:r>
      <w:r w:rsidR="00C262BF" w:rsidRPr="00E42EAE">
        <w:rPr>
          <w:lang w:val="en-US" w:eastAsia="en-US"/>
        </w:rPr>
        <w:t xml:space="preserve"> Third and final data point is </w:t>
      </w:r>
      <w:r w:rsidR="00196F4A" w:rsidRPr="00E42EAE">
        <w:rPr>
          <w:lang w:val="en-US" w:eastAsia="en-US"/>
        </w:rPr>
        <w:t>the last available version in the</w:t>
      </w:r>
      <w:r w:rsidR="00C262BF" w:rsidRPr="00E42EAE">
        <w:rPr>
          <w:lang w:val="en-US" w:eastAsia="en-US"/>
        </w:rPr>
        <w:t xml:space="preserve"> </w:t>
      </w:r>
      <w:r w:rsidR="008F2748" w:rsidRPr="00E42EAE">
        <w:rPr>
          <w:lang w:val="en-US" w:eastAsia="en-US"/>
        </w:rPr>
        <w:t xml:space="preserve">first half of 2025 with goal of understanding whether </w:t>
      </w:r>
      <w:r w:rsidR="00FF45F4" w:rsidRPr="00E42EAE">
        <w:rPr>
          <w:lang w:val="en-US" w:eastAsia="en-US"/>
        </w:rPr>
        <w:t xml:space="preserve">in </w:t>
      </w:r>
      <w:r w:rsidR="00196F4A" w:rsidRPr="00E42EAE">
        <w:rPr>
          <w:lang w:val="en-US" w:eastAsia="en-US"/>
        </w:rPr>
        <w:t xml:space="preserve">the year after </w:t>
      </w:r>
      <w:r w:rsidR="008F2748" w:rsidRPr="00E42EAE">
        <w:rPr>
          <w:lang w:val="en-US" w:eastAsia="en-US"/>
        </w:rPr>
        <w:t xml:space="preserve">DSA </w:t>
      </w:r>
      <w:r w:rsidR="00196F4A" w:rsidRPr="00E42EAE">
        <w:rPr>
          <w:lang w:val="en-US" w:eastAsia="en-US"/>
        </w:rPr>
        <w:t>effect</w:t>
      </w:r>
      <w:r w:rsidR="00FF45F4" w:rsidRPr="00E42EAE">
        <w:rPr>
          <w:lang w:val="en-US" w:eastAsia="en-US"/>
        </w:rPr>
        <w:t xml:space="preserve"> other changes occurred</w:t>
      </w:r>
      <w:r w:rsidR="008F2748" w:rsidRPr="00E42EAE">
        <w:rPr>
          <w:lang w:val="en-US" w:eastAsia="en-US"/>
        </w:rPr>
        <w:t>.</w:t>
      </w:r>
    </w:p>
    <w:p w14:paraId="27CAB727" w14:textId="2D3A6E00" w:rsidR="007330FC" w:rsidRPr="00E42EAE" w:rsidRDefault="007330FC" w:rsidP="00BF2D74">
      <w:pPr>
        <w:pStyle w:val="Nextparagraphs"/>
        <w:rPr>
          <w:lang w:val="en-US" w:eastAsia="en-US"/>
        </w:rPr>
      </w:pPr>
      <w:r w:rsidRPr="00E42EAE">
        <w:rPr>
          <w:lang w:val="en-US" w:eastAsia="en-US"/>
        </w:rPr>
        <w:t xml:space="preserve">In coding, we identify individual </w:t>
      </w:r>
      <w:r w:rsidR="00B8202F" w:rsidRPr="00E42EAE">
        <w:rPr>
          <w:lang w:val="en-US" w:eastAsia="en-US"/>
        </w:rPr>
        <w:t xml:space="preserve">elements that mirror DSA obligations and reflect fairness and consumer welfare. </w:t>
      </w:r>
      <w:r w:rsidR="00827DD5" w:rsidRPr="00E42EAE">
        <w:rPr>
          <w:lang w:val="en-US" w:eastAsia="en-US"/>
        </w:rPr>
        <w:t xml:space="preserve">Each category </w:t>
      </w:r>
      <w:r w:rsidR="00B43BF5" w:rsidRPr="00E42EAE">
        <w:rPr>
          <w:lang w:val="en-US" w:eastAsia="en-US"/>
        </w:rPr>
        <w:t>enables binary determination of compliance.</w:t>
      </w:r>
      <w:r w:rsidR="00C165C4" w:rsidRPr="00E42EAE">
        <w:rPr>
          <w:lang w:val="en-US" w:eastAsia="en-US"/>
        </w:rPr>
        <w:t xml:space="preserve"> </w:t>
      </w:r>
      <w:r w:rsidR="00647593" w:rsidRPr="00E42EAE">
        <w:rPr>
          <w:lang w:val="en-US" w:eastAsia="en-US"/>
        </w:rPr>
        <w:t xml:space="preserve">In identifying these </w:t>
      </w:r>
      <w:r w:rsidR="0092132E" w:rsidRPr="00E42EAE">
        <w:rPr>
          <w:lang w:val="en-US" w:eastAsia="en-US"/>
        </w:rPr>
        <w:t>elements, we relied on expert domain knowledge and conceptualization of fairness and consumer welfare in previous chapter.</w:t>
      </w:r>
      <w:r w:rsidR="003E78AB" w:rsidRPr="00E42EAE">
        <w:rPr>
          <w:rStyle w:val="FootnoteReference"/>
          <w:lang w:val="en-US" w:eastAsia="en-US"/>
        </w:rPr>
        <w:footnoteReference w:id="113"/>
      </w:r>
      <w:r w:rsidR="00C165C4" w:rsidRPr="00E42EAE">
        <w:rPr>
          <w:lang w:val="en-US" w:eastAsia="en-US"/>
        </w:rPr>
        <w:t xml:space="preserve"> </w:t>
      </w:r>
      <w:r w:rsidR="00B8202F" w:rsidRPr="00E42EAE">
        <w:rPr>
          <w:lang w:val="en-US" w:eastAsia="en-US"/>
        </w:rPr>
        <w:t xml:space="preserve">Specifically, these categories </w:t>
      </w:r>
      <w:r w:rsidR="00963297" w:rsidRPr="00E42EAE">
        <w:rPr>
          <w:lang w:val="en-US" w:eastAsia="en-US"/>
        </w:rPr>
        <w:t xml:space="preserve">include information on </w:t>
      </w:r>
      <w:r w:rsidR="008E6683" w:rsidRPr="00E42EAE">
        <w:rPr>
          <w:lang w:val="en-US" w:eastAsia="en-US"/>
        </w:rPr>
        <w:t xml:space="preserve">platform’s obligations under Article 17 (9) CDSM and Articles </w:t>
      </w:r>
      <w:r w:rsidR="005A60A3" w:rsidRPr="00E42EAE">
        <w:rPr>
          <w:lang w:val="en-US" w:eastAsia="en-US"/>
        </w:rPr>
        <w:t>14, 16, 17, 20</w:t>
      </w:r>
      <w:r w:rsidR="00B95E6F" w:rsidRPr="00E42EAE">
        <w:rPr>
          <w:lang w:val="en-US" w:eastAsia="en-US"/>
        </w:rPr>
        <w:t xml:space="preserve">-23, 26, 27, </w:t>
      </w:r>
      <w:r w:rsidR="00930BEF" w:rsidRPr="00E42EAE">
        <w:rPr>
          <w:lang w:val="en-US" w:eastAsia="en-US"/>
        </w:rPr>
        <w:t>34-36, 28 and 39 DSA</w:t>
      </w:r>
      <w:r w:rsidR="00E9350B" w:rsidRPr="00E42EAE">
        <w:rPr>
          <w:lang w:val="en-US" w:eastAsia="en-US"/>
        </w:rPr>
        <w:t xml:space="preserve"> and </w:t>
      </w:r>
      <w:r w:rsidR="00E9350B" w:rsidRPr="00E42EAE">
        <w:rPr>
          <w:lang w:val="en-US" w:eastAsia="en-US"/>
        </w:rPr>
        <w:lastRenderedPageBreak/>
        <w:t>are outlined below</w:t>
      </w:r>
      <w:r w:rsidR="00E033BB" w:rsidRPr="00E42EAE">
        <w:rPr>
          <w:lang w:val="en-US" w:eastAsia="en-US"/>
        </w:rPr>
        <w:t xml:space="preserve"> with indication whether these information in terms and conditions are obligatory</w:t>
      </w:r>
      <w:r w:rsidR="00697EB2" w:rsidRPr="00E42EAE">
        <w:rPr>
          <w:lang w:val="en-US" w:eastAsia="en-US"/>
        </w:rPr>
        <w:t> </w:t>
      </w:r>
      <w:r w:rsidR="00E033BB" w:rsidRPr="00E42EAE">
        <w:rPr>
          <w:lang w:val="en-US" w:eastAsia="en-US"/>
        </w:rPr>
        <w:t>(O) or voluntary</w:t>
      </w:r>
      <w:r w:rsidR="00157AE0" w:rsidRPr="00E42EAE">
        <w:rPr>
          <w:rStyle w:val="FootnoteReference"/>
          <w:lang w:val="en-US" w:eastAsia="en-US"/>
        </w:rPr>
        <w:footnoteReference w:id="114"/>
      </w:r>
      <w:r w:rsidR="00E033BB" w:rsidRPr="00E42EAE">
        <w:rPr>
          <w:lang w:val="en-US" w:eastAsia="en-US"/>
        </w:rPr>
        <w:t xml:space="preserve"> (V):</w:t>
      </w:r>
    </w:p>
    <w:tbl>
      <w:tblPr>
        <w:tblStyle w:val="TableGrid"/>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393"/>
      </w:tblGrid>
      <w:tr w:rsidR="000E182F" w:rsidRPr="00E42EAE" w14:paraId="2F5F188F" w14:textId="77777777" w:rsidTr="00FB0A15">
        <w:trPr>
          <w:trHeight w:val="20"/>
        </w:trPr>
        <w:tc>
          <w:tcPr>
            <w:tcW w:w="9088" w:type="dxa"/>
            <w:gridSpan w:val="2"/>
            <w:tcBorders>
              <w:top w:val="single" w:sz="8" w:space="0" w:color="auto"/>
              <w:bottom w:val="single" w:sz="8" w:space="0" w:color="auto"/>
            </w:tcBorders>
            <w:vAlign w:val="center"/>
          </w:tcPr>
          <w:p w14:paraId="17E53163" w14:textId="6301921A" w:rsidR="000E182F" w:rsidRPr="00E42EAE" w:rsidRDefault="000E182F"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CDSM</w:t>
            </w:r>
          </w:p>
        </w:tc>
      </w:tr>
      <w:tr w:rsidR="000E182F" w:rsidRPr="00E42EAE" w14:paraId="36B29823" w14:textId="77777777" w:rsidTr="00494511">
        <w:trPr>
          <w:trHeight w:val="20"/>
        </w:trPr>
        <w:tc>
          <w:tcPr>
            <w:tcW w:w="2695" w:type="dxa"/>
            <w:tcBorders>
              <w:top w:val="single" w:sz="8" w:space="0" w:color="auto"/>
              <w:bottom w:val="single" w:sz="8" w:space="0" w:color="auto"/>
            </w:tcBorders>
            <w:vAlign w:val="center"/>
          </w:tcPr>
          <w:p w14:paraId="6E3DE543" w14:textId="55905419" w:rsidR="000E182F" w:rsidRPr="00E42EAE" w:rsidRDefault="009E2BF1"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Information</w:t>
            </w:r>
          </w:p>
        </w:tc>
        <w:tc>
          <w:tcPr>
            <w:tcW w:w="6393" w:type="dxa"/>
            <w:tcBorders>
              <w:top w:val="single" w:sz="8" w:space="0" w:color="auto"/>
              <w:bottom w:val="single" w:sz="8" w:space="0" w:color="auto"/>
            </w:tcBorders>
            <w:vAlign w:val="center"/>
          </w:tcPr>
          <w:p w14:paraId="579127D6" w14:textId="144CE7AA" w:rsidR="000E182F" w:rsidRPr="00E42EAE" w:rsidRDefault="000E182F"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Description</w:t>
            </w:r>
          </w:p>
        </w:tc>
      </w:tr>
      <w:tr w:rsidR="000E182F" w:rsidRPr="00E42EAE" w14:paraId="0A9459B9" w14:textId="77777777" w:rsidTr="00CA20B1">
        <w:trPr>
          <w:trHeight w:val="20"/>
        </w:trPr>
        <w:tc>
          <w:tcPr>
            <w:tcW w:w="2695" w:type="dxa"/>
            <w:tcBorders>
              <w:top w:val="single" w:sz="8" w:space="0" w:color="auto"/>
              <w:bottom w:val="single" w:sz="4" w:space="0" w:color="auto"/>
            </w:tcBorders>
            <w:vAlign w:val="center"/>
          </w:tcPr>
          <w:p w14:paraId="7C8355DF" w14:textId="59AE02E7" w:rsidR="000E182F" w:rsidRPr="00E42EAE" w:rsidRDefault="00D57156"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(V) </w:t>
            </w:r>
            <w:r w:rsidR="001735D1" w:rsidRPr="00E42EAE">
              <w:rPr>
                <w:sz w:val="16"/>
                <w:szCs w:val="16"/>
                <w:lang w:val="en-US" w:eastAsia="en-US"/>
              </w:rPr>
              <w:t>Complaint and redress mechanism</w:t>
            </w:r>
            <w:r w:rsidR="000A137F" w:rsidRPr="00E42EAE">
              <w:rPr>
                <w:sz w:val="16"/>
                <w:szCs w:val="16"/>
                <w:lang w:val="en-US" w:eastAsia="en-US"/>
              </w:rPr>
              <w:t xml:space="preserve">, Art 17(9) </w:t>
            </w:r>
          </w:p>
        </w:tc>
        <w:tc>
          <w:tcPr>
            <w:tcW w:w="6393" w:type="dxa"/>
            <w:tcBorders>
              <w:top w:val="single" w:sz="8" w:space="0" w:color="auto"/>
              <w:bottom w:val="single" w:sz="4" w:space="0" w:color="auto"/>
            </w:tcBorders>
            <w:vAlign w:val="center"/>
          </w:tcPr>
          <w:p w14:paraId="55824013" w14:textId="6C745DDA" w:rsidR="000E182F" w:rsidRPr="00E42EAE" w:rsidRDefault="00B85165"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Is there information about </w:t>
            </w:r>
            <w:r w:rsidR="00B13718" w:rsidRPr="00E42EAE">
              <w:rPr>
                <w:sz w:val="16"/>
                <w:szCs w:val="16"/>
                <w:lang w:val="en-US" w:eastAsia="en-US"/>
              </w:rPr>
              <w:t>complaint and redress mechanism</w:t>
            </w:r>
            <w:r w:rsidR="00F53BB6" w:rsidRPr="00E42EAE">
              <w:rPr>
                <w:sz w:val="16"/>
                <w:szCs w:val="16"/>
                <w:lang w:val="en-US" w:eastAsia="en-US"/>
              </w:rPr>
              <w:t>?</w:t>
            </w:r>
          </w:p>
        </w:tc>
      </w:tr>
      <w:tr w:rsidR="000E182F" w:rsidRPr="00E42EAE" w14:paraId="590713B5" w14:textId="77777777" w:rsidTr="00CA20B1">
        <w:trPr>
          <w:trHeight w:val="20"/>
        </w:trPr>
        <w:tc>
          <w:tcPr>
            <w:tcW w:w="2695" w:type="dxa"/>
            <w:tcBorders>
              <w:top w:val="single" w:sz="4" w:space="0" w:color="auto"/>
              <w:bottom w:val="single" w:sz="4" w:space="0" w:color="auto"/>
            </w:tcBorders>
            <w:vAlign w:val="center"/>
          </w:tcPr>
          <w:p w14:paraId="5F3DA848" w14:textId="03B24CBC" w:rsidR="000E182F" w:rsidRPr="00E42EAE" w:rsidRDefault="00D57156"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(V) </w:t>
            </w:r>
            <w:r w:rsidR="001735D1" w:rsidRPr="00E42EAE">
              <w:rPr>
                <w:sz w:val="16"/>
                <w:szCs w:val="16"/>
                <w:lang w:val="en-US" w:eastAsia="en-US"/>
              </w:rPr>
              <w:t>No undue delay</w:t>
            </w:r>
            <w:r w:rsidR="000A137F" w:rsidRPr="00E42EAE">
              <w:rPr>
                <w:sz w:val="16"/>
                <w:szCs w:val="16"/>
                <w:lang w:val="en-US" w:eastAsia="en-US"/>
              </w:rPr>
              <w:t xml:space="preserve">, Art 17(9) </w:t>
            </w:r>
          </w:p>
        </w:tc>
        <w:tc>
          <w:tcPr>
            <w:tcW w:w="6393" w:type="dxa"/>
            <w:tcBorders>
              <w:top w:val="single" w:sz="4" w:space="0" w:color="auto"/>
              <w:bottom w:val="single" w:sz="4" w:space="0" w:color="auto"/>
            </w:tcBorders>
            <w:vAlign w:val="center"/>
          </w:tcPr>
          <w:p w14:paraId="5B6DC52B" w14:textId="13A312F4" w:rsidR="000E182F" w:rsidRPr="00E42EAE" w:rsidRDefault="00D57156"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Provision stating that lodged complaints shall be processed with undue delay</w:t>
            </w:r>
          </w:p>
        </w:tc>
      </w:tr>
      <w:tr w:rsidR="000E182F" w:rsidRPr="00E42EAE" w14:paraId="101F6AA7" w14:textId="77777777" w:rsidTr="00CA20B1">
        <w:trPr>
          <w:trHeight w:val="20"/>
        </w:trPr>
        <w:tc>
          <w:tcPr>
            <w:tcW w:w="2695" w:type="dxa"/>
            <w:tcBorders>
              <w:top w:val="single" w:sz="4" w:space="0" w:color="auto"/>
              <w:bottom w:val="single" w:sz="4" w:space="0" w:color="auto"/>
            </w:tcBorders>
            <w:vAlign w:val="center"/>
          </w:tcPr>
          <w:p w14:paraId="7A4487A5" w14:textId="6A368297" w:rsidR="000E182F" w:rsidRPr="00E42EAE" w:rsidRDefault="00D57156"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(V) </w:t>
            </w:r>
            <w:r w:rsidR="001735D1" w:rsidRPr="00E42EAE">
              <w:rPr>
                <w:sz w:val="16"/>
                <w:szCs w:val="16"/>
                <w:lang w:val="en-US" w:eastAsia="en-US"/>
              </w:rPr>
              <w:t>Out of court redress</w:t>
            </w:r>
            <w:r w:rsidR="000A137F" w:rsidRPr="00E42EAE">
              <w:rPr>
                <w:sz w:val="16"/>
                <w:szCs w:val="16"/>
                <w:lang w:val="en-US" w:eastAsia="en-US"/>
              </w:rPr>
              <w:t xml:space="preserve">, Art 17(9) </w:t>
            </w:r>
          </w:p>
        </w:tc>
        <w:tc>
          <w:tcPr>
            <w:tcW w:w="6393" w:type="dxa"/>
            <w:tcBorders>
              <w:top w:val="single" w:sz="4" w:space="0" w:color="auto"/>
              <w:bottom w:val="single" w:sz="4" w:space="0" w:color="auto"/>
            </w:tcBorders>
            <w:vAlign w:val="center"/>
          </w:tcPr>
          <w:p w14:paraId="3214B855" w14:textId="0DD310E5" w:rsidR="000E182F" w:rsidRPr="00E42EAE" w:rsidRDefault="002B6FFB"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Information that out of court redress mechanism is available to users</w:t>
            </w:r>
          </w:p>
        </w:tc>
      </w:tr>
      <w:tr w:rsidR="000E182F" w:rsidRPr="00E42EAE" w14:paraId="242DC9D0" w14:textId="77777777" w:rsidTr="00CA20B1">
        <w:trPr>
          <w:trHeight w:val="20"/>
        </w:trPr>
        <w:tc>
          <w:tcPr>
            <w:tcW w:w="2695" w:type="dxa"/>
            <w:tcBorders>
              <w:top w:val="single" w:sz="4" w:space="0" w:color="auto"/>
              <w:bottom w:val="single" w:sz="4" w:space="0" w:color="auto"/>
            </w:tcBorders>
            <w:vAlign w:val="center"/>
          </w:tcPr>
          <w:p w14:paraId="32419045" w14:textId="483CC0D5" w:rsidR="000E182F" w:rsidRPr="00E42EAE" w:rsidRDefault="00D57156"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(V) </w:t>
            </w:r>
            <w:r w:rsidR="00A335C4" w:rsidRPr="00E42EAE">
              <w:rPr>
                <w:sz w:val="16"/>
                <w:szCs w:val="16"/>
                <w:lang w:val="en-US" w:eastAsia="en-US"/>
              </w:rPr>
              <w:t>Access to courts</w:t>
            </w:r>
            <w:r w:rsidR="000A137F" w:rsidRPr="00E42EAE">
              <w:rPr>
                <w:sz w:val="16"/>
                <w:szCs w:val="16"/>
                <w:lang w:val="en-US" w:eastAsia="en-US"/>
              </w:rPr>
              <w:t xml:space="preserve">, Art 17(9) </w:t>
            </w:r>
          </w:p>
        </w:tc>
        <w:tc>
          <w:tcPr>
            <w:tcW w:w="6393" w:type="dxa"/>
            <w:tcBorders>
              <w:top w:val="single" w:sz="4" w:space="0" w:color="auto"/>
              <w:bottom w:val="single" w:sz="4" w:space="0" w:color="auto"/>
            </w:tcBorders>
            <w:vAlign w:val="center"/>
          </w:tcPr>
          <w:p w14:paraId="184872BF" w14:textId="68038FC1" w:rsidR="000E182F" w:rsidRPr="00E42EAE" w:rsidRDefault="004F0DC1"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Information that </w:t>
            </w:r>
            <w:r w:rsidR="00425AB3" w:rsidRPr="00E42EAE">
              <w:rPr>
                <w:sz w:val="16"/>
                <w:szCs w:val="16"/>
                <w:lang w:val="en-US" w:eastAsia="en-US"/>
              </w:rPr>
              <w:t xml:space="preserve">it </w:t>
            </w:r>
            <w:r w:rsidRPr="00E42EAE">
              <w:rPr>
                <w:sz w:val="16"/>
                <w:szCs w:val="16"/>
                <w:lang w:val="en-US" w:eastAsia="en-US"/>
              </w:rPr>
              <w:t>is possible to initiate court proceedings over content dispute</w:t>
            </w:r>
          </w:p>
        </w:tc>
      </w:tr>
      <w:tr w:rsidR="000E182F" w:rsidRPr="00E42EAE" w14:paraId="315F41C6" w14:textId="77777777" w:rsidTr="00CB42AD">
        <w:trPr>
          <w:trHeight w:val="60"/>
        </w:trPr>
        <w:tc>
          <w:tcPr>
            <w:tcW w:w="2695" w:type="dxa"/>
            <w:tcBorders>
              <w:top w:val="single" w:sz="4" w:space="0" w:color="auto"/>
              <w:bottom w:val="single" w:sz="8" w:space="0" w:color="auto"/>
            </w:tcBorders>
            <w:vAlign w:val="center"/>
          </w:tcPr>
          <w:p w14:paraId="4C79EE9E" w14:textId="5DBE8D62" w:rsidR="000E182F" w:rsidRPr="00E42EAE" w:rsidRDefault="00E033BB"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(O) </w:t>
            </w:r>
            <w:r w:rsidR="00A335C4" w:rsidRPr="00E42EAE">
              <w:rPr>
                <w:sz w:val="16"/>
                <w:szCs w:val="16"/>
                <w:lang w:val="en-US" w:eastAsia="en-US"/>
              </w:rPr>
              <w:t>Legitimate uses outlined in terms and conditions</w:t>
            </w:r>
            <w:r w:rsidR="000A137F" w:rsidRPr="00E42EAE">
              <w:rPr>
                <w:sz w:val="16"/>
                <w:szCs w:val="16"/>
                <w:lang w:val="en-US" w:eastAsia="en-US"/>
              </w:rPr>
              <w:t xml:space="preserve">, Art 17(9) </w:t>
            </w:r>
          </w:p>
        </w:tc>
        <w:tc>
          <w:tcPr>
            <w:tcW w:w="6393" w:type="dxa"/>
            <w:tcBorders>
              <w:top w:val="single" w:sz="4" w:space="0" w:color="auto"/>
              <w:bottom w:val="single" w:sz="8" w:space="0" w:color="auto"/>
            </w:tcBorders>
            <w:vAlign w:val="center"/>
          </w:tcPr>
          <w:p w14:paraId="7CC3EFF9" w14:textId="75FF0768" w:rsidR="000E182F" w:rsidRPr="00E42EAE" w:rsidRDefault="00252A10"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Provision explaining </w:t>
            </w:r>
            <w:r w:rsidR="00C34DAF" w:rsidRPr="00E42EAE">
              <w:rPr>
                <w:sz w:val="16"/>
                <w:szCs w:val="16"/>
                <w:lang w:val="en-US" w:eastAsia="en-US"/>
              </w:rPr>
              <w:t xml:space="preserve">that users can rely on legitimate uses </w:t>
            </w:r>
            <w:r w:rsidR="00A2475A" w:rsidRPr="00E42EAE">
              <w:rPr>
                <w:sz w:val="16"/>
                <w:szCs w:val="16"/>
                <w:lang w:val="en-US" w:eastAsia="en-US"/>
              </w:rPr>
              <w:t>under copyright exceptions and limitations.</w:t>
            </w:r>
          </w:p>
        </w:tc>
      </w:tr>
    </w:tbl>
    <w:p w14:paraId="2E606897" w14:textId="63B24BF3" w:rsidR="00656985" w:rsidRPr="00E42EAE" w:rsidRDefault="00656985" w:rsidP="005931F4">
      <w:pPr>
        <w:pStyle w:val="Quote"/>
        <w:spacing w:before="0"/>
        <w:rPr>
          <w:sz w:val="16"/>
          <w:szCs w:val="16"/>
        </w:rPr>
      </w:pPr>
      <w:r w:rsidRPr="00E42EAE">
        <w:rPr>
          <w:sz w:val="16"/>
          <w:szCs w:val="16"/>
        </w:rPr>
        <w:t>Table 1</w:t>
      </w:r>
      <w:r w:rsidR="00B56556" w:rsidRPr="00E42EAE">
        <w:rPr>
          <w:sz w:val="16"/>
          <w:szCs w:val="16"/>
        </w:rPr>
        <w:t>:</w:t>
      </w:r>
      <w:r w:rsidR="009D09CD" w:rsidRPr="00E42EAE">
        <w:rPr>
          <w:sz w:val="16"/>
          <w:szCs w:val="16"/>
        </w:rPr>
        <w:t xml:space="preserve"> Information voluntarily or obligatory disclosed in terms and conditions</w:t>
      </w:r>
      <w:r w:rsidR="00486A98" w:rsidRPr="00E42EAE">
        <w:rPr>
          <w:sz w:val="16"/>
          <w:szCs w:val="16"/>
        </w:rPr>
        <w:t xml:space="preserve"> under Article 17 CDSM</w:t>
      </w:r>
      <w:r w:rsidR="009D09CD" w:rsidRPr="00E42EAE">
        <w:rPr>
          <w:sz w:val="16"/>
          <w:szCs w:val="16"/>
        </w:rPr>
        <w:t>.</w:t>
      </w:r>
    </w:p>
    <w:p w14:paraId="47AE1B08" w14:textId="5526037B" w:rsidR="00E9350B" w:rsidRPr="00E42EAE" w:rsidRDefault="007501D3" w:rsidP="00BF2D74">
      <w:pPr>
        <w:pStyle w:val="Nextparagraphs"/>
        <w:rPr>
          <w:lang w:val="en-US" w:eastAsia="en-US"/>
        </w:rPr>
      </w:pPr>
      <w:r w:rsidRPr="00E42EAE">
        <w:rPr>
          <w:lang w:val="en-US" w:eastAsia="en-US"/>
        </w:rPr>
        <w:t>and:</w:t>
      </w:r>
    </w:p>
    <w:tbl>
      <w:tblPr>
        <w:tblStyle w:val="TableGrid"/>
        <w:tblW w:w="9123" w:type="dxa"/>
        <w:tblLook w:val="04A0" w:firstRow="1" w:lastRow="0" w:firstColumn="1" w:lastColumn="0" w:noHBand="0" w:noVBand="1"/>
      </w:tblPr>
      <w:tblGrid>
        <w:gridCol w:w="2700"/>
        <w:gridCol w:w="6423"/>
      </w:tblGrid>
      <w:tr w:rsidR="007501D3" w:rsidRPr="00E42EAE" w14:paraId="6B4D6AD0" w14:textId="77777777" w:rsidTr="00FB0A15">
        <w:trPr>
          <w:trHeight w:val="20"/>
        </w:trPr>
        <w:tc>
          <w:tcPr>
            <w:tcW w:w="9123" w:type="dxa"/>
            <w:gridSpan w:val="2"/>
            <w:tcBorders>
              <w:top w:val="single" w:sz="8" w:space="0" w:color="auto"/>
              <w:left w:val="nil"/>
              <w:bottom w:val="single" w:sz="8" w:space="0" w:color="auto"/>
              <w:right w:val="nil"/>
            </w:tcBorders>
            <w:vAlign w:val="center"/>
          </w:tcPr>
          <w:p w14:paraId="769272DC" w14:textId="77777777" w:rsidR="007501D3" w:rsidRPr="00E42EAE" w:rsidRDefault="007501D3"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DSA</w:t>
            </w:r>
          </w:p>
        </w:tc>
      </w:tr>
      <w:tr w:rsidR="007501D3" w:rsidRPr="00E42EAE" w14:paraId="3096C782" w14:textId="77777777" w:rsidTr="00494511">
        <w:trPr>
          <w:trHeight w:val="20"/>
        </w:trPr>
        <w:tc>
          <w:tcPr>
            <w:tcW w:w="2700" w:type="dxa"/>
            <w:tcBorders>
              <w:top w:val="single" w:sz="8" w:space="0" w:color="auto"/>
              <w:left w:val="nil"/>
              <w:bottom w:val="single" w:sz="8" w:space="0" w:color="auto"/>
              <w:right w:val="nil"/>
            </w:tcBorders>
            <w:vAlign w:val="center"/>
          </w:tcPr>
          <w:p w14:paraId="1407A85F" w14:textId="4993BACF" w:rsidR="007501D3" w:rsidRPr="00E42EAE" w:rsidRDefault="009E2BF1"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Information</w:t>
            </w:r>
          </w:p>
        </w:tc>
        <w:tc>
          <w:tcPr>
            <w:tcW w:w="6423" w:type="dxa"/>
            <w:tcBorders>
              <w:top w:val="single" w:sz="8" w:space="0" w:color="auto"/>
              <w:left w:val="nil"/>
              <w:bottom w:val="single" w:sz="8" w:space="0" w:color="auto"/>
              <w:right w:val="nil"/>
            </w:tcBorders>
            <w:vAlign w:val="center"/>
          </w:tcPr>
          <w:p w14:paraId="04D31344" w14:textId="77777777" w:rsidR="007501D3" w:rsidRPr="00E42EAE" w:rsidRDefault="007501D3" w:rsidP="00B742AF">
            <w:pPr>
              <w:pStyle w:val="Nextparagraphs"/>
              <w:keepNext/>
              <w:spacing w:after="0" w:line="240" w:lineRule="auto"/>
              <w:ind w:firstLine="0"/>
              <w:jc w:val="center"/>
              <w:rPr>
                <w:sz w:val="16"/>
                <w:szCs w:val="16"/>
                <w:lang w:val="en-US" w:eastAsia="en-US"/>
              </w:rPr>
            </w:pPr>
            <w:r w:rsidRPr="00E42EAE">
              <w:rPr>
                <w:sz w:val="16"/>
                <w:szCs w:val="16"/>
                <w:lang w:val="en-US" w:eastAsia="en-US"/>
              </w:rPr>
              <w:t>Description</w:t>
            </w:r>
          </w:p>
        </w:tc>
      </w:tr>
      <w:tr w:rsidR="007501D3" w:rsidRPr="00E42EAE" w14:paraId="1529C991" w14:textId="77777777" w:rsidTr="00CA20B1">
        <w:trPr>
          <w:trHeight w:val="20"/>
        </w:trPr>
        <w:tc>
          <w:tcPr>
            <w:tcW w:w="2700" w:type="dxa"/>
            <w:tcBorders>
              <w:top w:val="single" w:sz="8" w:space="0" w:color="auto"/>
              <w:left w:val="nil"/>
              <w:bottom w:val="single" w:sz="4" w:space="0" w:color="auto"/>
              <w:right w:val="nil"/>
            </w:tcBorders>
            <w:vAlign w:val="center"/>
          </w:tcPr>
          <w:p w14:paraId="23709BB9" w14:textId="17CBB73F"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Clarity of language, Art 14(1)</w:t>
            </w:r>
          </w:p>
        </w:tc>
        <w:tc>
          <w:tcPr>
            <w:tcW w:w="6423" w:type="dxa"/>
            <w:tcBorders>
              <w:top w:val="single" w:sz="8" w:space="0" w:color="auto"/>
              <w:left w:val="nil"/>
              <w:bottom w:val="single" w:sz="4" w:space="0" w:color="auto"/>
              <w:right w:val="nil"/>
            </w:tcBorders>
            <w:vAlign w:val="center"/>
          </w:tcPr>
          <w:p w14:paraId="3212C55A"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 T&amp;C written in clear, intelligible, user-friendly language?</w:t>
            </w:r>
          </w:p>
        </w:tc>
      </w:tr>
      <w:tr w:rsidR="007501D3" w:rsidRPr="00E42EAE" w14:paraId="178F783F" w14:textId="77777777" w:rsidTr="00CA20B1">
        <w:trPr>
          <w:trHeight w:val="20"/>
        </w:trPr>
        <w:tc>
          <w:tcPr>
            <w:tcW w:w="2700" w:type="dxa"/>
            <w:tcBorders>
              <w:top w:val="single" w:sz="4" w:space="0" w:color="auto"/>
              <w:left w:val="nil"/>
              <w:bottom w:val="single" w:sz="4" w:space="0" w:color="auto"/>
              <w:right w:val="nil"/>
            </w:tcBorders>
            <w:vAlign w:val="center"/>
          </w:tcPr>
          <w:p w14:paraId="7F26782B" w14:textId="7D41A042"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Clear content rules, Art 14(1)</w:t>
            </w:r>
          </w:p>
        </w:tc>
        <w:tc>
          <w:tcPr>
            <w:tcW w:w="6423" w:type="dxa"/>
            <w:tcBorders>
              <w:top w:val="single" w:sz="4" w:space="0" w:color="auto"/>
              <w:left w:val="nil"/>
              <w:bottom w:val="single" w:sz="4" w:space="0" w:color="auto"/>
              <w:right w:val="nil"/>
            </w:tcBorders>
            <w:vAlign w:val="center"/>
          </w:tcPr>
          <w:p w14:paraId="01DD082E"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Are types of prohibited content explicitly listed with focus on copyright-protected content?</w:t>
            </w:r>
          </w:p>
        </w:tc>
      </w:tr>
      <w:tr w:rsidR="007501D3" w:rsidRPr="00E42EAE" w14:paraId="75897F7D" w14:textId="77777777" w:rsidTr="00CA20B1">
        <w:trPr>
          <w:trHeight w:val="20"/>
        </w:trPr>
        <w:tc>
          <w:tcPr>
            <w:tcW w:w="2700" w:type="dxa"/>
            <w:tcBorders>
              <w:top w:val="single" w:sz="4" w:space="0" w:color="auto"/>
              <w:left w:val="nil"/>
              <w:bottom w:val="single" w:sz="4" w:space="0" w:color="auto"/>
              <w:right w:val="nil"/>
            </w:tcBorders>
            <w:vAlign w:val="center"/>
          </w:tcPr>
          <w:p w14:paraId="7604D0D1" w14:textId="1E3FE8D3"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Moderation explanation, Art 14(1)</w:t>
            </w:r>
          </w:p>
        </w:tc>
        <w:tc>
          <w:tcPr>
            <w:tcW w:w="6423" w:type="dxa"/>
            <w:tcBorders>
              <w:top w:val="single" w:sz="4" w:space="0" w:color="auto"/>
              <w:left w:val="nil"/>
              <w:bottom w:val="single" w:sz="4" w:space="0" w:color="auto"/>
              <w:right w:val="nil"/>
            </w:tcBorders>
            <w:vAlign w:val="center"/>
          </w:tcPr>
          <w:p w14:paraId="31CBE128" w14:textId="5CA4A2C4" w:rsidR="007501D3" w:rsidRPr="00E42EAE" w:rsidRDefault="00B9654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 xml:space="preserve">Are moderation processes explained? Is the role of automation/human review explained? </w:t>
            </w:r>
            <w:r w:rsidR="007501D3" w:rsidRPr="00E42EAE">
              <w:rPr>
                <w:sz w:val="16"/>
                <w:szCs w:val="16"/>
                <w:lang w:val="en-US" w:eastAsia="en-US"/>
              </w:rPr>
              <w:t>Are moderation processes and use of automation/human review explained?</w:t>
            </w:r>
          </w:p>
        </w:tc>
      </w:tr>
      <w:tr w:rsidR="007501D3" w:rsidRPr="00E42EAE" w14:paraId="6CD6A2FD" w14:textId="77777777" w:rsidTr="00CA20B1">
        <w:trPr>
          <w:trHeight w:val="20"/>
        </w:trPr>
        <w:tc>
          <w:tcPr>
            <w:tcW w:w="2700" w:type="dxa"/>
            <w:tcBorders>
              <w:top w:val="single" w:sz="4" w:space="0" w:color="auto"/>
              <w:left w:val="nil"/>
              <w:bottom w:val="single" w:sz="4" w:space="0" w:color="auto"/>
              <w:right w:val="nil"/>
            </w:tcBorders>
            <w:vAlign w:val="center"/>
          </w:tcPr>
          <w:p w14:paraId="36ECD4F3" w14:textId="2BF8236D"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Notice of T&amp;C changes, Art 14(2)</w:t>
            </w:r>
          </w:p>
        </w:tc>
        <w:tc>
          <w:tcPr>
            <w:tcW w:w="6423" w:type="dxa"/>
            <w:tcBorders>
              <w:top w:val="single" w:sz="4" w:space="0" w:color="auto"/>
              <w:left w:val="nil"/>
              <w:bottom w:val="single" w:sz="4" w:space="0" w:color="auto"/>
              <w:right w:val="nil"/>
            </w:tcBorders>
            <w:vAlign w:val="center"/>
          </w:tcPr>
          <w:p w14:paraId="36B22F8A"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Does the platform commit to notifying users of changes?</w:t>
            </w:r>
          </w:p>
        </w:tc>
      </w:tr>
      <w:tr w:rsidR="007501D3" w:rsidRPr="00E42EAE" w14:paraId="67943007" w14:textId="77777777" w:rsidTr="00CA20B1">
        <w:trPr>
          <w:trHeight w:val="20"/>
        </w:trPr>
        <w:tc>
          <w:tcPr>
            <w:tcW w:w="2700" w:type="dxa"/>
            <w:tcBorders>
              <w:top w:val="single" w:sz="4" w:space="0" w:color="auto"/>
              <w:left w:val="nil"/>
              <w:bottom w:val="single" w:sz="4" w:space="0" w:color="auto"/>
              <w:right w:val="nil"/>
            </w:tcBorders>
            <w:vAlign w:val="center"/>
          </w:tcPr>
          <w:p w14:paraId="0137A64C"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Child-accessible language, Art 14(3)</w:t>
            </w:r>
          </w:p>
        </w:tc>
        <w:tc>
          <w:tcPr>
            <w:tcW w:w="6423" w:type="dxa"/>
            <w:tcBorders>
              <w:top w:val="single" w:sz="4" w:space="0" w:color="auto"/>
              <w:left w:val="nil"/>
              <w:bottom w:val="single" w:sz="4" w:space="0" w:color="auto"/>
              <w:right w:val="nil"/>
            </w:tcBorders>
            <w:vAlign w:val="center"/>
          </w:tcPr>
          <w:p w14:paraId="4EF351C1"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Are terms presented in language understandable to minors?</w:t>
            </w:r>
          </w:p>
        </w:tc>
      </w:tr>
      <w:tr w:rsidR="007501D3" w:rsidRPr="00E42EAE" w14:paraId="7A71EBBA" w14:textId="77777777" w:rsidTr="00CA20B1">
        <w:trPr>
          <w:trHeight w:val="20"/>
        </w:trPr>
        <w:tc>
          <w:tcPr>
            <w:tcW w:w="2700" w:type="dxa"/>
            <w:tcBorders>
              <w:top w:val="single" w:sz="4" w:space="0" w:color="auto"/>
              <w:left w:val="nil"/>
              <w:bottom w:val="single" w:sz="4" w:space="0" w:color="auto"/>
              <w:right w:val="nil"/>
            </w:tcBorders>
            <w:vAlign w:val="center"/>
          </w:tcPr>
          <w:p w14:paraId="3B037CD2" w14:textId="17DA4790"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VLOPs) Machine-readable format, Art 14(5)</w:t>
            </w:r>
          </w:p>
        </w:tc>
        <w:tc>
          <w:tcPr>
            <w:tcW w:w="6423" w:type="dxa"/>
            <w:tcBorders>
              <w:top w:val="single" w:sz="4" w:space="0" w:color="auto"/>
              <w:left w:val="nil"/>
              <w:bottom w:val="single" w:sz="4" w:space="0" w:color="auto"/>
              <w:right w:val="nil"/>
            </w:tcBorders>
            <w:vAlign w:val="center"/>
          </w:tcPr>
          <w:p w14:paraId="0FD85CEF"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 T&amp;C available in a machine-readable format?</w:t>
            </w:r>
          </w:p>
        </w:tc>
      </w:tr>
      <w:tr w:rsidR="007501D3" w:rsidRPr="00E42EAE" w14:paraId="206DD8AF" w14:textId="77777777" w:rsidTr="00CA20B1">
        <w:trPr>
          <w:trHeight w:val="20"/>
        </w:trPr>
        <w:tc>
          <w:tcPr>
            <w:tcW w:w="2700" w:type="dxa"/>
            <w:tcBorders>
              <w:top w:val="single" w:sz="4" w:space="0" w:color="auto"/>
              <w:left w:val="nil"/>
              <w:bottom w:val="single" w:sz="4" w:space="0" w:color="auto"/>
              <w:right w:val="nil"/>
            </w:tcBorders>
            <w:vAlign w:val="center"/>
          </w:tcPr>
          <w:p w14:paraId="7F6D3388"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w:t>
            </w:r>
            <w:r w:rsidRPr="00E42EAE">
              <w:rPr>
                <w:lang w:val="en-US"/>
              </w:rPr>
              <w:t xml:space="preserve"> </w:t>
            </w:r>
            <w:r w:rsidRPr="00E42EAE">
              <w:rPr>
                <w:sz w:val="16"/>
                <w:szCs w:val="16"/>
                <w:lang w:val="en-US" w:eastAsia="en-US"/>
              </w:rPr>
              <w:t>Redress mechanisms, Art 14(1), 20-21</w:t>
            </w:r>
          </w:p>
        </w:tc>
        <w:tc>
          <w:tcPr>
            <w:tcW w:w="6423" w:type="dxa"/>
            <w:tcBorders>
              <w:top w:val="single" w:sz="4" w:space="0" w:color="auto"/>
              <w:left w:val="nil"/>
              <w:bottom w:val="single" w:sz="4" w:space="0" w:color="auto"/>
              <w:right w:val="nil"/>
            </w:tcBorders>
            <w:vAlign w:val="center"/>
          </w:tcPr>
          <w:p w14:paraId="1B5ED714"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Are complaint or appeal processes described?</w:t>
            </w:r>
          </w:p>
        </w:tc>
      </w:tr>
      <w:tr w:rsidR="007501D3" w:rsidRPr="00E42EAE" w14:paraId="1E2E6DEB" w14:textId="77777777" w:rsidTr="00CA20B1">
        <w:trPr>
          <w:trHeight w:val="20"/>
        </w:trPr>
        <w:tc>
          <w:tcPr>
            <w:tcW w:w="2700" w:type="dxa"/>
            <w:tcBorders>
              <w:top w:val="single" w:sz="4" w:space="0" w:color="auto"/>
              <w:left w:val="nil"/>
              <w:bottom w:val="single" w:sz="4" w:space="0" w:color="auto"/>
              <w:right w:val="nil"/>
            </w:tcBorders>
            <w:vAlign w:val="center"/>
          </w:tcPr>
          <w:p w14:paraId="311E70D1" w14:textId="56445E16"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Automated notice and action mechanism, Art 16(6)</w:t>
            </w:r>
          </w:p>
        </w:tc>
        <w:tc>
          <w:tcPr>
            <w:tcW w:w="6423" w:type="dxa"/>
            <w:tcBorders>
              <w:top w:val="single" w:sz="4" w:space="0" w:color="auto"/>
              <w:left w:val="nil"/>
              <w:bottom w:val="single" w:sz="4" w:space="0" w:color="auto"/>
              <w:right w:val="nil"/>
            </w:tcBorders>
            <w:vAlign w:val="center"/>
          </w:tcPr>
          <w:p w14:paraId="77DAC116"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Does the platform specify any use of automated notice and action process?</w:t>
            </w:r>
          </w:p>
        </w:tc>
      </w:tr>
      <w:tr w:rsidR="007501D3" w:rsidRPr="00E42EAE" w14:paraId="67CEEA48" w14:textId="77777777" w:rsidTr="00CA20B1">
        <w:trPr>
          <w:trHeight w:val="20"/>
        </w:trPr>
        <w:tc>
          <w:tcPr>
            <w:tcW w:w="2700" w:type="dxa"/>
            <w:tcBorders>
              <w:top w:val="single" w:sz="4" w:space="0" w:color="auto"/>
              <w:left w:val="nil"/>
              <w:bottom w:val="single" w:sz="4" w:space="0" w:color="auto"/>
              <w:right w:val="nil"/>
            </w:tcBorders>
            <w:vAlign w:val="center"/>
          </w:tcPr>
          <w:p w14:paraId="763B8CD6"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Statement of reasons, Art. 17(1)</w:t>
            </w:r>
          </w:p>
        </w:tc>
        <w:tc>
          <w:tcPr>
            <w:tcW w:w="6423" w:type="dxa"/>
            <w:tcBorders>
              <w:top w:val="single" w:sz="4" w:space="0" w:color="auto"/>
              <w:left w:val="nil"/>
              <w:bottom w:val="single" w:sz="4" w:space="0" w:color="auto"/>
              <w:right w:val="nil"/>
            </w:tcBorders>
            <w:vAlign w:val="center"/>
          </w:tcPr>
          <w:p w14:paraId="6596DDFC"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Does the platform provide statement of reasons for moderation actions?</w:t>
            </w:r>
          </w:p>
        </w:tc>
      </w:tr>
      <w:tr w:rsidR="007501D3" w:rsidRPr="00E42EAE" w14:paraId="02B0C088" w14:textId="77777777" w:rsidTr="00CA20B1">
        <w:trPr>
          <w:trHeight w:val="20"/>
        </w:trPr>
        <w:tc>
          <w:tcPr>
            <w:tcW w:w="2700" w:type="dxa"/>
            <w:tcBorders>
              <w:top w:val="single" w:sz="4" w:space="0" w:color="auto"/>
              <w:left w:val="nil"/>
              <w:bottom w:val="single" w:sz="4" w:space="0" w:color="auto"/>
              <w:right w:val="nil"/>
            </w:tcBorders>
            <w:vAlign w:val="center"/>
          </w:tcPr>
          <w:p w14:paraId="582789CA" w14:textId="365FEE05"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Free complaints, Art 20(1)</w:t>
            </w:r>
          </w:p>
        </w:tc>
        <w:tc>
          <w:tcPr>
            <w:tcW w:w="6423" w:type="dxa"/>
            <w:tcBorders>
              <w:top w:val="single" w:sz="4" w:space="0" w:color="auto"/>
              <w:left w:val="nil"/>
              <w:bottom w:val="single" w:sz="4" w:space="0" w:color="auto"/>
              <w:right w:val="nil"/>
            </w:tcBorders>
            <w:vAlign w:val="center"/>
          </w:tcPr>
          <w:p w14:paraId="7FDDFFF1"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it clearly stated that complaint handling is free?</w:t>
            </w:r>
          </w:p>
        </w:tc>
      </w:tr>
      <w:tr w:rsidR="007501D3" w:rsidRPr="00E42EAE" w14:paraId="5B65EDC3" w14:textId="77777777" w:rsidTr="00CA20B1">
        <w:trPr>
          <w:trHeight w:val="20"/>
        </w:trPr>
        <w:tc>
          <w:tcPr>
            <w:tcW w:w="2700" w:type="dxa"/>
            <w:tcBorders>
              <w:top w:val="single" w:sz="4" w:space="0" w:color="auto"/>
              <w:left w:val="nil"/>
              <w:bottom w:val="single" w:sz="4" w:space="0" w:color="auto"/>
              <w:right w:val="nil"/>
            </w:tcBorders>
            <w:vAlign w:val="center"/>
          </w:tcPr>
          <w:p w14:paraId="51D6DE2C"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Out-of-court resolution, Art 21</w:t>
            </w:r>
          </w:p>
        </w:tc>
        <w:tc>
          <w:tcPr>
            <w:tcW w:w="6423" w:type="dxa"/>
            <w:tcBorders>
              <w:top w:val="single" w:sz="4" w:space="0" w:color="auto"/>
              <w:left w:val="nil"/>
              <w:bottom w:val="single" w:sz="4" w:space="0" w:color="auto"/>
              <w:right w:val="nil"/>
            </w:tcBorders>
            <w:vAlign w:val="center"/>
          </w:tcPr>
          <w:p w14:paraId="3B1623BD"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Are users informed about out-of-court dispute settlement options?</w:t>
            </w:r>
          </w:p>
        </w:tc>
      </w:tr>
      <w:tr w:rsidR="007501D3" w:rsidRPr="00E42EAE" w14:paraId="7F3D9907" w14:textId="77777777" w:rsidTr="00CA20B1">
        <w:trPr>
          <w:trHeight w:val="20"/>
        </w:trPr>
        <w:tc>
          <w:tcPr>
            <w:tcW w:w="2700" w:type="dxa"/>
            <w:tcBorders>
              <w:top w:val="single" w:sz="4" w:space="0" w:color="auto"/>
              <w:left w:val="nil"/>
              <w:bottom w:val="single" w:sz="4" w:space="0" w:color="auto"/>
              <w:right w:val="nil"/>
            </w:tcBorders>
            <w:vAlign w:val="center"/>
          </w:tcPr>
          <w:p w14:paraId="705F4574"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Trusted flagger reference, Art 22</w:t>
            </w:r>
          </w:p>
        </w:tc>
        <w:tc>
          <w:tcPr>
            <w:tcW w:w="6423" w:type="dxa"/>
            <w:tcBorders>
              <w:top w:val="single" w:sz="4" w:space="0" w:color="auto"/>
              <w:left w:val="nil"/>
              <w:bottom w:val="single" w:sz="4" w:space="0" w:color="auto"/>
              <w:right w:val="nil"/>
            </w:tcBorders>
            <w:vAlign w:val="center"/>
          </w:tcPr>
          <w:p w14:paraId="11F85766"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Do T&amp;Cs mention or define trusted flaggers?</w:t>
            </w:r>
          </w:p>
        </w:tc>
      </w:tr>
      <w:tr w:rsidR="007501D3" w:rsidRPr="00E42EAE" w14:paraId="77D77520" w14:textId="77777777" w:rsidTr="00CA20B1">
        <w:trPr>
          <w:trHeight w:val="20"/>
        </w:trPr>
        <w:tc>
          <w:tcPr>
            <w:tcW w:w="2700" w:type="dxa"/>
            <w:tcBorders>
              <w:top w:val="single" w:sz="4" w:space="0" w:color="auto"/>
              <w:left w:val="nil"/>
              <w:bottom w:val="single" w:sz="4" w:space="0" w:color="auto"/>
              <w:right w:val="nil"/>
            </w:tcBorders>
            <w:vAlign w:val="center"/>
          </w:tcPr>
          <w:p w14:paraId="79248B7D" w14:textId="70062254"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Misuse, Art 23(4)</w:t>
            </w:r>
          </w:p>
        </w:tc>
        <w:tc>
          <w:tcPr>
            <w:tcW w:w="6423" w:type="dxa"/>
            <w:tcBorders>
              <w:top w:val="single" w:sz="4" w:space="0" w:color="auto"/>
              <w:left w:val="nil"/>
              <w:bottom w:val="single" w:sz="4" w:space="0" w:color="auto"/>
              <w:right w:val="nil"/>
            </w:tcBorders>
            <w:vAlign w:val="center"/>
          </w:tcPr>
          <w:p w14:paraId="0A08349F"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there a clear policy for suspension due to misuse?</w:t>
            </w:r>
          </w:p>
        </w:tc>
      </w:tr>
      <w:tr w:rsidR="007501D3" w:rsidRPr="00E42EAE" w14:paraId="6BD0164C" w14:textId="77777777" w:rsidTr="00CA20B1">
        <w:trPr>
          <w:trHeight w:val="20"/>
        </w:trPr>
        <w:tc>
          <w:tcPr>
            <w:tcW w:w="2700" w:type="dxa"/>
            <w:tcBorders>
              <w:top w:val="single" w:sz="4" w:space="0" w:color="auto"/>
              <w:left w:val="nil"/>
              <w:bottom w:val="single" w:sz="4" w:space="0" w:color="auto"/>
              <w:right w:val="nil"/>
            </w:tcBorders>
            <w:vAlign w:val="center"/>
          </w:tcPr>
          <w:p w14:paraId="1FB543C3" w14:textId="7AB0E9CC"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Ad identification, Art 26(1)</w:t>
            </w:r>
          </w:p>
        </w:tc>
        <w:tc>
          <w:tcPr>
            <w:tcW w:w="6423" w:type="dxa"/>
            <w:tcBorders>
              <w:top w:val="single" w:sz="4" w:space="0" w:color="auto"/>
              <w:left w:val="nil"/>
              <w:bottom w:val="single" w:sz="4" w:space="0" w:color="auto"/>
              <w:right w:val="nil"/>
            </w:tcBorders>
            <w:vAlign w:val="center"/>
          </w:tcPr>
          <w:p w14:paraId="07F5627D"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Do terms contain any information on identification of advertisement?</w:t>
            </w:r>
          </w:p>
        </w:tc>
      </w:tr>
      <w:tr w:rsidR="007501D3" w:rsidRPr="00E42EAE" w14:paraId="3DA6B433" w14:textId="77777777" w:rsidTr="00CA20B1">
        <w:trPr>
          <w:trHeight w:val="20"/>
        </w:trPr>
        <w:tc>
          <w:tcPr>
            <w:tcW w:w="2700" w:type="dxa"/>
            <w:tcBorders>
              <w:top w:val="single" w:sz="4" w:space="0" w:color="auto"/>
              <w:left w:val="nil"/>
              <w:bottom w:val="single" w:sz="4" w:space="0" w:color="auto"/>
              <w:right w:val="nil"/>
            </w:tcBorders>
            <w:vAlign w:val="center"/>
          </w:tcPr>
          <w:p w14:paraId="28F446FD" w14:textId="54485549"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Recommender explanation, Art 27(1)</w:t>
            </w:r>
          </w:p>
        </w:tc>
        <w:tc>
          <w:tcPr>
            <w:tcW w:w="6423" w:type="dxa"/>
            <w:tcBorders>
              <w:top w:val="single" w:sz="4" w:space="0" w:color="auto"/>
              <w:left w:val="nil"/>
              <w:bottom w:val="single" w:sz="4" w:space="0" w:color="auto"/>
              <w:right w:val="nil"/>
            </w:tcBorders>
            <w:vAlign w:val="center"/>
          </w:tcPr>
          <w:p w14:paraId="3E54289C"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 recommender system logic explained?</w:t>
            </w:r>
          </w:p>
        </w:tc>
      </w:tr>
      <w:tr w:rsidR="007501D3" w:rsidRPr="00E42EAE" w14:paraId="526E896E" w14:textId="77777777" w:rsidTr="00CA20B1">
        <w:trPr>
          <w:trHeight w:val="20"/>
        </w:trPr>
        <w:tc>
          <w:tcPr>
            <w:tcW w:w="2700" w:type="dxa"/>
            <w:tcBorders>
              <w:top w:val="single" w:sz="4" w:space="0" w:color="auto"/>
              <w:left w:val="nil"/>
              <w:bottom w:val="single" w:sz="4" w:space="0" w:color="auto"/>
              <w:right w:val="nil"/>
            </w:tcBorders>
            <w:vAlign w:val="center"/>
          </w:tcPr>
          <w:p w14:paraId="3F5BE5F7" w14:textId="75FCB4CC"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(O) Recommender system opt-out/change, Art 27(1)</w:t>
            </w:r>
          </w:p>
        </w:tc>
        <w:tc>
          <w:tcPr>
            <w:tcW w:w="6423" w:type="dxa"/>
            <w:tcBorders>
              <w:top w:val="single" w:sz="4" w:space="0" w:color="auto"/>
              <w:left w:val="nil"/>
              <w:bottom w:val="single" w:sz="4" w:space="0" w:color="auto"/>
              <w:right w:val="nil"/>
            </w:tcBorders>
            <w:vAlign w:val="center"/>
          </w:tcPr>
          <w:p w14:paraId="4391FB9D"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Can users disable or change parameters of personalization of recommendations?</w:t>
            </w:r>
          </w:p>
        </w:tc>
      </w:tr>
      <w:tr w:rsidR="007501D3" w:rsidRPr="00E42EAE" w14:paraId="4CBA199D" w14:textId="77777777" w:rsidTr="00CA20B1">
        <w:trPr>
          <w:trHeight w:val="20"/>
        </w:trPr>
        <w:tc>
          <w:tcPr>
            <w:tcW w:w="2700" w:type="dxa"/>
            <w:tcBorders>
              <w:top w:val="single" w:sz="4" w:space="0" w:color="auto"/>
              <w:left w:val="nil"/>
              <w:bottom w:val="single" w:sz="4" w:space="0" w:color="auto"/>
              <w:right w:val="nil"/>
            </w:tcBorders>
            <w:vAlign w:val="center"/>
          </w:tcPr>
          <w:p w14:paraId="759B212A"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Risk assessment mention, Art 34-35</w:t>
            </w:r>
          </w:p>
        </w:tc>
        <w:tc>
          <w:tcPr>
            <w:tcW w:w="6423" w:type="dxa"/>
            <w:tcBorders>
              <w:top w:val="single" w:sz="4" w:space="0" w:color="auto"/>
              <w:left w:val="nil"/>
              <w:bottom w:val="single" w:sz="4" w:space="0" w:color="auto"/>
              <w:right w:val="nil"/>
            </w:tcBorders>
            <w:vAlign w:val="center"/>
          </w:tcPr>
          <w:p w14:paraId="5B545127"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there any mention of systemic risk assessments?</w:t>
            </w:r>
          </w:p>
        </w:tc>
      </w:tr>
      <w:tr w:rsidR="007501D3" w:rsidRPr="00E42EAE" w14:paraId="7738D809" w14:textId="77777777" w:rsidTr="00CA20B1">
        <w:trPr>
          <w:trHeight w:val="20"/>
        </w:trPr>
        <w:tc>
          <w:tcPr>
            <w:tcW w:w="2700" w:type="dxa"/>
            <w:tcBorders>
              <w:top w:val="single" w:sz="4" w:space="0" w:color="auto"/>
              <w:left w:val="nil"/>
              <w:bottom w:val="single" w:sz="4" w:space="0" w:color="auto"/>
              <w:right w:val="nil"/>
            </w:tcBorders>
            <w:vAlign w:val="center"/>
          </w:tcPr>
          <w:p w14:paraId="1A756AB6"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Crisis mechanism, Art 36</w:t>
            </w:r>
          </w:p>
        </w:tc>
        <w:tc>
          <w:tcPr>
            <w:tcW w:w="6423" w:type="dxa"/>
            <w:tcBorders>
              <w:top w:val="single" w:sz="4" w:space="0" w:color="auto"/>
              <w:left w:val="nil"/>
              <w:bottom w:val="single" w:sz="4" w:space="0" w:color="auto"/>
              <w:right w:val="nil"/>
            </w:tcBorders>
            <w:vAlign w:val="center"/>
          </w:tcPr>
          <w:p w14:paraId="258B9751"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there a clause referring to crisis mitigation obligations?</w:t>
            </w:r>
          </w:p>
        </w:tc>
      </w:tr>
      <w:tr w:rsidR="007501D3" w:rsidRPr="00E42EAE" w14:paraId="79688430" w14:textId="77777777" w:rsidTr="00CA20B1">
        <w:trPr>
          <w:trHeight w:val="20"/>
        </w:trPr>
        <w:tc>
          <w:tcPr>
            <w:tcW w:w="2700" w:type="dxa"/>
            <w:tcBorders>
              <w:top w:val="single" w:sz="4" w:space="0" w:color="auto"/>
              <w:left w:val="nil"/>
              <w:bottom w:val="single" w:sz="4" w:space="0" w:color="auto"/>
              <w:right w:val="nil"/>
            </w:tcBorders>
            <w:vAlign w:val="center"/>
          </w:tcPr>
          <w:p w14:paraId="5AC4DAC3"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Recommender system without personalization, Art 38</w:t>
            </w:r>
          </w:p>
        </w:tc>
        <w:tc>
          <w:tcPr>
            <w:tcW w:w="6423" w:type="dxa"/>
            <w:tcBorders>
              <w:top w:val="single" w:sz="4" w:space="0" w:color="auto"/>
              <w:left w:val="nil"/>
              <w:bottom w:val="single" w:sz="4" w:space="0" w:color="auto"/>
              <w:right w:val="nil"/>
            </w:tcBorders>
            <w:vAlign w:val="center"/>
          </w:tcPr>
          <w:p w14:paraId="4D0950AB"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there any mention about complete disabling of personalization (VLOPs)?</w:t>
            </w:r>
          </w:p>
        </w:tc>
      </w:tr>
      <w:tr w:rsidR="00656985" w:rsidRPr="00E42EAE" w14:paraId="20D0DDAA" w14:textId="77777777" w:rsidTr="00CA20B1">
        <w:trPr>
          <w:trHeight w:val="20"/>
        </w:trPr>
        <w:tc>
          <w:tcPr>
            <w:tcW w:w="2700" w:type="dxa"/>
            <w:tcBorders>
              <w:top w:val="single" w:sz="4" w:space="0" w:color="auto"/>
              <w:left w:val="nil"/>
              <w:bottom w:val="single" w:sz="4" w:space="0" w:color="auto"/>
              <w:right w:val="nil"/>
            </w:tcBorders>
            <w:vAlign w:val="center"/>
          </w:tcPr>
          <w:p w14:paraId="39A41DFF"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(V) Additional information on advertisement transparency, Art 39</w:t>
            </w:r>
          </w:p>
        </w:tc>
        <w:tc>
          <w:tcPr>
            <w:tcW w:w="6423" w:type="dxa"/>
            <w:tcBorders>
              <w:top w:val="single" w:sz="4" w:space="0" w:color="auto"/>
              <w:left w:val="nil"/>
              <w:bottom w:val="single" w:sz="4" w:space="0" w:color="auto"/>
              <w:right w:val="nil"/>
            </w:tcBorders>
            <w:vAlign w:val="center"/>
          </w:tcPr>
          <w:p w14:paraId="681FA384" w14:textId="77777777" w:rsidR="007501D3" w:rsidRPr="00E42EAE" w:rsidRDefault="007501D3" w:rsidP="00B742AF">
            <w:pPr>
              <w:pStyle w:val="Nextparagraphs"/>
              <w:keepNext/>
              <w:spacing w:after="0" w:line="240" w:lineRule="auto"/>
              <w:ind w:firstLine="0"/>
              <w:jc w:val="left"/>
              <w:rPr>
                <w:sz w:val="16"/>
                <w:szCs w:val="16"/>
                <w:lang w:val="en-US" w:eastAsia="en-US"/>
              </w:rPr>
            </w:pPr>
            <w:r w:rsidRPr="00E42EAE">
              <w:rPr>
                <w:sz w:val="16"/>
                <w:szCs w:val="16"/>
                <w:lang w:val="en-US" w:eastAsia="en-US"/>
              </w:rPr>
              <w:t>Is there any information on additional advertisement transparency information, particularly interface with compilation of information?</w:t>
            </w:r>
          </w:p>
        </w:tc>
      </w:tr>
    </w:tbl>
    <w:p w14:paraId="7DC480E9" w14:textId="0FAEEA89" w:rsidR="007501D3" w:rsidRPr="00E42EAE" w:rsidRDefault="00656985" w:rsidP="003B21FA">
      <w:pPr>
        <w:pStyle w:val="Quote"/>
        <w:spacing w:before="0"/>
        <w:rPr>
          <w:sz w:val="16"/>
          <w:szCs w:val="16"/>
        </w:rPr>
      </w:pPr>
      <w:r w:rsidRPr="00E42EAE">
        <w:rPr>
          <w:sz w:val="16"/>
          <w:szCs w:val="16"/>
        </w:rPr>
        <w:t xml:space="preserve">Table 2: </w:t>
      </w:r>
      <w:r w:rsidR="009D09CD" w:rsidRPr="00E42EAE">
        <w:rPr>
          <w:sz w:val="16"/>
          <w:szCs w:val="16"/>
        </w:rPr>
        <w:t>Information voluntarily or obligatory disclosed in terms and conditions</w:t>
      </w:r>
      <w:r w:rsidR="00486A98" w:rsidRPr="00E42EAE">
        <w:rPr>
          <w:sz w:val="16"/>
          <w:szCs w:val="16"/>
        </w:rPr>
        <w:t xml:space="preserve"> under DSA</w:t>
      </w:r>
      <w:r w:rsidR="009D09CD" w:rsidRPr="00E42EAE">
        <w:rPr>
          <w:sz w:val="16"/>
          <w:szCs w:val="16"/>
        </w:rPr>
        <w:t>.</w:t>
      </w:r>
    </w:p>
    <w:p w14:paraId="15F0BA52" w14:textId="752516B0" w:rsidR="00335722" w:rsidRDefault="00CA7CC6" w:rsidP="00DF146C">
      <w:pPr>
        <w:pStyle w:val="Nextparagraphs"/>
        <w:rPr>
          <w:lang w:val="en-US" w:eastAsia="en-US"/>
        </w:rPr>
      </w:pPr>
      <w:r w:rsidRPr="00E42EAE">
        <w:rPr>
          <w:lang w:val="en-US" w:eastAsia="en-US"/>
        </w:rPr>
        <w:t xml:space="preserve">In analysing the data, we identify individual passages in private ordering tools that implement </w:t>
      </w:r>
      <w:r w:rsidR="00E82A55" w:rsidRPr="00E42EAE">
        <w:rPr>
          <w:lang w:val="en-US" w:eastAsia="en-US"/>
        </w:rPr>
        <w:t>specified obligation.</w:t>
      </w:r>
      <w:r w:rsidR="00B43BF5" w:rsidRPr="00E42EAE">
        <w:rPr>
          <w:lang w:val="en-US" w:eastAsia="en-US"/>
        </w:rPr>
        <w:t xml:space="preserve"> </w:t>
      </w:r>
      <w:r w:rsidR="00150F3D" w:rsidRPr="00E42EAE">
        <w:rPr>
          <w:lang w:val="en-US" w:eastAsia="en-US"/>
        </w:rPr>
        <w:t xml:space="preserve">In other words, we </w:t>
      </w:r>
      <w:r w:rsidR="003269F1" w:rsidRPr="00E42EAE">
        <w:rPr>
          <w:lang w:val="en-US" w:eastAsia="en-US"/>
        </w:rPr>
        <w:t xml:space="preserve">are examining </w:t>
      </w:r>
      <w:r w:rsidR="00150F3D" w:rsidRPr="00E42EAE">
        <w:rPr>
          <w:lang w:val="en-US" w:eastAsia="en-US"/>
        </w:rPr>
        <w:t xml:space="preserve">whether particular version of terms and conditions discloses </w:t>
      </w:r>
      <w:r w:rsidR="00D54F17">
        <w:rPr>
          <w:lang w:val="en-US" w:eastAsia="en-US"/>
        </w:rPr>
        <w:t xml:space="preserve">any </w:t>
      </w:r>
      <w:r w:rsidR="00150F3D" w:rsidRPr="00E42EAE">
        <w:rPr>
          <w:lang w:val="en-US" w:eastAsia="en-US"/>
        </w:rPr>
        <w:t>information outlined above.</w:t>
      </w:r>
      <w:r w:rsidR="00D54F17">
        <w:rPr>
          <w:lang w:val="en-US" w:eastAsia="en-US"/>
        </w:rPr>
        <w:t xml:space="preserve"> Next, we evaluate the sum of all relevant section in respective time version on four step scale </w:t>
      </w:r>
      <w:r w:rsidR="001B71FA">
        <w:rPr>
          <w:lang w:val="en-US" w:eastAsia="en-US"/>
        </w:rPr>
        <w:t xml:space="preserve">of contradictory provision, absent information, formal </w:t>
      </w:r>
      <w:r w:rsidR="001B71FA">
        <w:rPr>
          <w:lang w:val="en-US" w:eastAsia="en-US"/>
        </w:rPr>
        <w:lastRenderedPageBreak/>
        <w:t>compliance and material compliance.</w:t>
      </w:r>
      <w:r w:rsidR="00A93993">
        <w:rPr>
          <w:lang w:val="en-US" w:eastAsia="en-US"/>
        </w:rPr>
        <w:t xml:space="preserve"> This scale can be illustrated on the statement of reasons obligation </w:t>
      </w:r>
      <w:r w:rsidR="007B3B0A">
        <w:rPr>
          <w:lang w:val="en-US" w:eastAsia="en-US"/>
        </w:rPr>
        <w:t xml:space="preserve">under Article 17 DSA </w:t>
      </w:r>
      <w:r w:rsidR="00A93993">
        <w:rPr>
          <w:lang w:val="en-US" w:eastAsia="en-US"/>
        </w:rPr>
        <w:t>followingly: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2227"/>
        <w:gridCol w:w="2228"/>
        <w:gridCol w:w="2227"/>
        <w:gridCol w:w="2228"/>
      </w:tblGrid>
      <w:tr w:rsidR="00B32533" w:rsidRPr="00B32533" w14:paraId="1E5E6697" w14:textId="77777777" w:rsidTr="003A5B3D">
        <w:trPr>
          <w:trHeight w:val="20"/>
        </w:trPr>
        <w:tc>
          <w:tcPr>
            <w:tcW w:w="1075" w:type="dxa"/>
            <w:vAlign w:val="bottom"/>
          </w:tcPr>
          <w:p w14:paraId="2CABD797" w14:textId="17084E4D" w:rsidR="00B32533" w:rsidRPr="003A5B3D" w:rsidRDefault="00B32533" w:rsidP="00426D33">
            <w:pPr>
              <w:keepNext/>
              <w:spacing w:after="0" w:line="240" w:lineRule="auto"/>
              <w:rPr>
                <w:rFonts w:ascii="Calibri" w:eastAsia="Times New Roman" w:hAnsi="Calibri" w:cs="Calibri"/>
                <w:b/>
                <w:bCs/>
                <w:color w:val="000000"/>
                <w:kern w:val="0"/>
                <w:sz w:val="16"/>
                <w:szCs w:val="16"/>
                <w:lang w:val="en-GB" w:eastAsia="cs-CZ"/>
                <w14:ligatures w14:val="none"/>
              </w:rPr>
            </w:pPr>
            <w:r w:rsidRPr="003A5B3D">
              <w:rPr>
                <w:rFonts w:ascii="Calibri" w:eastAsia="Times New Roman" w:hAnsi="Calibri" w:cs="Calibri"/>
                <w:b/>
                <w:bCs/>
                <w:color w:val="000000"/>
                <w:kern w:val="0"/>
                <w:sz w:val="16"/>
                <w:szCs w:val="16"/>
                <w:lang w:val="en-GB" w:eastAsia="cs-CZ"/>
                <w14:ligatures w14:val="none"/>
              </w:rPr>
              <w:t>Relevant obligation</w:t>
            </w:r>
          </w:p>
        </w:tc>
        <w:tc>
          <w:tcPr>
            <w:tcW w:w="2227" w:type="dxa"/>
            <w:vAlign w:val="bottom"/>
          </w:tcPr>
          <w:p w14:paraId="577A78C5" w14:textId="33D77784" w:rsidR="00B32533" w:rsidRPr="003A5B3D" w:rsidRDefault="00B32533" w:rsidP="00426D33">
            <w:pPr>
              <w:keepNext/>
              <w:spacing w:after="0" w:line="240" w:lineRule="auto"/>
              <w:rPr>
                <w:rFonts w:ascii="Calibri" w:eastAsia="Times New Roman" w:hAnsi="Calibri" w:cs="Calibri"/>
                <w:b/>
                <w:bCs/>
                <w:color w:val="000000"/>
                <w:kern w:val="0"/>
                <w:sz w:val="16"/>
                <w:szCs w:val="16"/>
                <w:lang w:val="en-GB" w:eastAsia="cs-CZ"/>
                <w14:ligatures w14:val="none"/>
              </w:rPr>
            </w:pPr>
            <w:r w:rsidRPr="003A5B3D">
              <w:rPr>
                <w:rFonts w:ascii="Calibri" w:eastAsia="Times New Roman" w:hAnsi="Calibri" w:cs="Calibri"/>
                <w:b/>
                <w:bCs/>
                <w:color w:val="000000"/>
                <w:kern w:val="0"/>
                <w:sz w:val="16"/>
                <w:szCs w:val="16"/>
                <w:lang w:val="en-GB" w:eastAsia="cs-CZ"/>
                <w14:ligatures w14:val="none"/>
              </w:rPr>
              <w:t>Contradictory Information</w:t>
            </w:r>
            <w:r w:rsidR="00335AEC" w:rsidRPr="003A5B3D">
              <w:rPr>
                <w:rFonts w:ascii="Calibri" w:eastAsia="Times New Roman" w:hAnsi="Calibri" w:cs="Calibri"/>
                <w:b/>
                <w:bCs/>
                <w:color w:val="000000"/>
                <w:kern w:val="0"/>
                <w:sz w:val="16"/>
                <w:szCs w:val="16"/>
                <w:lang w:val="en-GB" w:eastAsia="cs-CZ"/>
                <w14:ligatures w14:val="none"/>
              </w:rPr>
              <w:t xml:space="preserve"> example</w:t>
            </w:r>
          </w:p>
        </w:tc>
        <w:tc>
          <w:tcPr>
            <w:tcW w:w="2228" w:type="dxa"/>
            <w:vAlign w:val="bottom"/>
          </w:tcPr>
          <w:p w14:paraId="10781142" w14:textId="71EADDD0" w:rsidR="00B32533" w:rsidRPr="003A5B3D" w:rsidRDefault="00B32533" w:rsidP="00426D33">
            <w:pPr>
              <w:keepNext/>
              <w:spacing w:after="0" w:line="240" w:lineRule="auto"/>
              <w:rPr>
                <w:rFonts w:ascii="Calibri" w:eastAsia="Times New Roman" w:hAnsi="Calibri" w:cs="Calibri"/>
                <w:b/>
                <w:bCs/>
                <w:color w:val="000000"/>
                <w:kern w:val="0"/>
                <w:sz w:val="16"/>
                <w:szCs w:val="16"/>
                <w:lang w:val="en-GB" w:eastAsia="cs-CZ"/>
                <w14:ligatures w14:val="none"/>
              </w:rPr>
            </w:pPr>
            <w:r w:rsidRPr="003A5B3D">
              <w:rPr>
                <w:rFonts w:ascii="Calibri" w:eastAsia="Times New Roman" w:hAnsi="Calibri" w:cs="Calibri"/>
                <w:b/>
                <w:bCs/>
                <w:color w:val="000000"/>
                <w:kern w:val="0"/>
                <w:sz w:val="16"/>
                <w:szCs w:val="16"/>
                <w:lang w:val="en-GB" w:eastAsia="cs-CZ"/>
                <w14:ligatures w14:val="none"/>
              </w:rPr>
              <w:t>Absent Information</w:t>
            </w:r>
            <w:r w:rsidR="00335AEC" w:rsidRPr="003A5B3D">
              <w:rPr>
                <w:rFonts w:ascii="Calibri" w:eastAsia="Times New Roman" w:hAnsi="Calibri" w:cs="Calibri"/>
                <w:b/>
                <w:bCs/>
                <w:color w:val="000000"/>
                <w:kern w:val="0"/>
                <w:sz w:val="16"/>
                <w:szCs w:val="16"/>
                <w:lang w:val="en-GB" w:eastAsia="cs-CZ"/>
                <w14:ligatures w14:val="none"/>
              </w:rPr>
              <w:t xml:space="preserve"> example</w:t>
            </w:r>
          </w:p>
        </w:tc>
        <w:tc>
          <w:tcPr>
            <w:tcW w:w="2227" w:type="dxa"/>
            <w:vAlign w:val="bottom"/>
          </w:tcPr>
          <w:p w14:paraId="693AD5D5" w14:textId="46DC5AE6" w:rsidR="00B32533" w:rsidRPr="003A5B3D" w:rsidRDefault="00335AEC" w:rsidP="00426D33">
            <w:pPr>
              <w:keepNext/>
              <w:spacing w:after="0" w:line="240" w:lineRule="auto"/>
              <w:rPr>
                <w:rFonts w:ascii="Calibri" w:eastAsia="Times New Roman" w:hAnsi="Calibri" w:cs="Calibri"/>
                <w:b/>
                <w:bCs/>
                <w:color w:val="000000"/>
                <w:kern w:val="0"/>
                <w:sz w:val="16"/>
                <w:szCs w:val="16"/>
                <w:lang w:val="en-GB" w:eastAsia="cs-CZ"/>
                <w14:ligatures w14:val="none"/>
              </w:rPr>
            </w:pPr>
            <w:r w:rsidRPr="003A5B3D">
              <w:rPr>
                <w:rFonts w:ascii="Calibri" w:eastAsia="Times New Roman" w:hAnsi="Calibri" w:cs="Calibri"/>
                <w:b/>
                <w:bCs/>
                <w:color w:val="000000"/>
                <w:kern w:val="0"/>
                <w:sz w:val="16"/>
                <w:szCs w:val="16"/>
                <w:lang w:val="en-GB" w:eastAsia="cs-CZ"/>
                <w14:ligatures w14:val="none"/>
              </w:rPr>
              <w:t>Formal compliance example</w:t>
            </w:r>
          </w:p>
        </w:tc>
        <w:tc>
          <w:tcPr>
            <w:tcW w:w="2228" w:type="dxa"/>
            <w:vAlign w:val="bottom"/>
          </w:tcPr>
          <w:p w14:paraId="112A49D0" w14:textId="74FF77CA" w:rsidR="00B32533" w:rsidRPr="003A5B3D" w:rsidRDefault="00335AEC" w:rsidP="00426D33">
            <w:pPr>
              <w:keepNext/>
              <w:spacing w:after="0" w:line="240" w:lineRule="auto"/>
              <w:rPr>
                <w:rFonts w:ascii="Calibri" w:eastAsia="Times New Roman" w:hAnsi="Calibri" w:cs="Calibri"/>
                <w:b/>
                <w:bCs/>
                <w:color w:val="000000"/>
                <w:kern w:val="0"/>
                <w:sz w:val="16"/>
                <w:szCs w:val="16"/>
                <w:lang w:val="en-GB" w:eastAsia="cs-CZ"/>
                <w14:ligatures w14:val="none"/>
              </w:rPr>
            </w:pPr>
            <w:r w:rsidRPr="003A5B3D">
              <w:rPr>
                <w:rFonts w:ascii="Calibri" w:eastAsia="Times New Roman" w:hAnsi="Calibri" w:cs="Calibri"/>
                <w:b/>
                <w:bCs/>
                <w:color w:val="000000"/>
                <w:kern w:val="0"/>
                <w:sz w:val="16"/>
                <w:szCs w:val="16"/>
                <w:lang w:val="en-GB" w:eastAsia="cs-CZ"/>
                <w14:ligatures w14:val="none"/>
              </w:rPr>
              <w:t>Material compliance example</w:t>
            </w:r>
          </w:p>
        </w:tc>
      </w:tr>
      <w:tr w:rsidR="00B32533" w:rsidRPr="00B32533" w14:paraId="5B7696AB" w14:textId="77777777" w:rsidTr="003A5B3D">
        <w:trPr>
          <w:trHeight w:val="20"/>
        </w:trPr>
        <w:tc>
          <w:tcPr>
            <w:tcW w:w="1075" w:type="dxa"/>
            <w:vAlign w:val="bottom"/>
            <w:hideMark/>
          </w:tcPr>
          <w:p w14:paraId="4D0D0722" w14:textId="77777777" w:rsidR="00B32533" w:rsidRPr="00B32533" w:rsidRDefault="00B32533" w:rsidP="00426D33">
            <w:pPr>
              <w:keepNext/>
              <w:spacing w:after="0" w:line="240" w:lineRule="auto"/>
              <w:rPr>
                <w:rFonts w:ascii="Calibri" w:eastAsia="Times New Roman" w:hAnsi="Calibri" w:cs="Calibri"/>
                <w:color w:val="000000"/>
                <w:kern w:val="0"/>
                <w:sz w:val="16"/>
                <w:szCs w:val="16"/>
                <w:lang w:val="en-GB" w:eastAsia="cs-CZ"/>
                <w14:ligatures w14:val="none"/>
              </w:rPr>
            </w:pPr>
            <w:r w:rsidRPr="00B32533">
              <w:rPr>
                <w:rFonts w:ascii="Calibri" w:eastAsia="Times New Roman" w:hAnsi="Calibri" w:cs="Calibri"/>
                <w:color w:val="000000"/>
                <w:kern w:val="0"/>
                <w:sz w:val="16"/>
                <w:szCs w:val="16"/>
                <w:lang w:val="en-GB" w:eastAsia="cs-CZ"/>
                <w14:ligatures w14:val="none"/>
              </w:rPr>
              <w:t>Statement of reasons</w:t>
            </w:r>
          </w:p>
        </w:tc>
        <w:tc>
          <w:tcPr>
            <w:tcW w:w="2227" w:type="dxa"/>
            <w:vAlign w:val="bottom"/>
            <w:hideMark/>
          </w:tcPr>
          <w:p w14:paraId="437C2FC0" w14:textId="77777777" w:rsidR="00B32533" w:rsidRPr="00B32533" w:rsidRDefault="00B32533" w:rsidP="00426D33">
            <w:pPr>
              <w:keepNext/>
              <w:spacing w:after="0" w:line="240" w:lineRule="auto"/>
              <w:rPr>
                <w:rFonts w:ascii="Calibri" w:eastAsia="Times New Roman" w:hAnsi="Calibri" w:cs="Calibri"/>
                <w:color w:val="000000"/>
                <w:kern w:val="0"/>
                <w:sz w:val="16"/>
                <w:szCs w:val="16"/>
                <w:lang w:val="en-GB" w:eastAsia="cs-CZ"/>
                <w14:ligatures w14:val="none"/>
              </w:rPr>
            </w:pPr>
            <w:r w:rsidRPr="00B32533">
              <w:rPr>
                <w:rFonts w:ascii="Calibri" w:eastAsia="Times New Roman" w:hAnsi="Calibri" w:cs="Calibri"/>
                <w:color w:val="000000"/>
                <w:kern w:val="0"/>
                <w:sz w:val="16"/>
                <w:szCs w:val="16"/>
                <w:lang w:val="en-GB" w:eastAsia="cs-CZ"/>
                <w14:ligatures w14:val="none"/>
              </w:rPr>
              <w:t>“We reserve the right to remove any content at our sole discretion without notifying the user or providing justification.”</w:t>
            </w:r>
          </w:p>
        </w:tc>
        <w:tc>
          <w:tcPr>
            <w:tcW w:w="2228" w:type="dxa"/>
            <w:vAlign w:val="bottom"/>
            <w:hideMark/>
          </w:tcPr>
          <w:p w14:paraId="0E40C0AE" w14:textId="31F4E31A" w:rsidR="00B32533" w:rsidRPr="00B32533" w:rsidRDefault="00B32533" w:rsidP="00426D33">
            <w:pPr>
              <w:keepNext/>
              <w:spacing w:after="0" w:line="240" w:lineRule="auto"/>
              <w:rPr>
                <w:rFonts w:ascii="Calibri" w:eastAsia="Times New Roman" w:hAnsi="Calibri" w:cs="Calibri"/>
                <w:color w:val="000000"/>
                <w:kern w:val="0"/>
                <w:sz w:val="16"/>
                <w:szCs w:val="16"/>
                <w:lang w:val="en-GB" w:eastAsia="cs-CZ"/>
                <w14:ligatures w14:val="none"/>
              </w:rPr>
            </w:pPr>
            <w:r w:rsidRPr="00B32533">
              <w:rPr>
                <w:rFonts w:ascii="Calibri" w:eastAsia="Times New Roman" w:hAnsi="Calibri" w:cs="Calibri"/>
                <w:color w:val="000000"/>
                <w:kern w:val="0"/>
                <w:sz w:val="16"/>
                <w:szCs w:val="16"/>
                <w:lang w:val="en-GB" w:eastAsia="cs-CZ"/>
                <w14:ligatures w14:val="none"/>
              </w:rPr>
              <w:t>“Your content may be removed if it violates our policies.”</w:t>
            </w:r>
            <w:r w:rsidR="007B3B0A">
              <w:rPr>
                <w:rFonts w:ascii="Calibri" w:eastAsia="Times New Roman" w:hAnsi="Calibri" w:cs="Calibri"/>
                <w:color w:val="000000"/>
                <w:kern w:val="0"/>
                <w:sz w:val="16"/>
                <w:szCs w:val="16"/>
                <w:lang w:val="en-GB" w:eastAsia="cs-CZ"/>
                <w14:ligatures w14:val="none"/>
              </w:rPr>
              <w:t xml:space="preserve"> Without any specification on statement of reasons</w:t>
            </w:r>
          </w:p>
        </w:tc>
        <w:tc>
          <w:tcPr>
            <w:tcW w:w="2227" w:type="dxa"/>
            <w:vAlign w:val="bottom"/>
            <w:hideMark/>
          </w:tcPr>
          <w:p w14:paraId="652C8436" w14:textId="77777777" w:rsidR="00B32533" w:rsidRPr="00B32533" w:rsidRDefault="00B32533" w:rsidP="00426D33">
            <w:pPr>
              <w:keepNext/>
              <w:spacing w:after="0" w:line="240" w:lineRule="auto"/>
              <w:rPr>
                <w:rFonts w:ascii="Calibri" w:eastAsia="Times New Roman" w:hAnsi="Calibri" w:cs="Calibri"/>
                <w:color w:val="000000"/>
                <w:kern w:val="0"/>
                <w:sz w:val="16"/>
                <w:szCs w:val="16"/>
                <w:lang w:val="en-GB" w:eastAsia="cs-CZ"/>
                <w14:ligatures w14:val="none"/>
              </w:rPr>
            </w:pPr>
            <w:r w:rsidRPr="00B32533">
              <w:rPr>
                <w:rFonts w:ascii="Calibri" w:eastAsia="Times New Roman" w:hAnsi="Calibri" w:cs="Calibri"/>
                <w:color w:val="000000"/>
                <w:kern w:val="0"/>
                <w:sz w:val="16"/>
                <w:szCs w:val="16"/>
                <w:lang w:val="en-GB" w:eastAsia="cs-CZ"/>
                <w14:ligatures w14:val="none"/>
              </w:rPr>
              <w:t>“We will inform you if your content is removed where is violates our policies.”</w:t>
            </w:r>
          </w:p>
        </w:tc>
        <w:tc>
          <w:tcPr>
            <w:tcW w:w="2228" w:type="dxa"/>
            <w:vAlign w:val="bottom"/>
            <w:hideMark/>
          </w:tcPr>
          <w:p w14:paraId="77D903E0" w14:textId="77777777" w:rsidR="00B32533" w:rsidRPr="00B32533" w:rsidRDefault="00B32533" w:rsidP="00426D33">
            <w:pPr>
              <w:keepNext/>
              <w:spacing w:after="0" w:line="240" w:lineRule="auto"/>
              <w:rPr>
                <w:rFonts w:ascii="Calibri" w:eastAsia="Times New Roman" w:hAnsi="Calibri" w:cs="Calibri"/>
                <w:color w:val="000000"/>
                <w:kern w:val="0"/>
                <w:sz w:val="16"/>
                <w:szCs w:val="16"/>
                <w:lang w:val="en-GB" w:eastAsia="cs-CZ"/>
                <w14:ligatures w14:val="none"/>
              </w:rPr>
            </w:pPr>
            <w:r w:rsidRPr="00B32533">
              <w:rPr>
                <w:rFonts w:ascii="Calibri" w:eastAsia="Times New Roman" w:hAnsi="Calibri" w:cs="Calibri"/>
                <w:color w:val="000000"/>
                <w:kern w:val="0"/>
                <w:sz w:val="16"/>
                <w:szCs w:val="16"/>
                <w:lang w:val="en-GB" w:eastAsia="cs-CZ"/>
                <w14:ligatures w14:val="none"/>
              </w:rPr>
              <w:t>“Whenever we remove or restrict your content, you will receive a notification identifying the specific rule violated, the nature of the breach (e.g., hate speech, copyright infringement), and how to appeal.”</w:t>
            </w:r>
          </w:p>
        </w:tc>
      </w:tr>
    </w:tbl>
    <w:p w14:paraId="040BB545" w14:textId="102D2968" w:rsidR="003A5B3D" w:rsidRPr="003A5B3D" w:rsidRDefault="003A5B3D" w:rsidP="003A5B3D">
      <w:pPr>
        <w:pStyle w:val="Quote"/>
        <w:rPr>
          <w:sz w:val="16"/>
          <w:szCs w:val="16"/>
        </w:rPr>
      </w:pPr>
      <w:r w:rsidRPr="003A5B3D">
        <w:rPr>
          <w:sz w:val="16"/>
          <w:szCs w:val="16"/>
        </w:rPr>
        <w:t>Table 3: Four-step compliance scale</w:t>
      </w:r>
    </w:p>
    <w:p w14:paraId="287D49DE" w14:textId="11BBE986" w:rsidR="009541C7" w:rsidRDefault="009541C7" w:rsidP="00DF146C">
      <w:pPr>
        <w:pStyle w:val="Nextparagraphs"/>
        <w:rPr>
          <w:lang w:val="en-US" w:eastAsia="en-US"/>
        </w:rPr>
      </w:pPr>
      <w:r>
        <w:rPr>
          <w:lang w:val="en-US" w:eastAsia="en-US"/>
        </w:rPr>
        <w:t>In addition</w:t>
      </w:r>
      <w:r w:rsidR="002B3857">
        <w:rPr>
          <w:lang w:val="en-US" w:eastAsia="en-US"/>
        </w:rPr>
        <w:t xml:space="preserve">, </w:t>
      </w:r>
      <w:r>
        <w:rPr>
          <w:lang w:val="en-US" w:eastAsia="en-US"/>
        </w:rPr>
        <w:t xml:space="preserve">we </w:t>
      </w:r>
      <w:r w:rsidR="002B3857">
        <w:rPr>
          <w:lang w:val="en-US" w:eastAsia="en-US"/>
        </w:rPr>
        <w:t>group</w:t>
      </w:r>
      <w:r>
        <w:rPr>
          <w:lang w:val="en-US" w:eastAsia="en-US"/>
        </w:rPr>
        <w:t xml:space="preserve"> VLOPs </w:t>
      </w:r>
      <w:r w:rsidR="000B03CA">
        <w:rPr>
          <w:lang w:val="en-US" w:eastAsia="en-US"/>
        </w:rPr>
        <w:t>considering their primary focus</w:t>
      </w:r>
      <w:r>
        <w:rPr>
          <w:lang w:val="en-US" w:eastAsia="en-US"/>
        </w:rPr>
        <w:t xml:space="preserve">. </w:t>
      </w:r>
      <w:r w:rsidR="007F346A">
        <w:rPr>
          <w:lang w:val="en-US" w:eastAsia="en-US"/>
        </w:rPr>
        <w:t xml:space="preserve">TikTok and YouTube are considered UGC platforms, Pornhub, XNXX and XVideos </w:t>
      </w:r>
      <w:r w:rsidR="000B03CA">
        <w:rPr>
          <w:lang w:val="en-US" w:eastAsia="en-US"/>
        </w:rPr>
        <w:t xml:space="preserve">are </w:t>
      </w:r>
      <w:r w:rsidR="007F346A">
        <w:rPr>
          <w:lang w:val="en-US" w:eastAsia="en-US"/>
        </w:rPr>
        <w:t xml:space="preserve">adult streaming platforms and the remaining </w:t>
      </w:r>
      <w:r w:rsidR="000B03CA">
        <w:rPr>
          <w:lang w:val="en-US" w:eastAsia="en-US"/>
        </w:rPr>
        <w:t xml:space="preserve">VLOPS in the sample are in the category of </w:t>
      </w:r>
      <w:r w:rsidR="007F346A">
        <w:rPr>
          <w:lang w:val="en-US" w:eastAsia="en-US"/>
        </w:rPr>
        <w:t>social media.</w:t>
      </w:r>
    </w:p>
    <w:p w14:paraId="0B9F8ED3" w14:textId="58836923" w:rsidR="004A6B41" w:rsidRPr="00E42EAE" w:rsidRDefault="007818B6" w:rsidP="0055364C">
      <w:pPr>
        <w:pStyle w:val="Heading2"/>
      </w:pPr>
      <w:bookmarkStart w:id="11" w:name="_Toc215751872"/>
      <w:r w:rsidRPr="00E42EAE">
        <w:t>Content analysis results</w:t>
      </w:r>
      <w:bookmarkEnd w:id="11"/>
    </w:p>
    <w:p w14:paraId="7B810FD1" w14:textId="149DF722" w:rsidR="00BD507A" w:rsidRDefault="00C15D61" w:rsidP="00BD507A">
      <w:pPr>
        <w:pStyle w:val="Firstparagraph"/>
        <w:rPr>
          <w:lang w:val="en-US"/>
        </w:rPr>
      </w:pPr>
      <w:r w:rsidRPr="00E42EAE">
        <w:rPr>
          <w:lang w:val="en-US"/>
        </w:rPr>
        <w:t>In the following chapter we focus on the results of conducted content analysis.</w:t>
      </w:r>
      <w:r w:rsidR="00F23F38">
        <w:rPr>
          <w:lang w:val="en-US"/>
        </w:rPr>
        <w:t xml:space="preserve"> </w:t>
      </w:r>
      <w:r w:rsidR="00250CAC">
        <w:rPr>
          <w:lang w:val="en-US"/>
        </w:rPr>
        <w:t xml:space="preserve">We start by discussing frequent themes observed in the sample. Next, we discuss results that showcase </w:t>
      </w:r>
      <w:r w:rsidR="00BD507A">
        <w:rPr>
          <w:lang w:val="en-US"/>
        </w:rPr>
        <w:t>compliance trends to understand how did CDSM and DSA impact online platforms.</w:t>
      </w:r>
    </w:p>
    <w:p w14:paraId="49BCCC88" w14:textId="5E853B09" w:rsidR="00DC599E" w:rsidRDefault="00DC599E" w:rsidP="00771AF0">
      <w:pPr>
        <w:pStyle w:val="Heading3"/>
      </w:pPr>
      <w:bookmarkStart w:id="12" w:name="_Toc215751873"/>
      <w:r>
        <w:t>Frequent observations</w:t>
      </w:r>
      <w:bookmarkEnd w:id="12"/>
    </w:p>
    <w:p w14:paraId="1E40F39C" w14:textId="0162E376" w:rsidR="00455542" w:rsidRPr="00455542" w:rsidRDefault="00455542" w:rsidP="00BD507A">
      <w:pPr>
        <w:pStyle w:val="Nextparagraphs"/>
        <w:rPr>
          <w:lang w:val="en-US" w:eastAsia="en-US"/>
        </w:rPr>
      </w:pPr>
      <w:r w:rsidRPr="00455542">
        <w:rPr>
          <w:lang w:val="en-US" w:eastAsia="en-US"/>
        </w:rPr>
        <w:t>First</w:t>
      </w:r>
      <w:r w:rsidR="00355669">
        <w:rPr>
          <w:lang w:val="en-US" w:eastAsia="en-US"/>
        </w:rPr>
        <w:t xml:space="preserve">, we must note the frequent high legal complexity of examined documents. Examined platforms maintain multitude of legal document </w:t>
      </w:r>
      <w:r w:rsidR="00924BFE">
        <w:rPr>
          <w:lang w:val="en-US" w:eastAsia="en-US"/>
        </w:rPr>
        <w:t xml:space="preserve">for particular situations. Moreover, they frequently combine strictly legal texts with non-legal sections. One such example is the use of help centers as additional source of information. Sometimes, these are </w:t>
      </w:r>
      <w:r w:rsidR="00AB34FF">
        <w:rPr>
          <w:lang w:val="en-US" w:eastAsia="en-US"/>
        </w:rPr>
        <w:t xml:space="preserve">linked from the legal terms. However, e.g., YouTube does not link help center pages from their terms. Consequently, it is unclear how binding are these sections. Moreover, it is unclear whether </w:t>
      </w:r>
      <w:r w:rsidR="009534FF">
        <w:rPr>
          <w:lang w:val="en-US" w:eastAsia="en-US"/>
        </w:rPr>
        <w:t>fragmentation of legal information across these resources obscures or clarifies the rights and obligations of platforms and their users.</w:t>
      </w:r>
    </w:p>
    <w:p w14:paraId="575726C3" w14:textId="10114643" w:rsidR="00455542" w:rsidRDefault="00604A18" w:rsidP="00BD507A">
      <w:pPr>
        <w:pStyle w:val="Nextparagraphs"/>
        <w:rPr>
          <w:lang w:val="en-US" w:eastAsia="en-US"/>
        </w:rPr>
      </w:pPr>
      <w:r w:rsidRPr="00604A18">
        <w:rPr>
          <w:lang w:val="en-US" w:eastAsia="en-US"/>
        </w:rPr>
        <w:t xml:space="preserve">Another repeated </w:t>
      </w:r>
      <w:r>
        <w:rPr>
          <w:lang w:val="en-US" w:eastAsia="en-US"/>
        </w:rPr>
        <w:t xml:space="preserve">observation is the inclusion of DCMA and more generally US law </w:t>
      </w:r>
      <w:r w:rsidR="00C33371">
        <w:rPr>
          <w:lang w:val="en-US" w:eastAsia="en-US"/>
        </w:rPr>
        <w:t>relicts in the European version of legal terms. Almost as a rule, this can be seen where platforms discuss applicable exceptions and limitations where instead fair use doctrine is explained. Oftentimes, these also include conditions for user complaints, such as:</w:t>
      </w:r>
    </w:p>
    <w:p w14:paraId="6AFFBF7E" w14:textId="68157D1E" w:rsidR="00C33371" w:rsidRDefault="0084023B" w:rsidP="0084023B">
      <w:pPr>
        <w:pStyle w:val="Quote"/>
      </w:pPr>
      <w:r w:rsidRPr="0084023B">
        <w:t>“(a) statement under penalty of perjury that you have a good faith belief that the material was removed or disabled as a result of mistake or misidentification of the material to be removed or disabled”</w:t>
      </w:r>
    </w:p>
    <w:p w14:paraId="7A7BE159" w14:textId="10A1EF5D" w:rsidR="0084023B" w:rsidRPr="0084023B" w:rsidRDefault="008F1876" w:rsidP="0084023B">
      <w:pPr>
        <w:pStyle w:val="Nextparagraphs"/>
      </w:pPr>
      <w:r>
        <w:t xml:space="preserve">It is not clear whether users have such an obligation under European legal framework. At the very least, however, it demonstrates that operational level of DSA systems can still be hijacked by US </w:t>
      </w:r>
      <w:r w:rsidR="0061357A">
        <w:t>rules.</w:t>
      </w:r>
    </w:p>
    <w:p w14:paraId="0D273B43" w14:textId="5DE64567" w:rsidR="0061357A" w:rsidRPr="0061357A" w:rsidRDefault="0061357A" w:rsidP="00CB68F5">
      <w:pPr>
        <w:pStyle w:val="Nextparagraphs"/>
        <w:rPr>
          <w:lang w:val="en-US" w:eastAsia="en-US"/>
        </w:rPr>
      </w:pPr>
      <w:r w:rsidRPr="0061357A">
        <w:rPr>
          <w:lang w:val="en-US" w:eastAsia="en-US"/>
        </w:rPr>
        <w:t xml:space="preserve">Another </w:t>
      </w:r>
      <w:r>
        <w:rPr>
          <w:lang w:val="en-US" w:eastAsia="en-US"/>
        </w:rPr>
        <w:t xml:space="preserve">interesting observation is the implementation of misuse enforcement where most observed platforms provided rule on how they pursue repeated </w:t>
      </w:r>
      <w:r w:rsidR="00666085">
        <w:rPr>
          <w:lang w:val="en-US" w:eastAsia="en-US"/>
        </w:rPr>
        <w:t xml:space="preserve">abuse of their systems. However, these provisions fail to measure the same for all actors. While repeated infringement is by a matter of course </w:t>
      </w:r>
      <w:r w:rsidR="003702E2">
        <w:rPr>
          <w:lang w:val="en-US" w:eastAsia="en-US"/>
        </w:rPr>
        <w:t xml:space="preserve">targeted, repeated abuse of notification systems is not. This only showcases, that online platforms </w:t>
      </w:r>
      <w:r w:rsidR="00DC599E">
        <w:rPr>
          <w:lang w:val="en-US" w:eastAsia="en-US"/>
        </w:rPr>
        <w:t>still offer rightsholders preferential treatment over their own users.</w:t>
      </w:r>
    </w:p>
    <w:p w14:paraId="237CF7C4" w14:textId="7331AE59" w:rsidR="00DC599E" w:rsidRPr="00DC599E" w:rsidRDefault="00D7317D" w:rsidP="00771AF0">
      <w:pPr>
        <w:pStyle w:val="Heading3"/>
      </w:pPr>
      <w:bookmarkStart w:id="13" w:name="_Toc215751874"/>
      <w:r>
        <w:lastRenderedPageBreak/>
        <w:t>Compliance t</w:t>
      </w:r>
      <w:r w:rsidR="00DC599E" w:rsidRPr="00DC599E">
        <w:t>rends</w:t>
      </w:r>
      <w:bookmarkEnd w:id="13"/>
    </w:p>
    <w:p w14:paraId="33F050DA" w14:textId="4949C0B8" w:rsidR="009912F5" w:rsidRDefault="009912F5" w:rsidP="009912F5">
      <w:pPr>
        <w:pStyle w:val="Firstparagraph"/>
      </w:pPr>
      <w:r w:rsidRPr="00F15B50">
        <w:t>First</w:t>
      </w:r>
      <w:r w:rsidR="00044E57" w:rsidRPr="00F15B50">
        <w:t xml:space="preserve">, we must highlight general levels of compliance that actually improved over observed period. While CDSM and 2022 did not see meaningful improvement, not even regarding Article 17 obligations, </w:t>
      </w:r>
      <w:r w:rsidR="00F15B50" w:rsidRPr="00F15B50">
        <w:t xml:space="preserve">DSA and </w:t>
      </w:r>
      <w:r w:rsidR="00044E57" w:rsidRPr="00F15B50">
        <w:t xml:space="preserve">2024 and 2025 </w:t>
      </w:r>
      <w:r w:rsidR="00F15B50" w:rsidRPr="00F15B50">
        <w:t>timepoints showed an increase in compliance:</w:t>
      </w:r>
    </w:p>
    <w:p w14:paraId="70A8A913" w14:textId="7DDCE97A" w:rsidR="0086716D" w:rsidRDefault="00C7595C" w:rsidP="00CB68F5">
      <w:pPr>
        <w:pStyle w:val="Nextparagraphs"/>
        <w:rPr>
          <w:rFonts w:ascii="Times New Roman" w:hAnsi="Times New Roman" w:cs="Times New Roman"/>
          <w:sz w:val="24"/>
          <w:szCs w:val="24"/>
          <w:lang w:eastAsia="en-US"/>
        </w:rPr>
      </w:pPr>
      <w:r>
        <w:object w:dxaOrig="8131" w:dyaOrig="6101" w14:anchorId="01918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305.25pt" o:ole="">
            <v:imagedata r:id="rId11" o:title=""/>
          </v:shape>
          <o:OLEObject Type="Embed" ProgID="STATISTICA.Graph" ShapeID="_x0000_i1025" DrawAspect="Content" ObjectID="_1826364638" r:id="rId12">
            <o:FieldCodes>\s</o:FieldCodes>
          </o:OLEObject>
        </w:object>
      </w:r>
    </w:p>
    <w:p w14:paraId="1F760C1D" w14:textId="4932286C" w:rsidR="00792E62" w:rsidRPr="00982D8F" w:rsidRDefault="00792E62" w:rsidP="00982D8F">
      <w:pPr>
        <w:pStyle w:val="Quote"/>
        <w:rPr>
          <w:sz w:val="16"/>
          <w:szCs w:val="16"/>
        </w:rPr>
      </w:pPr>
      <w:r w:rsidRPr="00982D8F">
        <w:rPr>
          <w:sz w:val="16"/>
          <w:szCs w:val="16"/>
        </w:rPr>
        <w:t xml:space="preserve">Graph 1: </w:t>
      </w:r>
      <w:r w:rsidR="00982D8F" w:rsidRPr="00982D8F">
        <w:rPr>
          <w:sz w:val="16"/>
          <w:szCs w:val="16"/>
        </w:rPr>
        <w:t>Overall development in compliance levels</w:t>
      </w:r>
    </w:p>
    <w:p w14:paraId="1B8DB48D" w14:textId="0F7BE7BE" w:rsidR="009912F5" w:rsidRPr="00124EB5" w:rsidRDefault="009A74F6" w:rsidP="00CB68F5">
      <w:pPr>
        <w:pStyle w:val="Nextparagraphs"/>
        <w:rPr>
          <w:lang w:val="en-US" w:eastAsia="en-US"/>
        </w:rPr>
      </w:pPr>
      <w:r w:rsidRPr="00124EB5">
        <w:rPr>
          <w:lang w:val="en-US" w:eastAsia="en-US"/>
        </w:rPr>
        <w:t xml:space="preserve">Yet, these levels show that the improvement still leaves a lot to be desired as </w:t>
      </w:r>
      <w:r w:rsidR="00124EB5" w:rsidRPr="00124EB5">
        <w:rPr>
          <w:lang w:val="en-US" w:eastAsia="en-US"/>
        </w:rPr>
        <w:t>general compliance is around the formal compliance level. As such, it demonstrated that online platforms still need to adopt DSA and CDSM for their actual processes.</w:t>
      </w:r>
    </w:p>
    <w:p w14:paraId="7743F560" w14:textId="0377F832" w:rsidR="00124EB5" w:rsidRPr="00A54363" w:rsidRDefault="00124EB5" w:rsidP="00CB68F5">
      <w:pPr>
        <w:pStyle w:val="Nextparagraphs"/>
        <w:rPr>
          <w:lang w:val="en-US" w:eastAsia="en-US"/>
        </w:rPr>
      </w:pPr>
      <w:r w:rsidRPr="00A54363">
        <w:rPr>
          <w:lang w:val="en-US" w:eastAsia="en-US"/>
        </w:rPr>
        <w:t xml:space="preserve">Interestingly, obligatory and voluntary information had similar </w:t>
      </w:r>
      <w:r w:rsidR="006A517A" w:rsidRPr="00A54363">
        <w:rPr>
          <w:lang w:val="en-US" w:eastAsia="en-US"/>
        </w:rPr>
        <w:t>effects</w:t>
      </w:r>
      <w:r w:rsidRPr="00A54363">
        <w:rPr>
          <w:lang w:val="en-US" w:eastAsia="en-US"/>
        </w:rPr>
        <w:t xml:space="preserve"> over the observed period. That suggests that online platforms did not distinguish </w:t>
      </w:r>
      <w:r w:rsidR="006A517A">
        <w:rPr>
          <w:lang w:val="en-US" w:eastAsia="en-US"/>
        </w:rPr>
        <w:t xml:space="preserve">strongly </w:t>
      </w:r>
      <w:r w:rsidRPr="00A54363">
        <w:rPr>
          <w:lang w:val="en-US" w:eastAsia="en-US"/>
        </w:rPr>
        <w:t>between what must and what could be included in terms and conditions</w:t>
      </w:r>
      <w:r w:rsidR="006A517A">
        <w:rPr>
          <w:lang w:val="en-US" w:eastAsia="en-US"/>
        </w:rPr>
        <w:t xml:space="preserve">. Important caveat to </w:t>
      </w:r>
      <w:r w:rsidR="00A46049">
        <w:rPr>
          <w:lang w:val="en-US" w:eastAsia="en-US"/>
        </w:rPr>
        <w:t>these observations</w:t>
      </w:r>
      <w:r w:rsidR="006A517A">
        <w:rPr>
          <w:lang w:val="en-US" w:eastAsia="en-US"/>
        </w:rPr>
        <w:t xml:space="preserve"> are UGC platforms</w:t>
      </w:r>
      <w:r>
        <w:rPr>
          <w:lang w:val="en-US" w:eastAsia="en-US"/>
        </w:rPr>
        <w:t xml:space="preserve"> that </w:t>
      </w:r>
      <w:r w:rsidR="006A517A">
        <w:rPr>
          <w:lang w:val="en-US" w:eastAsia="en-US"/>
        </w:rPr>
        <w:t>are discussed below.</w:t>
      </w:r>
    </w:p>
    <w:p w14:paraId="5DB6E7A1" w14:textId="2692ABF4" w:rsidR="00C7595C" w:rsidRDefault="000B42E3" w:rsidP="00CB68F5">
      <w:pPr>
        <w:pStyle w:val="Nextparagraphs"/>
      </w:pPr>
      <w:r>
        <w:object w:dxaOrig="8103" w:dyaOrig="6083" w14:anchorId="79024022">
          <v:shape id="_x0000_i1026" type="#_x0000_t75" style="width:405.75pt;height:304.5pt" o:ole="">
            <v:imagedata r:id="rId13" o:title=""/>
          </v:shape>
          <o:OLEObject Type="Embed" ProgID="STATISTICA.Graph" ShapeID="_x0000_i1026" DrawAspect="Content" ObjectID="_1826364639" r:id="rId14">
            <o:FieldCodes>\s</o:FieldCodes>
          </o:OLEObject>
        </w:object>
      </w:r>
    </w:p>
    <w:p w14:paraId="5C94AA22" w14:textId="0717E8CC" w:rsidR="00982D8F" w:rsidRPr="00982D8F" w:rsidRDefault="00982D8F" w:rsidP="00982D8F">
      <w:pPr>
        <w:pStyle w:val="Quote"/>
        <w:rPr>
          <w:sz w:val="16"/>
          <w:szCs w:val="16"/>
        </w:rPr>
      </w:pPr>
      <w:r w:rsidRPr="00982D8F">
        <w:rPr>
          <w:sz w:val="16"/>
          <w:szCs w:val="16"/>
        </w:rPr>
        <w:t xml:space="preserve">Graph </w:t>
      </w:r>
      <w:r>
        <w:rPr>
          <w:sz w:val="16"/>
          <w:szCs w:val="16"/>
        </w:rPr>
        <w:t>2</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obligatory information</w:t>
      </w:r>
    </w:p>
    <w:p w14:paraId="3BCCE129" w14:textId="6CB82C76" w:rsidR="000B42E3" w:rsidRDefault="000B42E3" w:rsidP="00CB68F5">
      <w:pPr>
        <w:pStyle w:val="Nextparagraphs"/>
      </w:pPr>
      <w:r>
        <w:object w:dxaOrig="8120" w:dyaOrig="6093" w14:anchorId="6D31622C">
          <v:shape id="_x0000_i1027" type="#_x0000_t75" style="width:405.75pt;height:304.5pt" o:ole="">
            <v:imagedata r:id="rId15" o:title=""/>
          </v:shape>
          <o:OLEObject Type="Embed" ProgID="STATISTICA.Graph" ShapeID="_x0000_i1027" DrawAspect="Content" ObjectID="_1826364640" r:id="rId16">
            <o:FieldCodes>\s</o:FieldCodes>
          </o:OLEObject>
        </w:object>
      </w:r>
    </w:p>
    <w:p w14:paraId="0B0AD8D8" w14:textId="32D790E2" w:rsidR="00982D8F" w:rsidRPr="00982D8F" w:rsidRDefault="00982D8F" w:rsidP="00982D8F">
      <w:pPr>
        <w:pStyle w:val="Quote"/>
        <w:rPr>
          <w:sz w:val="16"/>
          <w:szCs w:val="16"/>
        </w:rPr>
      </w:pPr>
      <w:r w:rsidRPr="00982D8F">
        <w:rPr>
          <w:sz w:val="16"/>
          <w:szCs w:val="16"/>
        </w:rPr>
        <w:t xml:space="preserve">Graph </w:t>
      </w:r>
      <w:r>
        <w:rPr>
          <w:sz w:val="16"/>
          <w:szCs w:val="16"/>
        </w:rPr>
        <w:t>3</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voluntary information</w:t>
      </w:r>
    </w:p>
    <w:p w14:paraId="36F8C391" w14:textId="1BAE7941" w:rsidR="00124EB5" w:rsidRPr="00E36C00" w:rsidRDefault="00124EB5" w:rsidP="00CB68F5">
      <w:pPr>
        <w:pStyle w:val="Nextparagraphs"/>
        <w:rPr>
          <w:lang w:val="en-US" w:eastAsia="en-US"/>
        </w:rPr>
      </w:pPr>
      <w:r w:rsidRPr="00E36C00">
        <w:rPr>
          <w:lang w:val="en-US" w:eastAsia="en-US"/>
        </w:rPr>
        <w:lastRenderedPageBreak/>
        <w:t xml:space="preserve">Yet, the question remains whether an improvement in legal text actually amounts to anything. </w:t>
      </w:r>
      <w:r w:rsidR="00C043E4" w:rsidRPr="00E36C00">
        <w:rPr>
          <w:lang w:val="en-US" w:eastAsia="en-US"/>
        </w:rPr>
        <w:t>This can be seen on TikTok that fared the best among our sample.</w:t>
      </w:r>
      <w:r w:rsidR="002A43C0" w:rsidRPr="00E36C00">
        <w:rPr>
          <w:lang w:val="en-US" w:eastAsia="en-US"/>
        </w:rPr>
        <w:t xml:space="preserve"> While TikTok did implement DSA obligations in </w:t>
      </w:r>
      <w:r w:rsidR="00E43B3C" w:rsidRPr="00E36C00">
        <w:rPr>
          <w:lang w:val="en-US" w:eastAsia="en-US"/>
        </w:rPr>
        <w:t xml:space="preserve">its legal terms, </w:t>
      </w:r>
      <w:r w:rsidR="00464CAD" w:rsidRPr="00E36C00">
        <w:rPr>
          <w:lang w:val="en-US" w:eastAsia="en-US"/>
        </w:rPr>
        <w:t>Commission did initiate several investigations against TikTok</w:t>
      </w:r>
      <w:r w:rsidR="009A1AFD" w:rsidRPr="00E36C00">
        <w:rPr>
          <w:lang w:val="en-US" w:eastAsia="en-US"/>
        </w:rPr>
        <w:t>.</w:t>
      </w:r>
      <w:r w:rsidR="00E36C00" w:rsidRPr="00E36C00">
        <w:rPr>
          <w:rStyle w:val="FootnoteReference"/>
          <w:lang w:val="en-US" w:eastAsia="en-US"/>
        </w:rPr>
        <w:footnoteReference w:id="115"/>
      </w:r>
      <w:r w:rsidR="009A1AFD" w:rsidRPr="00E36C00">
        <w:rPr>
          <w:lang w:val="en-US" w:eastAsia="en-US"/>
        </w:rPr>
        <w:t xml:space="preserve"> At the very least, these investigations show that </w:t>
      </w:r>
      <w:r w:rsidR="005556BF" w:rsidRPr="00E36C00">
        <w:rPr>
          <w:lang w:val="en-US" w:eastAsia="en-US"/>
        </w:rPr>
        <w:t>compliance on the level of private ordering tools does not automatically translate into material compliance</w:t>
      </w:r>
      <w:r w:rsidR="005556BF">
        <w:rPr>
          <w:lang w:val="en-US" w:eastAsia="en-US"/>
        </w:rPr>
        <w:t xml:space="preserve"> </w:t>
      </w:r>
      <w:r w:rsidR="00A54363">
        <w:rPr>
          <w:lang w:val="en-US" w:eastAsia="en-US"/>
        </w:rPr>
        <w:t>on the procedural and technical level</w:t>
      </w:r>
      <w:r w:rsidR="005556BF" w:rsidRPr="00E36C00">
        <w:rPr>
          <w:lang w:val="en-US" w:eastAsia="en-US"/>
        </w:rPr>
        <w:t>.</w:t>
      </w:r>
    </w:p>
    <w:p w14:paraId="4B2C6E86" w14:textId="5F1C598C" w:rsidR="00E815E6" w:rsidRDefault="00E815E6" w:rsidP="00CB68F5">
      <w:pPr>
        <w:pStyle w:val="Nextparagraphs"/>
        <w:rPr>
          <w:rFonts w:ascii="Times New Roman" w:hAnsi="Times New Roman" w:cs="Times New Roman"/>
          <w:sz w:val="24"/>
          <w:szCs w:val="24"/>
          <w:highlight w:val="yellow"/>
          <w:lang w:val="en-US" w:eastAsia="en-US"/>
        </w:rPr>
      </w:pPr>
      <w:r>
        <w:object w:dxaOrig="8120" w:dyaOrig="6093" w14:anchorId="2847513E">
          <v:shape id="_x0000_i1028" type="#_x0000_t75" style="width:405.75pt;height:304.5pt" o:ole="">
            <v:imagedata r:id="rId17" o:title=""/>
          </v:shape>
          <o:OLEObject Type="Embed" ProgID="STATISTICA.Graph" ShapeID="_x0000_i1028" DrawAspect="Content" ObjectID="_1826364641" r:id="rId18">
            <o:FieldCodes>\s</o:FieldCodes>
          </o:OLEObject>
        </w:object>
      </w:r>
    </w:p>
    <w:p w14:paraId="4DC56DFF" w14:textId="0E0DBF56" w:rsidR="00982D8F" w:rsidRPr="00982D8F" w:rsidRDefault="00982D8F" w:rsidP="00982D8F">
      <w:pPr>
        <w:pStyle w:val="Quote"/>
        <w:rPr>
          <w:sz w:val="16"/>
          <w:szCs w:val="16"/>
        </w:rPr>
      </w:pPr>
      <w:r w:rsidRPr="00982D8F">
        <w:rPr>
          <w:sz w:val="16"/>
          <w:szCs w:val="16"/>
        </w:rPr>
        <w:t xml:space="preserve">Graph </w:t>
      </w:r>
      <w:r>
        <w:rPr>
          <w:sz w:val="16"/>
          <w:szCs w:val="16"/>
        </w:rPr>
        <w:t>4</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TikTok</w:t>
      </w:r>
    </w:p>
    <w:p w14:paraId="4AEC282A" w14:textId="4FCDB366" w:rsidR="005556BF" w:rsidRPr="00D25645" w:rsidRDefault="005556BF" w:rsidP="00CB68F5">
      <w:pPr>
        <w:pStyle w:val="Nextparagraphs"/>
        <w:rPr>
          <w:lang w:val="en-US" w:eastAsia="en-US"/>
        </w:rPr>
      </w:pPr>
      <w:r w:rsidRPr="00D25645">
        <w:rPr>
          <w:lang w:val="en-US" w:eastAsia="en-US"/>
        </w:rPr>
        <w:t xml:space="preserve">Next, </w:t>
      </w:r>
      <w:r w:rsidR="00AF32C2" w:rsidRPr="00D25645">
        <w:rPr>
          <w:lang w:val="en-US" w:eastAsia="en-US"/>
        </w:rPr>
        <w:t xml:space="preserve">the results show that CDSM alone did not have an actual effect. Respective obligations were mostly implemented only as </w:t>
      </w:r>
      <w:r w:rsidR="00022F81" w:rsidRPr="00D25645">
        <w:rPr>
          <w:lang w:val="en-US" w:eastAsia="en-US"/>
        </w:rPr>
        <w:t xml:space="preserve">byproduct of DSA. That confirms previous observations </w:t>
      </w:r>
      <w:r w:rsidR="00E815E6" w:rsidRPr="00D25645">
        <w:rPr>
          <w:lang w:val="en-US" w:eastAsia="en-US"/>
        </w:rPr>
        <w:t>by</w:t>
      </w:r>
      <w:r w:rsidR="00022F81" w:rsidRPr="00D25645">
        <w:rPr>
          <w:lang w:val="en-US" w:eastAsia="en-US"/>
        </w:rPr>
        <w:t xml:space="preserve"> Woznica.</w:t>
      </w:r>
      <w:r w:rsidR="00D25645" w:rsidRPr="00D25645">
        <w:rPr>
          <w:rStyle w:val="FootnoteReference"/>
          <w:lang w:val="en-US" w:eastAsia="en-US"/>
        </w:rPr>
        <w:footnoteReference w:id="116"/>
      </w:r>
    </w:p>
    <w:p w14:paraId="030ACE37" w14:textId="666ADB9B" w:rsidR="00E815E6" w:rsidRDefault="002C6AB1" w:rsidP="00CB68F5">
      <w:pPr>
        <w:pStyle w:val="Nextparagraphs"/>
        <w:rPr>
          <w:rFonts w:ascii="Times New Roman" w:hAnsi="Times New Roman" w:cs="Times New Roman"/>
          <w:sz w:val="24"/>
          <w:szCs w:val="24"/>
          <w:highlight w:val="yellow"/>
          <w:lang w:val="en-US" w:eastAsia="en-US"/>
        </w:rPr>
      </w:pPr>
      <w:r>
        <w:object w:dxaOrig="8105" w:dyaOrig="6081" w14:anchorId="288BE7E3">
          <v:shape id="_x0000_i1029" type="#_x0000_t75" style="width:405pt;height:303.75pt" o:ole="">
            <v:imagedata r:id="rId19" o:title=""/>
          </v:shape>
          <o:OLEObject Type="Embed" ProgID="STATISTICA.Graph" ShapeID="_x0000_i1029" DrawAspect="Content" ObjectID="_1826364642" r:id="rId20">
            <o:FieldCodes>\s</o:FieldCodes>
          </o:OLEObject>
        </w:object>
      </w:r>
    </w:p>
    <w:p w14:paraId="560A3F0C" w14:textId="7A0CEA12" w:rsidR="00A2069B" w:rsidRPr="00982D8F" w:rsidRDefault="00A2069B" w:rsidP="00A2069B">
      <w:pPr>
        <w:pStyle w:val="Quote"/>
        <w:rPr>
          <w:sz w:val="16"/>
          <w:szCs w:val="16"/>
        </w:rPr>
      </w:pPr>
      <w:r w:rsidRPr="00982D8F">
        <w:rPr>
          <w:sz w:val="16"/>
          <w:szCs w:val="16"/>
        </w:rPr>
        <w:t xml:space="preserve">Graph </w:t>
      </w:r>
      <w:r>
        <w:rPr>
          <w:sz w:val="16"/>
          <w:szCs w:val="16"/>
        </w:rPr>
        <w:t>5</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CDSM Directive</w:t>
      </w:r>
    </w:p>
    <w:p w14:paraId="66D3A6C1" w14:textId="1D998936" w:rsidR="00022F81" w:rsidRPr="00A46049" w:rsidRDefault="00022F81" w:rsidP="00CB68F5">
      <w:pPr>
        <w:pStyle w:val="Nextparagraphs"/>
        <w:rPr>
          <w:lang w:val="en-US" w:eastAsia="en-US"/>
        </w:rPr>
      </w:pPr>
      <w:r w:rsidRPr="00A46049">
        <w:rPr>
          <w:lang w:val="en-US" w:eastAsia="en-US"/>
        </w:rPr>
        <w:t xml:space="preserve">Finally, </w:t>
      </w:r>
      <w:r w:rsidR="007A39D6" w:rsidRPr="00A46049">
        <w:rPr>
          <w:lang w:val="en-US" w:eastAsia="en-US"/>
        </w:rPr>
        <w:t xml:space="preserve">we must point out that different sectors reacted differently on DSA. Social media </w:t>
      </w:r>
      <w:r w:rsidR="003237CE" w:rsidRPr="00A46049">
        <w:rPr>
          <w:lang w:val="en-US" w:eastAsia="en-US"/>
        </w:rPr>
        <w:t xml:space="preserve">did largely react to DSA only in the period after DSA effect, i.e., between 2024-2025. </w:t>
      </w:r>
      <w:r w:rsidR="000B3C6F" w:rsidRPr="00A46049">
        <w:rPr>
          <w:lang w:val="en-US" w:eastAsia="en-US"/>
        </w:rPr>
        <w:t xml:space="preserve">Adult streaming platforms, on the other hand prepared to comply with the new set of obligations for the start of DSA effect, i.e., 2024. Interestingly, YouTube and TikTok as UGC platforms </w:t>
      </w:r>
      <w:r w:rsidR="007C4F58" w:rsidRPr="00A46049">
        <w:rPr>
          <w:lang w:val="en-US" w:eastAsia="en-US"/>
        </w:rPr>
        <w:t>showed increase in compliance in 2024 but again decrease in 2025</w:t>
      </w:r>
      <w:r w:rsidR="005B148D" w:rsidRPr="00A46049">
        <w:rPr>
          <w:lang w:val="en-US" w:eastAsia="en-US"/>
        </w:rPr>
        <w:t>.</w:t>
      </w:r>
    </w:p>
    <w:p w14:paraId="6E286D0E" w14:textId="6BF40EC1" w:rsidR="002C6AB1" w:rsidRDefault="00717A5F" w:rsidP="00CB68F5">
      <w:pPr>
        <w:pStyle w:val="Nextparagraphs"/>
        <w:rPr>
          <w:highlight w:val="yellow"/>
          <w:lang w:val="en-US" w:eastAsia="en-US"/>
        </w:rPr>
      </w:pPr>
      <w:r>
        <w:object w:dxaOrig="8130" w:dyaOrig="6098" w14:anchorId="5C7BEF11">
          <v:shape id="_x0000_i1030" type="#_x0000_t75" style="width:406.5pt;height:305.25pt" o:ole="">
            <v:imagedata r:id="rId21" o:title=""/>
          </v:shape>
          <o:OLEObject Type="Embed" ProgID="STATISTICA.Graph" ShapeID="_x0000_i1030" DrawAspect="Content" ObjectID="_1826364643" r:id="rId22">
            <o:FieldCodes>\s</o:FieldCodes>
          </o:OLEObject>
        </w:object>
      </w:r>
    </w:p>
    <w:p w14:paraId="105188CD" w14:textId="49458BCB" w:rsidR="00717A5F" w:rsidRDefault="00A2069B" w:rsidP="00A2069B">
      <w:pPr>
        <w:pStyle w:val="Quote"/>
        <w:rPr>
          <w:highlight w:val="yellow"/>
        </w:rPr>
      </w:pPr>
      <w:r w:rsidRPr="00982D8F">
        <w:rPr>
          <w:sz w:val="16"/>
          <w:szCs w:val="16"/>
        </w:rPr>
        <w:t xml:space="preserve">Graph </w:t>
      </w:r>
      <w:r>
        <w:rPr>
          <w:sz w:val="16"/>
          <w:szCs w:val="16"/>
        </w:rPr>
        <w:t>6</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social media</w:t>
      </w:r>
    </w:p>
    <w:p w14:paraId="6627F8BB" w14:textId="37321205" w:rsidR="00717A5F" w:rsidRDefault="00717A5F" w:rsidP="005B148D">
      <w:pPr>
        <w:pStyle w:val="Nextparagraphs"/>
        <w:rPr>
          <w:highlight w:val="yellow"/>
        </w:rPr>
      </w:pPr>
      <w:r>
        <w:object w:dxaOrig="8105" w:dyaOrig="6081" w14:anchorId="35AFF7C8">
          <v:shape id="_x0000_i1031" type="#_x0000_t75" style="width:405pt;height:303.75pt" o:ole="">
            <v:imagedata r:id="rId23" o:title=""/>
          </v:shape>
          <o:OLEObject Type="Embed" ProgID="STATISTICA.Graph" ShapeID="_x0000_i1031" DrawAspect="Content" ObjectID="_1826364644" r:id="rId24">
            <o:FieldCodes>\s</o:FieldCodes>
          </o:OLEObject>
        </w:object>
      </w:r>
    </w:p>
    <w:p w14:paraId="2D950AA8" w14:textId="41FF6C5B" w:rsidR="00717A5F" w:rsidRDefault="00A2069B" w:rsidP="00A2069B">
      <w:pPr>
        <w:pStyle w:val="Quote"/>
        <w:rPr>
          <w:highlight w:val="yellow"/>
        </w:rPr>
      </w:pPr>
      <w:r w:rsidRPr="00982D8F">
        <w:rPr>
          <w:sz w:val="16"/>
          <w:szCs w:val="16"/>
        </w:rPr>
        <w:t xml:space="preserve">Graph </w:t>
      </w:r>
      <w:r>
        <w:rPr>
          <w:sz w:val="16"/>
          <w:szCs w:val="16"/>
        </w:rPr>
        <w:t>7</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adult streaming platforms</w:t>
      </w:r>
    </w:p>
    <w:p w14:paraId="61C86D08" w14:textId="75D1F32B" w:rsidR="00717A5F" w:rsidRDefault="00205ACA" w:rsidP="005B148D">
      <w:pPr>
        <w:pStyle w:val="Nextparagraphs"/>
        <w:rPr>
          <w:highlight w:val="yellow"/>
        </w:rPr>
      </w:pPr>
      <w:r>
        <w:object w:dxaOrig="8120" w:dyaOrig="6093" w14:anchorId="3B7381F7">
          <v:shape id="_x0000_i1032" type="#_x0000_t75" style="width:405.75pt;height:304.5pt" o:ole="">
            <v:imagedata r:id="rId25" o:title=""/>
          </v:shape>
          <o:OLEObject Type="Embed" ProgID="STATISTICA.Graph" ShapeID="_x0000_i1032" DrawAspect="Content" ObjectID="_1826364645" r:id="rId26">
            <o:FieldCodes>\s</o:FieldCodes>
          </o:OLEObject>
        </w:object>
      </w:r>
    </w:p>
    <w:p w14:paraId="21361FF0" w14:textId="0A79DB0C" w:rsidR="00205ACA" w:rsidRDefault="00A2069B" w:rsidP="00A2069B">
      <w:pPr>
        <w:pStyle w:val="Quote"/>
        <w:rPr>
          <w:highlight w:val="yellow"/>
        </w:rPr>
      </w:pPr>
      <w:r w:rsidRPr="00982D8F">
        <w:rPr>
          <w:sz w:val="16"/>
          <w:szCs w:val="16"/>
        </w:rPr>
        <w:t xml:space="preserve">Graph </w:t>
      </w:r>
      <w:r>
        <w:rPr>
          <w:sz w:val="16"/>
          <w:szCs w:val="16"/>
        </w:rPr>
        <w:t>8</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UGC platforms</w:t>
      </w:r>
    </w:p>
    <w:p w14:paraId="0A2A3023" w14:textId="6E4E4306" w:rsidR="005B148D" w:rsidRPr="00A46049" w:rsidRDefault="005B148D" w:rsidP="005B148D">
      <w:pPr>
        <w:pStyle w:val="Nextparagraphs"/>
      </w:pPr>
      <w:r w:rsidRPr="00A46049">
        <w:t xml:space="preserve">This shows interesting trend. Adults streaming platforms, that were insofar relatively unregulated under </w:t>
      </w:r>
      <w:r w:rsidR="0014366B" w:rsidRPr="00A46049">
        <w:t xml:space="preserve">similar legal frameworks, did identify new obligations and prepared themselves ahead of their coming. Social media, on the other hand, were under constant regulatory pressure </w:t>
      </w:r>
      <w:r w:rsidR="00E52AD4" w:rsidRPr="00A46049">
        <w:t xml:space="preserve">throughout </w:t>
      </w:r>
      <w:r w:rsidR="0053454D" w:rsidRPr="00A46049">
        <w:t xml:space="preserve">past years. DSA, thus, introduced only a new set of obligations that were implemented with slight delay. UGC platforms faced similar situation of constant regulatory pressure. </w:t>
      </w:r>
      <w:r w:rsidR="00DE62BB" w:rsidRPr="00A46049">
        <w:t>Their answer is however different where they seemingly reevaluated their systems post-2024 and adjusted their terms to their own needs showcasing a decrease in compliance in 2025</w:t>
      </w:r>
      <w:r w:rsidR="00A563DD" w:rsidRPr="00A46049">
        <w:t xml:space="preserve"> with significant drop for voluntary information.</w:t>
      </w:r>
    </w:p>
    <w:p w14:paraId="5DD41A2E" w14:textId="4A68B3F7" w:rsidR="00A563DD" w:rsidRDefault="00A563DD" w:rsidP="005B148D">
      <w:pPr>
        <w:pStyle w:val="Nextparagraphs"/>
      </w:pPr>
      <w:r>
        <w:object w:dxaOrig="8120" w:dyaOrig="6088" w14:anchorId="1F2470F9">
          <v:shape id="_x0000_i1033" type="#_x0000_t75" style="width:405.75pt;height:304.5pt" o:ole="">
            <v:imagedata r:id="rId27" o:title=""/>
          </v:shape>
          <o:OLEObject Type="Embed" ProgID="STATISTICA.Graph" ShapeID="_x0000_i1033" DrawAspect="Content" ObjectID="_1826364646" r:id="rId28">
            <o:FieldCodes>\s</o:FieldCodes>
          </o:OLEObject>
        </w:object>
      </w:r>
    </w:p>
    <w:p w14:paraId="38F86AD3" w14:textId="58637369" w:rsidR="00A563DD" w:rsidRDefault="00A563DD" w:rsidP="00A563DD">
      <w:pPr>
        <w:pStyle w:val="Quote"/>
        <w:rPr>
          <w:highlight w:val="yellow"/>
        </w:rPr>
      </w:pPr>
      <w:r w:rsidRPr="00982D8F">
        <w:rPr>
          <w:sz w:val="16"/>
          <w:szCs w:val="16"/>
        </w:rPr>
        <w:t xml:space="preserve">Graph </w:t>
      </w:r>
      <w:r>
        <w:rPr>
          <w:sz w:val="16"/>
          <w:szCs w:val="16"/>
        </w:rPr>
        <w:t>9</w:t>
      </w:r>
      <w:r w:rsidRPr="00982D8F">
        <w:rPr>
          <w:sz w:val="16"/>
          <w:szCs w:val="16"/>
        </w:rPr>
        <w:t xml:space="preserve">: </w:t>
      </w:r>
      <w:r>
        <w:rPr>
          <w:sz w:val="16"/>
          <w:szCs w:val="16"/>
        </w:rPr>
        <w:t>D</w:t>
      </w:r>
      <w:r w:rsidRPr="00982D8F">
        <w:rPr>
          <w:sz w:val="16"/>
          <w:szCs w:val="16"/>
        </w:rPr>
        <w:t>evelopment in compliance levels</w:t>
      </w:r>
      <w:r>
        <w:rPr>
          <w:sz w:val="16"/>
          <w:szCs w:val="16"/>
        </w:rPr>
        <w:t xml:space="preserve"> for UGC platforms and voluntary information</w:t>
      </w:r>
    </w:p>
    <w:p w14:paraId="699F029C" w14:textId="7E54387D" w:rsidR="00EB421C" w:rsidRPr="00E42EAE" w:rsidRDefault="00E27DCC" w:rsidP="001457B2">
      <w:pPr>
        <w:pStyle w:val="Heading1"/>
      </w:pPr>
      <w:bookmarkStart w:id="14" w:name="_Ref193720944"/>
      <w:bookmarkStart w:id="15" w:name="_Toc215751875"/>
      <w:r w:rsidRPr="00E42EAE">
        <w:t>Critical outlook</w:t>
      </w:r>
      <w:bookmarkEnd w:id="15"/>
    </w:p>
    <w:bookmarkEnd w:id="14"/>
    <w:p w14:paraId="464FE513" w14:textId="7D4CDA91" w:rsidR="00F501C2" w:rsidRPr="00E42EAE" w:rsidRDefault="009D24E1" w:rsidP="00632C19">
      <w:pPr>
        <w:pStyle w:val="Firstparagraph"/>
        <w:rPr>
          <w:lang w:val="en-US"/>
        </w:rPr>
      </w:pPr>
      <w:r w:rsidRPr="00E42EAE">
        <w:rPr>
          <w:lang w:val="en-US"/>
        </w:rPr>
        <w:t xml:space="preserve">Considering the results of empirical assessment, we must now consider how did the fairness, consumer welfare and efficiency trade-off shift pre- and post-DSA. </w:t>
      </w:r>
      <w:r w:rsidR="00632C19" w:rsidRPr="00E42EAE">
        <w:rPr>
          <w:lang w:val="en-US"/>
        </w:rPr>
        <w:t xml:space="preserve">In this final chapter, thus, we outline our answer to the research question, i.e., where lies the emerging equilibrium of </w:t>
      </w:r>
      <w:r w:rsidR="00261D99" w:rsidRPr="00E42EAE">
        <w:rPr>
          <w:lang w:val="en-US"/>
        </w:rPr>
        <w:t>online</w:t>
      </w:r>
      <w:r w:rsidR="00261D99" w:rsidRPr="00E42EAE">
        <w:rPr>
          <w:i/>
          <w:iCs/>
          <w:lang w:val="en-US"/>
        </w:rPr>
        <w:t xml:space="preserve"> </w:t>
      </w:r>
      <w:r w:rsidR="00632C19" w:rsidRPr="00E42EAE">
        <w:rPr>
          <w:lang w:val="en-US"/>
        </w:rPr>
        <w:t>platforms regulation in area of copyright post-DSA and to what degree does it reflect the economic standard of efficiency and normative standards of fairness and consumer welfare.</w:t>
      </w:r>
      <w:r w:rsidR="00F501C2" w:rsidRPr="00E42EAE">
        <w:rPr>
          <w:lang w:val="en-US"/>
        </w:rPr>
        <w:t xml:space="preserve"> </w:t>
      </w:r>
    </w:p>
    <w:p w14:paraId="084A87CB" w14:textId="4E021D18" w:rsidR="000273F5" w:rsidRPr="00E42EAE" w:rsidRDefault="00F501C2" w:rsidP="0096003C">
      <w:pPr>
        <w:pStyle w:val="Nextparagraphs"/>
        <w:rPr>
          <w:lang w:val="en-US"/>
        </w:rPr>
      </w:pPr>
      <w:r w:rsidRPr="00E42EAE">
        <w:rPr>
          <w:lang w:val="en-US"/>
        </w:rPr>
        <w:t xml:space="preserve">Any answer to the research question we provide at this place must be understood with several limits. </w:t>
      </w:r>
      <w:r w:rsidR="004873D5">
        <w:rPr>
          <w:lang w:val="en-US"/>
        </w:rPr>
        <w:t>E</w:t>
      </w:r>
      <w:r w:rsidRPr="00E42EAE">
        <w:rPr>
          <w:lang w:val="en-US"/>
        </w:rPr>
        <w:t xml:space="preserve">quilibrium we capture is analysed in the context of contractual private ordering </w:t>
      </w:r>
      <w:r w:rsidR="002B3E17" w:rsidRPr="00E42EAE">
        <w:rPr>
          <w:lang w:val="en-US"/>
        </w:rPr>
        <w:t xml:space="preserve">tools. As such, we do not claim that selected online platforms </w:t>
      </w:r>
      <w:r w:rsidR="00D02616" w:rsidRPr="00E42EAE">
        <w:rPr>
          <w:lang w:val="en-US"/>
        </w:rPr>
        <w:t xml:space="preserve">are incompliant. It is entirely possible that those platforms </w:t>
      </w:r>
      <w:r w:rsidR="007D4399" w:rsidRPr="00E42EAE">
        <w:rPr>
          <w:lang w:val="en-US"/>
        </w:rPr>
        <w:t xml:space="preserve">implemented all required processes </w:t>
      </w:r>
      <w:r w:rsidR="00CD0520" w:rsidRPr="00E42EAE">
        <w:rPr>
          <w:lang w:val="en-US"/>
        </w:rPr>
        <w:t xml:space="preserve">without providing such information in the </w:t>
      </w:r>
      <w:r w:rsidR="00D42146" w:rsidRPr="00E42EAE">
        <w:rPr>
          <w:lang w:val="en-US"/>
        </w:rPr>
        <w:t xml:space="preserve">contractual terms. Particularly in </w:t>
      </w:r>
      <w:r w:rsidR="00A038C2" w:rsidRPr="00E42EAE">
        <w:rPr>
          <w:lang w:val="en-US"/>
        </w:rPr>
        <w:t>case of YouTube such information can be found in Help Center that we excluded from our assessment.</w:t>
      </w:r>
      <w:r w:rsidR="00A038C2" w:rsidRPr="00E42EAE">
        <w:rPr>
          <w:rStyle w:val="FootnoteReference"/>
          <w:lang w:val="en-US"/>
        </w:rPr>
        <w:footnoteReference w:id="117"/>
      </w:r>
      <w:r w:rsidR="00121447" w:rsidRPr="00E42EAE">
        <w:rPr>
          <w:lang w:val="en-US"/>
        </w:rPr>
        <w:t xml:space="preserve"> </w:t>
      </w:r>
      <w:r w:rsidR="004873D5">
        <w:rPr>
          <w:lang w:val="en-US"/>
        </w:rPr>
        <w:t xml:space="preserve">Similarly, the legal texts can tell us only so much as was illustrated on TikTok. While the legal documentation might be well-maintained, its compliance does not mean that </w:t>
      </w:r>
      <w:r w:rsidR="007D0298">
        <w:rPr>
          <w:lang w:val="en-US"/>
        </w:rPr>
        <w:t xml:space="preserve">DSA was implemented on the technological-procedural level. </w:t>
      </w:r>
      <w:r w:rsidR="00121447" w:rsidRPr="00E42EAE">
        <w:rPr>
          <w:lang w:val="en-US"/>
        </w:rPr>
        <w:t xml:space="preserve">Consequently, we provide list of additional literature discussing the issue from different perspectives, providing addition context to our </w:t>
      </w:r>
      <w:r w:rsidR="006F6022" w:rsidRPr="00E42EAE">
        <w:rPr>
          <w:lang w:val="en-US"/>
        </w:rPr>
        <w:t>conclusions.</w:t>
      </w:r>
      <w:r w:rsidR="006F6022" w:rsidRPr="00E42EAE">
        <w:rPr>
          <w:rStyle w:val="FootnoteReference"/>
          <w:lang w:val="en-US"/>
        </w:rPr>
        <w:footnoteReference w:id="118"/>
      </w:r>
    </w:p>
    <w:p w14:paraId="113EF0B1" w14:textId="6D321496" w:rsidR="00195AB6" w:rsidRPr="00E42EAE" w:rsidRDefault="00D357AD" w:rsidP="00D357AD">
      <w:pPr>
        <w:pStyle w:val="Nextparagraphs"/>
        <w:rPr>
          <w:lang w:val="en-US"/>
        </w:rPr>
      </w:pPr>
      <w:r w:rsidRPr="00E42EAE">
        <w:rPr>
          <w:lang w:val="en-US"/>
        </w:rPr>
        <w:lastRenderedPageBreak/>
        <w:t xml:space="preserve">Previously, we have outlined two possible understandings of interplay of normative and economic standards. On one hand, we are concerned with reducing or closing the efficiency gap </w:t>
      </w:r>
      <w:r w:rsidR="00BB08F1" w:rsidRPr="00E42EAE">
        <w:rPr>
          <w:lang w:val="en-US"/>
        </w:rPr>
        <w:t>between self-maximizing behaviour and social welfare.</w:t>
      </w:r>
      <w:r w:rsidR="00DD6F35" w:rsidRPr="00E42EAE">
        <w:rPr>
          <w:rStyle w:val="FootnoteReference"/>
          <w:lang w:val="en-US"/>
        </w:rPr>
        <w:footnoteReference w:id="119"/>
      </w:r>
      <w:r w:rsidR="00BB08F1" w:rsidRPr="00E42EAE">
        <w:rPr>
          <w:lang w:val="en-US"/>
        </w:rPr>
        <w:t xml:space="preserve"> On the other hand, we can approach the efficiency problem from perspective of consumer welfare maximization</w:t>
      </w:r>
      <w:r w:rsidR="00D9390E" w:rsidRPr="00E42EAE">
        <w:rPr>
          <w:lang w:val="en-US"/>
        </w:rPr>
        <w:t xml:space="preserve"> where efficient outcome is </w:t>
      </w:r>
      <w:r w:rsidR="00FA7059" w:rsidRPr="00E42EAE">
        <w:rPr>
          <w:lang w:val="en-US"/>
        </w:rPr>
        <w:t>that</w:t>
      </w:r>
      <w:r w:rsidR="00D9390E" w:rsidRPr="00E42EAE">
        <w:rPr>
          <w:lang w:val="en-US"/>
        </w:rPr>
        <w:t xml:space="preserve"> which implements fairness and consumer welfare standards to largest degree.</w:t>
      </w:r>
      <w:r w:rsidR="00D9390E" w:rsidRPr="00E42EAE">
        <w:rPr>
          <w:rStyle w:val="FootnoteReference"/>
          <w:lang w:val="en-US"/>
        </w:rPr>
        <w:footnoteReference w:id="120"/>
      </w:r>
      <w:r w:rsidRPr="00E42EAE">
        <w:rPr>
          <w:lang w:val="en-US"/>
        </w:rPr>
        <w:t xml:space="preserve"> </w:t>
      </w:r>
    </w:p>
    <w:p w14:paraId="219F74AC" w14:textId="68E1113F" w:rsidR="003B5CE4" w:rsidRPr="00E42EAE" w:rsidRDefault="00CB22C6" w:rsidP="00D357AD">
      <w:pPr>
        <w:pStyle w:val="Nextparagraphs"/>
        <w:rPr>
          <w:lang w:val="en-US"/>
        </w:rPr>
      </w:pPr>
      <w:r w:rsidRPr="00E42EAE">
        <w:rPr>
          <w:lang w:val="en-US"/>
        </w:rPr>
        <w:t>From the first perspective, we assume that obligations instituted by DSA</w:t>
      </w:r>
      <w:r w:rsidR="00B73F88" w:rsidRPr="00E42EAE">
        <w:rPr>
          <w:lang w:val="en-US"/>
        </w:rPr>
        <w:t xml:space="preserve"> and CDSM</w:t>
      </w:r>
      <w:r w:rsidRPr="00E42EAE">
        <w:rPr>
          <w:lang w:val="en-US"/>
        </w:rPr>
        <w:t xml:space="preserve"> </w:t>
      </w:r>
      <w:r w:rsidR="006F4381" w:rsidRPr="00E42EAE">
        <w:rPr>
          <w:lang w:val="en-US"/>
        </w:rPr>
        <w:t>counterbalance platform maximizi</w:t>
      </w:r>
      <w:r w:rsidR="00815659" w:rsidRPr="00E42EAE">
        <w:rPr>
          <w:lang w:val="en-US"/>
        </w:rPr>
        <w:t xml:space="preserve">ng behaviour with creation of new normative limits, thus reducing the efficiency gap. </w:t>
      </w:r>
      <w:r w:rsidR="00F710DD" w:rsidRPr="00E42EAE">
        <w:rPr>
          <w:lang w:val="en-US"/>
        </w:rPr>
        <w:t xml:space="preserve">The second perspective </w:t>
      </w:r>
      <w:r w:rsidR="00796554" w:rsidRPr="00E42EAE">
        <w:rPr>
          <w:lang w:val="en-US"/>
        </w:rPr>
        <w:t>assumes that new</w:t>
      </w:r>
      <w:r w:rsidR="00A14736" w:rsidRPr="00E42EAE">
        <w:rPr>
          <w:lang w:val="en-US"/>
        </w:rPr>
        <w:t xml:space="preserve"> DSA obligations improve upon the consumer welfare</w:t>
      </w:r>
      <w:r w:rsidR="003B5CE4" w:rsidRPr="00E42EAE">
        <w:rPr>
          <w:lang w:val="en-US"/>
        </w:rPr>
        <w:t xml:space="preserve">. </w:t>
      </w:r>
      <w:r w:rsidR="0077559F" w:rsidRPr="00E42EAE">
        <w:rPr>
          <w:lang w:val="en-US"/>
        </w:rPr>
        <w:t>Consequently, assessment of fairness, consumer welfare and efficiency are tied together as improvement in one leads to improvement in others, reflecting the legal-economic nexus.</w:t>
      </w:r>
    </w:p>
    <w:p w14:paraId="0ACB8DF8" w14:textId="490D0420" w:rsidR="00F710DD" w:rsidRPr="00E42EAE" w:rsidRDefault="003B5CE4" w:rsidP="00D357AD">
      <w:pPr>
        <w:pStyle w:val="Nextparagraphs"/>
        <w:rPr>
          <w:lang w:val="en-US"/>
        </w:rPr>
      </w:pPr>
      <w:r w:rsidRPr="00E42EAE">
        <w:rPr>
          <w:lang w:val="en-US"/>
        </w:rPr>
        <w:t>Either way, both approaches lead us to assessment whether online platforms implemented DSA</w:t>
      </w:r>
      <w:r w:rsidR="00B76173" w:rsidRPr="00E42EAE">
        <w:rPr>
          <w:lang w:val="en-US"/>
        </w:rPr>
        <w:t xml:space="preserve"> and CDSM</w:t>
      </w:r>
      <w:r w:rsidRPr="00E42EAE">
        <w:rPr>
          <w:lang w:val="en-US"/>
        </w:rPr>
        <w:t xml:space="preserve">. If </w:t>
      </w:r>
      <w:r w:rsidR="00A7770F" w:rsidRPr="00E42EAE">
        <w:rPr>
          <w:lang w:val="en-US"/>
        </w:rPr>
        <w:t xml:space="preserve">these obligations are implemented or at least if the overall compliance improved over time, we can conclude that </w:t>
      </w:r>
      <w:r w:rsidR="00982DEF" w:rsidRPr="00E42EAE">
        <w:rPr>
          <w:lang w:val="en-US"/>
        </w:rPr>
        <w:t xml:space="preserve">fairness, consumer welfare and </w:t>
      </w:r>
      <w:r w:rsidR="00E856D4" w:rsidRPr="00E42EAE">
        <w:rPr>
          <w:lang w:val="en-US"/>
        </w:rPr>
        <w:t xml:space="preserve">efficiency improved. </w:t>
      </w:r>
      <w:r w:rsidR="002209C0" w:rsidRPr="00E42EAE">
        <w:rPr>
          <w:lang w:val="en-US"/>
        </w:rPr>
        <w:t xml:space="preserve">Conversely, if </w:t>
      </w:r>
      <w:r w:rsidR="00982DEF" w:rsidRPr="00E42EAE">
        <w:rPr>
          <w:lang w:val="en-US"/>
        </w:rPr>
        <w:t>these obligations were ignored, fairness, consumer protection nor efficiency improved.</w:t>
      </w:r>
    </w:p>
    <w:p w14:paraId="08756E4D" w14:textId="7A36538C" w:rsidR="00020600" w:rsidRPr="00E42EAE" w:rsidRDefault="00020600" w:rsidP="0091003A">
      <w:pPr>
        <w:pStyle w:val="Nextparagraphs"/>
        <w:rPr>
          <w:lang w:val="en-US"/>
        </w:rPr>
      </w:pPr>
      <w:r>
        <w:rPr>
          <w:lang w:val="en-US"/>
        </w:rPr>
        <w:t xml:space="preserve">Importantly, our analysis concludes that general compliance </w:t>
      </w:r>
      <w:r w:rsidR="00CF53AA">
        <w:rPr>
          <w:lang w:val="en-US"/>
        </w:rPr>
        <w:t xml:space="preserve">did improve over time. While there is still lot of space for improvements, it is clear that DSA was implemented. Similarly, DSA had spillover effect meaning that CDSM obligations were also implemented. Consequently, our research question must be answered by concluding that DSA did contribute to </w:t>
      </w:r>
      <w:r w:rsidR="0091003A">
        <w:rPr>
          <w:lang w:val="en-US"/>
        </w:rPr>
        <w:t>fairness and consumer welfare in digital environment and while the platform’s efficiency decreased, the social efficiency increased.</w:t>
      </w:r>
    </w:p>
    <w:p w14:paraId="7E8BC2EA" w14:textId="3BD13AFD" w:rsidR="0096648D" w:rsidRPr="00E42EAE" w:rsidRDefault="001439F5" w:rsidP="00D31FB9">
      <w:pPr>
        <w:pStyle w:val="Nextparagraphs"/>
        <w:rPr>
          <w:lang w:val="en-US"/>
        </w:rPr>
      </w:pPr>
      <w:r w:rsidRPr="00E42EAE">
        <w:rPr>
          <w:lang w:val="en-US"/>
        </w:rPr>
        <w:t>Next to our study, we must also point to studies performed by Mezei and Harkai.</w:t>
      </w:r>
      <w:r w:rsidRPr="00E42EAE">
        <w:rPr>
          <w:rStyle w:val="FootnoteReference"/>
          <w:lang w:val="en-US"/>
        </w:rPr>
        <w:footnoteReference w:id="121"/>
      </w:r>
      <w:r w:rsidR="00D930C4" w:rsidRPr="00E42EAE">
        <w:rPr>
          <w:lang w:val="en-US"/>
        </w:rPr>
        <w:t xml:space="preserve"> Their studies opted for different approach where they identified </w:t>
      </w:r>
      <w:r w:rsidR="00235A28" w:rsidRPr="00E42EAE">
        <w:rPr>
          <w:lang w:val="en-US"/>
        </w:rPr>
        <w:t xml:space="preserve">user flexibilities </w:t>
      </w:r>
      <w:r w:rsidR="00A001B0" w:rsidRPr="00E42EAE">
        <w:rPr>
          <w:lang w:val="en-US"/>
        </w:rPr>
        <w:t>that they observed in private ordering tools of platforms.</w:t>
      </w:r>
      <w:r w:rsidR="00DC0065" w:rsidRPr="00E42EAE">
        <w:rPr>
          <w:rStyle w:val="FootnoteReference"/>
          <w:lang w:val="en-US"/>
        </w:rPr>
        <w:footnoteReference w:id="122"/>
      </w:r>
      <w:r w:rsidR="00B076BE" w:rsidRPr="00E42EAE">
        <w:rPr>
          <w:lang w:val="en-US"/>
        </w:rPr>
        <w:t xml:space="preserve"> Unfortunately, their empirical findings were not updated in their last study that rather focuses on reflection of identified </w:t>
      </w:r>
      <w:r w:rsidR="00DF3497" w:rsidRPr="00E42EAE">
        <w:rPr>
          <w:lang w:val="en-US"/>
        </w:rPr>
        <w:t>user flexibilities and their relevance.</w:t>
      </w:r>
      <w:r w:rsidR="00DF3497" w:rsidRPr="00E42EAE">
        <w:rPr>
          <w:rStyle w:val="FootnoteReference"/>
          <w:lang w:val="en-US"/>
        </w:rPr>
        <w:footnoteReference w:id="123"/>
      </w:r>
      <w:r w:rsidR="006D0546" w:rsidRPr="00E42EAE">
        <w:rPr>
          <w:lang w:val="en-US"/>
        </w:rPr>
        <w:t xml:space="preserve"> As such, it is not possible to compare their results in time. </w:t>
      </w:r>
      <w:r w:rsidR="00017B57" w:rsidRPr="00E42EAE">
        <w:rPr>
          <w:lang w:val="en-US"/>
        </w:rPr>
        <w:t xml:space="preserve">The only update to these findings is </w:t>
      </w:r>
      <w:r w:rsidR="00D00AE1" w:rsidRPr="00E42EAE">
        <w:rPr>
          <w:lang w:val="en-US"/>
        </w:rPr>
        <w:t>limited reflection of CDSM obligations</w:t>
      </w:r>
      <w:r w:rsidR="00B03057" w:rsidRPr="00E42EAE">
        <w:rPr>
          <w:lang w:val="en-US"/>
        </w:rPr>
        <w:t xml:space="preserve"> </w:t>
      </w:r>
      <w:r w:rsidR="00FF365C" w:rsidRPr="00E42EAE">
        <w:rPr>
          <w:lang w:val="en-US"/>
        </w:rPr>
        <w:t xml:space="preserve">by Woznica </w:t>
      </w:r>
      <w:r w:rsidR="00B03057" w:rsidRPr="00E42EAE">
        <w:rPr>
          <w:lang w:val="en-US"/>
        </w:rPr>
        <w:t xml:space="preserve">that </w:t>
      </w:r>
      <w:r w:rsidR="003D67AB" w:rsidRPr="00E42EAE">
        <w:rPr>
          <w:lang w:val="en-US"/>
        </w:rPr>
        <w:t>hints at lack of significant change due to Article 17 CDSM.</w:t>
      </w:r>
      <w:r w:rsidR="00CA5E2F" w:rsidRPr="00E42EAE">
        <w:rPr>
          <w:rStyle w:val="FootnoteReference"/>
          <w:lang w:val="en-US"/>
        </w:rPr>
        <w:footnoteReference w:id="124"/>
      </w:r>
    </w:p>
    <w:p w14:paraId="509FBCFD" w14:textId="329073C4" w:rsidR="004D25E1" w:rsidRPr="00E42EAE" w:rsidRDefault="0005689C" w:rsidP="00D357AD">
      <w:pPr>
        <w:pStyle w:val="Nextparagraphs"/>
        <w:rPr>
          <w:lang w:val="en-US"/>
        </w:rPr>
      </w:pPr>
      <w:r>
        <w:rPr>
          <w:lang w:val="en-US"/>
        </w:rPr>
        <w:t>Nonetheless</w:t>
      </w:r>
      <w:r w:rsidR="003B7EFD" w:rsidRPr="00E42EAE">
        <w:rPr>
          <w:lang w:val="en-US"/>
        </w:rPr>
        <w:t>,</w:t>
      </w:r>
      <w:r w:rsidR="00127FDD" w:rsidRPr="00E42EAE">
        <w:rPr>
          <w:lang w:val="en-US"/>
        </w:rPr>
        <w:t xml:space="preserve"> </w:t>
      </w:r>
      <w:r>
        <w:rPr>
          <w:lang w:val="en-US"/>
        </w:rPr>
        <w:t>the</w:t>
      </w:r>
      <w:r w:rsidR="00B75D40" w:rsidRPr="00E42EAE">
        <w:rPr>
          <w:lang w:val="en-US"/>
        </w:rPr>
        <w:t xml:space="preserve"> question remains whether DSA focus on terms and conditions was justified.</w:t>
      </w:r>
      <w:r>
        <w:rPr>
          <w:lang w:val="en-US"/>
        </w:rPr>
        <w:t xml:space="preserve"> </w:t>
      </w:r>
      <w:r w:rsidR="007261E2" w:rsidRPr="00E42EAE">
        <w:rPr>
          <w:lang w:val="en-US"/>
        </w:rPr>
        <w:t xml:space="preserve">Numerous authors point out problems inherent to </w:t>
      </w:r>
      <w:r w:rsidR="00CF2738" w:rsidRPr="00E42EAE">
        <w:rPr>
          <w:lang w:val="en-US"/>
        </w:rPr>
        <w:t xml:space="preserve">the notice and consent paradigm </w:t>
      </w:r>
      <w:r w:rsidR="00AB115A" w:rsidRPr="00E42EAE">
        <w:rPr>
          <w:lang w:val="en-US"/>
        </w:rPr>
        <w:t>of private ordering disclosure obligations.</w:t>
      </w:r>
      <w:r w:rsidR="00AB115A" w:rsidRPr="00E42EAE">
        <w:rPr>
          <w:rStyle w:val="FootnoteReference"/>
          <w:lang w:val="en-US"/>
        </w:rPr>
        <w:footnoteReference w:id="125"/>
      </w:r>
      <w:r w:rsidR="00AB115A" w:rsidRPr="00E42EAE">
        <w:rPr>
          <w:lang w:val="en-US"/>
        </w:rPr>
        <w:t xml:space="preserve"> </w:t>
      </w:r>
      <w:r w:rsidR="00DD7419" w:rsidRPr="00E42EAE">
        <w:rPr>
          <w:lang w:val="en-US"/>
        </w:rPr>
        <w:t xml:space="preserve">Language and structure of terms and conditions </w:t>
      </w:r>
      <w:r w:rsidR="00DE2407" w:rsidRPr="00E42EAE">
        <w:rPr>
          <w:lang w:val="en-US"/>
        </w:rPr>
        <w:t xml:space="preserve">are incomprehensible to </w:t>
      </w:r>
      <w:r w:rsidR="00622BA0" w:rsidRPr="00E42EAE">
        <w:rPr>
          <w:lang w:val="en-US"/>
        </w:rPr>
        <w:t xml:space="preserve">the </w:t>
      </w:r>
      <w:r w:rsidR="00622BA0" w:rsidRPr="00E42EAE">
        <w:rPr>
          <w:lang w:val="en-US"/>
        </w:rPr>
        <w:lastRenderedPageBreak/>
        <w:t>users.</w:t>
      </w:r>
      <w:r w:rsidR="00622BA0" w:rsidRPr="00E42EAE">
        <w:rPr>
          <w:rStyle w:val="FootnoteReference"/>
          <w:lang w:val="en-US"/>
        </w:rPr>
        <w:footnoteReference w:id="126"/>
      </w:r>
      <w:r w:rsidR="00622BA0" w:rsidRPr="00E42EAE">
        <w:rPr>
          <w:lang w:val="en-US"/>
        </w:rPr>
        <w:t xml:space="preserve"> Users also lack the capacity to understand complicated legal text.</w:t>
      </w:r>
      <w:r w:rsidR="00515817" w:rsidRPr="00E42EAE">
        <w:rPr>
          <w:rStyle w:val="FootnoteReference"/>
          <w:lang w:val="en-US"/>
        </w:rPr>
        <w:footnoteReference w:id="127"/>
      </w:r>
      <w:r w:rsidR="002B2AA8" w:rsidRPr="00E42EAE">
        <w:rPr>
          <w:lang w:val="en-US"/>
        </w:rPr>
        <w:t xml:space="preserve"> Instead users</w:t>
      </w:r>
      <w:r w:rsidR="00790BEA" w:rsidRPr="00E42EAE">
        <w:rPr>
          <w:lang w:val="en-US"/>
        </w:rPr>
        <w:t xml:space="preserve"> in their decision making</w:t>
      </w:r>
      <w:r w:rsidR="002B2AA8" w:rsidRPr="00E42EAE">
        <w:rPr>
          <w:lang w:val="en-US"/>
        </w:rPr>
        <w:t xml:space="preserve"> rely on</w:t>
      </w:r>
      <w:r w:rsidR="00BD029B" w:rsidRPr="00E42EAE">
        <w:rPr>
          <w:lang w:val="en-US"/>
        </w:rPr>
        <w:t xml:space="preserve"> marks of business’ reputation such as reviews, </w:t>
      </w:r>
      <w:r w:rsidR="00790BEA" w:rsidRPr="00E42EAE">
        <w:rPr>
          <w:lang w:val="en-US"/>
        </w:rPr>
        <w:t>reputation or recommendations</w:t>
      </w:r>
      <w:r w:rsidR="00BD029B" w:rsidRPr="00E42EAE">
        <w:rPr>
          <w:lang w:val="en-US"/>
        </w:rPr>
        <w:t>, if given a choice.</w:t>
      </w:r>
      <w:r w:rsidR="00790BEA" w:rsidRPr="00E42EAE">
        <w:rPr>
          <w:rStyle w:val="FootnoteReference"/>
          <w:lang w:val="en-US"/>
        </w:rPr>
        <w:footnoteReference w:id="128"/>
      </w:r>
      <w:r w:rsidR="001B32C7" w:rsidRPr="00E42EAE">
        <w:rPr>
          <w:lang w:val="en-US"/>
        </w:rPr>
        <w:t xml:space="preserve"> B</w:t>
      </w:r>
      <w:r w:rsidR="00790BEA" w:rsidRPr="00E42EAE">
        <w:rPr>
          <w:lang w:val="en-US"/>
        </w:rPr>
        <w:t xml:space="preserve">usiness can misrepresent legal regulation or impose </w:t>
      </w:r>
      <w:r w:rsidR="00C5716E" w:rsidRPr="00E42EAE">
        <w:rPr>
          <w:lang w:val="en-US"/>
        </w:rPr>
        <w:t>unenforceable terms.</w:t>
      </w:r>
      <w:r w:rsidR="00C5716E" w:rsidRPr="00E42EAE">
        <w:rPr>
          <w:rStyle w:val="FootnoteReference"/>
          <w:lang w:val="en-US"/>
        </w:rPr>
        <w:footnoteReference w:id="129"/>
      </w:r>
    </w:p>
    <w:p w14:paraId="4694A6FB" w14:textId="1E40C58E" w:rsidR="004D25E1" w:rsidRPr="00E42EAE" w:rsidRDefault="00FB09EF" w:rsidP="00D357AD">
      <w:pPr>
        <w:pStyle w:val="Nextparagraphs"/>
        <w:rPr>
          <w:lang w:val="en-US"/>
        </w:rPr>
      </w:pPr>
      <w:r w:rsidRPr="00E42EAE">
        <w:rPr>
          <w:lang w:val="en-US"/>
        </w:rPr>
        <w:t>I</w:t>
      </w:r>
      <w:r w:rsidR="00F56A3B" w:rsidRPr="00E42EAE">
        <w:rPr>
          <w:lang w:val="en-US"/>
        </w:rPr>
        <w:t>nherent power imbalances and market regulation mean that users rarely have a real choice.</w:t>
      </w:r>
      <w:r w:rsidR="008E62EB" w:rsidRPr="00E42EAE">
        <w:rPr>
          <w:rStyle w:val="FootnoteReference"/>
          <w:lang w:val="en-US"/>
        </w:rPr>
        <w:footnoteReference w:id="130"/>
      </w:r>
      <w:r w:rsidR="00282CEA" w:rsidRPr="00E42EAE">
        <w:rPr>
          <w:lang w:val="en-US"/>
        </w:rPr>
        <w:t xml:space="preserve"> Standard form</w:t>
      </w:r>
      <w:r w:rsidR="001D6269" w:rsidRPr="00E42EAE">
        <w:rPr>
          <w:lang w:val="en-US"/>
        </w:rPr>
        <w:t xml:space="preserve"> contracts dominate the landscape pushing consumers in take it or leave it situation without a real leave it option.</w:t>
      </w:r>
      <w:r w:rsidR="001D6269" w:rsidRPr="00E42EAE">
        <w:rPr>
          <w:rStyle w:val="FootnoteReference"/>
          <w:lang w:val="en-US"/>
        </w:rPr>
        <w:footnoteReference w:id="131"/>
      </w:r>
      <w:r w:rsidR="006327B4" w:rsidRPr="00E42EAE">
        <w:rPr>
          <w:lang w:val="en-US"/>
        </w:rPr>
        <w:t xml:space="preserve"> </w:t>
      </w:r>
      <w:r w:rsidR="005F3D99" w:rsidRPr="00E42EAE">
        <w:rPr>
          <w:lang w:val="en-US"/>
        </w:rPr>
        <w:t xml:space="preserve">Problems is further </w:t>
      </w:r>
      <w:r w:rsidR="00215AC8" w:rsidRPr="00E42EAE">
        <w:rPr>
          <w:lang w:val="en-US"/>
        </w:rPr>
        <w:t>aggravated due to standard form standardization.</w:t>
      </w:r>
      <w:r w:rsidR="00215AC8" w:rsidRPr="00E42EAE">
        <w:rPr>
          <w:rStyle w:val="FootnoteReference"/>
          <w:lang w:val="en-US"/>
        </w:rPr>
        <w:footnoteReference w:id="132"/>
      </w:r>
      <w:r w:rsidR="005F3D99" w:rsidRPr="00E42EAE">
        <w:rPr>
          <w:lang w:val="en-US"/>
        </w:rPr>
        <w:t xml:space="preserve"> </w:t>
      </w:r>
      <w:r w:rsidR="00B678F6" w:rsidRPr="00E42EAE">
        <w:rPr>
          <w:lang w:val="en-US"/>
        </w:rPr>
        <w:t xml:space="preserve">We noted this problem also in our present study, where the notice of change provision </w:t>
      </w:r>
      <w:r w:rsidR="00962282">
        <w:rPr>
          <w:lang w:val="en-US"/>
        </w:rPr>
        <w:t>across various legal text remained very similar</w:t>
      </w:r>
      <w:r w:rsidR="00B02262" w:rsidRPr="00E42EAE">
        <w:rPr>
          <w:lang w:val="en-US"/>
        </w:rPr>
        <w:t>.</w:t>
      </w:r>
    </w:p>
    <w:p w14:paraId="261D992A" w14:textId="345E335C" w:rsidR="001F00E0" w:rsidRPr="00E42EAE" w:rsidRDefault="005110A6" w:rsidP="00D357AD">
      <w:pPr>
        <w:pStyle w:val="Nextparagraphs"/>
        <w:rPr>
          <w:lang w:val="en-US"/>
        </w:rPr>
      </w:pPr>
      <w:r w:rsidRPr="00E42EAE">
        <w:rPr>
          <w:lang w:val="en-US"/>
        </w:rPr>
        <w:t xml:space="preserve">That alone does not mean that terms of service and contractual tools do not have their value. Despite all these problems, Wulf and </w:t>
      </w:r>
      <w:r w:rsidR="00C9700F" w:rsidRPr="00E42EAE">
        <w:rPr>
          <w:lang w:val="en-US"/>
        </w:rPr>
        <w:t xml:space="preserve">Seizov highlight that </w:t>
      </w:r>
      <w:r w:rsidR="007E0976" w:rsidRPr="00E42EAE">
        <w:rPr>
          <w:lang w:val="en-US"/>
        </w:rPr>
        <w:t>reading rates, information retention and consumer understanding improve where these terms are read after a dispute arises.</w:t>
      </w:r>
      <w:r w:rsidR="007E0976" w:rsidRPr="00E42EAE">
        <w:rPr>
          <w:rStyle w:val="FootnoteReference"/>
          <w:lang w:val="en-US"/>
        </w:rPr>
        <w:footnoteReference w:id="133"/>
      </w:r>
      <w:r w:rsidR="001F00E0" w:rsidRPr="00E42EAE">
        <w:rPr>
          <w:lang w:val="en-US"/>
        </w:rPr>
        <w:t xml:space="preserve"> </w:t>
      </w:r>
      <w:r w:rsidR="00E11DA0" w:rsidRPr="00E42EAE">
        <w:rPr>
          <w:lang w:val="en-US"/>
        </w:rPr>
        <w:t>In other words, information about internal complaint procedures and redress mechanisms is typically overlooked by users when accessing the platform, as it holds little immediate relevance. However, once a dispute arises, this information becomes critical for navigating the resolution process.</w:t>
      </w:r>
    </w:p>
    <w:p w14:paraId="378315E8" w14:textId="5A39AD7D" w:rsidR="00873192" w:rsidRPr="00E42EAE" w:rsidRDefault="00E11DA0" w:rsidP="00D357AD">
      <w:pPr>
        <w:pStyle w:val="Nextparagraphs"/>
        <w:rPr>
          <w:lang w:val="en-US"/>
        </w:rPr>
      </w:pPr>
      <w:r w:rsidRPr="00E42EAE">
        <w:rPr>
          <w:lang w:val="en-US"/>
        </w:rPr>
        <w:t xml:space="preserve">Wulf and Seizov, moreover, suggest that </w:t>
      </w:r>
      <w:r w:rsidR="00170689" w:rsidRPr="00E42EAE">
        <w:rPr>
          <w:lang w:val="en-US"/>
        </w:rPr>
        <w:t>presentation of information is important to improve these processes</w:t>
      </w:r>
      <w:r w:rsidR="00D40999" w:rsidRPr="00E42EAE">
        <w:rPr>
          <w:lang w:val="en-US"/>
        </w:rPr>
        <w:t xml:space="preserve"> and usage of visuals, graphics and colours can greatly assist</w:t>
      </w:r>
      <w:r w:rsidR="00170689" w:rsidRPr="00E42EAE">
        <w:rPr>
          <w:lang w:val="en-US"/>
        </w:rPr>
        <w:t>.</w:t>
      </w:r>
      <w:r w:rsidR="00170689" w:rsidRPr="00E42EAE">
        <w:rPr>
          <w:rStyle w:val="FootnoteReference"/>
          <w:lang w:val="en-US"/>
        </w:rPr>
        <w:footnoteReference w:id="134"/>
      </w:r>
      <w:r w:rsidR="00D40999" w:rsidRPr="00E42EAE">
        <w:rPr>
          <w:lang w:val="en-US"/>
        </w:rPr>
        <w:t xml:space="preserve"> </w:t>
      </w:r>
      <w:r w:rsidR="007F45F9" w:rsidRPr="00E42EAE">
        <w:rPr>
          <w:lang w:val="en-US"/>
        </w:rPr>
        <w:t>This longstanding problem mirrors</w:t>
      </w:r>
      <w:r w:rsidR="00B567A9" w:rsidRPr="00E42EAE">
        <w:rPr>
          <w:lang w:val="en-US"/>
        </w:rPr>
        <w:t xml:space="preserve"> also the insistence on language clarity present also in DSA.</w:t>
      </w:r>
      <w:r w:rsidR="00F160F1" w:rsidRPr="00E42EAE">
        <w:rPr>
          <w:rStyle w:val="FootnoteReference"/>
          <w:lang w:val="en-US"/>
        </w:rPr>
        <w:footnoteReference w:id="135"/>
      </w:r>
      <w:r w:rsidR="00F160F1" w:rsidRPr="00E42EAE">
        <w:rPr>
          <w:lang w:val="en-US"/>
        </w:rPr>
        <w:t xml:space="preserve"> </w:t>
      </w:r>
      <w:r w:rsidR="00CC27A2" w:rsidRPr="00E42EAE">
        <w:rPr>
          <w:lang w:val="en-US"/>
        </w:rPr>
        <w:t>Nonetheless, terms of use are a legal document and it is difficult to reconcile plain language with the legal one, especially where the service is</w:t>
      </w:r>
      <w:r w:rsidR="00873192" w:rsidRPr="00E42EAE">
        <w:rPr>
          <w:lang w:val="en-US"/>
        </w:rPr>
        <w:t xml:space="preserve"> large one. </w:t>
      </w:r>
    </w:p>
    <w:p w14:paraId="39DB4B54" w14:textId="7BB212F9" w:rsidR="006F1EDA" w:rsidRDefault="00873192" w:rsidP="00D357AD">
      <w:pPr>
        <w:pStyle w:val="Nextparagraphs"/>
        <w:rPr>
          <w:lang w:val="en-US"/>
        </w:rPr>
      </w:pPr>
      <w:r w:rsidRPr="00E42EAE">
        <w:rPr>
          <w:lang w:val="en-US"/>
        </w:rPr>
        <w:lastRenderedPageBreak/>
        <w:t>We believe that Creative Commons, in fact, give us helpful template how these problems can be addressed.</w:t>
      </w:r>
      <w:r w:rsidRPr="00E42EAE">
        <w:rPr>
          <w:rStyle w:val="FootnoteReference"/>
          <w:lang w:val="en-US"/>
        </w:rPr>
        <w:footnoteReference w:id="136"/>
      </w:r>
      <w:r w:rsidR="00DA08A0" w:rsidRPr="00E42EAE">
        <w:rPr>
          <w:lang w:val="en-US"/>
        </w:rPr>
        <w:t xml:space="preserve"> It combines graphic symbols and layered terms to facilitate easy understanding. While the complicated legal text is the basic layer, it is facilitated by the icons and plain language explanations of license meaning.</w:t>
      </w:r>
      <w:r w:rsidR="00BF17E6" w:rsidRPr="00E42EAE">
        <w:rPr>
          <w:rStyle w:val="FootnoteReference"/>
          <w:lang w:val="en-US"/>
        </w:rPr>
        <w:footnoteReference w:id="137"/>
      </w:r>
      <w:r w:rsidR="00DA08A0" w:rsidRPr="00E42EAE">
        <w:rPr>
          <w:lang w:val="en-US"/>
        </w:rPr>
        <w:t xml:space="preserve"> Consequently, users are better able to understand contents of the legal document without even reading it. </w:t>
      </w:r>
      <w:r w:rsidR="00C368CF" w:rsidRPr="00E42EAE">
        <w:rPr>
          <w:lang w:val="en-US"/>
        </w:rPr>
        <w:t>Similarly, platforms could make advantage of AI tools to generate plain language summaries of contractual terms, alb</w:t>
      </w:r>
      <w:r w:rsidR="00A17352" w:rsidRPr="00E42EAE">
        <w:rPr>
          <w:lang w:val="en-US"/>
        </w:rPr>
        <w:t>eit with oversight from human to prevent hallucinations and mistakes.</w:t>
      </w:r>
    </w:p>
    <w:p w14:paraId="2850D00C" w14:textId="73718F6A" w:rsidR="005E0ABC" w:rsidRPr="00E42EAE" w:rsidRDefault="005E0ABC" w:rsidP="00D357AD">
      <w:pPr>
        <w:pStyle w:val="Nextparagraphs"/>
        <w:rPr>
          <w:lang w:val="en-US"/>
        </w:rPr>
      </w:pPr>
      <w:r>
        <w:rPr>
          <w:lang w:val="en-US"/>
        </w:rPr>
        <w:t xml:space="preserve">Similar helpful solution might be the already implemented legal text and FAQ or help center distinction implemented by observed platforms. </w:t>
      </w:r>
      <w:r w:rsidR="003935A7">
        <w:rPr>
          <w:lang w:val="en-US"/>
        </w:rPr>
        <w:t>Should we treat this information rather as wiki-style information center, instead of legal text, their usefulness could improve into the area of informing users on their actual rights and platform’s processes. Instead, however, these sections currently exist at the intersection of legal text as explored above.</w:t>
      </w:r>
    </w:p>
    <w:p w14:paraId="79687A80" w14:textId="2CCD32EA" w:rsidR="00CA3719" w:rsidRPr="00E42EAE" w:rsidRDefault="00A17352" w:rsidP="007261E2">
      <w:pPr>
        <w:pStyle w:val="Nextparagraphs"/>
        <w:rPr>
          <w:lang w:val="en-US"/>
        </w:rPr>
      </w:pPr>
      <w:r w:rsidRPr="00E42EAE">
        <w:rPr>
          <w:lang w:val="en-US"/>
        </w:rPr>
        <w:t xml:space="preserve">Lemley, </w:t>
      </w:r>
      <w:r w:rsidR="00D80D64" w:rsidRPr="00E42EAE">
        <w:rPr>
          <w:lang w:val="en-US"/>
        </w:rPr>
        <w:t>moreover</w:t>
      </w:r>
      <w:r w:rsidRPr="00E42EAE">
        <w:rPr>
          <w:lang w:val="en-US"/>
        </w:rPr>
        <w:t>, points to the importance of proper enforcement.</w:t>
      </w:r>
      <w:r w:rsidRPr="00E42EAE">
        <w:rPr>
          <w:rStyle w:val="FootnoteReference"/>
          <w:lang w:val="en-US"/>
        </w:rPr>
        <w:footnoteReference w:id="138"/>
      </w:r>
      <w:r w:rsidR="00D57640" w:rsidRPr="00E42EAE">
        <w:rPr>
          <w:lang w:val="en-US"/>
        </w:rPr>
        <w:t xml:space="preserve"> While we may institute numerous rules how contractual terms should look, these rules are essentially void unless they are property enforced. As shown in previous research, CDSM lacks a proper influence on contractual terms and it does not seem likely that these issues are to be enforced in its framework.</w:t>
      </w:r>
      <w:r w:rsidR="00D57640" w:rsidRPr="00E42EAE">
        <w:rPr>
          <w:rStyle w:val="FootnoteReference"/>
          <w:lang w:val="en-US"/>
        </w:rPr>
        <w:footnoteReference w:id="139"/>
      </w:r>
      <w:r w:rsidR="00DF5354">
        <w:rPr>
          <w:lang w:val="en-US"/>
        </w:rPr>
        <w:t xml:space="preserve"> The only actual impact on these obligations was recorded after DSA as secondary framework supported implementation of CDSM processes.</w:t>
      </w:r>
    </w:p>
    <w:p w14:paraId="741DDE69" w14:textId="10D11363" w:rsidR="00D57D51" w:rsidRPr="00E42EAE" w:rsidRDefault="00CA3719" w:rsidP="007261E2">
      <w:pPr>
        <w:pStyle w:val="Nextparagraphs"/>
        <w:rPr>
          <w:lang w:val="en-US"/>
        </w:rPr>
      </w:pPr>
      <w:r w:rsidRPr="00E42EAE">
        <w:rPr>
          <w:lang w:val="en-US"/>
        </w:rPr>
        <w:t>Consequently, the enforcement mechanisms in DSA are essential in improving the fairness</w:t>
      </w:r>
      <w:r w:rsidR="002412DA" w:rsidRPr="00E42EAE">
        <w:rPr>
          <w:lang w:val="en-US"/>
        </w:rPr>
        <w:t>, consumer welfare and efficiency in online environment</w:t>
      </w:r>
      <w:r w:rsidR="001C47A7">
        <w:rPr>
          <w:lang w:val="en-US"/>
        </w:rPr>
        <w:t xml:space="preserve"> beyond the currently observed state</w:t>
      </w:r>
      <w:r w:rsidR="002412DA" w:rsidRPr="00E42EAE">
        <w:rPr>
          <w:lang w:val="en-US"/>
        </w:rPr>
        <w:t xml:space="preserve">. </w:t>
      </w:r>
      <w:r w:rsidR="007F1BBC" w:rsidRPr="00E42EAE">
        <w:rPr>
          <w:lang w:val="en-US"/>
        </w:rPr>
        <w:t>Commission</w:t>
      </w:r>
      <w:r w:rsidR="003B2B77" w:rsidRPr="00E42EAE">
        <w:rPr>
          <w:lang w:val="en-US"/>
        </w:rPr>
        <w:t xml:space="preserve"> recently initiated action against several member states that did not effectively implement DSA.</w:t>
      </w:r>
      <w:r w:rsidR="003B2B77" w:rsidRPr="00E42EAE">
        <w:rPr>
          <w:rStyle w:val="FootnoteReference"/>
          <w:lang w:val="en-US"/>
        </w:rPr>
        <w:footnoteReference w:id="140"/>
      </w:r>
      <w:r w:rsidR="007F1BBC" w:rsidRPr="00E42EAE">
        <w:rPr>
          <w:lang w:val="en-US"/>
        </w:rPr>
        <w:t xml:space="preserve"> At the same time, it </w:t>
      </w:r>
      <w:r w:rsidR="004F2D92" w:rsidRPr="00E42EAE">
        <w:rPr>
          <w:lang w:val="en-US"/>
        </w:rPr>
        <w:t>initiated number of enforcement actions against online platforms such as TikTok or Shein.</w:t>
      </w:r>
      <w:r w:rsidR="00791FDC" w:rsidRPr="00E42EAE">
        <w:rPr>
          <w:rStyle w:val="FootnoteReference"/>
          <w:lang w:val="en-US"/>
        </w:rPr>
        <w:footnoteReference w:id="141"/>
      </w:r>
      <w:r w:rsidR="001C47A7">
        <w:rPr>
          <w:lang w:val="en-US"/>
        </w:rPr>
        <w:t xml:space="preserve"> </w:t>
      </w:r>
      <w:r w:rsidR="00341316" w:rsidRPr="009B1B85">
        <w:rPr>
          <w:lang w:val="en-US"/>
        </w:rPr>
        <w:t>Similarly digital service coordinators (“</w:t>
      </w:r>
      <w:r w:rsidR="00341316" w:rsidRPr="009B1B85">
        <w:rPr>
          <w:i/>
          <w:lang w:val="en-US"/>
        </w:rPr>
        <w:t>DSC</w:t>
      </w:r>
      <w:r w:rsidR="00341316" w:rsidRPr="009B1B85">
        <w:rPr>
          <w:lang w:val="en-US"/>
        </w:rPr>
        <w:t>”) are active in DSA enforcement</w:t>
      </w:r>
      <w:r w:rsidR="00341316">
        <w:rPr>
          <w:lang w:val="en-US"/>
        </w:rPr>
        <w:t xml:space="preserve">. </w:t>
      </w:r>
      <w:r w:rsidR="001C47A7">
        <w:rPr>
          <w:lang w:val="en-US"/>
        </w:rPr>
        <w:t>Consequently, we can conclude that in this initial stage of DSA</w:t>
      </w:r>
      <w:r w:rsidR="00676FB3">
        <w:rPr>
          <w:lang w:val="en-US"/>
        </w:rPr>
        <w:t xml:space="preserve">’s term, Commission acts as an active enforcer. Should its activity and activity of </w:t>
      </w:r>
      <w:r w:rsidR="00341316">
        <w:rPr>
          <w:lang w:val="en-US"/>
        </w:rPr>
        <w:t>DSCs</w:t>
      </w:r>
      <w:r w:rsidR="00206DA3">
        <w:rPr>
          <w:lang w:val="en-US"/>
        </w:rPr>
        <w:t xml:space="preserve"> decrease, however, the framework might very quickly become void of any effect.</w:t>
      </w:r>
    </w:p>
    <w:p w14:paraId="2A301D55" w14:textId="125313C8" w:rsidR="007D2160" w:rsidRPr="00E42EAE" w:rsidRDefault="007D2160" w:rsidP="007261E2">
      <w:pPr>
        <w:pStyle w:val="Nextparagraphs"/>
        <w:rPr>
          <w:lang w:val="en-US"/>
        </w:rPr>
      </w:pPr>
      <w:r w:rsidRPr="00E42EAE">
        <w:rPr>
          <w:lang w:val="en-US"/>
        </w:rPr>
        <w:t>In summary, this chapter reflects that DSA introduced important obligations that enhance fairness, consumer welfare and efficiency. In our study,</w:t>
      </w:r>
      <w:r w:rsidR="00FC6F66">
        <w:rPr>
          <w:lang w:val="en-US"/>
        </w:rPr>
        <w:t xml:space="preserve"> DSA had a positive effect on general compliance level</w:t>
      </w:r>
      <w:r w:rsidRPr="00E42EAE">
        <w:rPr>
          <w:lang w:val="en-US"/>
        </w:rPr>
        <w:t xml:space="preserve">. </w:t>
      </w:r>
      <w:r w:rsidR="00FC6F66">
        <w:rPr>
          <w:lang w:val="en-US"/>
        </w:rPr>
        <w:t>Nonetheless</w:t>
      </w:r>
      <w:r w:rsidR="00CE32FD" w:rsidRPr="00E42EAE">
        <w:rPr>
          <w:lang w:val="en-US"/>
        </w:rPr>
        <w:t xml:space="preserve">, reliance on private ordering tools exclusively has several limitations. The only path forward in enhancing discussed standards </w:t>
      </w:r>
      <w:r w:rsidR="00EA0F2C" w:rsidRPr="00E42EAE">
        <w:rPr>
          <w:lang w:val="en-US"/>
        </w:rPr>
        <w:t>is stronger institutional enforcement. Fortunately, Commission</w:t>
      </w:r>
      <w:r w:rsidR="00FC6F66">
        <w:rPr>
          <w:lang w:val="en-US"/>
        </w:rPr>
        <w:t xml:space="preserve"> and </w:t>
      </w:r>
      <w:r w:rsidR="00341316">
        <w:rPr>
          <w:lang w:val="en-US"/>
        </w:rPr>
        <w:t>DSCs</w:t>
      </w:r>
      <w:r w:rsidR="00EA0F2C" w:rsidRPr="00E42EAE">
        <w:rPr>
          <w:lang w:val="en-US"/>
        </w:rPr>
        <w:t xml:space="preserve"> seems to be active on that front.</w:t>
      </w:r>
    </w:p>
    <w:p w14:paraId="4FE5D885" w14:textId="75A4C300" w:rsidR="00791FDC" w:rsidRPr="00E42EAE" w:rsidRDefault="00EA0F2C" w:rsidP="00EA0F2C">
      <w:pPr>
        <w:pStyle w:val="Heading1"/>
      </w:pPr>
      <w:bookmarkStart w:id="16" w:name="_Toc215751876"/>
      <w:r w:rsidRPr="00E42EAE">
        <w:lastRenderedPageBreak/>
        <w:t>Concluding remarks</w:t>
      </w:r>
      <w:bookmarkEnd w:id="16"/>
    </w:p>
    <w:p w14:paraId="728C143B" w14:textId="77777777" w:rsidR="003E658B" w:rsidRPr="00E42EAE" w:rsidRDefault="00EB5996" w:rsidP="003E658B">
      <w:pPr>
        <w:pStyle w:val="Firstparagraph"/>
        <w:rPr>
          <w:lang w:val="en-US"/>
        </w:rPr>
      </w:pPr>
      <w:r w:rsidRPr="00E42EAE">
        <w:rPr>
          <w:lang w:val="en-US"/>
        </w:rPr>
        <w:t>In this article we set out to explore the evolving legal-economic relationship of platform regulation in the domain of copyright</w:t>
      </w:r>
      <w:r w:rsidR="00D6328F" w:rsidRPr="00E42EAE">
        <w:rPr>
          <w:lang w:val="en-US"/>
        </w:rPr>
        <w:t xml:space="preserve"> after the adoption of DSA and CDSM. </w:t>
      </w:r>
      <w:r w:rsidR="003E658B" w:rsidRPr="00E42EAE">
        <w:rPr>
          <w:lang w:val="en-US"/>
        </w:rPr>
        <w:t>Our conceptual framework primarily reflects the legal-economic relationship through the normative standards of fairness and consumer welfare and economic standard of efficiency. In our understanding the path towards efficiency is either through closing the efficiency gap between self-maximizing behaviour of platform and social welfare or through maximization of consumer welfare as the determinant of efficiency. Both approaches require an improvement in fairness and consumer welfare normative standards.</w:t>
      </w:r>
    </w:p>
    <w:p w14:paraId="28A2F985" w14:textId="1234E1C9" w:rsidR="00E52BC3" w:rsidRPr="00E42EAE" w:rsidRDefault="00D6328F" w:rsidP="00CD4FBF">
      <w:pPr>
        <w:pStyle w:val="Nextparagraphs"/>
        <w:rPr>
          <w:lang w:val="en-US"/>
        </w:rPr>
      </w:pPr>
      <w:r w:rsidRPr="00E42EAE">
        <w:rPr>
          <w:lang w:val="en-US"/>
        </w:rPr>
        <w:t xml:space="preserve">We investigate contractual private ordering tools with the use of content analysis </w:t>
      </w:r>
      <w:r w:rsidR="004437D4" w:rsidRPr="00E42EAE">
        <w:rPr>
          <w:lang w:val="en-US"/>
        </w:rPr>
        <w:t xml:space="preserve">empirical method. Results </w:t>
      </w:r>
      <w:r w:rsidR="001C65E0">
        <w:rPr>
          <w:lang w:val="en-US"/>
        </w:rPr>
        <w:t>suggest an overall improvement due to DSA</w:t>
      </w:r>
      <w:r w:rsidR="00787646" w:rsidRPr="00E42EAE">
        <w:rPr>
          <w:lang w:val="en-US"/>
        </w:rPr>
        <w:t>.</w:t>
      </w:r>
      <w:r w:rsidR="003E658B" w:rsidRPr="00E42EAE">
        <w:rPr>
          <w:lang w:val="en-US"/>
        </w:rPr>
        <w:t xml:space="preserve"> </w:t>
      </w:r>
      <w:r w:rsidR="001E1CF7">
        <w:rPr>
          <w:lang w:val="en-US"/>
        </w:rPr>
        <w:t>Nonetheless, they also show several worrying trends, such as the downfall of compliance on TikTok and YouTube.</w:t>
      </w:r>
    </w:p>
    <w:p w14:paraId="38134F4C" w14:textId="050885BF" w:rsidR="00E52BC3" w:rsidRDefault="0067368D" w:rsidP="00D64F80">
      <w:pPr>
        <w:pStyle w:val="Nextparagraphs"/>
        <w:rPr>
          <w:lang w:val="en-US"/>
        </w:rPr>
      </w:pPr>
      <w:r>
        <w:rPr>
          <w:lang w:val="en-US"/>
        </w:rPr>
        <w:t xml:space="preserve">Article </w:t>
      </w:r>
      <w:r w:rsidR="00CD4FBF" w:rsidRPr="00E42EAE">
        <w:rPr>
          <w:lang w:val="en-US"/>
        </w:rPr>
        <w:t>underline</w:t>
      </w:r>
      <w:r>
        <w:rPr>
          <w:lang w:val="en-US"/>
        </w:rPr>
        <w:t>s</w:t>
      </w:r>
      <w:r w:rsidR="00CD4FBF" w:rsidRPr="00E42EAE">
        <w:rPr>
          <w:lang w:val="en-US"/>
        </w:rPr>
        <w:t xml:space="preserve"> the limits of </w:t>
      </w:r>
      <w:r w:rsidR="00106684" w:rsidRPr="00E42EAE">
        <w:rPr>
          <w:lang w:val="en-US"/>
        </w:rPr>
        <w:t>contractual disclosures and private ordering tools in addressing fairness, consumer welfare and efficiency.</w:t>
      </w:r>
      <w:r w:rsidR="00E52BC3" w:rsidRPr="00E42EAE">
        <w:rPr>
          <w:lang w:val="en-US"/>
        </w:rPr>
        <w:t xml:space="preserve"> </w:t>
      </w:r>
      <w:r w:rsidR="00106684" w:rsidRPr="00E42EAE">
        <w:rPr>
          <w:lang w:val="en-US"/>
        </w:rPr>
        <w:t>P</w:t>
      </w:r>
      <w:r w:rsidR="00E52BC3" w:rsidRPr="00E42EAE">
        <w:rPr>
          <w:lang w:val="en-US"/>
        </w:rPr>
        <w:t>rivate ordering remains a critical interface between law and market</w:t>
      </w:r>
      <w:r w:rsidR="00106684" w:rsidRPr="00E42EAE">
        <w:rPr>
          <w:lang w:val="en-US"/>
        </w:rPr>
        <w:t xml:space="preserve">. It must, however, be complemented by </w:t>
      </w:r>
      <w:r w:rsidR="00D64F80" w:rsidRPr="00E42EAE">
        <w:rPr>
          <w:lang w:val="en-US"/>
        </w:rPr>
        <w:t xml:space="preserve">enforcement. </w:t>
      </w:r>
      <w:r w:rsidR="00E52BC3" w:rsidRPr="00E42EAE">
        <w:rPr>
          <w:lang w:val="en-US"/>
        </w:rPr>
        <w:t xml:space="preserve">As enforcement actions progress and transparency obligations mature, future research must track whether these interventions translate into real-world improvements in </w:t>
      </w:r>
      <w:r w:rsidR="00314FE0" w:rsidRPr="00E42EAE">
        <w:rPr>
          <w:lang w:val="en-US"/>
        </w:rPr>
        <w:t>fairness, consumer welfare and efficiency.</w:t>
      </w:r>
    </w:p>
    <w:p w14:paraId="7BCD2909" w14:textId="208EB6FA" w:rsidR="00290FC1" w:rsidRDefault="00290FC1" w:rsidP="00290FC1">
      <w:pPr>
        <w:pStyle w:val="Heading1"/>
      </w:pPr>
      <w:bookmarkStart w:id="17" w:name="_Toc215751877"/>
      <w:r>
        <w:t xml:space="preserve">List of analysed </w:t>
      </w:r>
      <w:r w:rsidR="00BA4E0C">
        <w:t>legal documents</w:t>
      </w:r>
      <w:bookmarkEnd w:id="17"/>
    </w:p>
    <w:p w14:paraId="7F2C2ADA" w14:textId="77777777" w:rsidR="00AD543E" w:rsidRDefault="00AD543E" w:rsidP="00E042A3">
      <w:pPr>
        <w:pStyle w:val="Firstparagraph"/>
        <w:spacing w:after="0"/>
        <w:contextualSpacing/>
      </w:pPr>
      <w:r w:rsidRPr="00AD543E">
        <w:t>Facebook</w:t>
      </w:r>
    </w:p>
    <w:p w14:paraId="6AA2A4D2" w14:textId="6BA092FC" w:rsidR="00793E8E" w:rsidRDefault="00793E8E" w:rsidP="00E042A3">
      <w:pPr>
        <w:pStyle w:val="Nextparagraphs"/>
        <w:numPr>
          <w:ilvl w:val="0"/>
          <w:numId w:val="14"/>
        </w:numPr>
        <w:spacing w:after="0"/>
        <w:contextualSpacing/>
        <w:rPr>
          <w:lang w:eastAsia="en-US"/>
        </w:rPr>
      </w:pPr>
      <w:r w:rsidRPr="00793E8E">
        <w:rPr>
          <w:lang w:eastAsia="en-US"/>
        </w:rPr>
        <w:t>Complaints Handling Process</w:t>
      </w:r>
      <w:r>
        <w:rPr>
          <w:lang w:eastAsia="en-US"/>
        </w:rPr>
        <w:t>, v 2025</w:t>
      </w:r>
    </w:p>
    <w:p w14:paraId="5A22817F" w14:textId="77777777" w:rsidR="00793E8E" w:rsidRPr="00AC075E" w:rsidRDefault="00793E8E" w:rsidP="00E042A3">
      <w:pPr>
        <w:pStyle w:val="Nextparagraphs"/>
        <w:numPr>
          <w:ilvl w:val="0"/>
          <w:numId w:val="14"/>
        </w:numPr>
        <w:spacing w:after="0"/>
        <w:contextualSpacing/>
        <w:rPr>
          <w:lang w:eastAsia="en-US"/>
        </w:rPr>
      </w:pPr>
      <w:r w:rsidRPr="009B6401">
        <w:rPr>
          <w:lang w:eastAsia="en-US"/>
        </w:rPr>
        <w:t>How we apply our content policies</w:t>
      </w:r>
      <w:r>
        <w:rPr>
          <w:lang w:eastAsia="en-US"/>
        </w:rPr>
        <w:t>, v 2025</w:t>
      </w:r>
    </w:p>
    <w:p w14:paraId="23078CA0" w14:textId="53F54026" w:rsidR="009B6401" w:rsidRDefault="007233E7" w:rsidP="00E042A3">
      <w:pPr>
        <w:pStyle w:val="Nextparagraphs"/>
        <w:numPr>
          <w:ilvl w:val="0"/>
          <w:numId w:val="14"/>
        </w:numPr>
        <w:spacing w:after="0"/>
        <w:contextualSpacing/>
        <w:rPr>
          <w:lang w:eastAsia="en-US"/>
        </w:rPr>
      </w:pPr>
      <w:r w:rsidRPr="007233E7">
        <w:rPr>
          <w:lang w:eastAsia="en-US"/>
        </w:rPr>
        <w:t>Facebook Community Standards</w:t>
      </w:r>
      <w:r w:rsidR="00904C8E">
        <w:rPr>
          <w:lang w:eastAsia="en-US"/>
        </w:rPr>
        <w:t>,</w:t>
      </w:r>
      <w:r>
        <w:rPr>
          <w:lang w:eastAsia="en-US"/>
        </w:rPr>
        <w:t xml:space="preserve"> v 2022, 2024 and 2025</w:t>
      </w:r>
    </w:p>
    <w:p w14:paraId="6E4D06A1" w14:textId="573629FA" w:rsidR="00904C8E" w:rsidRDefault="00904C8E" w:rsidP="00E042A3">
      <w:pPr>
        <w:pStyle w:val="Nextparagraphs"/>
        <w:numPr>
          <w:ilvl w:val="0"/>
          <w:numId w:val="14"/>
        </w:numPr>
        <w:spacing w:after="0"/>
        <w:contextualSpacing/>
        <w:rPr>
          <w:lang w:eastAsia="en-US"/>
        </w:rPr>
      </w:pPr>
      <w:r w:rsidRPr="00904C8E">
        <w:rPr>
          <w:lang w:eastAsia="en-US"/>
        </w:rPr>
        <w:t>Misuse Policy</w:t>
      </w:r>
      <w:r>
        <w:rPr>
          <w:lang w:eastAsia="en-US"/>
        </w:rPr>
        <w:t>, v 2024 and 2025</w:t>
      </w:r>
    </w:p>
    <w:p w14:paraId="6B119A2A" w14:textId="0B9A9465" w:rsidR="006772AC" w:rsidRDefault="006772AC" w:rsidP="00E042A3">
      <w:pPr>
        <w:pStyle w:val="Nextparagraphs"/>
        <w:numPr>
          <w:ilvl w:val="0"/>
          <w:numId w:val="14"/>
        </w:numPr>
        <w:spacing w:after="0"/>
        <w:contextualSpacing/>
        <w:rPr>
          <w:lang w:eastAsia="en-US"/>
        </w:rPr>
      </w:pPr>
      <w:r>
        <w:rPr>
          <w:lang w:eastAsia="en-US"/>
        </w:rPr>
        <w:t>Music guidelines, v 2024 and 2025</w:t>
      </w:r>
    </w:p>
    <w:p w14:paraId="3EC407B7" w14:textId="1D2204D1" w:rsidR="006772AC" w:rsidRDefault="00F80C3A" w:rsidP="00E042A3">
      <w:pPr>
        <w:pStyle w:val="Nextparagraphs"/>
        <w:numPr>
          <w:ilvl w:val="0"/>
          <w:numId w:val="14"/>
        </w:numPr>
        <w:spacing w:after="0"/>
        <w:contextualSpacing/>
        <w:rPr>
          <w:lang w:eastAsia="en-US"/>
        </w:rPr>
      </w:pPr>
      <w:r>
        <w:rPr>
          <w:lang w:eastAsia="en-US"/>
        </w:rPr>
        <w:t>Terms of Service, v 2022, 2024 and 2025</w:t>
      </w:r>
    </w:p>
    <w:p w14:paraId="69CB20FF" w14:textId="77777777" w:rsidR="00AD543E" w:rsidRDefault="00AD543E" w:rsidP="00E042A3">
      <w:pPr>
        <w:pStyle w:val="Firstparagraph"/>
        <w:spacing w:after="0"/>
        <w:contextualSpacing/>
      </w:pPr>
      <w:r w:rsidRPr="00AD543E">
        <w:t>Instagram</w:t>
      </w:r>
    </w:p>
    <w:p w14:paraId="045125FF" w14:textId="39809F69" w:rsidR="00D954DD" w:rsidRDefault="00160592" w:rsidP="00E042A3">
      <w:pPr>
        <w:pStyle w:val="Nextparagraphs"/>
        <w:numPr>
          <w:ilvl w:val="0"/>
          <w:numId w:val="14"/>
        </w:numPr>
        <w:spacing w:after="0"/>
        <w:contextualSpacing/>
        <w:rPr>
          <w:lang w:eastAsia="en-US"/>
        </w:rPr>
      </w:pPr>
      <w:r w:rsidRPr="00160592">
        <w:rPr>
          <w:lang w:eastAsia="en-US"/>
        </w:rPr>
        <w:t>Community Guidelines</w:t>
      </w:r>
      <w:r>
        <w:rPr>
          <w:lang w:eastAsia="en-US"/>
        </w:rPr>
        <w:t>, v 2022, 2024 and 2025</w:t>
      </w:r>
    </w:p>
    <w:p w14:paraId="6F09ED9B" w14:textId="0E2ECAAA" w:rsidR="00160592" w:rsidRDefault="00FC53D6" w:rsidP="00E042A3">
      <w:pPr>
        <w:pStyle w:val="Nextparagraphs"/>
        <w:numPr>
          <w:ilvl w:val="0"/>
          <w:numId w:val="14"/>
        </w:numPr>
        <w:spacing w:after="0"/>
        <w:contextualSpacing/>
        <w:rPr>
          <w:lang w:eastAsia="en-US"/>
        </w:rPr>
      </w:pPr>
      <w:r>
        <w:rPr>
          <w:lang w:eastAsia="en-US"/>
        </w:rPr>
        <w:t>Copyright</w:t>
      </w:r>
      <w:r w:rsidR="00094964">
        <w:rPr>
          <w:lang w:eastAsia="en-US"/>
        </w:rPr>
        <w:t xml:space="preserve"> policy</w:t>
      </w:r>
      <w:r>
        <w:rPr>
          <w:lang w:eastAsia="en-US"/>
        </w:rPr>
        <w:t>, v 2022, 2024 and 2025</w:t>
      </w:r>
    </w:p>
    <w:p w14:paraId="404F18DB" w14:textId="3BC5D441" w:rsidR="00FC53D6" w:rsidRDefault="00FC53D6" w:rsidP="00E042A3">
      <w:pPr>
        <w:pStyle w:val="Nextparagraphs"/>
        <w:numPr>
          <w:ilvl w:val="0"/>
          <w:numId w:val="14"/>
        </w:numPr>
        <w:spacing w:after="0"/>
        <w:contextualSpacing/>
        <w:rPr>
          <w:lang w:eastAsia="en-US"/>
        </w:rPr>
      </w:pPr>
      <w:r>
        <w:rPr>
          <w:lang w:eastAsia="en-US"/>
        </w:rPr>
        <w:t>Terms of Service 2022, 2024 and 2025</w:t>
      </w:r>
    </w:p>
    <w:p w14:paraId="72F6956F" w14:textId="739619FC" w:rsidR="00FC53D6" w:rsidRPr="00D954DD" w:rsidRDefault="00FC53D6" w:rsidP="00E042A3">
      <w:pPr>
        <w:pStyle w:val="Nextparagraphs"/>
        <w:numPr>
          <w:ilvl w:val="0"/>
          <w:numId w:val="14"/>
        </w:numPr>
        <w:spacing w:after="0"/>
        <w:contextualSpacing/>
        <w:rPr>
          <w:lang w:eastAsia="en-US"/>
        </w:rPr>
      </w:pPr>
      <w:r>
        <w:rPr>
          <w:lang w:eastAsia="en-US"/>
        </w:rPr>
        <w:t>T</w:t>
      </w:r>
      <w:r w:rsidR="009C7229">
        <w:rPr>
          <w:lang w:eastAsia="en-US"/>
        </w:rPr>
        <w:t>hird-Party Intellectual Property Infringement, v 2024 and 2025</w:t>
      </w:r>
    </w:p>
    <w:p w14:paraId="5CBD8FF9" w14:textId="77777777" w:rsidR="00AD543E" w:rsidRDefault="00AD543E" w:rsidP="00E042A3">
      <w:pPr>
        <w:pStyle w:val="Firstparagraph"/>
        <w:spacing w:after="0"/>
        <w:contextualSpacing/>
      </w:pPr>
      <w:r w:rsidRPr="00AD543E">
        <w:t>Linkedin</w:t>
      </w:r>
    </w:p>
    <w:p w14:paraId="234AF05A" w14:textId="7D5E7C83" w:rsidR="00D575A9" w:rsidRDefault="00A17A8E" w:rsidP="00E042A3">
      <w:pPr>
        <w:pStyle w:val="Nextparagraphs"/>
        <w:numPr>
          <w:ilvl w:val="0"/>
          <w:numId w:val="14"/>
        </w:numPr>
        <w:spacing w:after="0"/>
        <w:contextualSpacing/>
        <w:rPr>
          <w:lang w:eastAsia="en-US"/>
        </w:rPr>
      </w:pPr>
      <w:r w:rsidRPr="00A17A8E">
        <w:rPr>
          <w:lang w:eastAsia="en-US"/>
        </w:rPr>
        <w:t>Account or content restricted or removed</w:t>
      </w:r>
      <w:r>
        <w:rPr>
          <w:lang w:eastAsia="en-US"/>
        </w:rPr>
        <w:t>, v 2022, 2024 and 2025</w:t>
      </w:r>
    </w:p>
    <w:p w14:paraId="01FD8997" w14:textId="622148A7" w:rsidR="00A17A8E" w:rsidRDefault="008A19A5" w:rsidP="00E042A3">
      <w:pPr>
        <w:pStyle w:val="Nextparagraphs"/>
        <w:numPr>
          <w:ilvl w:val="0"/>
          <w:numId w:val="14"/>
        </w:numPr>
        <w:spacing w:after="0"/>
        <w:contextualSpacing/>
        <w:rPr>
          <w:lang w:eastAsia="en-US"/>
        </w:rPr>
      </w:pPr>
      <w:r>
        <w:rPr>
          <w:lang w:eastAsia="en-US"/>
        </w:rPr>
        <w:t>Community guidelines, v 2022, 2024 and 2025</w:t>
      </w:r>
    </w:p>
    <w:p w14:paraId="7A948E47" w14:textId="2BAA2579" w:rsidR="008A19A5" w:rsidRDefault="008A19A5" w:rsidP="00E042A3">
      <w:pPr>
        <w:pStyle w:val="Nextparagraphs"/>
        <w:numPr>
          <w:ilvl w:val="0"/>
          <w:numId w:val="14"/>
        </w:numPr>
        <w:spacing w:after="0"/>
        <w:contextualSpacing/>
        <w:rPr>
          <w:lang w:eastAsia="en-US"/>
        </w:rPr>
      </w:pPr>
      <w:r>
        <w:rPr>
          <w:lang w:eastAsia="en-US"/>
        </w:rPr>
        <w:t>Copyright policy, v 2024 and 2025</w:t>
      </w:r>
    </w:p>
    <w:p w14:paraId="5B210A39" w14:textId="3901CD5E" w:rsidR="006E5D8B" w:rsidRDefault="006E5D8B" w:rsidP="00E042A3">
      <w:pPr>
        <w:pStyle w:val="Nextparagraphs"/>
        <w:numPr>
          <w:ilvl w:val="0"/>
          <w:numId w:val="14"/>
        </w:numPr>
        <w:spacing w:after="0"/>
        <w:contextualSpacing/>
        <w:rPr>
          <w:lang w:eastAsia="en-US"/>
        </w:rPr>
      </w:pPr>
      <w:r w:rsidRPr="006E5D8B">
        <w:rPr>
          <w:lang w:eastAsia="en-US"/>
        </w:rPr>
        <w:t>Professional Community Policy enforcements</w:t>
      </w:r>
      <w:r>
        <w:rPr>
          <w:lang w:eastAsia="en-US"/>
        </w:rPr>
        <w:t>, v 2022, 2024 and 2025</w:t>
      </w:r>
    </w:p>
    <w:p w14:paraId="7A7E0301" w14:textId="347E7E3A" w:rsidR="006E5D8B" w:rsidRDefault="002A5703" w:rsidP="00E042A3">
      <w:pPr>
        <w:pStyle w:val="Nextparagraphs"/>
        <w:numPr>
          <w:ilvl w:val="0"/>
          <w:numId w:val="14"/>
        </w:numPr>
        <w:spacing w:after="0"/>
        <w:contextualSpacing/>
        <w:rPr>
          <w:lang w:eastAsia="en-US"/>
        </w:rPr>
      </w:pPr>
      <w:r>
        <w:rPr>
          <w:lang w:eastAsia="en-US"/>
        </w:rPr>
        <w:t>Moderation, v 2024</w:t>
      </w:r>
    </w:p>
    <w:p w14:paraId="3F2F3F54" w14:textId="4662D2D0" w:rsidR="002A5703" w:rsidRPr="00D575A9" w:rsidRDefault="002A5703" w:rsidP="00E042A3">
      <w:pPr>
        <w:pStyle w:val="Nextparagraphs"/>
        <w:numPr>
          <w:ilvl w:val="0"/>
          <w:numId w:val="14"/>
        </w:numPr>
        <w:spacing w:after="0"/>
        <w:contextualSpacing/>
        <w:rPr>
          <w:lang w:eastAsia="en-US"/>
        </w:rPr>
      </w:pPr>
      <w:r>
        <w:rPr>
          <w:lang w:eastAsia="en-US"/>
        </w:rPr>
        <w:t>User Agreement, v 2022, 2024 and 2025</w:t>
      </w:r>
    </w:p>
    <w:p w14:paraId="2555E997" w14:textId="77777777" w:rsidR="00AD543E" w:rsidRDefault="00AD543E" w:rsidP="00E042A3">
      <w:pPr>
        <w:pStyle w:val="Firstparagraph"/>
        <w:spacing w:after="0"/>
        <w:contextualSpacing/>
      </w:pPr>
      <w:r w:rsidRPr="00AD543E">
        <w:t>Pinterest</w:t>
      </w:r>
    </w:p>
    <w:p w14:paraId="57C7F3B0" w14:textId="7EEB27E7" w:rsidR="00502FCC" w:rsidRDefault="00502FCC" w:rsidP="00E042A3">
      <w:pPr>
        <w:pStyle w:val="Nextparagraphs"/>
        <w:numPr>
          <w:ilvl w:val="0"/>
          <w:numId w:val="14"/>
        </w:numPr>
        <w:spacing w:after="0"/>
        <w:contextualSpacing/>
        <w:rPr>
          <w:lang w:eastAsia="en-US"/>
        </w:rPr>
      </w:pPr>
      <w:r>
        <w:rPr>
          <w:lang w:eastAsia="en-US"/>
        </w:rPr>
        <w:t>Community guidelines, v 2022, 2024 and 2025</w:t>
      </w:r>
    </w:p>
    <w:p w14:paraId="66B1CDDA" w14:textId="113E138B" w:rsidR="00502FCC" w:rsidRDefault="00502FCC" w:rsidP="00E042A3">
      <w:pPr>
        <w:pStyle w:val="Nextparagraphs"/>
        <w:numPr>
          <w:ilvl w:val="0"/>
          <w:numId w:val="14"/>
        </w:numPr>
        <w:spacing w:after="0"/>
        <w:contextualSpacing/>
        <w:rPr>
          <w:lang w:eastAsia="en-US"/>
        </w:rPr>
      </w:pPr>
      <w:r>
        <w:rPr>
          <w:lang w:eastAsia="en-US"/>
        </w:rPr>
        <w:t>Copyright</w:t>
      </w:r>
      <w:r w:rsidR="00094964">
        <w:rPr>
          <w:lang w:eastAsia="en-US"/>
        </w:rPr>
        <w:t xml:space="preserve"> policy, v 2022, 2024 and 2025</w:t>
      </w:r>
    </w:p>
    <w:p w14:paraId="07F95188" w14:textId="3C7DAC86" w:rsidR="00094964" w:rsidRDefault="00094964" w:rsidP="00E042A3">
      <w:pPr>
        <w:pStyle w:val="Nextparagraphs"/>
        <w:numPr>
          <w:ilvl w:val="0"/>
          <w:numId w:val="14"/>
        </w:numPr>
        <w:spacing w:after="0"/>
        <w:contextualSpacing/>
        <w:rPr>
          <w:lang w:eastAsia="en-US"/>
        </w:rPr>
      </w:pPr>
      <w:r>
        <w:rPr>
          <w:lang w:eastAsia="en-US"/>
        </w:rPr>
        <w:t>Enforcement policy, v 2024</w:t>
      </w:r>
      <w:r w:rsidR="00294544">
        <w:rPr>
          <w:lang w:eastAsia="en-US"/>
        </w:rPr>
        <w:t xml:space="preserve"> and 2025</w:t>
      </w:r>
    </w:p>
    <w:p w14:paraId="758EB0EA" w14:textId="3D847AF5" w:rsidR="00294544" w:rsidRPr="00502FCC" w:rsidRDefault="00294544" w:rsidP="00E042A3">
      <w:pPr>
        <w:pStyle w:val="Nextparagraphs"/>
        <w:numPr>
          <w:ilvl w:val="0"/>
          <w:numId w:val="14"/>
        </w:numPr>
        <w:spacing w:after="0"/>
        <w:contextualSpacing/>
        <w:rPr>
          <w:lang w:eastAsia="en-US"/>
        </w:rPr>
      </w:pPr>
      <w:r>
        <w:rPr>
          <w:lang w:eastAsia="en-US"/>
        </w:rPr>
        <w:t>Terms of Service</w:t>
      </w:r>
      <w:r w:rsidR="004162DB">
        <w:rPr>
          <w:lang w:eastAsia="en-US"/>
        </w:rPr>
        <w:t>, v</w:t>
      </w:r>
      <w:r>
        <w:rPr>
          <w:lang w:eastAsia="en-US"/>
        </w:rPr>
        <w:t xml:space="preserve"> 2022, 2024 and 2025</w:t>
      </w:r>
    </w:p>
    <w:p w14:paraId="03373FDE" w14:textId="77777777" w:rsidR="00AD543E" w:rsidRDefault="00AD543E" w:rsidP="00E042A3">
      <w:pPr>
        <w:pStyle w:val="Firstparagraph"/>
        <w:spacing w:after="0"/>
        <w:contextualSpacing/>
      </w:pPr>
      <w:r w:rsidRPr="00AD543E">
        <w:t>Pornub</w:t>
      </w:r>
    </w:p>
    <w:p w14:paraId="64D9FC26" w14:textId="742E1A2A" w:rsidR="00294544" w:rsidRDefault="00294544" w:rsidP="00E042A3">
      <w:pPr>
        <w:pStyle w:val="Nextparagraphs"/>
        <w:numPr>
          <w:ilvl w:val="0"/>
          <w:numId w:val="14"/>
        </w:numPr>
        <w:spacing w:after="0"/>
        <w:contextualSpacing/>
        <w:rPr>
          <w:lang w:eastAsia="en-US"/>
        </w:rPr>
      </w:pPr>
      <w:r>
        <w:rPr>
          <w:lang w:eastAsia="en-US"/>
        </w:rPr>
        <w:t>DMCA notice</w:t>
      </w:r>
      <w:r w:rsidR="00ED22C8">
        <w:rPr>
          <w:lang w:eastAsia="en-US"/>
        </w:rPr>
        <w:t>, v</w:t>
      </w:r>
      <w:r>
        <w:rPr>
          <w:lang w:eastAsia="en-US"/>
        </w:rPr>
        <w:t xml:space="preserve"> 2022 and 2024</w:t>
      </w:r>
    </w:p>
    <w:p w14:paraId="5BDF6E27" w14:textId="45CA4224" w:rsidR="00294544" w:rsidRDefault="00294544" w:rsidP="00E042A3">
      <w:pPr>
        <w:pStyle w:val="Nextparagraphs"/>
        <w:numPr>
          <w:ilvl w:val="0"/>
          <w:numId w:val="14"/>
        </w:numPr>
        <w:spacing w:after="0"/>
        <w:contextualSpacing/>
        <w:rPr>
          <w:lang w:eastAsia="en-US"/>
        </w:rPr>
      </w:pPr>
      <w:r>
        <w:rPr>
          <w:lang w:eastAsia="en-US"/>
        </w:rPr>
        <w:t>DSA information</w:t>
      </w:r>
      <w:r w:rsidR="00ED22C8">
        <w:rPr>
          <w:lang w:eastAsia="en-US"/>
        </w:rPr>
        <w:t>,</w:t>
      </w:r>
      <w:r w:rsidR="004162DB">
        <w:rPr>
          <w:lang w:eastAsia="en-US"/>
        </w:rPr>
        <w:t xml:space="preserve"> </w:t>
      </w:r>
      <w:r w:rsidR="00ED22C8">
        <w:rPr>
          <w:lang w:eastAsia="en-US"/>
        </w:rPr>
        <w:t>v</w:t>
      </w:r>
      <w:r>
        <w:rPr>
          <w:lang w:eastAsia="en-US"/>
        </w:rPr>
        <w:t xml:space="preserve"> 2025</w:t>
      </w:r>
    </w:p>
    <w:p w14:paraId="59683CCD" w14:textId="007E58B7" w:rsidR="00294544" w:rsidRDefault="00294544" w:rsidP="00E042A3">
      <w:pPr>
        <w:pStyle w:val="Nextparagraphs"/>
        <w:numPr>
          <w:ilvl w:val="0"/>
          <w:numId w:val="14"/>
        </w:numPr>
        <w:spacing w:after="0"/>
        <w:contextualSpacing/>
        <w:rPr>
          <w:lang w:eastAsia="en-US"/>
        </w:rPr>
      </w:pPr>
      <w:r>
        <w:rPr>
          <w:lang w:eastAsia="en-US"/>
        </w:rPr>
        <w:t>Recommender system</w:t>
      </w:r>
      <w:r w:rsidR="004162DB">
        <w:rPr>
          <w:lang w:eastAsia="en-US"/>
        </w:rPr>
        <w:t>, v</w:t>
      </w:r>
      <w:r>
        <w:rPr>
          <w:lang w:eastAsia="en-US"/>
        </w:rPr>
        <w:t xml:space="preserve"> 2024 and 2025</w:t>
      </w:r>
    </w:p>
    <w:p w14:paraId="796388A0" w14:textId="0A1E0A79" w:rsidR="00294544" w:rsidRPr="00294544" w:rsidRDefault="00294544" w:rsidP="00E042A3">
      <w:pPr>
        <w:pStyle w:val="Nextparagraphs"/>
        <w:numPr>
          <w:ilvl w:val="0"/>
          <w:numId w:val="14"/>
        </w:numPr>
        <w:spacing w:after="0"/>
        <w:contextualSpacing/>
        <w:rPr>
          <w:lang w:eastAsia="en-US"/>
        </w:rPr>
      </w:pPr>
      <w:r>
        <w:rPr>
          <w:lang w:eastAsia="en-US"/>
        </w:rPr>
        <w:lastRenderedPageBreak/>
        <w:t>Terms of Service</w:t>
      </w:r>
      <w:r w:rsidR="004162DB">
        <w:rPr>
          <w:lang w:eastAsia="en-US"/>
        </w:rPr>
        <w:t>, v</w:t>
      </w:r>
      <w:r>
        <w:rPr>
          <w:lang w:eastAsia="en-US"/>
        </w:rPr>
        <w:t xml:space="preserve"> 2022, 2024 and 2025</w:t>
      </w:r>
    </w:p>
    <w:p w14:paraId="57BD1F2D" w14:textId="77777777" w:rsidR="00AD543E" w:rsidRDefault="00AD543E" w:rsidP="00E042A3">
      <w:pPr>
        <w:pStyle w:val="Firstparagraph"/>
        <w:spacing w:after="0"/>
        <w:contextualSpacing/>
      </w:pPr>
      <w:r w:rsidRPr="00AD543E">
        <w:t>TikTok</w:t>
      </w:r>
    </w:p>
    <w:p w14:paraId="7AAE7DA8" w14:textId="4B7276B6" w:rsidR="00ED22C8" w:rsidRDefault="00ED22C8" w:rsidP="00E042A3">
      <w:pPr>
        <w:pStyle w:val="Nextparagraphs"/>
        <w:numPr>
          <w:ilvl w:val="0"/>
          <w:numId w:val="14"/>
        </w:numPr>
        <w:spacing w:after="0"/>
        <w:contextualSpacing/>
        <w:rPr>
          <w:lang w:eastAsia="en-US"/>
        </w:rPr>
      </w:pPr>
      <w:r>
        <w:rPr>
          <w:lang w:eastAsia="en-US"/>
        </w:rPr>
        <w:t>Community guidelines, v 2022, 2024 and 2025</w:t>
      </w:r>
    </w:p>
    <w:p w14:paraId="7369356A" w14:textId="6AC81D28" w:rsidR="00ED22C8" w:rsidRDefault="00ED22C8" w:rsidP="00E042A3">
      <w:pPr>
        <w:pStyle w:val="Nextparagraphs"/>
        <w:numPr>
          <w:ilvl w:val="0"/>
          <w:numId w:val="14"/>
        </w:numPr>
        <w:spacing w:after="0"/>
        <w:contextualSpacing/>
        <w:rPr>
          <w:lang w:eastAsia="en-US"/>
        </w:rPr>
      </w:pPr>
      <w:r>
        <w:rPr>
          <w:lang w:eastAsia="en-US"/>
        </w:rPr>
        <w:t>Copyright claims policy, v</w:t>
      </w:r>
      <w:r w:rsidR="004162DB">
        <w:rPr>
          <w:lang w:eastAsia="en-US"/>
        </w:rPr>
        <w:t xml:space="preserve"> 2022, 2024 and 2025</w:t>
      </w:r>
    </w:p>
    <w:p w14:paraId="78E69914" w14:textId="198E0303" w:rsidR="004162DB" w:rsidRPr="00ED22C8" w:rsidRDefault="00C16B89" w:rsidP="00E042A3">
      <w:pPr>
        <w:pStyle w:val="Nextparagraphs"/>
        <w:numPr>
          <w:ilvl w:val="0"/>
          <w:numId w:val="14"/>
        </w:numPr>
        <w:spacing w:after="0"/>
        <w:contextualSpacing/>
        <w:rPr>
          <w:lang w:eastAsia="en-US"/>
        </w:rPr>
      </w:pPr>
      <w:r>
        <w:rPr>
          <w:lang w:eastAsia="en-US"/>
        </w:rPr>
        <w:t>Terms of Service 2022, 2024 and 2025</w:t>
      </w:r>
    </w:p>
    <w:p w14:paraId="32703B24" w14:textId="77777777" w:rsidR="00AD543E" w:rsidRDefault="00AD543E" w:rsidP="00E042A3">
      <w:pPr>
        <w:pStyle w:val="Firstparagraph"/>
        <w:spacing w:after="0"/>
        <w:contextualSpacing/>
      </w:pPr>
      <w:r w:rsidRPr="00AD543E">
        <w:t>X/Twittter</w:t>
      </w:r>
    </w:p>
    <w:p w14:paraId="352F1C1B" w14:textId="5B222524" w:rsidR="00E55938" w:rsidRDefault="00E55938" w:rsidP="00E042A3">
      <w:pPr>
        <w:pStyle w:val="Nextparagraphs"/>
        <w:numPr>
          <w:ilvl w:val="0"/>
          <w:numId w:val="14"/>
        </w:numPr>
        <w:spacing w:after="0"/>
        <w:contextualSpacing/>
        <w:rPr>
          <w:lang w:eastAsia="en-US"/>
        </w:rPr>
      </w:pPr>
      <w:r>
        <w:rPr>
          <w:lang w:eastAsia="en-US"/>
        </w:rPr>
        <w:t>Community guidelines, v 2022, 2024 and 2025</w:t>
      </w:r>
    </w:p>
    <w:p w14:paraId="04FC3259" w14:textId="5A48817C" w:rsidR="00E55938" w:rsidRDefault="00E55938" w:rsidP="00E042A3">
      <w:pPr>
        <w:pStyle w:val="Nextparagraphs"/>
        <w:numPr>
          <w:ilvl w:val="0"/>
          <w:numId w:val="14"/>
        </w:numPr>
        <w:spacing w:after="0"/>
        <w:contextualSpacing/>
        <w:rPr>
          <w:lang w:eastAsia="en-US"/>
        </w:rPr>
      </w:pPr>
      <w:r>
        <w:rPr>
          <w:lang w:eastAsia="en-US"/>
        </w:rPr>
        <w:t>Copyright claims policy, v 2022, 2024 and 2025</w:t>
      </w:r>
    </w:p>
    <w:p w14:paraId="4B5F9AE2" w14:textId="3B6E307E" w:rsidR="00E55938" w:rsidRDefault="00E55938" w:rsidP="00E042A3">
      <w:pPr>
        <w:pStyle w:val="Nextparagraphs"/>
        <w:numPr>
          <w:ilvl w:val="0"/>
          <w:numId w:val="14"/>
        </w:numPr>
        <w:spacing w:after="0"/>
        <w:contextualSpacing/>
        <w:rPr>
          <w:lang w:eastAsia="en-US"/>
        </w:rPr>
      </w:pPr>
      <w:r>
        <w:rPr>
          <w:lang w:eastAsia="en-US"/>
        </w:rPr>
        <w:t xml:space="preserve">DSA </w:t>
      </w:r>
      <w:r w:rsidR="00292FF0">
        <w:rPr>
          <w:lang w:eastAsia="en-US"/>
        </w:rPr>
        <w:t>information, v 2025</w:t>
      </w:r>
    </w:p>
    <w:p w14:paraId="7AB501FE" w14:textId="393DEB2D" w:rsidR="00292FF0" w:rsidRDefault="00292FF0" w:rsidP="00E042A3">
      <w:pPr>
        <w:pStyle w:val="Nextparagraphs"/>
        <w:numPr>
          <w:ilvl w:val="0"/>
          <w:numId w:val="14"/>
        </w:numPr>
        <w:spacing w:after="0"/>
        <w:contextualSpacing/>
        <w:rPr>
          <w:lang w:eastAsia="en-US"/>
        </w:rPr>
      </w:pPr>
      <w:r>
        <w:rPr>
          <w:lang w:eastAsia="en-US"/>
        </w:rPr>
        <w:t>Enforcement policy, v 2022, 2024 and 2025</w:t>
      </w:r>
    </w:p>
    <w:p w14:paraId="68BB5D87" w14:textId="58795758" w:rsidR="00292FF0" w:rsidRPr="00E55938" w:rsidRDefault="00292FF0" w:rsidP="00E042A3">
      <w:pPr>
        <w:pStyle w:val="Nextparagraphs"/>
        <w:numPr>
          <w:ilvl w:val="0"/>
          <w:numId w:val="14"/>
        </w:numPr>
        <w:spacing w:after="0"/>
        <w:contextualSpacing/>
        <w:rPr>
          <w:lang w:eastAsia="en-US"/>
        </w:rPr>
      </w:pPr>
      <w:r>
        <w:rPr>
          <w:lang w:eastAsia="en-US"/>
        </w:rPr>
        <w:t>Terms of Use, v 2022, 2024 and 2025</w:t>
      </w:r>
    </w:p>
    <w:p w14:paraId="6F1BDCD6" w14:textId="77777777" w:rsidR="00AD543E" w:rsidRDefault="00AD543E" w:rsidP="00E042A3">
      <w:pPr>
        <w:pStyle w:val="Firstparagraph"/>
        <w:spacing w:after="0"/>
        <w:contextualSpacing/>
      </w:pPr>
      <w:r w:rsidRPr="00AD543E">
        <w:t>XNXX</w:t>
      </w:r>
    </w:p>
    <w:p w14:paraId="6B3DE099" w14:textId="1FE92EEA" w:rsidR="00292FF0" w:rsidRDefault="00AA4B89" w:rsidP="00E042A3">
      <w:pPr>
        <w:pStyle w:val="Nextparagraphs"/>
        <w:numPr>
          <w:ilvl w:val="0"/>
          <w:numId w:val="14"/>
        </w:numPr>
        <w:spacing w:after="0"/>
        <w:contextualSpacing/>
        <w:rPr>
          <w:lang w:eastAsia="en-US"/>
        </w:rPr>
      </w:pPr>
      <w:r>
        <w:rPr>
          <w:lang w:eastAsia="en-US"/>
        </w:rPr>
        <w:t>Anti-piracy statement, v 2022, 2024 and 2025</w:t>
      </w:r>
    </w:p>
    <w:p w14:paraId="5E6E9177" w14:textId="3C7504FD" w:rsidR="00AA4B89" w:rsidRDefault="00AA4B89" w:rsidP="00E042A3">
      <w:pPr>
        <w:pStyle w:val="Nextparagraphs"/>
        <w:numPr>
          <w:ilvl w:val="0"/>
          <w:numId w:val="14"/>
        </w:numPr>
        <w:spacing w:after="0"/>
        <w:contextualSpacing/>
        <w:rPr>
          <w:lang w:eastAsia="en-US"/>
        </w:rPr>
      </w:pPr>
      <w:r>
        <w:rPr>
          <w:lang w:eastAsia="en-US"/>
        </w:rPr>
        <w:t>Content protection, v 2024 and 2025</w:t>
      </w:r>
    </w:p>
    <w:p w14:paraId="1C123C66" w14:textId="0F8ED62E" w:rsidR="00AA4B89" w:rsidRDefault="00AA4B89" w:rsidP="00E042A3">
      <w:pPr>
        <w:pStyle w:val="Nextparagraphs"/>
        <w:numPr>
          <w:ilvl w:val="0"/>
          <w:numId w:val="14"/>
        </w:numPr>
        <w:spacing w:after="0"/>
        <w:contextualSpacing/>
        <w:rPr>
          <w:lang w:eastAsia="en-US"/>
        </w:rPr>
      </w:pPr>
      <w:r>
        <w:rPr>
          <w:lang w:eastAsia="en-US"/>
        </w:rPr>
        <w:t>Content removal</w:t>
      </w:r>
      <w:r w:rsidR="00E137A9">
        <w:rPr>
          <w:lang w:eastAsia="en-US"/>
        </w:rPr>
        <w:t xml:space="preserve">, v </w:t>
      </w:r>
      <w:r>
        <w:rPr>
          <w:lang w:eastAsia="en-US"/>
        </w:rPr>
        <w:t>2022</w:t>
      </w:r>
      <w:r w:rsidR="009F034E">
        <w:rPr>
          <w:lang w:eastAsia="en-US"/>
        </w:rPr>
        <w:t>, 2024 and 2025</w:t>
      </w:r>
    </w:p>
    <w:p w14:paraId="5F760588" w14:textId="09D10318" w:rsidR="009F034E" w:rsidRDefault="009F034E" w:rsidP="00E042A3">
      <w:pPr>
        <w:pStyle w:val="Nextparagraphs"/>
        <w:numPr>
          <w:ilvl w:val="0"/>
          <w:numId w:val="14"/>
        </w:numPr>
        <w:spacing w:after="0"/>
        <w:contextualSpacing/>
        <w:rPr>
          <w:lang w:eastAsia="en-US"/>
        </w:rPr>
      </w:pPr>
      <w:r>
        <w:rPr>
          <w:lang w:eastAsia="en-US"/>
        </w:rPr>
        <w:t>Repeat infringers</w:t>
      </w:r>
      <w:r w:rsidR="00E137A9">
        <w:rPr>
          <w:lang w:eastAsia="en-US"/>
        </w:rPr>
        <w:t>, v</w:t>
      </w:r>
      <w:r>
        <w:rPr>
          <w:lang w:eastAsia="en-US"/>
        </w:rPr>
        <w:t xml:space="preserve"> 2022, 2024 and 2025</w:t>
      </w:r>
    </w:p>
    <w:p w14:paraId="4D379046" w14:textId="655E1EEA" w:rsidR="009F034E" w:rsidRPr="00292FF0" w:rsidRDefault="009F034E" w:rsidP="00E042A3">
      <w:pPr>
        <w:pStyle w:val="Nextparagraphs"/>
        <w:numPr>
          <w:ilvl w:val="0"/>
          <w:numId w:val="14"/>
        </w:numPr>
        <w:spacing w:after="0"/>
        <w:contextualSpacing/>
        <w:rPr>
          <w:lang w:eastAsia="en-US"/>
        </w:rPr>
      </w:pPr>
      <w:r>
        <w:rPr>
          <w:lang w:eastAsia="en-US"/>
        </w:rPr>
        <w:t>Terms of Service</w:t>
      </w:r>
      <w:r w:rsidR="00E137A9">
        <w:rPr>
          <w:lang w:eastAsia="en-US"/>
        </w:rPr>
        <w:t>, v</w:t>
      </w:r>
      <w:r>
        <w:rPr>
          <w:lang w:eastAsia="en-US"/>
        </w:rPr>
        <w:t xml:space="preserve"> 2022, 2024 and 2025</w:t>
      </w:r>
    </w:p>
    <w:p w14:paraId="6F178930" w14:textId="05F46693" w:rsidR="00AD543E" w:rsidRDefault="00AD543E" w:rsidP="00E042A3">
      <w:pPr>
        <w:pStyle w:val="Firstparagraph"/>
        <w:spacing w:after="0"/>
        <w:contextualSpacing/>
      </w:pPr>
      <w:r w:rsidRPr="00AD543E">
        <w:t>Xvideos</w:t>
      </w:r>
    </w:p>
    <w:p w14:paraId="77AB298B" w14:textId="77777777" w:rsidR="009F034E" w:rsidRDefault="009F034E" w:rsidP="00E042A3">
      <w:pPr>
        <w:pStyle w:val="Nextparagraphs"/>
        <w:numPr>
          <w:ilvl w:val="0"/>
          <w:numId w:val="14"/>
        </w:numPr>
        <w:spacing w:after="0"/>
        <w:contextualSpacing/>
        <w:rPr>
          <w:lang w:eastAsia="en-US"/>
        </w:rPr>
      </w:pPr>
      <w:r>
        <w:rPr>
          <w:lang w:eastAsia="en-US"/>
        </w:rPr>
        <w:t>Anti-piracy statement, v 2022, 2024 and 2025</w:t>
      </w:r>
    </w:p>
    <w:p w14:paraId="7C65A7DD" w14:textId="77777777" w:rsidR="009F034E" w:rsidRDefault="009F034E" w:rsidP="00E042A3">
      <w:pPr>
        <w:pStyle w:val="Nextparagraphs"/>
        <w:numPr>
          <w:ilvl w:val="0"/>
          <w:numId w:val="14"/>
        </w:numPr>
        <w:spacing w:after="0"/>
        <w:contextualSpacing/>
        <w:rPr>
          <w:lang w:eastAsia="en-US"/>
        </w:rPr>
      </w:pPr>
      <w:r>
        <w:rPr>
          <w:lang w:eastAsia="en-US"/>
        </w:rPr>
        <w:t>Content protection, v 2024 and 2025</w:t>
      </w:r>
    </w:p>
    <w:p w14:paraId="21E5EF63" w14:textId="0A67F321" w:rsidR="009F034E" w:rsidRDefault="009F034E" w:rsidP="00E042A3">
      <w:pPr>
        <w:pStyle w:val="Nextparagraphs"/>
        <w:numPr>
          <w:ilvl w:val="0"/>
          <w:numId w:val="14"/>
        </w:numPr>
        <w:spacing w:after="0"/>
        <w:contextualSpacing/>
        <w:rPr>
          <w:lang w:eastAsia="en-US"/>
        </w:rPr>
      </w:pPr>
      <w:r>
        <w:rPr>
          <w:lang w:eastAsia="en-US"/>
        </w:rPr>
        <w:t>Repeat infringers</w:t>
      </w:r>
      <w:r w:rsidR="00E137A9">
        <w:rPr>
          <w:lang w:eastAsia="en-US"/>
        </w:rPr>
        <w:t>, v</w:t>
      </w:r>
      <w:r>
        <w:rPr>
          <w:lang w:eastAsia="en-US"/>
        </w:rPr>
        <w:t xml:space="preserve"> 2024 and 2025</w:t>
      </w:r>
    </w:p>
    <w:p w14:paraId="0D1D6D9A" w14:textId="3152B640" w:rsidR="009F034E" w:rsidRDefault="009F034E" w:rsidP="00E042A3">
      <w:pPr>
        <w:pStyle w:val="Nextparagraphs"/>
        <w:numPr>
          <w:ilvl w:val="0"/>
          <w:numId w:val="14"/>
        </w:numPr>
        <w:spacing w:after="0"/>
        <w:contextualSpacing/>
        <w:rPr>
          <w:lang w:eastAsia="en-US"/>
        </w:rPr>
      </w:pPr>
      <w:r>
        <w:rPr>
          <w:lang w:eastAsia="en-US"/>
        </w:rPr>
        <w:t>Terms of Service</w:t>
      </w:r>
      <w:r w:rsidR="00E137A9">
        <w:rPr>
          <w:lang w:eastAsia="en-US"/>
        </w:rPr>
        <w:t>, v</w:t>
      </w:r>
      <w:r>
        <w:rPr>
          <w:lang w:eastAsia="en-US"/>
        </w:rPr>
        <w:t xml:space="preserve"> 2022, 2024 and 2025</w:t>
      </w:r>
    </w:p>
    <w:p w14:paraId="5ADEFBF1" w14:textId="1B195D7B" w:rsidR="00E137A9" w:rsidRPr="00292FF0" w:rsidRDefault="00E137A9" w:rsidP="00E042A3">
      <w:pPr>
        <w:pStyle w:val="Nextparagraphs"/>
        <w:numPr>
          <w:ilvl w:val="0"/>
          <w:numId w:val="14"/>
        </w:numPr>
        <w:spacing w:after="0"/>
        <w:contextualSpacing/>
        <w:rPr>
          <w:lang w:eastAsia="en-US"/>
        </w:rPr>
      </w:pPr>
      <w:r>
        <w:rPr>
          <w:lang w:eastAsia="en-US"/>
        </w:rPr>
        <w:t>Trusted flaggers, v 2024 and 2025</w:t>
      </w:r>
    </w:p>
    <w:p w14:paraId="25545925" w14:textId="38F727BA" w:rsidR="00E52BC3" w:rsidRDefault="00AD543E" w:rsidP="00E042A3">
      <w:pPr>
        <w:pStyle w:val="Firstparagraph"/>
        <w:spacing w:after="0"/>
        <w:contextualSpacing/>
      </w:pPr>
      <w:r w:rsidRPr="00AD543E">
        <w:t>YouTube</w:t>
      </w:r>
    </w:p>
    <w:p w14:paraId="7A1D385F" w14:textId="5B2D0477" w:rsidR="009F2EB9" w:rsidRDefault="009F2EB9" w:rsidP="00E042A3">
      <w:pPr>
        <w:pStyle w:val="Nextparagraphs"/>
        <w:numPr>
          <w:ilvl w:val="0"/>
          <w:numId w:val="14"/>
        </w:numPr>
        <w:spacing w:after="0"/>
        <w:contextualSpacing/>
        <w:rPr>
          <w:lang w:eastAsia="en-US"/>
        </w:rPr>
      </w:pPr>
      <w:r>
        <w:rPr>
          <w:lang w:eastAsia="en-US"/>
        </w:rPr>
        <w:t>Community guidelines 2022, 2024 and 2025</w:t>
      </w:r>
    </w:p>
    <w:p w14:paraId="4F4FBD89" w14:textId="04821542" w:rsidR="00093630" w:rsidRDefault="00093630" w:rsidP="00E042A3">
      <w:pPr>
        <w:pStyle w:val="Nextparagraphs"/>
        <w:numPr>
          <w:ilvl w:val="0"/>
          <w:numId w:val="14"/>
        </w:numPr>
        <w:spacing w:after="0"/>
        <w:contextualSpacing/>
        <w:rPr>
          <w:lang w:eastAsia="en-US"/>
        </w:rPr>
      </w:pPr>
      <w:r>
        <w:rPr>
          <w:lang w:eastAsia="en-US"/>
        </w:rPr>
        <w:t>Copyright claims policy 2022, 2024 and 2025</w:t>
      </w:r>
    </w:p>
    <w:p w14:paraId="52589141" w14:textId="0F0C9E66" w:rsidR="00BA4E0C" w:rsidRPr="009F2EB9" w:rsidRDefault="009F2EB9" w:rsidP="00E042A3">
      <w:pPr>
        <w:pStyle w:val="Nextparagraphs"/>
        <w:numPr>
          <w:ilvl w:val="0"/>
          <w:numId w:val="14"/>
        </w:numPr>
        <w:spacing w:after="0"/>
        <w:contextualSpacing/>
        <w:rPr>
          <w:lang w:eastAsia="en-US"/>
        </w:rPr>
      </w:pPr>
      <w:r>
        <w:rPr>
          <w:lang w:eastAsia="en-US"/>
        </w:rPr>
        <w:t xml:space="preserve">Terms of Service </w:t>
      </w:r>
      <w:r w:rsidR="00093630">
        <w:rPr>
          <w:lang w:eastAsia="en-US"/>
        </w:rPr>
        <w:t>2022, 2024 and 2025</w:t>
      </w:r>
    </w:p>
    <w:sectPr w:rsidR="00BA4E0C" w:rsidRPr="009F2EB9">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DE78" w14:textId="77777777" w:rsidR="00AF3238" w:rsidRDefault="00AF3238" w:rsidP="00284B74">
      <w:pPr>
        <w:spacing w:after="0" w:line="240" w:lineRule="auto"/>
      </w:pPr>
      <w:r>
        <w:separator/>
      </w:r>
    </w:p>
  </w:endnote>
  <w:endnote w:type="continuationSeparator" w:id="0">
    <w:p w14:paraId="62E01CC9" w14:textId="77777777" w:rsidR="00AF3238" w:rsidRDefault="00AF3238" w:rsidP="00284B74">
      <w:pPr>
        <w:spacing w:after="0" w:line="240" w:lineRule="auto"/>
      </w:pPr>
      <w:r>
        <w:continuationSeparator/>
      </w:r>
    </w:p>
  </w:endnote>
  <w:endnote w:type="continuationNotice" w:id="1">
    <w:p w14:paraId="5A046680" w14:textId="77777777" w:rsidR="00AF3238" w:rsidRDefault="00AF3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13584"/>
      <w:docPartObj>
        <w:docPartGallery w:val="Page Numbers (Bottom of Page)"/>
        <w:docPartUnique/>
      </w:docPartObj>
    </w:sdtPr>
    <w:sdtContent>
      <w:p w14:paraId="3BF238EF" w14:textId="77777777" w:rsidR="007B7836" w:rsidRDefault="007B7836">
        <w:pPr>
          <w:pStyle w:val="Footer"/>
          <w:jc w:val="right"/>
        </w:pPr>
        <w:r>
          <w:fldChar w:fldCharType="begin"/>
        </w:r>
        <w:r>
          <w:instrText>PAGE   \* MERGEFORMAT</w:instrText>
        </w:r>
        <w:r>
          <w:fldChar w:fldCharType="separate"/>
        </w:r>
        <w:r>
          <w:t>2</w:t>
        </w:r>
        <w:r>
          <w:fldChar w:fldCharType="end"/>
        </w:r>
      </w:p>
    </w:sdtContent>
  </w:sdt>
  <w:p w14:paraId="567F0609" w14:textId="77777777" w:rsidR="007B7836" w:rsidRDefault="007B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529D" w14:textId="77777777" w:rsidR="00AF3238" w:rsidRDefault="00AF3238" w:rsidP="00284B74">
      <w:pPr>
        <w:spacing w:after="0" w:line="240" w:lineRule="auto"/>
      </w:pPr>
      <w:r>
        <w:separator/>
      </w:r>
    </w:p>
  </w:footnote>
  <w:footnote w:type="continuationSeparator" w:id="0">
    <w:p w14:paraId="72065A70" w14:textId="77777777" w:rsidR="00AF3238" w:rsidRDefault="00AF3238" w:rsidP="00284B74">
      <w:pPr>
        <w:spacing w:after="0" w:line="240" w:lineRule="auto"/>
      </w:pPr>
      <w:r>
        <w:continuationSeparator/>
      </w:r>
    </w:p>
  </w:footnote>
  <w:footnote w:type="continuationNotice" w:id="1">
    <w:p w14:paraId="3F27C2AD" w14:textId="77777777" w:rsidR="00AF3238" w:rsidRDefault="00AF3238">
      <w:pPr>
        <w:spacing w:after="0" w:line="240" w:lineRule="auto"/>
      </w:pPr>
    </w:p>
  </w:footnote>
  <w:footnote w:id="2">
    <w:p w14:paraId="019C3E95" w14:textId="7792070C" w:rsidR="006C5225" w:rsidRPr="000D3E55" w:rsidRDefault="006C5225">
      <w:pPr>
        <w:pStyle w:val="FootnoteText"/>
        <w:rPr>
          <w:lang w:val="en-GB"/>
        </w:rPr>
      </w:pPr>
      <w:r w:rsidRPr="000D3E55">
        <w:rPr>
          <w:rStyle w:val="FootnoteReference"/>
          <w:lang w:val="en-GB"/>
        </w:rPr>
        <w:footnoteRef/>
      </w:r>
      <w:r w:rsidRPr="000D3E55">
        <w:rPr>
          <w:lang w:val="en-GB"/>
        </w:rPr>
        <w:t xml:space="preserve"> Corresponding author, </w:t>
      </w:r>
      <w:r w:rsidR="00920361" w:rsidRPr="000D3E55">
        <w:rPr>
          <w:lang w:val="en-GB"/>
        </w:rPr>
        <w:t>Postdoc researcher, I</w:t>
      </w:r>
      <w:r w:rsidR="009E36DA" w:rsidRPr="000D3E55">
        <w:rPr>
          <w:lang w:val="en-GB"/>
        </w:rPr>
        <w:t>nstitute of Law and Technology, Faculty of Law, Masaryk University, Brno, Czech Republic. E-mail: Ondrej.Woznica@law.muni.cz.</w:t>
      </w:r>
    </w:p>
  </w:footnote>
  <w:footnote w:id="3">
    <w:p w14:paraId="256A1835" w14:textId="17C96474" w:rsidR="009E36DA" w:rsidRPr="000D3E55" w:rsidRDefault="009E36DA">
      <w:pPr>
        <w:pStyle w:val="FootnoteText"/>
        <w:rPr>
          <w:lang w:val="en-GB"/>
        </w:rPr>
      </w:pPr>
      <w:r w:rsidRPr="000D3E55">
        <w:rPr>
          <w:rStyle w:val="FootnoteReference"/>
          <w:lang w:val="en-GB"/>
        </w:rPr>
        <w:footnoteRef/>
      </w:r>
      <w:r w:rsidRPr="000D3E55">
        <w:rPr>
          <w:lang w:val="en-GB"/>
        </w:rPr>
        <w:t xml:space="preserve"> Ph.D. candidate at the Institute of Law and Technology, Faculty of Law, Masaryk University, Brno, Czech Republic.</w:t>
      </w:r>
    </w:p>
  </w:footnote>
  <w:footnote w:id="4">
    <w:p w14:paraId="6462E139" w14:textId="5F7CE748" w:rsidR="009E36DA" w:rsidRPr="000D3E55" w:rsidRDefault="009E36DA">
      <w:pPr>
        <w:pStyle w:val="FootnoteText"/>
        <w:rPr>
          <w:lang w:val="en-GB"/>
        </w:rPr>
      </w:pPr>
      <w:r w:rsidRPr="000D3E55">
        <w:rPr>
          <w:rStyle w:val="FootnoteReference"/>
          <w:lang w:val="en-GB"/>
        </w:rPr>
        <w:footnoteRef/>
      </w:r>
      <w:r w:rsidRPr="000D3E55">
        <w:rPr>
          <w:lang w:val="en-GB"/>
        </w:rPr>
        <w:t xml:space="preserve"> </w:t>
      </w:r>
      <w:r w:rsidR="00232020" w:rsidRPr="000D3E55">
        <w:rPr>
          <w:lang w:val="en-GB"/>
        </w:rPr>
        <w:t xml:space="preserve">Associate </w:t>
      </w:r>
      <w:r w:rsidRPr="000D3E55">
        <w:rPr>
          <w:lang w:val="en-GB"/>
        </w:rPr>
        <w:t>professor</w:t>
      </w:r>
      <w:r w:rsidR="00232020" w:rsidRPr="000D3E55">
        <w:rPr>
          <w:lang w:val="en-GB"/>
        </w:rPr>
        <w:t xml:space="preserve"> at the Institute of Law and Technology, Faculty of Law, Masaryk University, Brno, Czech Republic.</w:t>
      </w:r>
    </w:p>
  </w:footnote>
  <w:footnote w:id="5">
    <w:p w14:paraId="724B78C2" w14:textId="6CC86E30" w:rsidR="0029128D" w:rsidRPr="000D3E55" w:rsidRDefault="0029128D">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{"citationID":"EcEF26AZ","properties":{"formattedCitation":"Regulation 2022/2065 of the European Parliament and of the Council of 19\\uc0\\u160{}October 2022 on a Single Market For Digital Services and amending Directive\\uc0\\u160{}2000/31/EC (DSA).","plainCitation":"Regulation 2022/2065 of the European Parliament and of the Council of 19 October 2022 on a Single Market For Digital Services and amending Directive 2000/31/EC (DSA).","noteIndex":4},"citationItems":[{"id":464,"uris":["http://zotero.org/users/local/09vVTa11/items/CG692IHF"],"itemData":{"id":464,"type":"bill","authority":"EP, CONSIL","container-title":"OJ L","language":"en","title":"Regulation 2022/2065 of the European Parliament and of the Council of 19 October 2022 on a Single Market For Digital Services and amending Directive 2000/31/EC (DSA)","URL":"http://data.europa.eu/eli/reg/2022/2065/oj/eng","accessed":{"date-parts":[["2023",7,10]]}}}],"schema":"https://github.com/citation-style-language/schema/raw/master/csl-citation.json"} </w:instrText>
      </w:r>
      <w:r w:rsidRPr="000D3E55">
        <w:rPr>
          <w:lang w:val="en-GB"/>
        </w:rPr>
        <w:fldChar w:fldCharType="separate"/>
      </w:r>
      <w:r w:rsidRPr="000D3E55">
        <w:rPr>
          <w:rFonts w:ascii="Calibri" w:hAnsi="Calibri" w:cs="Calibri"/>
          <w:kern w:val="0"/>
          <w:lang w:val="en-GB"/>
        </w:rPr>
        <w:t>Regulation 2022/2065 of the European Parliament and of the Council of 19 October 2022 on a Single Market For Digital Services and amending Directive 2000/31/EC (DSA).</w:t>
      </w:r>
      <w:r w:rsidRPr="000D3E55">
        <w:rPr>
          <w:lang w:val="en-GB"/>
        </w:rPr>
        <w:fldChar w:fldCharType="end"/>
      </w:r>
    </w:p>
  </w:footnote>
  <w:footnote w:id="6">
    <w:p w14:paraId="41BFB5D5" w14:textId="30025EAD" w:rsidR="004B68F3" w:rsidRPr="000D3E55" w:rsidRDefault="004B68F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{"citationID":"RhLl46uY","properties":{"formattedCitation":"Directive 2019/790 of the European Parliament and of the Council of 17 April 2019 on copyright and related rights in the Digital Single Market and amending Directives 96/9/EC and 2001/29/EC (CDSM Directive).","plainCitation":"Directive 2019/790 of the European Parliament and of the Council of 17 April 2019 on copyright and related rights in the Digital Single Market and amending Directives 96/9/EC and 2001/29/EC (CDSM Directive).","noteIndex":5},"citationItems":[{"id":308,"uris":["http://zotero.org/users/local/09vVTa11/items/DSGV5E44"],"itemData":{"id":308,"type":"bill","language":"en","title":"Directive 2019/790 of the European Parliament and of the Council of 17 April 2019 on copyright and related rights in the Digital Single Market and amending Directives 96/9/EC and 2001/29/EC (CDSM Directive)","title-short":"CDSM Directive","URL":"https://eur-lex.europa.eu/eli/dir/2019/790/oj","accessed":{"date-parts":[["2023",4,30]]}},"label":"page"}],"schema":"https://github.com/citation-style-language/schema/raw/master/csl-citation.json"} </w:instrText>
      </w:r>
      <w:r w:rsidRPr="000D3E55">
        <w:rPr>
          <w:lang w:val="en-GB"/>
        </w:rPr>
        <w:fldChar w:fldCharType="separate"/>
      </w:r>
      <w:r w:rsidR="004F234F" w:rsidRPr="000D3E55">
        <w:rPr>
          <w:rFonts w:ascii="Calibri" w:hAnsi="Calibri" w:cs="Calibri"/>
          <w:lang w:val="en-GB"/>
        </w:rPr>
        <w:t>Directive 2019/790 of the European Parliament and of the Council of 17 April 2019 on copyright and related rights in the Digital Single Market and amending Directives 96/9/EC and 2001/29/EC (CDSM Directive).</w:t>
      </w:r>
      <w:r w:rsidRPr="000D3E55">
        <w:rPr>
          <w:lang w:val="en-GB"/>
        </w:rPr>
        <w:fldChar w:fldCharType="end"/>
      </w:r>
    </w:p>
  </w:footnote>
  <w:footnote w:id="7">
    <w:p w14:paraId="30BD407D" w14:textId="7513C199" w:rsidR="00FE5D3C" w:rsidRPr="000D3E55" w:rsidRDefault="00FE5D3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{"citationID":"NfH51wOW","properties":{"formattedCitation":"As such, this article takes the approach of regulatory modalities and observes interactions between various regulatory means. Lawrence Lessig, {\\i{}Code 2.0} (Version 20, Basic Books 2006) 122 et seq.","plainCitation":"As such, this article takes the approach of regulatory modalities and observes interactions between various regulatory means. Lawrence Lessig, Code 2.0 (Version 20, Basic Books 2006) 122 et seq.","noteIndex":6},"citationItems":[{"id":58,"uris":["http://zotero.org/users/local/09vVTa11/items/XHT9AKWI"],"itemData":{"id":58,"type":"book","abstract":"\"Code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2.0","author":[{"family":"Lessig","given":"Lawrence"}],"issued":{"date-parts":[["2006"]]}},"locator":"122 et seq.","label":"page","prefix":"As such, this article takes the approach of regulatory modalities and observes interactions between various regulatory means."}],"schema":"https://github.com/citation-style-language/schema/raw/master/csl-citation.json"} </w:instrText>
      </w:r>
      <w:r w:rsidRPr="000D3E55">
        <w:rPr>
          <w:lang w:val="en-GB"/>
        </w:rPr>
        <w:fldChar w:fldCharType="separate"/>
      </w:r>
      <w:r w:rsidR="003E3D64" w:rsidRPr="000D3E55">
        <w:rPr>
          <w:rFonts w:ascii="Calibri" w:hAnsi="Calibri" w:cs="Calibri"/>
          <w:kern w:val="0"/>
          <w:lang w:val="en-GB"/>
        </w:rPr>
        <w:t xml:space="preserve">As such, this article takes the approach of regulatory modalities and observes interactions between various regulatory means. Lawrence Lessig, </w:t>
      </w:r>
      <w:r w:rsidR="003E3D64" w:rsidRPr="000D3E55">
        <w:rPr>
          <w:rFonts w:ascii="Calibri" w:hAnsi="Calibri" w:cs="Calibri"/>
          <w:i/>
          <w:kern w:val="0"/>
          <w:lang w:val="en-GB"/>
        </w:rPr>
        <w:t>Code 2.0</w:t>
      </w:r>
      <w:r w:rsidR="003E3D64" w:rsidRPr="000D3E55">
        <w:rPr>
          <w:rFonts w:ascii="Calibri" w:hAnsi="Calibri" w:cs="Calibri"/>
          <w:kern w:val="0"/>
          <w:lang w:val="en-GB"/>
        </w:rPr>
        <w:t xml:space="preserve"> (Version 20, Basic Books 2006) 122 et seq.</w:t>
      </w:r>
      <w:r w:rsidRPr="000D3E55">
        <w:rPr>
          <w:lang w:val="en-GB"/>
        </w:rPr>
        <w:fldChar w:fldCharType="end"/>
      </w:r>
    </w:p>
  </w:footnote>
  <w:footnote w:id="8">
    <w:p w14:paraId="598429E9" w14:textId="14613F5D" w:rsidR="00D82E5F" w:rsidRPr="000D3E55" w:rsidRDefault="00D82E5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{"citationID":"xQAj2ixP","properties":{"formattedCitation":"I.e., dynamic balance between contradictory interests and forces. We must highlight that the term does not mean balance in its normative sense. Susy Frankel and Daniel Gervais (eds), {\\i{}The Evolution and Equilibrium of Copyright in the Digital Age} (Cambridge University Press 2014) 3 et seq. &lt;https://www.cambridge.org/core/books/evolution-and-equilibrium-of-copyright-in-the-digital-age/707E92AD9E89272D0DCC8F8CF83BD57D&gt; accessed 7 November 2023.","plainCitation":"I.e., dynamic balance between contradictory interests and forces. We must highlight that the term does not mean balance in its normative sense. Susy Frankel and Daniel Gervais (eds), The Evolution and Equilibrium of Copyright in the Digital Age (Cambridge University Press 2014) 3 et seq. &lt;https://www.cambridge.org/core/books/evolution-and-equilibrium-of-copyright-in-the-digital-age/707E92AD9E89272D0DCC8F8CF83BD57D&gt; accessed 7 November 2023.","noteIndex":7},"citationItems":[{"id":691,"uris":["http://zotero.org/users/local/09vVTa11/items/WKZ2GVM6"],"itemData":{"id":691,"type":"book","abstract":"The digital age has prompted new questions about the role and function of copyright. Internationally, copyright has progressively increased its scope of protection over new technology and modes of distribution. Yet many copyright owners express dissatisfaction and consider that the system is not working for them. Many users of copyright material, and even some owners, consider that copyright gives too much protection and that copyright owners want too much. This book considers how copyright might evolve in the twenty-first century and how it might reach equilibrium between authors, owners, users and those who connect them.","collection-title":"Cambridge Intellectual Property and Information Law","event-place":"Cambridge","ISBN":"978-1-107-06256-6","note":"DOI: 10.1017/CBO9781107477179","publisher":"Cambridge University Press","publisher-place":"Cambridge","source":"Cambridge University Press","title":"The Evolution and Equilibrium of Copyright in the Digital Age","URL":"https://www.cambridge.org/core/books/evolution-and-equilibrium-of-copyright-in-the-digital-age/707E92AD9E89272D0DCC8F8CF83BD57D","editor":[{"family":"Frankel","given":"Susy"},{"family":"Gervais","given":"Daniel"}],"accessed":{"date-parts":[["2023",11,7]]},"issued":{"date-parts":[["2014"]]}},"locator":"3 et seq.","label":"page","prefix":"I.e., dynamic balance between contradictory interests and forces. We must highlight that the term does not mean balance in its normative sense."}],"schema":"https://github.com/citation-style-language/schema/raw/master/csl-citation.json"} </w:instrText>
      </w:r>
      <w:r w:rsidRPr="000D3E55">
        <w:rPr>
          <w:lang w:val="en-GB"/>
        </w:rPr>
        <w:fldChar w:fldCharType="separate"/>
      </w:r>
      <w:r w:rsidR="007B68C4" w:rsidRPr="000D3E55">
        <w:rPr>
          <w:rFonts w:ascii="Calibri" w:hAnsi="Calibri" w:cs="Calibri"/>
          <w:kern w:val="0"/>
          <w:lang w:val="en-GB"/>
        </w:rPr>
        <w:t xml:space="preserve">I.e., dynamic balance between contradictory interests and forces. We must highlight that the term does not mean balance in its normative sense. Susy Frankel and Daniel Gervais (eds), </w:t>
      </w:r>
      <w:r w:rsidR="007B68C4" w:rsidRPr="000D3E55">
        <w:rPr>
          <w:rFonts w:ascii="Calibri" w:hAnsi="Calibri" w:cs="Calibri"/>
          <w:i/>
          <w:iCs/>
          <w:kern w:val="0"/>
          <w:lang w:val="en-GB"/>
        </w:rPr>
        <w:t>The Evolution and Equilibrium of Copyright in the Digital Age</w:t>
      </w:r>
      <w:r w:rsidR="007B68C4" w:rsidRPr="000D3E55">
        <w:rPr>
          <w:rFonts w:ascii="Calibri" w:hAnsi="Calibri" w:cs="Calibri"/>
          <w:kern w:val="0"/>
          <w:lang w:val="en-GB"/>
        </w:rPr>
        <w:t xml:space="preserve"> (Cambridge University Press 2014) 3 et seq. &lt;https://www.cambridge.org/core/books/evolution-and-equilibrium-of-copyright-in-the-digital-age/707E92AD9E89272D0DCC8F8CF83BD57D&gt; accessed 7 November 2023.</w:t>
      </w:r>
      <w:r w:rsidRPr="000D3E55">
        <w:rPr>
          <w:lang w:val="en-GB"/>
        </w:rPr>
        <w:fldChar w:fldCharType="end"/>
      </w:r>
    </w:p>
  </w:footnote>
  <w:footnote w:id="9">
    <w:p w14:paraId="001A3B5C" w14:textId="2C831316" w:rsidR="00724570" w:rsidRPr="000D3E55" w:rsidRDefault="0072457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{"citationID":"aTjkeYZS","properties":{"formattedCitation":"For recent comprehensive study on the issue of intermediary liability, see James Grimmelmann and Pengfei Zhang, \\uc0\\u8216{}An Economic Model of Online Intermediary Liability\\uc0\\u8217{} (2023) 38 Berkeley Technology Law Journal &lt;https://btlj.org/2024/01/volume-38-issue-3/&gt;.","plainCitation":"For recent comprehensive study on the issue of intermediary liability, see James Grimmelmann and Pengfei Zhang, ‘An Economic Model of Online Intermediary Liability’ (2023) 38 Berkeley Technology Law Journal &lt;https://btlj.org/2024/01/volume-38-issue-3/&gt;.","noteIndex":8},"citationItems":[{"id":2385,"uris":["http://zotero.org/users/local/09vVTa11/items/CW9MUM8F"],"itemData":{"id":2385,"type":"article-journal","abstract":"Scholars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liability","URL":"https://btlj.org/2024/01/volume-38-issue-3/","volume":"38","author":[{"family":"Grimmelmann","given":"James"},{"family":"Zhang","given":"Pengfei"}],"issued":{"date-parts":[["2023"]]}},"label":"page","prefix":"For recent comprehensive study on the issue of intermediary liability, see"}],"schema":"https://github.com/citation-style-language/schema/raw/master/csl-citation.json"} </w:instrText>
      </w:r>
      <w:r w:rsidRPr="000D3E55">
        <w:rPr>
          <w:lang w:val="en-GB"/>
        </w:rPr>
        <w:fldChar w:fldCharType="separate"/>
      </w:r>
      <w:r w:rsidRPr="000D3E55">
        <w:rPr>
          <w:rFonts w:ascii="Calibri" w:hAnsi="Calibri" w:cs="Calibri"/>
          <w:kern w:val="0"/>
          <w:lang w:val="en-GB"/>
        </w:rPr>
        <w:t>For recent comprehensive study on the issue of intermediary liability, see James Grimmelmann and Pengfei Zhang, ‘An Economic Model of Online Intermediary Liability’ (2023) 38 Berkeley Technology Law Journal &lt;https://btlj.org/2024/01/volume-38-issue-3/&gt;.</w:t>
      </w:r>
      <w:r w:rsidRPr="000D3E55">
        <w:rPr>
          <w:lang w:val="en-GB"/>
        </w:rPr>
        <w:fldChar w:fldCharType="end"/>
      </w:r>
    </w:p>
  </w:footnote>
  <w:footnote w:id="10">
    <w:p w14:paraId="52426C5B" w14:textId="00396F39" w:rsidR="001C0834" w:rsidRPr="000D3E55" w:rsidRDefault="001C0834">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{"citationID":"I5ZrV9IU","properties":{"formattedCitation":"ibid 1063 et seq.; For overview of fairness principle see Stefan Scheuerer, \\uc0\\u8216{}The Fairness Principle in Competition-Related Economic Law\\uc0\\u8217{} (2023) 72 GRUR International 919; For initial assesment of consumer protection see Caroline Cauffman and Catalina Goanta, \\uc0\\u8216{}A New Order: The Digital Services Act and Consumer Protection\\uc0\\u8217{} (2021) 12 European Journal of Risk Regulation 758.","plainCitation":"ibid 1063 et seq.; For overview of fairness principle see Stefan Scheuerer, ‘The Fairness Principle in Competition-Related Economic Law’ (2023) 72 GRUR International 919; For initial assesment of consumer protection see Caroline Cauffman and Catalina Goanta, ‘A New Order: The Digital Services Act and Consumer Protection’ (2021) 12 European Journal of Risk Regulation 758.","noteIndex":9},"citationItems":[{"id":2385,"uris":["http://zotero.org/users/local/09vVTa11/items/CW9MUM8F"],"itemData":{"id":2385,"type":"article-journal","abstract":"Scholars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liability","URL":"https://btlj.org/2024/01/volume-38-issue-3/","volume":"38","author":[{"family":"Grimmelmann","given":"James"},{"family":"Zhang","given":"Pengfei"}],"issued":{"date-parts":[["2023"]]}},"locator":"1063 et seq.","label":"page"},{"id":"njS2q1xr/Jyg8AFkM","uris":["http://zotero.org/users/1910271/items/R4KED8DV"],"itemData":{"id":17374,"type":"article-journal","abstract":"Fairness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Law","volume":"72","author":[{"family":"Scheuerer","given":"Stefan"}],"issued":{"date-parts":[["2023",10,1]]}},"label":"page","prefix":"For overview of fairness principle see"},{"id":11681,"uris":["http://zotero.org/users/local/09vVTa11/items/XUAD8334"],"itemData":{"id":11681,"type":"article-journal","abstract":"On 16 December 2020, the European Commission delivered on the plans proposed in the European Digital Strategy by publishing two proposals related to the governance of digital services in the European Union: the Digital Services Act (DSA) and the Digital Markets Act (DMA). The much-awaited regulatory reform is often mentioned in the context of content moderation and freedom of expression, market power and competition. It is, however, important to bear in mind the contractual nature of the relationship between users and platforms and the additional contracts concluded on the platform between the users, in particular traders and consumers. Moreover, the monetisation offered by digital platforms has led to new dynamics and economic interests. This paper explores the reform proposed by the European Commission by means of the DSA by touching upon four main themes that will be addressed from the perspective of consumer protection: (1) the internal coherence of European Union law; (2) intermediary liability; (3) the outsourcing of solutions to private parties; and (4) digital enforcement.","container-title":"European Journal of Risk Regulation","DOI":"10.1017/err.2021.8","ISSN":"1867-299X, 2190-8249","issue":"4","language":"en","page":"758-774","source":"Cambridge University Press","title":"A New Order: The Digital Services Act and Consumer Protection","title-short":"A New Order","volume":"12","author":[{"family":"Cauffman","given":"Caroline"},{"family":"Goanta","given":"Catalina"}],"issued":{"date-parts":[["2021",12]]}},"label":"page","prefix":"For initial assesment of consumer protection see"}],"schema":"https://github.com/citation-style-language/schema/raw/master/csl-citation.json"} </w:instrText>
      </w:r>
      <w:r w:rsidRPr="000D3E55">
        <w:rPr>
          <w:lang w:val="en-GB"/>
        </w:rPr>
        <w:fldChar w:fldCharType="separate"/>
      </w:r>
      <w:r w:rsidRPr="000D3E55">
        <w:rPr>
          <w:rFonts w:ascii="Calibri" w:hAnsi="Calibri" w:cs="Calibri"/>
          <w:kern w:val="0"/>
          <w:lang w:val="en-GB"/>
        </w:rPr>
        <w:t>ibid 1063 et seq.; For overview of fairness principle see Stefan Scheuerer, ‘The Fairness Principle in Competition-Related Economic Law’ (2023) 72 GRUR International 919; For initial assesment of consumer protection see Caroline Cauffman and Catalina Goanta, ‘A New Order: The Digital Services Act and Consumer Protection’ (2021) 12 European Journal of Risk Regulation 758.</w:t>
      </w:r>
      <w:r w:rsidRPr="000D3E55">
        <w:rPr>
          <w:lang w:val="en-GB"/>
        </w:rPr>
        <w:fldChar w:fldCharType="end"/>
      </w:r>
    </w:p>
  </w:footnote>
  <w:footnote w:id="11">
    <w:p w14:paraId="30A608A2" w14:textId="1E14D77B" w:rsidR="00D566B7" w:rsidRPr="000D3E55" w:rsidRDefault="00D566B7" w:rsidP="00D566B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{"citationID":"e9SAL55o","properties":{"formattedCitation":"Lessig described four regulatory modalities. On top of legal and economic forces, these are technology and social norms. See Lessig (n 6) 123 et seq.; Similarly, Fabrizio Esposito, {\\i{}The Consumer Welfare Hypothesis in Law and Economics} (Edward Elgar Publishing 2022) 6 et seq.","plainCitation":"Lessig described four regulatory modalities. On top of legal and economic forces, these are technology and social norms. See Lessig (n 6) 123 et seq.; Similarly, Fabrizio Esposito, The Consumer Welfare Hypothesis in Law and Economics (Edward Elgar Publishing 2022) 6 et seq.","noteIndex":10},"citationItems":[{"id":58,"uris":["http://zotero.org/users/local/09vVTa11/items/XHT9AKWI"],"itemData":{"id":58,"type":"book","abstract":"\"Code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2.0","author":[{"family":"Lessig","given":"Lawrence"}],"issued":{"date-parts":[["2006"]]}},"locator":"123 et seq.","label":"page","prefix":"Lessig described four regulatory modalities. On top of legal and economic forces, these are technology and social norms. See"},{"id":220,"uris":["http://zotero.org/users/local/09vVTa11/items/TRLLX6IV"],"itemData":{"id":220,"type":"book","ISBN":"978 1 80037 964 0","language":"en","publisher":"Edward Elgar Publishing","title":"The Consumer Welfare Hypothesis in Law and Economics","author":[{"family":"Esposito","given":"Fabrizio"}],"issued":{"date-parts":[["2022"]]}},"locator":"6 et seq.","label":"page","prefix":"Similarly,"}],"schema":"https://github.com/citation-style-language/schema/raw/master/csl-citation.json"}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Lessig described four regulatory modalities. On top of legal and economic forces, these are technology and social norms. See Lessig (n 6) 123 et seq.; Similarly, Fabrizio Esposito, </w:t>
      </w:r>
      <w:r w:rsidRPr="000D3E55">
        <w:rPr>
          <w:rFonts w:ascii="Calibri" w:hAnsi="Calibri" w:cs="Calibri"/>
          <w:i/>
          <w:kern w:val="0"/>
          <w:lang w:val="en-GB"/>
        </w:rPr>
        <w:t>The Consumer Welfare Hypothesis in Law and Economics</w:t>
      </w:r>
      <w:r w:rsidRPr="000D3E55">
        <w:rPr>
          <w:rFonts w:ascii="Calibri" w:hAnsi="Calibri" w:cs="Calibri"/>
          <w:kern w:val="0"/>
          <w:lang w:val="en-GB"/>
        </w:rPr>
        <w:t xml:space="preserve"> (Edward Elgar Publishing 2022) 6 et seq.</w:t>
      </w:r>
      <w:r w:rsidRPr="000D3E55">
        <w:rPr>
          <w:lang w:val="en-GB"/>
        </w:rPr>
        <w:fldChar w:fldCharType="end"/>
      </w:r>
    </w:p>
  </w:footnote>
  <w:footnote w:id="12">
    <w:p w14:paraId="5B728A6D" w14:textId="49CE8C05" w:rsidR="00B63251" w:rsidRPr="000D3E55" w:rsidRDefault="00B63251">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{"citationID":"UBUrxqRn","properties":{"formattedCitation":"Lessig (n 6) 130 et seq.","plainCitation":"Lessig (n 6) 130 et seq.","noteIndex":11},"citationItems":[{"id":58,"uris":["http://zotero.org/users/local/09vVTa11/items/XHT9AKWI"],"itemData":{"id":58,"type":"book","abstract":"\"Code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2.0","author":[{"family":"Lessig","given":"Lawrence"}],"issued":{"date-parts":[["2006"]]}},"locator":"130 et seq.","label":"page"}],"schema":"https://github.com/citation-style-language/schema/raw/master/csl-citation.json"} </w:instrText>
      </w:r>
      <w:r w:rsidRPr="000D3E55">
        <w:rPr>
          <w:lang w:val="en-GB"/>
        </w:rPr>
        <w:fldChar w:fldCharType="separate"/>
      </w:r>
      <w:r w:rsidRPr="000D3E55">
        <w:rPr>
          <w:rFonts w:ascii="Calibri" w:hAnsi="Calibri" w:cs="Calibri"/>
          <w:lang w:val="en-GB"/>
        </w:rPr>
        <w:t>Lessig (n 6) 130 et seq.</w:t>
      </w:r>
      <w:r w:rsidRPr="000D3E55">
        <w:rPr>
          <w:lang w:val="en-GB"/>
        </w:rPr>
        <w:fldChar w:fldCharType="end"/>
      </w:r>
    </w:p>
  </w:footnote>
  <w:footnote w:id="13">
    <w:p w14:paraId="13367ED1" w14:textId="3F8EC6D1" w:rsidR="00BA1FC2" w:rsidRPr="000D3E55" w:rsidRDefault="00BA1FC2" w:rsidP="00BA1FC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{"citationID":"v5bhKE89","properties":{"formattedCitation":"Warren J Samuels, {\\i{}The Legal-Economic Nexus: Fundamental Processes} (1st ed, Routledge 2007) 18 et seq.","plainCitation":"Warren J Samuels, The Legal-Economic Nexus: Fundamental Processes (1st ed, Routledge 2007) 18 et seq.","noteIndex":12},"citationItems":[{"id":11758,"uris":["http://zotero.org/users/local/09vVTa11/items/ZG43D8YX"],"itemData":{"id":11758,"type":"book","abstract":"Providing another key contribution to the immensely popular field of law and economics, this book, written by the doyen of the history of economic thought in the US, explores the dynamic relationship between economics, law and polity","collection-number":"v.1","collection-title":"The Economics of Legal Relationships","edition":"1st ed","event-place":"London","ISBN":"978-0-415-77179-5","language":"eng","number-of-pages":"491","publisher":"Routledge","publisher-place":"London","source":"K10plus ISBN","title":"The legal-economic nexus: fundamental processes","title-short":"The legal-economic nexus","author":[{"family":"Samuels","given":"Warren J."}],"issued":{"date-parts":[["2007"]]}},"locator":"18 et seq.","label":"page"}],"schema":"https://github.com/citation-style-language/schema/raw/master/csl-citation.json"}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Warren J Samuels, </w:t>
      </w:r>
      <w:r w:rsidRPr="000D3E55">
        <w:rPr>
          <w:rFonts w:ascii="Calibri" w:hAnsi="Calibri" w:cs="Calibri"/>
          <w:i/>
          <w:iCs/>
          <w:kern w:val="0"/>
          <w:lang w:val="en-GB"/>
        </w:rPr>
        <w:t>The Legal-Economic Nexus: Fundamental Processes</w:t>
      </w:r>
      <w:r w:rsidRPr="000D3E55">
        <w:rPr>
          <w:rFonts w:ascii="Calibri" w:hAnsi="Calibri" w:cs="Calibri"/>
          <w:kern w:val="0"/>
          <w:lang w:val="en-GB"/>
        </w:rPr>
        <w:t xml:space="preserve"> (1st ed, Routledge 2007) 18 et seq.</w:t>
      </w:r>
      <w:r w:rsidRPr="000D3E55">
        <w:rPr>
          <w:lang w:val="en-GB"/>
        </w:rPr>
        <w:fldChar w:fldCharType="end"/>
      </w:r>
    </w:p>
  </w:footnote>
  <w:footnote w:id="14">
    <w:p w14:paraId="7DEC0CB6" w14:textId="016C74F6" w:rsidR="00751400" w:rsidRPr="000D3E55" w:rsidRDefault="0075140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{"citationID":"XF1q3p98","properties":{"formattedCitation":"Frankel and Gervais (n 7) 3\\uc0\\u8211{}4; Lessig (n 6) 123.","plainCitation":"Frankel and Gervais (n 7) 3–4; Lessig (n 6) 123.","noteIndex":13},"citationItems":[{"id":691,"uris":["http://zotero.org/users/local/09vVTa11/items/WKZ2GVM6"],"itemData":{"id":691,"type":"book","abstract":"The digital age has prompted new questions about the role and function of copyright. Internationally, copyright has progressively increased its scope of protection over new technology and modes of distribution. Yet many copyright owners express dissatisfaction and consider that the system is not working for them. Many users of copyright material, and even some owners, consider that copyright gives too much protection and that copyright owners want too much. This book considers how copyright might evolve in the twenty-first century and how it might reach equilibrium between authors, owners, users and those who connect them.","collection-title":"Cambridge Intellectual Property and Information Law","event-place":"Cambridge","ISBN":"978-1-107-06256-6","note":"DOI: 10.1017/CBO9781107477179","publisher":"Cambridge University Press","publisher-place":"Cambridge","source":"Cambridge University Press","title":"The Evolution and Equilibrium of Copyright in the Digital Age","URL":"https://www.cambridge.org/core/books/evolution-and-equilibrium-of-copyright-in-the-digital-age/707E92AD9E89272D0DCC8F8CF83BD57D","editor":[{"family":"Frankel","given":"Susy"},{"family":"Gervais","given":"Daniel"}],"accessed":{"date-parts":[["2023",11,7]]},"issued":{"date-parts":[["2014"]]}},"locator":"3-4","label":"page"},{"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2.0","author":[{"family":"Lessig","given":"Lawrence"}],"issued":{"date-parts":[["2006"]]}},"locator":"123","label":"page"}],"schema":"https://github.com/citation-style-language/schema/raw/master/csl-citation.json"} </w:instrText>
      </w:r>
      <w:r w:rsidRPr="000D3E55">
        <w:rPr>
          <w:lang w:val="en-GB"/>
        </w:rPr>
        <w:fldChar w:fldCharType="separate"/>
      </w:r>
      <w:r w:rsidR="007E0BEA" w:rsidRPr="000D3E55">
        <w:rPr>
          <w:rFonts w:ascii="Calibri" w:hAnsi="Calibri" w:cs="Calibri"/>
          <w:kern w:val="0"/>
          <w:lang w:val="en-GB"/>
        </w:rPr>
        <w:t>Frankel and Gervais (n 7) 3–4; Lessig (n 6) 123.</w:t>
      </w:r>
      <w:r w:rsidRPr="000D3E55">
        <w:rPr>
          <w:lang w:val="en-GB"/>
        </w:rPr>
        <w:fldChar w:fldCharType="end"/>
      </w:r>
    </w:p>
  </w:footnote>
  <w:footnote w:id="15">
    <w:p w14:paraId="224D025A" w14:textId="0287B960" w:rsidR="009A7302" w:rsidRPr="000D3E55" w:rsidRDefault="009A730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{"citationID":"o0jekjtu","properties":{"formattedCitation":"One such example are videogame license agreements that are completely out of touch with law and technological reality of the day alike. See Ond\\uc0\\u345{}ej Woznica, \\uc0\\u8216{}Control, Compensation, and Access in Digital Copyright: Property and Liability Rule Analysis of Article 17 CDSM Directive\\uc0\\u8217{} (Masaryk University, Faculty of Law 2024) 235 et seq. &lt;https://is.muni.cz/th/uxxvw/&gt; accessed 3 March 2025.","plainCitation":"One such example are videogame license agreements that are completely out of touch with law and technological reality of the day alike. See Ondřej Woznica, ‘Control, Compensation, and Access in Digital Copyright: Property and Liability Rule Analysis of Article 17 CDSM Directive’ (Masaryk University, Faculty of Law 2024) 235 et seq. &lt;https://is.muni.cz/th/uxxvw/&gt; accessed 3 March 2025.","noteIndex":14},"citationItems":[{"id":9128,"uris":["http://zotero.org/users/local/09vVTa11/items/PIRB2A9K"],"itemData":{"id":9128,"type":"thesis","language":"eng","publisher":"Masaryk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copyright","URL":"https://is.muni.cz/th/uxxvw/","author":[{"family":"Woznica","given":"Ondřej"}],"accessed":{"date-parts":[["2025",3,3]]},"issued":{"date-parts":[["2024"]]}},"locator":"235 et seq.","label":"page","prefix":"One such example are videogame license agreements that are completely out of touch with law and technological reality of the day alike. See"}],"schema":"https://github.com/citation-style-language/schema/raw/master/csl-citation.json"} </w:instrText>
      </w:r>
      <w:r w:rsidRPr="000D3E55">
        <w:rPr>
          <w:lang w:val="en-GB"/>
        </w:rPr>
        <w:fldChar w:fldCharType="separate"/>
      </w:r>
      <w:r w:rsidRPr="000D3E55">
        <w:rPr>
          <w:rFonts w:ascii="Calibri" w:hAnsi="Calibri" w:cs="Calibri"/>
          <w:kern w:val="0"/>
          <w:lang w:val="en-GB"/>
        </w:rPr>
        <w:t>One such example are videogame license agreements that are completely out of touch with law and technological reality of the day alike. See Ondřej Woznica, ‘Control, Compensation, and Access in Digital Copyright: Property and Liability Rule Analysis of Article 17 CDSM Directive’ (Masaryk University, Faculty of Law 2024) 235 et seq. &lt;https://is.muni.cz/th/uxxvw/&gt; accessed 3 March 2025.</w:t>
      </w:r>
      <w:r w:rsidRPr="000D3E55">
        <w:rPr>
          <w:lang w:val="en-GB"/>
        </w:rPr>
        <w:fldChar w:fldCharType="end"/>
      </w:r>
    </w:p>
  </w:footnote>
  <w:footnote w:id="16">
    <w:p w14:paraId="0516E4BE" w14:textId="3C44F38E" w:rsidR="001437DD" w:rsidRPr="000D3E55" w:rsidRDefault="001437DD">
      <w:pPr>
        <w:pStyle w:val="FootnoteText"/>
        <w:rPr>
          <w:lang w:val="en-GB"/>
        </w:rPr>
      </w:pPr>
      <w:r w:rsidRPr="000D3E55">
        <w:rPr>
          <w:rStyle w:val="FootnoteReference"/>
          <w:lang w:val="en-GB"/>
        </w:rPr>
        <w:footnoteRef/>
      </w:r>
      <w:r w:rsidR="002605EC">
        <w:rPr>
          <w:lang w:val="en-GB"/>
        </w:rPr>
        <w:t xml:space="preserve"> </w:t>
      </w:r>
      <w:r w:rsidRPr="000D3E55">
        <w:rPr>
          <w:lang w:val="en-GB"/>
        </w:rPr>
        <w:fldChar w:fldCharType="begin"/>
      </w:r>
      <w:r w:rsidR="00D25645">
        <w:rPr>
          <w:lang w:val="en-GB"/>
        </w:rPr>
        <w:instrText xml:space="preserve"> ADDIN ZOTERO_ITEM CSL_CITATION {"citationID":"g0szC3cm","properties":{"formattedCitation":"Tools used by private parties to manage relationships. These include contractual and other tools. Niva Elkin-Koren and Eli Salzberger, {\\i{}The Law and Economics of Intellectual Property in the Digital Age: The Limits of Analysis} (Routledge, Taylor &amp; Francis Group 2013) 149 et seq.","plainCitation":"Tools used by private parties to manage relationships. These include contractual and other tools. Niva Elkin-Koren and Eli Salzberger, The Law and Economics of Intellectual Property in the Digital Age: The Limits of Analysis (Routledge, Taylor &amp; Francis Group 2013) 149 et seq.","noteIndex":15},"citationItems":[{"id":266,"uris":["http://zotero.org/users/local/09vVTa11/items/X4HI633N"],"itemData":{"id":266,"type":"book","ISBN":"978-1-138-78657-8","language":"en","publisher":"Routledge,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Age","author":[{"family":"Elkin-Koren","given":"Niva"},{"family":"Salzberger","given":"Eli"}],"accessed":{"date-parts":[["2023",4,14]]},"issued":{"date-parts":[["2013"]]}},"locator":"149 et seq.","label":"page","prefix":"Tools used by private parties to manage relationships. These include contractual and other tools."}],"schema":"https://github.com/citation-style-language/schema/raw/master/csl-citation.json"}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Tools used by private parties to manage relationships. These include contractual and other tools. Niva Elkin-Koren and Eli Salzberger, </w:t>
      </w:r>
      <w:r w:rsidRPr="000D3E55">
        <w:rPr>
          <w:rFonts w:ascii="Calibri" w:hAnsi="Calibri" w:cs="Calibri"/>
          <w:i/>
          <w:iCs/>
          <w:kern w:val="0"/>
          <w:lang w:val="en-GB"/>
        </w:rPr>
        <w:t>The Law and Economics of Intellectual Property in the Digital Age: The Limits of Analysis</w:t>
      </w:r>
      <w:r w:rsidRPr="000D3E55">
        <w:rPr>
          <w:rFonts w:ascii="Calibri" w:hAnsi="Calibri" w:cs="Calibri"/>
          <w:kern w:val="0"/>
          <w:lang w:val="en-GB"/>
        </w:rPr>
        <w:t xml:space="preserve"> (Routledge, Taylor &amp; Francis Group 2013) 149 et seq.</w:t>
      </w:r>
      <w:r w:rsidRPr="000D3E55">
        <w:rPr>
          <w:lang w:val="en-GB"/>
        </w:rPr>
        <w:fldChar w:fldCharType="end"/>
      </w:r>
    </w:p>
  </w:footnote>
  <w:footnote w:id="17">
    <w:p w14:paraId="62CEFB9F" w14:textId="5403B832" w:rsidR="00530A94" w:rsidRPr="000D3E55" w:rsidRDefault="00530A94">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{"citationID":"P47Gfdj9","properties":{"formattedCitation":"I.e., use of private tools, mainly contracts, to govern legal relationships. ibid.","plainCitation":"I.e., use of private tools, mainly contracts, to govern legal relationships. ibid.","noteIndex":16},"citationItems":[{"id":266,"uris":["http://zotero.org/users/local/09vVTa11/items/X4HI633N"],"itemData":{"id":266,"type":"book","ISBN":"978-1-138-78657-8","language":"en","publisher":"Routledge,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Age","author":[{"family":"Elkin-Koren","given":"Niva"},{"family":"Salzberger","given":"Eli"}],"accessed":{"date-parts":[["2023",4,14]]},"issued":{"date-parts":[["2013"]]}},"locator":"149 et seq.","label":"page","prefix":"I.e., use of private tools, mainly contracts, to govern legal relationships."}],"schema":"https://github.com/citation-style-language/schema/raw/master/csl-citation.json"} </w:instrText>
      </w:r>
      <w:r w:rsidRPr="000D3E55">
        <w:rPr>
          <w:lang w:val="en-GB"/>
        </w:rPr>
        <w:fldChar w:fldCharType="separate"/>
      </w:r>
      <w:r w:rsidR="00E302FB" w:rsidRPr="000D3E55">
        <w:rPr>
          <w:rFonts w:ascii="Calibri" w:hAnsi="Calibri" w:cs="Calibri"/>
          <w:kern w:val="0"/>
          <w:lang w:val="en-GB"/>
        </w:rPr>
        <w:t>I.e., use of private tools, mainly contracts, to govern legal relationships. ibid.</w:t>
      </w:r>
      <w:r w:rsidRPr="000D3E55">
        <w:rPr>
          <w:lang w:val="en-GB"/>
        </w:rPr>
        <w:fldChar w:fldCharType="end"/>
      </w:r>
    </w:p>
  </w:footnote>
  <w:footnote w:id="18">
    <w:p w14:paraId="238DE67F" w14:textId="392AF668" w:rsidR="00704B98" w:rsidRPr="000D3E55" w:rsidRDefault="00704B98">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{"citationID":"z53dwnOJ","properties":{"formattedCitation":"European Commission also undertook digital fairness evaluation in 2022 with reports published in 2024. This initiative, however, had narrower scope of selected consumer protection rules. See European Commission, \\uc0\\u8216{}Digital Fairness \\uc0\\u8211{} Fitness Check on EU Consumer Law\\uc0\\u8217{} (2024 2022) &lt;https://ec.europa.eu/info/law/better-regulation/have-your-say/initiatives/13413-Digital-fairness-fitness-check-on-EU-consumer-law_en&gt; accessed 2 May 2025.","plainCitation":"European Commission also undertook digital fairness evaluation in 2022 with reports published in 2024. This initiative, however, had narrower scope of selected consumer protection rules. See European Commission, ‘Digital Fairness – Fitness Check on EU Consumer Law’ (2024 2022) &lt;https://ec.europa.eu/info/law/better-regulation/have-your-say/initiatives/13413-Digital-fairness-fitness-check-on-EU-consumer-law_en&gt; accessed 2 May 2025.","noteIndex":17},"citationItems":[{"id":11661,"uris":["http://zotero.org/users/local/09vVTa11/items/KBGNZBEV"],"itemData":{"id":11661,"type":"webpage","title":"Digital fairness – fitness check on EU consumer law","URL":"https://ec.europa.eu/info/law/better-regulation/have-your-say/initiatives/13413-Digital-fairness-fitness-check-on-EU-consumer-law_en","author":[{"literal":"European Commission"}],"accessed":{"date-parts":[["2025",5,2]]},"issued":{"date-parts":[["2022"]],"season":"2024"}},"label":"page","prefix":"European Commission also undertook digital fairness evaluation in 2022 with reports published in 2024. This initiative, however, had narrower scope of selected consumer protection rules. See"}],"schema":"https://github.com/citation-style-language/schema/raw/master/csl-citation.json"} </w:instrText>
      </w:r>
      <w:r w:rsidRPr="000D3E55">
        <w:rPr>
          <w:lang w:val="en-GB"/>
        </w:rPr>
        <w:fldChar w:fldCharType="separate"/>
      </w:r>
      <w:r w:rsidR="001D4F25" w:rsidRPr="000D3E55">
        <w:rPr>
          <w:rFonts w:ascii="Calibri" w:hAnsi="Calibri" w:cs="Calibri"/>
          <w:kern w:val="0"/>
          <w:lang w:val="en-GB"/>
        </w:rPr>
        <w:t>European Commission also undertook digital fairness evaluation in 2022 with reports published in 2024. This initiative, however, had narrower scope of selected consumer protection rules. See European Commission, ‘Digital Fairness – Fitness Check on EU Consumer Law’ (2024 2022) &lt;https://ec.europa.eu/info/law/better-regulation/have-your-say/initiatives/13413-Digital-fairness-fitness-check-on-EU-consumer-law_en&gt; accessed 2 May 2025.</w:t>
      </w:r>
      <w:r w:rsidRPr="000D3E55">
        <w:rPr>
          <w:lang w:val="en-GB"/>
        </w:rPr>
        <w:fldChar w:fldCharType="end"/>
      </w:r>
    </w:p>
  </w:footnote>
  <w:footnote w:id="19">
    <w:p w14:paraId="59443F38" w14:textId="351C3F68" w:rsidR="00583786" w:rsidRPr="000D3E55" w:rsidRDefault="00583786">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{"citationID":"yRTj9WrM","properties":{"formattedCitation":"Annette Kur, Nari Lee and Anna Tischner, \\uc0\\u8216{}Fairness In Intellectual Property Law: Searching for a Uniform Concept\\uc0\\u8217{}, {\\i{}Fairness In Intellectual Property Law} (Edward Elgar Publishing 2024) 9 &lt;https://www.elgaronline.com/monobook-oa/book/9781800883062/9781800883062.xml&gt; accessed 17 March 2025.","plainCitation":"Annette Kur, Nari Lee and Anna Tischner, ‘Fairness In Intellectual Property Law: Searching for a Uniform Concept’, Fairness In Intellectual Property Law (Edward Elgar Publishing 2024) 9 &lt;https://www.elgaronline.com/monobook-oa/book/9781800883062/9781800883062.xml&gt; accessed 17 March 2025.","noteIndex":18},"citationItems":[{"id":11657,"uris":["http://zotero.org/users/local/09vVTa11/items/HNLZGEIH"],"itemData":{"id":11657,"type":"chapter","abstract":"\"Fairness In Intellectual Property Law\" published on 05 Nov 2024 by Edward Elgar Publishing.","container-title":"Fairness In Intellectual Property Law","ISBN":"978-1-80088-306-2","language":"eng","publisher":"Edward Elgar Publishing","source":"www.elgaronline.com","title":"Fairness In Intellectual Property Law: Searching for a Uniform Concept","title-short":"Fairness In Intellectual Property Law","URL":"https://www.elgaronline.com/monobook-oa/book/9781800883062/9781800883062.xml","author":[{"family":"Kur","given":"Annette"},{"family":"Lee","given":"Nari"},{"family":"Tischner","given":"Anna"}],"accessed":{"date-parts":[["2025",3,17]]},"issued":{"date-parts":[["2024",11,5]]}},"locator":"9","label":"page"}],"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Annette Kur, Nari Lee and Anna Tischner, ‘Fairness In Intellectual Property Law: Searching for a Uniform Concept’, </w:t>
      </w:r>
      <w:r w:rsidRPr="000D3E55">
        <w:rPr>
          <w:rFonts w:ascii="Calibri" w:hAnsi="Calibri" w:cs="Calibri"/>
          <w:i/>
          <w:kern w:val="0"/>
          <w:lang w:val="en-GB"/>
        </w:rPr>
        <w:t>Fairness In Intellectual Property Law</w:t>
      </w:r>
      <w:r w:rsidRPr="000D3E55">
        <w:rPr>
          <w:rFonts w:ascii="Calibri" w:hAnsi="Calibri" w:cs="Calibri"/>
          <w:kern w:val="0"/>
          <w:lang w:val="en-GB"/>
        </w:rPr>
        <w:t xml:space="preserve"> (Edward Elgar Publishing 2024) 9 &lt;https://www.elgaronline.com/monobook-oa/book/9781800883062/9781800883062.xml&gt; accessed 17 March 2025.</w:t>
      </w:r>
      <w:r w:rsidRPr="000D3E55">
        <w:rPr>
          <w:lang w:val="en-GB"/>
        </w:rPr>
        <w:fldChar w:fldCharType="end"/>
      </w:r>
    </w:p>
  </w:footnote>
  <w:footnote w:id="20">
    <w:p w14:paraId="55AE6C25" w14:textId="6306891D" w:rsidR="0093385E" w:rsidRPr="000D3E55" w:rsidRDefault="0093385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{"citationID":"IdaYFVPS","properties":{"formattedCitation":"Martin Husovec, {\\i{}Principles of the Digital Services Act} (Oxford University Press 2024) 8; Kur, Lee and Tischner, \\uc0\\u8216{}Fairness In Intellectual Property Law\\uc0\\u8217{} (n 18) 286.","plainCitation":"Martin Husovec, Principles of the Digital Services Act (Oxford University Press 2024) 8; Kur, Lee and Tischner, ‘Fairness In Intellectual Property Law’ (n 18) 286.","noteIndex":19},"citationItems":[{"id":"njS2q1xr/Y59GPNwV","uris":["http://zotero.org/users/1910271/items/VX6YWRL6"],"itemData":{"id":16777,"type":"book","abstract":"\"Numerous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beyond.\"--","event-place":"Oxford, United Kingdom","ISBN":"978-0-19-288245-5","language":"eng","number-of-pages":"482","publisher":"Oxford University Press","publisher-place":"Oxford, United Kingdom","source":"K10plus ISBN","title":"Principles of the Digital Services Act","author":[{"family":"Husovec","given":"Martin"}],"issued":{"date-parts":[["2024"]]}},"locator":"8","label":"page"},{"id":11657,"uris":["http://zotero.org/users/local/09vVTa11/items/HNLZGEIH"],"itemData":{"id":11657,"type":"chapter","abstract":"\"Fairness In Intellectual Property Law\" published on 05 Nov 2024 by Edward Elgar Publishing.","container-title":"Fairness In Intellectual Property Law","ISBN":"978-1-80088-306-2","language":"eng","publisher":"Edward Elgar Publishing","source":"www.elgaronline.com","title":"Fairness In Intellectual Property Law: Searching for a Uniform Concept","title-short":"Fairness In Intellectual Property Law","URL":"https://www.elgaronline.com/monobook-oa/book/9781800883062/9781800883062.xml","author":[{"family":"Kur","given":"Annette"},{"family":"Lee","given":"Nari"},{"family":"Tischner","given":"Anna"}],"accessed":{"date-parts":[["2025",3,17]]},"issued":{"date-parts":[["2024",11,5]]}},"locator":"286","label":"page"}],"schema":"https://github.com/citation-style-language/schema/raw/master/csl-citation.json"} </w:instrText>
      </w:r>
      <w:r w:rsidRPr="000D3E55">
        <w:rPr>
          <w:lang w:val="en-GB"/>
        </w:rPr>
        <w:fldChar w:fldCharType="separate"/>
      </w:r>
      <w:r w:rsidR="00E302FB" w:rsidRPr="000D3E55">
        <w:rPr>
          <w:rFonts w:ascii="Calibri" w:hAnsi="Calibri" w:cs="Calibri"/>
          <w:kern w:val="0"/>
          <w:szCs w:val="24"/>
          <w:lang w:val="en-GB"/>
        </w:rPr>
        <w:t xml:space="preserve">Martin Husovec, </w:t>
      </w:r>
      <w:r w:rsidR="00E302FB" w:rsidRPr="000D3E55">
        <w:rPr>
          <w:rFonts w:ascii="Calibri" w:hAnsi="Calibri" w:cs="Calibri"/>
          <w:i/>
          <w:iCs/>
          <w:kern w:val="0"/>
          <w:szCs w:val="24"/>
          <w:lang w:val="en-GB"/>
        </w:rPr>
        <w:t>Principles of the Digital Services Act</w:t>
      </w:r>
      <w:r w:rsidR="00E302FB" w:rsidRPr="000D3E55">
        <w:rPr>
          <w:rFonts w:ascii="Calibri" w:hAnsi="Calibri" w:cs="Calibri"/>
          <w:kern w:val="0"/>
          <w:szCs w:val="24"/>
          <w:lang w:val="en-GB"/>
        </w:rPr>
        <w:t xml:space="preserve"> (Oxford University Press 2024) 8; Kur, Lee and Tischner, ‘Fairness In Intellectual Property Law’ (n 18) 286.</w:t>
      </w:r>
      <w:r w:rsidRPr="000D3E55">
        <w:rPr>
          <w:lang w:val="en-GB"/>
        </w:rPr>
        <w:fldChar w:fldCharType="end"/>
      </w:r>
    </w:p>
  </w:footnote>
  <w:footnote w:id="21">
    <w:p w14:paraId="1EF6C25B" w14:textId="0AB5868E" w:rsidR="00DB720D" w:rsidRPr="000D3E55" w:rsidRDefault="00DB720D">
      <w:pPr>
        <w:pStyle w:val="FootnoteText"/>
        <w:rPr>
          <w:lang w:val="en-GB"/>
        </w:rPr>
      </w:pPr>
      <w:r w:rsidRPr="000D3E55">
        <w:rPr>
          <w:rStyle w:val="FootnoteReference"/>
          <w:lang w:val="en-GB"/>
        </w:rPr>
        <w:footnoteRef/>
      </w:r>
      <w:r w:rsidRPr="000D3E55">
        <w:rPr>
          <w:lang w:val="en-GB"/>
        </w:rPr>
        <w:t xml:space="preserve"> Articles 16, 17, 20 and 21 DSA.</w:t>
      </w:r>
    </w:p>
  </w:footnote>
  <w:footnote w:id="22">
    <w:p w14:paraId="62DFDA5B" w14:textId="31C8334F" w:rsidR="00DB720D" w:rsidRPr="000D3E55" w:rsidRDefault="00DB720D">
      <w:pPr>
        <w:pStyle w:val="FootnoteText"/>
        <w:rPr>
          <w:lang w:val="en-GB"/>
        </w:rPr>
      </w:pPr>
      <w:r w:rsidRPr="000D3E55">
        <w:rPr>
          <w:rStyle w:val="FootnoteReference"/>
          <w:lang w:val="en-GB"/>
        </w:rPr>
        <w:footnoteRef/>
      </w:r>
      <w:r w:rsidRPr="000D3E55">
        <w:rPr>
          <w:lang w:val="en-GB"/>
        </w:rPr>
        <w:t xml:space="preserve"> Articles 14 (1), 14 (4) and 23 DSA.</w:t>
      </w:r>
    </w:p>
  </w:footnote>
  <w:footnote w:id="23">
    <w:p w14:paraId="44072220" w14:textId="43B232E3" w:rsidR="00DB720D" w:rsidRPr="000D3E55" w:rsidRDefault="00DB720D">
      <w:pPr>
        <w:pStyle w:val="FootnoteText"/>
        <w:rPr>
          <w:lang w:val="en-GB"/>
        </w:rPr>
      </w:pPr>
      <w:r w:rsidRPr="000D3E55">
        <w:rPr>
          <w:rStyle w:val="FootnoteReference"/>
          <w:lang w:val="en-GB"/>
        </w:rPr>
        <w:footnoteRef/>
      </w:r>
      <w:r w:rsidRPr="000D3E55">
        <w:rPr>
          <w:lang w:val="en-GB"/>
        </w:rPr>
        <w:t xml:space="preserve"> Articles 27 and 38 </w:t>
      </w:r>
      <w:r w:rsidR="0038587F" w:rsidRPr="000D3E55">
        <w:rPr>
          <w:lang w:val="en-GB"/>
        </w:rPr>
        <w:t xml:space="preserve">DSA </w:t>
      </w:r>
      <w:r w:rsidRPr="000D3E55">
        <w:rPr>
          <w:lang w:val="en-GB"/>
        </w:rPr>
        <w:t>for recommender systems, Articles 26</w:t>
      </w:r>
      <w:r w:rsidR="0038587F" w:rsidRPr="000D3E55">
        <w:rPr>
          <w:lang w:val="en-GB"/>
        </w:rPr>
        <w:t xml:space="preserve">, 28 (2) and 39 DSA for design of advertising and Articles 25 and 28 DSA for design of user experience. </w:t>
      </w:r>
    </w:p>
  </w:footnote>
  <w:footnote w:id="24">
    <w:p w14:paraId="3D880E1B" w14:textId="4556DA22" w:rsidR="00EA2F7D" w:rsidRPr="000D3E55" w:rsidRDefault="00EA2F7D">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{"citationID":"spy3bDqQ","properties":{"formattedCitation":"Kur, Lee and Tischner, \\uc0\\u8216{}Fairness In Intellectual Property Law\\uc0\\u8217{} (n 18) 9 et seq.","plainCitation":"Kur, Lee and Tischner, ‘Fairness In Intellectual Property Law’ (n 18) 9 et seq.","noteIndex":23},"citationItems":[{"id":11657,"uris":["http://zotero.org/users/local/09vVTa11/items/HNLZGEIH"],"itemData":{"id":11657,"type":"chapter","abstract":"\"Fairness In Intellectual Property Law\" published on 05 Nov 2024 by Edward Elgar Publishing.","container-title":"Fairness In Intellectual Property Law","ISBN":"978-1-80088-306-2","language":"eng","publisher":"Edward Elgar Publishing","source":"www.elgaronline.com","title":"Fairness In Intellectual Property Law: Searching for a Uniform Concept","title-short":"Fairness In Intellectual Property Law","URL":"https://www.elgaronline.com/monobook-oa/book/9781800883062/9781800883062.xml","author":[{"family":"Kur","given":"Annette"},{"family":"Lee","given":"Nari"},{"family":"Tischner","given":"Anna"}],"accessed":{"date-parts":[["2025",3,17]]},"issued":{"date-parts":[["2024",11,5]]}},"locator":"9 et seq.","label":"page"}],"schema":"https://github.com/citation-style-language/schema/raw/master/csl-citation.json"} </w:instrText>
      </w:r>
      <w:r w:rsidRPr="000D3E55">
        <w:rPr>
          <w:lang w:val="en-GB"/>
        </w:rPr>
        <w:fldChar w:fldCharType="separate"/>
      </w:r>
      <w:r w:rsidR="00E302FB" w:rsidRPr="000D3E55">
        <w:rPr>
          <w:rFonts w:ascii="Calibri" w:hAnsi="Calibri" w:cs="Calibri"/>
          <w:kern w:val="0"/>
          <w:szCs w:val="24"/>
          <w:lang w:val="en-GB"/>
        </w:rPr>
        <w:t>Kur, Lee and Tischner, ‘Fairness In Intellectual Property Law’ (n 18) 9 et seq.</w:t>
      </w:r>
      <w:r w:rsidRPr="000D3E55">
        <w:rPr>
          <w:lang w:val="en-GB"/>
        </w:rPr>
        <w:fldChar w:fldCharType="end"/>
      </w:r>
    </w:p>
  </w:footnote>
  <w:footnote w:id="25">
    <w:p w14:paraId="192E9A81" w14:textId="4C7A321F" w:rsidR="001D4F25" w:rsidRPr="000D3E55" w:rsidRDefault="001D4F2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{"citationID":"upWG3eY9","properties":{"formattedCitation":"Cauffman and Goanta (n 9) 758.","plainCitation":"Cauffman and Goanta (n 9) 758.","noteIndex":24},"citationItems":[{"id":11681,"uris":["http://zotero.org/users/local/09vVTa11/items/XUAD8334"],"itemData":{"id":11681,"type":"article-journal","abstract":"On 16 December 2020, the European Commission delivered on the plans proposed in the European Digital Strategy by publishing two proposals related to the governance of digital services in the European Union: the Digital Services Act (DSA) and the Digital Markets Act (DMA). The much-awaited regulatory reform is often mentioned in the context of content moderation and freedom of expression, market power and competition. It is, however, important to bear in mind the contractual nature of the relationship between users and platforms and the additional contracts concluded on the platform between the users, in particular traders and consumers. Moreover, the monetisation offered by digital platforms has led to new dynamics and economic interests. This paper explores the reform proposed by the European Commission by means of the DSA by touching upon four main themes that will be addressed from the perspective of consumer protection: (1) the internal coherence of European Union law; (2) intermediary liability; (3) the outsourcing of solutions to private parties; and (4) digital enforcement.","container-title":"European Journal of Risk Regulation","DOI":"10.1017/err.2021.8","ISSN":"1867-299X, 2190-8249","issue":"4","language":"en","page":"758-774","source":"Cambridge University Press","title":"A New Order: The Digital Services Act and Consumer Protection","title-short":"A New Order","volume":"12","author":[{"family":"Cauffman","given":"Caroline"},{"family":"Goanta","given":"Catalina"}],"issued":{"date-parts":[["2021",12]]}},"locator":"758","label":"page"}],"schema":"https://github.com/citation-style-language/schema/raw/master/csl-citation.json"} </w:instrText>
      </w:r>
      <w:r w:rsidRPr="000D3E55">
        <w:rPr>
          <w:lang w:val="en-GB"/>
        </w:rPr>
        <w:fldChar w:fldCharType="separate"/>
      </w:r>
      <w:r w:rsidR="001C0834" w:rsidRPr="000D3E55">
        <w:rPr>
          <w:rFonts w:ascii="Calibri" w:hAnsi="Calibri" w:cs="Calibri"/>
          <w:lang w:val="en-GB"/>
        </w:rPr>
        <w:t>Cauffman and Goanta (n 9) 758.</w:t>
      </w:r>
      <w:r w:rsidRPr="000D3E55">
        <w:rPr>
          <w:lang w:val="en-GB"/>
        </w:rPr>
        <w:fldChar w:fldCharType="end"/>
      </w:r>
    </w:p>
  </w:footnote>
  <w:footnote w:id="26">
    <w:p w14:paraId="2D65EDC1" w14:textId="453596FA" w:rsidR="001B79C6" w:rsidRPr="000D3E55" w:rsidRDefault="001B79C6">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{"citationID":"Ln1Jgrma","properties":{"formattedCitation":"Elkin-Koren and Salzberger (n 15) 23\\uc0\\u8211{}25.","plainCitation":"Elkin-Koren and Salzberger (n 15) 23–25.","noteIndex":25},"citationItems":[{"id":266,"uris":["http://zotero.org/users/local/09vVTa11/items/X4HI633N"],"itemData":{"id":266,"type":"book","ISBN":"978-1-138-78657-8","language":"en","publisher":"Routledge,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23-25","label":"page"}],"schema":"https://github.com/citation-style-language/schema/raw/master/csl-citation.json"} </w:instrText>
      </w:r>
      <w:r w:rsidRPr="000D3E55">
        <w:rPr>
          <w:lang w:val="en-GB"/>
        </w:rPr>
        <w:fldChar w:fldCharType="separate"/>
      </w:r>
      <w:r w:rsidR="009A7302" w:rsidRPr="000D3E55">
        <w:rPr>
          <w:rFonts w:ascii="Calibri" w:hAnsi="Calibri" w:cs="Calibri"/>
          <w:kern w:val="0"/>
          <w:lang w:val="en-GB"/>
        </w:rPr>
        <w:t>Elkin-Koren and Salzberger (n 15) 23–25.</w:t>
      </w:r>
      <w:r w:rsidRPr="000D3E55">
        <w:rPr>
          <w:lang w:val="en-GB"/>
        </w:rPr>
        <w:fldChar w:fldCharType="end"/>
      </w:r>
    </w:p>
  </w:footnote>
  <w:footnote w:id="27">
    <w:p w14:paraId="4267A60F" w14:textId="50BD557C" w:rsidR="00390A9C" w:rsidRPr="000D3E55" w:rsidRDefault="00390A9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{"citationID":"Orw0xxnc","properties":{"formattedCitation":"I.e., any costs incurred to carry out the transaction, including ex-ante and ex-post costs. Francesco Parisi (ed), {\\i{}The Oxford Handbook of Law and Economics} (Oxford University Press 2017) 297.","plainCitation":"I.e., any costs incurred to carry out the transaction, including ex-ante and ex-post costs. Francesco Parisi (ed), The Oxford Handbook of Law and Economics (Oxford University Press 2017) 297.","noteIndex":26},"citationItems":[{"id":758,"uris":["http://zotero.org/users/local/09vVTa11/items/U64FGHJI"],"itemData":{"id":758,"type":"book","call-number":"K487.E3 O94 2017","event-place":"Oxford, United Kingdom","ISBN":"978-0-19-968426-7","note":"OCLC: ocn987229885","number-of-pages":"3","publisher":"Oxford University Press","publisher-place":"Oxford, United Kingdom","source":"Library of Congress ISBN","title":"The Oxford handbook of law and economics","editor":[{"family":"Parisi","given":"Francesco"}],"issued":{"date-parts":[["2017"]]}},"locator":"297","label":"page","prefix":"I.e., any costs incurred to carry out the transaction, including ex-ante and ex-post costs. "}],"schema":"https://github.com/citation-style-language/schema/raw/master/csl-citation.json"} </w:instrText>
      </w:r>
      <w:r w:rsidRPr="000D3E55">
        <w:rPr>
          <w:lang w:val="en-GB"/>
        </w:rPr>
        <w:fldChar w:fldCharType="separate"/>
      </w:r>
      <w:r w:rsidR="00894B43" w:rsidRPr="000D3E55">
        <w:rPr>
          <w:rFonts w:ascii="Calibri" w:hAnsi="Calibri" w:cs="Calibri"/>
          <w:kern w:val="0"/>
          <w:lang w:val="en-GB"/>
        </w:rPr>
        <w:t xml:space="preserve">I.e., any costs incurred to carry out the transaction, including ex-ante and ex-post costs. Francesco Parisi (ed), </w:t>
      </w:r>
      <w:r w:rsidR="00894B43" w:rsidRPr="000D3E55">
        <w:rPr>
          <w:rFonts w:ascii="Calibri" w:hAnsi="Calibri" w:cs="Calibri"/>
          <w:i/>
          <w:kern w:val="0"/>
          <w:lang w:val="en-GB"/>
        </w:rPr>
        <w:t>The Oxford Handbook of Law and Economics</w:t>
      </w:r>
      <w:r w:rsidR="00894B43" w:rsidRPr="000D3E55">
        <w:rPr>
          <w:rFonts w:ascii="Calibri" w:hAnsi="Calibri" w:cs="Calibri"/>
          <w:kern w:val="0"/>
          <w:lang w:val="en-GB"/>
        </w:rPr>
        <w:t xml:space="preserve"> (Oxford University Press 2017) 297.</w:t>
      </w:r>
      <w:r w:rsidRPr="000D3E55">
        <w:rPr>
          <w:lang w:val="en-GB"/>
        </w:rPr>
        <w:fldChar w:fldCharType="end"/>
      </w:r>
    </w:p>
  </w:footnote>
  <w:footnote w:id="28">
    <w:p w14:paraId="1A225A14" w14:textId="026CB820" w:rsidR="00F66F66" w:rsidRPr="000D3E55" w:rsidRDefault="00F66F66">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{"citationID":"ZRJBNDHb","properties":{"formattedCitation":"RH Coase, \\uc0\\u8216{}The Problem of Social Cost\\uc0\\u8217{} (1960) 3 The Journal of Law &amp; Economics 1, 15 et seq.","plainCitation":"RH Coase, ‘The Problem of Social Cost’ (1960) 3 The Journal of Law &amp; Economics 1, 15 et seq.","noteIndex":27},"citationItems":[{"id":313,"uris":["http://zotero.org/users/local/09vVTa11/items/22IHE9PJ"],"itemData":{"id":313,"type":"article-journal","container-title":"The Journal of Law &amp; Economics","ISSN":"0022-2186","note":"publisher: [University of Chicago Press, Booth School of Business, University of Chicago, University of Chicago Law School]","page":"1-44","source":"JSTOR","title":"The Problem of Social Cost","volume":"3","author":[{"family":"Coase","given":"R. H."}],"issued":{"date-parts":[["1960"]]}},"locator":"15 et seq.","label":"page"}],"schema":"https://github.com/citation-style-language/schema/raw/master/csl-citation.json"} </w:instrText>
      </w:r>
      <w:r w:rsidRPr="000D3E55">
        <w:rPr>
          <w:lang w:val="en-GB"/>
        </w:rPr>
        <w:fldChar w:fldCharType="separate"/>
      </w:r>
      <w:r w:rsidRPr="000D3E55">
        <w:rPr>
          <w:rFonts w:ascii="Calibri" w:hAnsi="Calibri" w:cs="Calibri"/>
          <w:kern w:val="0"/>
          <w:lang w:val="en-GB"/>
        </w:rPr>
        <w:t>RH Coase, ‘The Problem of Social Cost’ (1960) 3 The Journal of Law &amp; Economics 1, 15 et seq.</w:t>
      </w:r>
      <w:r w:rsidRPr="000D3E55">
        <w:rPr>
          <w:lang w:val="en-GB"/>
        </w:rPr>
        <w:fldChar w:fldCharType="end"/>
      </w:r>
    </w:p>
  </w:footnote>
  <w:footnote w:id="29">
    <w:p w14:paraId="3520E8CD" w14:textId="4E4A4F25" w:rsidR="008D020F" w:rsidRPr="000D3E55" w:rsidRDefault="008D020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{"citationID":"7LnBdewi","properties":{"formattedCitation":"Platforms as frequent intermediaries have available information on, e.g., licensing markets, while users struggle even with the concept of copyright. Similarly, these large commercial entities weight significantly larger market power in transacting with users. Elkin-Koren and Salzberger (n 15) 162.","plainCitation":"Platforms as frequent intermediaries have available information on, e.g., licensing markets, while users struggle even with the concept of copyright. Similarly, these large commercial entities weight significantly larger market power in transacting with users. Elkin-Koren and Salzberger (n 15) 162.","noteIndex":28},"citationItems":[{"id":266,"uris":["http://zotero.org/users/local/09vVTa11/items/X4HI633N"],"itemData":{"id":266,"type":"book","ISBN":"978-1-138-78657-8","language":"en","publisher":"Routledge,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Age","author":[{"family":"Elkin-Koren","given":"Niva"},{"family":"Salzberger","given":"Eli"}],"accessed":{"date-parts":[["2023",4,14]]},"issued":{"date-parts":[["2013"]]}},"locator":"162","label":"page","prefix":"Platforms as frequent intermediaries have available information on, e.g., licensing markets, while users struggle even with the concept of copyright. Similarly, these large commercial entities weight significantly larger market power in transacting with users."}],"schema":"https://github.com/citation-style-language/schema/raw/master/csl-citation.json"} </w:instrText>
      </w:r>
      <w:r w:rsidRPr="000D3E55">
        <w:rPr>
          <w:lang w:val="en-GB"/>
        </w:rPr>
        <w:fldChar w:fldCharType="separate"/>
      </w:r>
      <w:r w:rsidR="009A7302" w:rsidRPr="000D3E55">
        <w:rPr>
          <w:rFonts w:ascii="Calibri" w:hAnsi="Calibri" w:cs="Calibri"/>
          <w:lang w:val="en-GB"/>
        </w:rPr>
        <w:t>Platforms as frequent intermediaries have available information on, e.g., licensing markets, while users struggle even with the concept of copyright. Similarly, these large commercial entities weight significantly larger market power in transacting with users. Elkin-Koren and Salzberger (n 15) 162.</w:t>
      </w:r>
      <w:r w:rsidRPr="000D3E55">
        <w:rPr>
          <w:lang w:val="en-GB"/>
        </w:rPr>
        <w:fldChar w:fldCharType="end"/>
      </w:r>
    </w:p>
  </w:footnote>
  <w:footnote w:id="30">
    <w:p w14:paraId="0407EE16" w14:textId="3E9BBB74" w:rsidR="00124230" w:rsidRPr="000D3E55" w:rsidRDefault="00124230" w:rsidP="0012423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{"citationID":"ekyOmKNc","properties":{"formattedCitation":"In recent piece, Lemley argued that market dominant players act to restrict further competition and actively engage in practices blocking competition and unfair consumer behavior. See Mark A Lemley, \\uc0\\u8216{}Free the Market: How We Can Save Capitalism from the Capitalists\\uc0\\u8217{} [2024] SSRN Electronic Journal &lt;https://www.ssrn.com/abstract=4692267&gt; accessed 5 May 2025; Grimmelmann and Zhang adopt similar view where self-maximizing behaviour may undermine social welfare. Grimmelmann and Zhang (n 8) 1025 et seq.","plainCitation":"In recent piece, Lemley argued that market dominant players act to restrict further competition and actively engage in practices blocking competition and unfair consumer behavior. See Mark A Lemley, ‘Free the Market: How We Can Save Capitalism from the Capitalists’ [2024] SSRN Electronic Journal &lt;https://www.ssrn.com/abstract=4692267&gt; accessed 5 May 2025; Grimmelmann and Zhang adopt similar view where self-maximizing behaviour may undermine social welfare. Grimmelmann and Zhang (n 8) 1025 et seq.","noteIndex":29},"citationItems":[{"id":11708,"uris":["http://zotero.org/users/local/09vVTa11/items/DGMH8WD6"],"itemData":{"id":11708,"type":"article-journal","container-title":"SSRN Electronic Journal","DOI":"10.2139/ssrn.4692267","ISSN":"1556-5068","journalAbbreviation":"SSRN Journal","language":"en","source":"DOI.org (Crossref)","title":"Free the Market: How We Can Save Capitalism from the Capitalists","title-short":"Free the Market","URL":"https://www.ssrn.com/abstract=4692267","author":[{"family":"Lemley","given":"Mark A."}],"accessed":{"date-parts":[["2025",5,5]]},"issued":{"date-parts":[["2024"]]}},"label":"page","prefix":"In recent piece, Lemley argued that market dominant players act to restrict further competition and actively engage in practices blocking competition and unfair consumer behavior. See"},{"id":2385,"uris":["http://zotero.org/users/local/09vVTa11/items/CW9MUM8F"],"itemData":{"id":2385,"type":"article-journal","abstract":"Scholars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liability","URL":"https://btlj.org/2024/01/volume-38-issue-3/","volume":"38","author":[{"family":"Grimmelmann","given":"James"},{"family":"Zhang","given":"Pengfei"}],"issued":{"date-parts":[["2023"]]}},"locator":"1025 et seq.","label":"page","prefix":"Grimmelmann and Zhang adopt similar view where self-maximizing behaviour may undermine social welfare."}],"schema":"https://github.com/citation-style-language/schema/raw/master/csl-citation.json"} </w:instrText>
      </w:r>
      <w:r w:rsidRPr="000D3E55">
        <w:rPr>
          <w:lang w:val="en-GB"/>
        </w:rPr>
        <w:fldChar w:fldCharType="separate"/>
      </w:r>
      <w:r w:rsidR="000D3E55" w:rsidRPr="000D3E55">
        <w:rPr>
          <w:rFonts w:ascii="Calibri" w:hAnsi="Calibri" w:cs="Calibri"/>
          <w:kern w:val="0"/>
          <w:lang w:val="en-GB"/>
        </w:rPr>
        <w:t>In recent piece, Lemley argued that market dominant players act to restrict further competition and actively engage in practices blocking competition and unfair consumer behavior. See Mark A Lemley, ‘Free the Market: How We Can Save Capitalism from the Capitalists’ [2024] SSRN Electronic Journal &lt;https://www.ssrn.com/abstract=4692267&gt; accessed 5 May 2025; Grimmelmann and Zhang adopt similar view where self-maximizing behaviour may undermine social welfare. Grimmelmann and Zhang (n 8) 1025 et seq.</w:t>
      </w:r>
      <w:r w:rsidRPr="000D3E55">
        <w:rPr>
          <w:lang w:val="en-GB"/>
        </w:rPr>
        <w:fldChar w:fldCharType="end"/>
      </w:r>
    </w:p>
  </w:footnote>
  <w:footnote w:id="31">
    <w:p w14:paraId="39EDAEDD" w14:textId="77DC4301" w:rsidR="00A46B35" w:rsidRPr="000D3E55" w:rsidRDefault="00A46B3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{"citationID":"szCPmM1o","properties":{"formattedCitation":"Lessig describes nexus of legal, economic, technological and social forces. Lessig (n 6) 123 et seq.; See also Samuels (n 12) 25 et seq.","plainCitation":"Lessig describes nexus of legal, economic, technological and social forces. Lessig (n 6) 123 et seq.; See also Samuels (n 12) 25 et seq.","noteIndex":30},"citationItems":[{"id":58,"uris":["http://zotero.org/users/local/09vVTa11/items/XHT9AKWI"],"itemData":{"id":58,"type":"book","abstract":"\"Code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2.0","author":[{"family":"Lessig","given":"Lawrence"}],"issued":{"date-parts":[["2006"]]}},"locator":"123 et seq.","label":"page","prefix":"Lessig describes nexus of legal, economic, technological and social forces."},{"id":11758,"uris":["http://zotero.org/users/local/09vVTa11/items/ZG43D8YX"],"itemData":{"id":11758,"type":"book","abstract":"Providing another key contribution to the immensely popular field of law and economics, this book, written by the doyen of the history of economic thought in the US, explores the dynamic relationship between economics, law and polity","collection-number":"v.1","collection-title":"The Economics of Legal Relationships","edition":"1st ed","event-place":"London","ISBN":"978-0-415-77179-5","language":"eng","number-of-pages":"491","publisher":"Routledge","publisher-place":"London","source":"K10plus ISBN","title":"The legal-economic nexus: fundamental processes","title-short":"The legal-economic nexus","author":[{"family":"Samuels","given":"Warren J."}],"issued":{"date-parts":[["2007"]]}},"locator":"25 et seq.","label":"page","prefix":"See also"}],"schema":"https://github.com/citation-style-language/schema/raw/master/csl-citation.json"} </w:instrText>
      </w:r>
      <w:r w:rsidRPr="000D3E55">
        <w:rPr>
          <w:lang w:val="en-GB"/>
        </w:rPr>
        <w:fldChar w:fldCharType="separate"/>
      </w:r>
      <w:r w:rsidR="00884D1C" w:rsidRPr="00884D1C">
        <w:rPr>
          <w:rFonts w:ascii="Calibri" w:hAnsi="Calibri" w:cs="Calibri"/>
          <w:lang w:val="en-GB"/>
        </w:rPr>
        <w:t>Lessig describes nexus of legal, economic, technological and social forces. Lessig (n 6) 123 et seq.; See also Samuels (n 12) 25 et seq.</w:t>
      </w:r>
      <w:r w:rsidRPr="000D3E55">
        <w:rPr>
          <w:lang w:val="en-GB"/>
        </w:rPr>
        <w:fldChar w:fldCharType="end"/>
      </w:r>
    </w:p>
  </w:footnote>
  <w:footnote w:id="32">
    <w:p w14:paraId="4F90F7DB" w14:textId="7AD43690" w:rsidR="001A7D63" w:rsidRPr="001A7D63" w:rsidRDefault="001A7D63">
      <w:pPr>
        <w:pStyle w:val="FootnoteText"/>
        <w:rPr>
          <w:lang w:val="en-US"/>
        </w:rPr>
      </w:pPr>
      <w:r>
        <w:rPr>
          <w:rStyle w:val="FootnoteReference"/>
        </w:rPr>
        <w:footnoteRef/>
      </w:r>
      <w:r>
        <w:t xml:space="preserve"> </w:t>
      </w:r>
      <w:r>
        <w:fldChar w:fldCharType="begin"/>
      </w:r>
      <w:r w:rsidR="00D25645">
        <w:instrText xml:space="preserve"> ADDIN ZOTERO_ITEM CSL_CITATION {"citationID":"UWQRB2uV","properties":{"formattedCitation":"For details see Grimmelmann and Zhang (n 8).","plainCitation":"For details see Grimmelmann and Zhang (n 8).","noteIndex":31},"citationItems":[{"id":2385,"uris":["http://zotero.org/users/local/09vVTa11/items/CW9MUM8F"],"itemData":{"id":2385,"type":"article-journal","abstract":"Scholars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liability","URL":"https://btlj.org/2024/01/volume-38-issue-3/","volume":"38","author":[{"family":"Grimmelmann","given":"James"},{"family":"Zhang","given":"Pengfei"}],"issued":{"date-parts":[["2023"]]}},"label":"page","prefix":"For details see"}],"schema":"https://github.com/citation-style-language/schema/raw/master/csl-citation.json"} </w:instrText>
      </w:r>
      <w:r>
        <w:fldChar w:fldCharType="separate"/>
      </w:r>
      <w:r w:rsidRPr="001A7D63">
        <w:rPr>
          <w:rFonts w:ascii="Calibri" w:hAnsi="Calibri" w:cs="Calibri"/>
        </w:rPr>
        <w:t>For details see Grimmelmann and Zhang (n 8).</w:t>
      </w:r>
      <w:r>
        <w:fldChar w:fldCharType="end"/>
      </w:r>
    </w:p>
  </w:footnote>
  <w:footnote w:id="33">
    <w:p w14:paraId="285B4CF4" w14:textId="5E8426BD" w:rsidR="003753E7" w:rsidRPr="000D3E55" w:rsidRDefault="003753E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{"citationID":"AdS7eUx3","properties":{"formattedCitation":"Esposito (n 10) 8.","plainCitation":"Esposito (n 10) 8.","noteIndex":32},"citationItems":[{"id":220,"uris":["http://zotero.org/users/local/09vVTa11/items/TRLLX6IV"],"itemData":{"id":220,"type":"book","ISBN":"978 1 80037 964 0","language":"en","publisher":"Edward Elgar Publishing","title":"The Consumer Welfare Hypothesis in Law and Economics","author":[{"family":"Esposito","given":"Fabrizio"}],"issued":{"date-parts":[["2022"]]}},"locator":"8","label":"page"}],"schema":"https://github.com/citation-style-language/schema/raw/master/csl-citation.json"} </w:instrText>
      </w:r>
      <w:r w:rsidRPr="000D3E55">
        <w:rPr>
          <w:lang w:val="en-GB"/>
        </w:rPr>
        <w:fldChar w:fldCharType="separate"/>
      </w:r>
      <w:r w:rsidR="001C0834" w:rsidRPr="000D3E55">
        <w:rPr>
          <w:rFonts w:ascii="Calibri" w:hAnsi="Calibri" w:cs="Calibri"/>
          <w:lang w:val="en-GB"/>
        </w:rPr>
        <w:t>Esposito (n 10) 8.</w:t>
      </w:r>
      <w:r w:rsidRPr="000D3E55">
        <w:rPr>
          <w:lang w:val="en-GB"/>
        </w:rPr>
        <w:fldChar w:fldCharType="end"/>
      </w:r>
    </w:p>
  </w:footnote>
  <w:footnote w:id="34">
    <w:p w14:paraId="388346AA" w14:textId="0B0E0A79" w:rsidR="00F7106E" w:rsidRPr="000D3E55" w:rsidRDefault="00F7106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{"citationID":"dwBAc5Lg","properties":{"formattedCitation":"ibid 175.","plainCitation":"ibid 175.","noteIndex":33},"citationItems":[{"id":220,"uris":["http://zotero.org/users/local/09vVTa11/items/TRLLX6IV"],"itemData":{"id":220,"type":"book","ISBN":"978 1 80037 964 0","language":"en","publisher":"Edward Elgar Publishing","title":"The Consumer Welfare Hypothesis in Law and Economics","author":[{"family":"Esposito","given":"Fabrizio"}],"issued":{"date-parts":[["2022"]]}},"locator":"175","label":"page"}],"schema":"https://github.com/citation-style-language/schema/raw/master/csl-citation.json"} </w:instrText>
      </w:r>
      <w:r w:rsidRPr="000D3E55">
        <w:rPr>
          <w:lang w:val="en-GB"/>
        </w:rPr>
        <w:fldChar w:fldCharType="separate"/>
      </w:r>
      <w:r w:rsidRPr="000D3E55">
        <w:rPr>
          <w:rFonts w:ascii="Calibri" w:hAnsi="Calibri" w:cs="Calibri"/>
          <w:lang w:val="en-GB"/>
        </w:rPr>
        <w:t>ibid 175.</w:t>
      </w:r>
      <w:r w:rsidRPr="000D3E55">
        <w:rPr>
          <w:lang w:val="en-GB"/>
        </w:rPr>
        <w:fldChar w:fldCharType="end"/>
      </w:r>
    </w:p>
  </w:footnote>
  <w:footnote w:id="35">
    <w:p w14:paraId="7C1F588F" w14:textId="561DE7F5" w:rsidR="00D666D3" w:rsidRPr="000D3E55" w:rsidRDefault="00D666D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{"citationID":"BHJtYWZC","properties":{"formattedCitation":"Scheuerer (n 9) 919.","plainCitation":"Scheuerer (n 9) 919.","noteIndex":34},"citationItems":[{"id":"njS2q1xr/Jyg8AFkM","uris":["http://zotero.org/users/1910271/items/R4KED8DV"],"itemData":{"id":17374,"type":"article-journal","abstract":"Fairness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Law","volume":"72","author":[{"family":"Scheuerer","given":"Stefan"}],"issued":{"date-parts":[["2023",10,1]]}},"locator":"919","label":"page"}],"schema":"https://github.com/citation-style-language/schema/raw/master/csl-citation.json"} </w:instrText>
      </w:r>
      <w:r w:rsidRPr="000D3E55">
        <w:rPr>
          <w:lang w:val="en-GB"/>
        </w:rPr>
        <w:fldChar w:fldCharType="separate"/>
      </w:r>
      <w:r w:rsidR="001C0834" w:rsidRPr="000D3E55">
        <w:rPr>
          <w:rFonts w:ascii="Calibri" w:hAnsi="Calibri" w:cs="Calibri"/>
          <w:lang w:val="en-GB"/>
        </w:rPr>
        <w:t>Scheuerer (n 9) 919.</w:t>
      </w:r>
      <w:r w:rsidRPr="000D3E55">
        <w:rPr>
          <w:lang w:val="en-GB"/>
        </w:rPr>
        <w:fldChar w:fldCharType="end"/>
      </w:r>
    </w:p>
  </w:footnote>
  <w:footnote w:id="36">
    <w:p w14:paraId="37E5067D" w14:textId="0FD83F97" w:rsidR="00CE4673" w:rsidRPr="000D3E55" w:rsidRDefault="00CE467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{"citationID":"3zeawYuJ","properties":{"formattedCitation":"Annette Kur, Nari Lee and Anna Tischner, \\uc0\\u8216{}Fairness in Intellectual Property Law: An Introduction\\uc0\\u8217{}, {\\i{}Fairness In Intellectual Property Law} (Edward Elgar Publishing 2024) 1 &lt;https://www.elgaronline.com/monochap-oa/book/9781800883062/chapter0.xml&gt; accessed 11 April 2025.","plainCitation":"Annette Kur, Nari Lee and Anna Tischner, ‘Fairness in Intellectual Property Law: An Introduction’, Fairness In Intellectual Property Law (Edward Elgar Publishing 2024) 1 &lt;https://www.elgaronline.com/monochap-oa/book/9781800883062/chapter0.xml&gt; accessed 11 April 2025.","noteIndex":35},"citationItems":[{"id":"njS2q1xr/vVzrUc3j","uris":["http://zotero.org/users/1910271/items/UGMV9HQW"],"itemData":{"id":17277,"type":"chapter","abstract":"Intellectual property (IP) law in its current form provides a robust tool for navigating the seminal changes in technology, communication and trade that have unfolded in recent decades. However, the fitness of IP for that purpose has drawn criticism for extending its nineteenth-century, property-oriented paradigm to novel situations and subject matter for which it is unfit. This book suggests that the concept of ‘fairness’ should be embraced and further developed as a legal tool. It has the potential to play the role of mediator between the property aspects of IP, market regulation and general welfare. The project laid out in this book starts from the working hypothesis that an approach informed by an unfair competition paradigm is also needed in IP law.","container-title":"Fairness In Intellectual Property Law","ISBN":"978-1-80088-306-2","language":"eng","note":"section: Fairness In Intellectual Property Law","page":"1-7","publisher":"Edward Elgar Publishing","source":"www.elgaronline.com","title":"Fairness in Intellectual Property Law: an introduction","title-short":"Fairness in Intellectual Property Law","URL":"https://www.elgaronline.com/monochap-oa/book/9781800883062/chapter0.xml","author":[{"family":"Kur","given":"Annette"},{"family":"Lee","given":"Nari"},{"family":"Tischner","given":"Anna"}],"accessed":{"date-parts":[["2025",4,11]]},"issued":{"date-parts":[["2024",11,5]]}},"locator":"1","label":"page"}],"schema":"https://github.com/citation-style-language/schema/raw/master/csl-citation.json"} </w:instrText>
      </w:r>
      <w:r w:rsidRPr="000D3E55">
        <w:rPr>
          <w:lang w:val="en-GB"/>
        </w:rPr>
        <w:fldChar w:fldCharType="separate"/>
      </w:r>
      <w:r w:rsidR="00CC728A" w:rsidRPr="000D3E55">
        <w:rPr>
          <w:rFonts w:ascii="Calibri" w:cs="Calibri"/>
          <w:kern w:val="0"/>
          <w:szCs w:val="24"/>
          <w:lang w:val="en-GB"/>
        </w:rPr>
        <w:t xml:space="preserve">Annette Kur, Nari Lee and Anna Tischner, ‘Fairness in Intellectual Property Law: An Introduction’, </w:t>
      </w:r>
      <w:r w:rsidR="00CC728A" w:rsidRPr="000D3E55">
        <w:rPr>
          <w:rFonts w:ascii="Calibri" w:cs="Calibri"/>
          <w:i/>
          <w:kern w:val="0"/>
          <w:szCs w:val="24"/>
          <w:lang w:val="en-GB"/>
        </w:rPr>
        <w:t>Fairness In Intellectual Property Law</w:t>
      </w:r>
      <w:r w:rsidR="00CC728A" w:rsidRPr="000D3E55">
        <w:rPr>
          <w:rFonts w:ascii="Calibri" w:cs="Calibri"/>
          <w:kern w:val="0"/>
          <w:szCs w:val="24"/>
          <w:lang w:val="en-GB"/>
        </w:rPr>
        <w:t xml:space="preserve"> (Edward Elgar Publishing 2024) 1 &lt;https://www.elgaronline.com/monochap-oa/book/9781800883062/chapter0.xml&gt; accessed 11 April 2025.</w:t>
      </w:r>
      <w:r w:rsidRPr="000D3E55">
        <w:rPr>
          <w:lang w:val="en-GB"/>
        </w:rPr>
        <w:fldChar w:fldCharType="end"/>
      </w:r>
    </w:p>
  </w:footnote>
  <w:footnote w:id="37">
    <w:p w14:paraId="2510899E" w14:textId="7E6C3D64" w:rsidR="00C010EF" w:rsidRPr="000D3E55" w:rsidRDefault="00C010E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{"citationID":"kLVk2fRU","properties":{"formattedCitation":"Scheuerer (n 9) 920.","plainCitation":"Scheuerer (n 9) 920.","noteIndex":36},"citationItems":[{"id":"njS2q1xr/Jyg8AFkM","uris":["http://zotero.org/users/1910271/items/R4KED8DV"],"itemData":{"id":17374,"type":"article-journal","abstract":"Fairness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Law","volume":"72","author":[{"family":"Scheuerer","given":"Stefan"}],"issued":{"date-parts":[["2023",10,1]]}},"locator":"920","label":"page"}],"schema":"https://github.com/citation-style-language/schema/raw/master/csl-citation.json"} </w:instrText>
      </w:r>
      <w:r w:rsidRPr="000D3E55">
        <w:rPr>
          <w:lang w:val="en-GB"/>
        </w:rPr>
        <w:fldChar w:fldCharType="separate"/>
      </w:r>
      <w:r w:rsidR="001C0834" w:rsidRPr="000D3E55">
        <w:rPr>
          <w:rFonts w:ascii="Calibri" w:hAnsi="Calibri" w:cs="Calibri"/>
          <w:lang w:val="en-GB"/>
        </w:rPr>
        <w:t>Scheuerer (n 9) 920.</w:t>
      </w:r>
      <w:r w:rsidRPr="000D3E55">
        <w:rPr>
          <w:lang w:val="en-GB"/>
        </w:rPr>
        <w:fldChar w:fldCharType="end"/>
      </w:r>
      <w:r w:rsidR="00011143" w:rsidRPr="000D3E55">
        <w:rPr>
          <w:lang w:val="en-GB"/>
        </w:rPr>
        <w:t xml:space="preserve"> </w:t>
      </w:r>
      <w:r w:rsidR="00FA2FD7" w:rsidRPr="000D3E55">
        <w:rPr>
          <w:lang w:val="en-GB"/>
        </w:rPr>
        <w:t xml:space="preserve">Scheuerer </w:t>
      </w:r>
      <w:r w:rsidR="00AC3843" w:rsidRPr="000D3E55">
        <w:rPr>
          <w:lang w:val="en-GB"/>
        </w:rPr>
        <w:t xml:space="preserve">further elaborates on the </w:t>
      </w:r>
      <w:r w:rsidR="004177E7" w:rsidRPr="000D3E55">
        <w:rPr>
          <w:lang w:val="en-GB"/>
        </w:rPr>
        <w:t xml:space="preserve">further </w:t>
      </w:r>
      <w:r w:rsidR="00AC3843" w:rsidRPr="000D3E55">
        <w:rPr>
          <w:lang w:val="en-GB"/>
        </w:rPr>
        <w:t xml:space="preserve">meaning of fairness as a </w:t>
      </w:r>
      <w:r w:rsidR="00AC3843" w:rsidRPr="000D3E55">
        <w:rPr>
          <w:i/>
          <w:iCs/>
          <w:lang w:val="en-GB"/>
        </w:rPr>
        <w:t>“meta-principle</w:t>
      </w:r>
      <w:r w:rsidR="00AB3710" w:rsidRPr="000D3E55">
        <w:rPr>
          <w:i/>
          <w:iCs/>
          <w:lang w:val="en-GB"/>
        </w:rPr>
        <w:t xml:space="preserve"> beyond codified</w:t>
      </w:r>
      <w:r w:rsidR="00B00933" w:rsidRPr="000D3E55">
        <w:rPr>
          <w:i/>
          <w:iCs/>
          <w:lang w:val="en-GB"/>
        </w:rPr>
        <w:t xml:space="preserve"> provisions</w:t>
      </w:r>
      <w:r w:rsidR="00AC3843" w:rsidRPr="000D3E55">
        <w:rPr>
          <w:i/>
          <w:iCs/>
          <w:lang w:val="en-GB"/>
        </w:rPr>
        <w:t>”</w:t>
      </w:r>
      <w:r w:rsidR="004177E7" w:rsidRPr="000D3E55">
        <w:rPr>
          <w:lang w:val="en-GB"/>
        </w:rPr>
        <w:t xml:space="preserve">, finally characterizing fairness as a </w:t>
      </w:r>
      <w:r w:rsidR="004177E7" w:rsidRPr="000D3E55">
        <w:rPr>
          <w:i/>
          <w:iCs/>
          <w:lang w:val="en-GB"/>
        </w:rPr>
        <w:t>“normative principle</w:t>
      </w:r>
      <w:r w:rsidR="00AC3843" w:rsidRPr="000D3E55">
        <w:rPr>
          <w:i/>
          <w:lang w:val="en-GB"/>
        </w:rPr>
        <w:t xml:space="preserve"> </w:t>
      </w:r>
      <w:r w:rsidR="00413CFD" w:rsidRPr="000D3E55">
        <w:rPr>
          <w:i/>
          <w:lang w:val="en-GB"/>
        </w:rPr>
        <w:t xml:space="preserve">that </w:t>
      </w:r>
      <w:r w:rsidR="004177E7" w:rsidRPr="000D3E55">
        <w:rPr>
          <w:i/>
          <w:iCs/>
          <w:lang w:val="en-GB"/>
        </w:rPr>
        <w:t>[is] at the same time well established and open to evolutionary change”</w:t>
      </w:r>
      <w:r w:rsidR="004177E7" w:rsidRPr="000D3E55">
        <w:rPr>
          <w:lang w:val="en-GB"/>
        </w:rPr>
        <w:t xml:space="preserve"> (ibid 932)</w:t>
      </w:r>
      <w:r w:rsidR="00413CFD" w:rsidRPr="000D3E55">
        <w:rPr>
          <w:lang w:val="en-GB"/>
        </w:rPr>
        <w:t xml:space="preserve">. </w:t>
      </w:r>
      <w:r w:rsidR="00011143" w:rsidRPr="000D3E55">
        <w:rPr>
          <w:lang w:val="en-GB"/>
        </w:rPr>
        <w:t xml:space="preserve">Kur et al. </w:t>
      </w:r>
      <w:r w:rsidR="009D08FF" w:rsidRPr="000D3E55">
        <w:rPr>
          <w:lang w:val="en-GB"/>
        </w:rPr>
        <w:t>further</w:t>
      </w:r>
      <w:r w:rsidR="00011143" w:rsidRPr="000D3E55">
        <w:rPr>
          <w:lang w:val="en-GB"/>
        </w:rPr>
        <w:t xml:space="preserve"> present more granularized approach to fairness in intellectual property</w:t>
      </w:r>
      <w:r w:rsidR="004737E9" w:rsidRPr="000D3E55">
        <w:rPr>
          <w:lang w:val="en-GB"/>
        </w:rPr>
        <w:t xml:space="preserve"> </w:t>
      </w:r>
      <w:r w:rsidR="00644EA2" w:rsidRPr="000D3E55">
        <w:rPr>
          <w:lang w:val="en-GB"/>
        </w:rPr>
        <w:t>(</w:t>
      </w:r>
      <w:r w:rsidR="009A03EB" w:rsidRPr="000D3E55">
        <w:rPr>
          <w:lang w:val="en-GB"/>
        </w:rPr>
        <w:fldChar w:fldCharType="begin"/>
      </w:r>
      <w:r w:rsidR="00D25645">
        <w:rPr>
          <w:lang w:val="en-GB"/>
        </w:rPr>
        <w:instrText xml:space="preserve"> ADDIN ZOTERO_ITEM CSL_CITATION {"citationID":"cRwhYIZK","properties":{"formattedCitation":"Annette Kur, Nari Lee and Anna Tischner, \\uc0\\u8216{}Fairness In Intellectual Property Law: Searching for a Uniform Concept\\uc0\\u8217{}, {\\i{}Fairness In Intellectual Property Law} (Edward Elgar Publishing 2024) &lt;https://www.elgaronline.com/monobook-oa/book/9781800883062/9781800883062.xml&gt; accessed 11 April 2025.","plainCitation":"Annette Kur, Nari Lee and Anna Tischner, ‘Fairness In Intellectual Property Law: Searching for a Uniform Concept’, Fairness In Intellectual Property Law (Edward Elgar Publishing 2024) &lt;https://www.elgaronline.com/monobook-oa/book/9781800883062/9781800883062.xml&gt; accessed 11 April 2025.","noteIndex":36},"citationItems":[{"id":"njS2q1xr/ANBe1MnW","uris":["http://zotero.org/users/1910271/items/FX5NV9Z3"],"itemData":{"id":17275,"type":"chapter","abstract":"\"Fairness In Intellectual Property Law\" published on 05 Nov 2024 by Edward Elgar Publishing.","container-title":"Fairness In Intellectual Property Law","ISBN":"978-1-80088-306-2","language":"eng","publisher":"Edward Elgar Publishing","source":"www.elgaronline.com","title":"Fairness In Intellectual Property Law: Searching for a Uniform Concept","title-short":"Fairness In Intellectual Property Law","URL":"https://www.elgaronline.com/monobook-oa/book/9781800883062/9781800883062.xml","author":[{"family":"Kur","given":"Annette"},{"family":"Lee","given":"Nari"},{"family":"Tischner","given":"Anna"}],"accessed":{"date-parts":[["2025",4,11]]},"issued":{"date-parts":[["2024",11,5]]}}}],"schema":"https://github.com/citation-style-language/schema/raw/master/csl-citation.json"} </w:instrText>
      </w:r>
      <w:r w:rsidR="009A03EB" w:rsidRPr="000D3E55">
        <w:rPr>
          <w:lang w:val="en-GB"/>
        </w:rPr>
        <w:fldChar w:fldCharType="separate"/>
      </w:r>
      <w:r w:rsidR="00AA613A" w:rsidRPr="000D3E55">
        <w:rPr>
          <w:rFonts w:ascii="Calibri" w:cs="Calibri"/>
          <w:kern w:val="0"/>
          <w:szCs w:val="24"/>
          <w:lang w:val="en-GB"/>
        </w:rPr>
        <w:t xml:space="preserve">Annette Kur, Nari Lee and Anna Tischner, ‘Fairness In Intellectual Property Law: Searching for a Uniform Concept’, </w:t>
      </w:r>
      <w:r w:rsidR="00AA613A" w:rsidRPr="000D3E55">
        <w:rPr>
          <w:rFonts w:ascii="Calibri" w:cs="Calibri"/>
          <w:i/>
          <w:iCs/>
          <w:kern w:val="0"/>
          <w:szCs w:val="24"/>
          <w:lang w:val="en-GB"/>
        </w:rPr>
        <w:t>Fairness In Intellectual Property Law</w:t>
      </w:r>
      <w:r w:rsidR="00AA613A" w:rsidRPr="000D3E55">
        <w:rPr>
          <w:rFonts w:ascii="Calibri" w:cs="Calibri"/>
          <w:kern w:val="0"/>
          <w:szCs w:val="24"/>
          <w:lang w:val="en-GB"/>
        </w:rPr>
        <w:t xml:space="preserve"> (Edward Elgar Publishing 2024) &lt;https://www.elgaronline.com/monobook-oa/book/9781800883062/9781800883062.xml&gt; accessed 11 April 2025.</w:t>
      </w:r>
      <w:r w:rsidR="009A03EB" w:rsidRPr="000D3E55">
        <w:rPr>
          <w:lang w:val="en-GB"/>
        </w:rPr>
        <w:fldChar w:fldCharType="end"/>
      </w:r>
      <w:r w:rsidR="00644EA2" w:rsidRPr="000D3E55">
        <w:rPr>
          <w:lang w:val="en-GB"/>
        </w:rPr>
        <w:t>)</w:t>
      </w:r>
    </w:p>
  </w:footnote>
  <w:footnote w:id="38">
    <w:p w14:paraId="7276C271" w14:textId="7100DCE2" w:rsidR="00B75822" w:rsidRPr="000D3E55" w:rsidRDefault="00B75822">
      <w:pPr>
        <w:pStyle w:val="FootnoteText"/>
        <w:rPr>
          <w:lang w:val="en-GB"/>
        </w:rPr>
      </w:pPr>
      <w:r w:rsidRPr="000D3E55">
        <w:rPr>
          <w:rStyle w:val="FootnoteReference"/>
          <w:lang w:val="en-GB"/>
        </w:rPr>
        <w:footnoteRef/>
      </w:r>
      <w:r w:rsidRPr="000D3E55">
        <w:rPr>
          <w:lang w:val="en-GB"/>
        </w:rPr>
        <w:t xml:space="preserve"> </w:t>
      </w:r>
      <w:r w:rsidR="00B851AB" w:rsidRPr="000D3E55">
        <w:rPr>
          <w:lang w:val="en-GB"/>
        </w:rPr>
        <w:fldChar w:fldCharType="begin"/>
      </w:r>
      <w:r w:rsidR="00D25645">
        <w:rPr>
          <w:lang w:val="en-GB"/>
        </w:rPr>
        <w:instrText xml:space="preserve"> ADDIN ZOTERO_ITEM CSL_CITATION {"citationID":"v0396LvA","properties":{"formattedCitation":"Scheuerer (n 9) 924.","plainCitation":"Scheuerer (n 9) 924.","noteIndex":37},"citationItems":[{"id":"njS2q1xr/Jyg8AFkM","uris":["http://zotero.org/users/1910271/items/R4KED8DV"],"itemData":{"id":17374,"type":"article-journal","abstract":"Fairness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Law","volume":"72","author":[{"family":"Scheuerer","given":"Stefan"}],"issued":{"date-parts":[["2023",10,1]]}},"locator":"924","label":"page"}],"schema":"https://github.com/citation-style-language/schema/raw/master/csl-citation.json"} </w:instrText>
      </w:r>
      <w:r w:rsidR="00B851AB" w:rsidRPr="000D3E55">
        <w:rPr>
          <w:lang w:val="en-GB"/>
        </w:rPr>
        <w:fldChar w:fldCharType="separate"/>
      </w:r>
      <w:r w:rsidR="00AA613A" w:rsidRPr="000D3E55">
        <w:rPr>
          <w:noProof/>
          <w:lang w:val="en-GB"/>
        </w:rPr>
        <w:t>Scheuerer (n 9) 924.</w:t>
      </w:r>
      <w:r w:rsidR="00B851AB" w:rsidRPr="000D3E55">
        <w:rPr>
          <w:lang w:val="en-GB"/>
        </w:rPr>
        <w:fldChar w:fldCharType="end"/>
      </w:r>
    </w:p>
  </w:footnote>
  <w:footnote w:id="39">
    <w:p w14:paraId="0548F35B" w14:textId="7F3DCC81" w:rsidR="002B76FA" w:rsidRPr="000D3E55" w:rsidRDefault="002B76FA">
      <w:pPr>
        <w:pStyle w:val="FootnoteText"/>
        <w:rPr>
          <w:lang w:val="en-GB"/>
        </w:rPr>
      </w:pPr>
      <w:r w:rsidRPr="000D3E55">
        <w:rPr>
          <w:rStyle w:val="FootnoteReference"/>
          <w:lang w:val="en-GB"/>
        </w:rPr>
        <w:footnoteRef/>
      </w:r>
      <w:r w:rsidRPr="000D3E55">
        <w:rPr>
          <w:lang w:val="en-GB"/>
        </w:rPr>
        <w:t xml:space="preserve"> </w:t>
      </w:r>
      <w:r w:rsidR="00066D2C" w:rsidRPr="000D3E55">
        <w:rPr>
          <w:lang w:val="en-GB"/>
        </w:rPr>
        <w:t>Directive 2004/48/EC of the European Parliament and of the Council of 29 April 2004 on the Enforcement of Intellectual Property Rights [2004] OJ L157/45.</w:t>
      </w:r>
    </w:p>
  </w:footnote>
  <w:footnote w:id="40">
    <w:p w14:paraId="5A063C8F" w14:textId="4A5A3DE5" w:rsidR="00A66EA4" w:rsidRPr="000D3E55" w:rsidRDefault="00A66EA4" w:rsidP="00A66EA4">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{"citationID":"LC5QwJTj","properties":{"formattedCitation":"Scheuerer (n 9) 922.","plainCitation":"Scheuerer (n 9) 922.","noteIndex":39},"citationItems":[{"id":"njS2q1xr/Jyg8AFkM","uris":["http://zotero.org/users/1910271/items/R4KED8DV"],"itemData":{"id":17374,"type":"article-journal","abstract":"Fairness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Law","volume":"72","author":[{"family":"Scheuerer","given":"Stefan"}],"issued":{"date-parts":[["2023",10,1]]}},"locator":"922","label":"page"}],"schema":"https://github.com/citation-style-language/schema/raw/master/csl-citation.json"} </w:instrText>
      </w:r>
      <w:r w:rsidRPr="000D3E55">
        <w:rPr>
          <w:lang w:val="en-GB"/>
        </w:rPr>
        <w:fldChar w:fldCharType="separate"/>
      </w:r>
      <w:r w:rsidR="00AA613A" w:rsidRPr="000D3E55">
        <w:rPr>
          <w:rFonts w:ascii="Calibri" w:hAnsi="Calibri" w:cs="Calibri"/>
          <w:lang w:val="en-GB"/>
        </w:rPr>
        <w:t>Scheuerer (n 9) 922.</w:t>
      </w:r>
      <w:r w:rsidRPr="000D3E55">
        <w:rPr>
          <w:lang w:val="en-GB"/>
        </w:rPr>
        <w:fldChar w:fldCharType="end"/>
      </w:r>
    </w:p>
  </w:footnote>
  <w:footnote w:id="41">
    <w:p w14:paraId="62E3081C" w14:textId="2F5E3489" w:rsidR="00BC5D27" w:rsidRPr="000D3E55" w:rsidRDefault="00BC5D27">
      <w:pPr>
        <w:pStyle w:val="FootnoteText"/>
        <w:rPr>
          <w:lang w:val="en-GB"/>
        </w:rPr>
      </w:pPr>
      <w:r w:rsidRPr="000D3E55">
        <w:rPr>
          <w:rStyle w:val="FootnoteReference"/>
          <w:lang w:val="en-GB"/>
        </w:rPr>
        <w:footnoteRef/>
      </w:r>
      <w:r w:rsidRPr="000D3E55">
        <w:rPr>
          <w:lang w:val="en-GB"/>
        </w:rPr>
        <w:t xml:space="preserve"> Art. 6 European Convention on Human Rights, ECHR; and Art. 47 Charter of Fundamental Rights of the EU, CFREU</w:t>
      </w:r>
    </w:p>
  </w:footnote>
  <w:footnote w:id="42">
    <w:p w14:paraId="7E65BD57" w14:textId="060BA79C" w:rsidR="00054E25" w:rsidRPr="000D3E55" w:rsidRDefault="00054E25">
      <w:pPr>
        <w:pStyle w:val="FootnoteText"/>
        <w:rPr>
          <w:lang w:val="en-GB"/>
        </w:rPr>
      </w:pPr>
      <w:r w:rsidRPr="000D3E55">
        <w:rPr>
          <w:rStyle w:val="FootnoteReference"/>
          <w:lang w:val="en-GB"/>
        </w:rPr>
        <w:footnoteRef/>
      </w:r>
      <w:r w:rsidRPr="000D3E55">
        <w:rPr>
          <w:lang w:val="en-GB"/>
        </w:rPr>
        <w:t xml:space="preserve"> </w:t>
      </w:r>
      <w:r w:rsidR="00322750" w:rsidRPr="000D3E55">
        <w:rPr>
          <w:lang w:val="en-GB"/>
        </w:rPr>
        <w:t>Article 13 ECHR and Article 47 CFREU</w:t>
      </w:r>
      <w:r w:rsidR="00011143" w:rsidRPr="000D3E55">
        <w:rPr>
          <w:lang w:val="en-GB"/>
        </w:rPr>
        <w:t>.</w:t>
      </w:r>
    </w:p>
  </w:footnote>
  <w:footnote w:id="43">
    <w:p w14:paraId="5F502B72" w14:textId="3A46414A" w:rsidR="003342E7" w:rsidRPr="000D3E55" w:rsidRDefault="003342E7">
      <w:pPr>
        <w:pStyle w:val="FootnoteText"/>
        <w:rPr>
          <w:lang w:val="en-GB"/>
        </w:rPr>
      </w:pPr>
      <w:r w:rsidRPr="000D3E55">
        <w:rPr>
          <w:rStyle w:val="FootnoteReference"/>
          <w:lang w:val="en-GB"/>
        </w:rPr>
        <w:footnoteRef/>
      </w:r>
      <w:r w:rsidRPr="000D3E55">
        <w:rPr>
          <w:lang w:val="en-GB"/>
        </w:rPr>
        <w:t xml:space="preserve"> </w:t>
      </w:r>
      <w:r w:rsidR="00CC4631" w:rsidRPr="000D3E55">
        <w:rPr>
          <w:lang w:val="en-GB"/>
        </w:rPr>
        <w:fldChar w:fldCharType="begin"/>
      </w:r>
      <w:r w:rsidR="00D25645">
        <w:rPr>
          <w:lang w:val="en-GB"/>
        </w:rPr>
        <w:instrText xml:space="preserve"> ADDIN ZOTERO_ITEM CSL_CITATION {"citationID":"JBwjQ6tO","properties":{"formattedCitation":"Aleksandra Kuczerawy, \\uc0\\u8216{}Remedying Overremoval\\uc0\\u8217{} in Joris Hoboken and others, {\\i{}Putting the DSA into Practice: Enforcement, Access to Justice, and Global Implications} (Verfassungsblog gGmbH 2023) 169 &lt;https://intr2dok.vifa-recht.de/receive/mir_mods_00015033&gt; accessed 2 January 2025.","plainCitation":"Aleksandra Kuczerawy, ‘Remedying Overremoval’ in Joris Hoboken and others, Putting the DSA into Practice: Enforcement, Access to Justice, and Global Implications (Verfassungsblog gGmbH 2023) 169 &lt;https://intr2dok.vifa-recht.de/receive/mir_mods_00015033&gt; accessed 2 January 2025.","noteIndex":42},"citationItems":[{"id":"njS2q1xr/EB6FuRj4","uris":["http://zotero.org/users/1910271/items/UZHZ56C8"],"itemData":{"id":17497,"type":"chapter","container-title":"Putting the DSA into Practice: Enforcement, Access to Justice, and Global Implications","ISBN":"978-3-7575-1796-0","language":"de","license":"https://creativecommons.org/licenses/by-sa/4.0/","note":"DOI: 10.17176/20230208-093135-0","page":"169-181","publisher":"Verfassungsblog gGmbH","source":"intr2dok.vifa-recht.de","title":"Remedying Overremoval","URL":"https://intr2dok.vifa-recht.de/receive/mir_mods_00015033","author":[{"family":"Kuczerawy","given":"Aleksandra"}],"container-author":[{"family":"Hoboken","given":"Joris"},{"family":"Buri","given":"Ilaria"},{"family":"Quintais","given":"João"},{"family":"Fahy","given":"Ronan"},{"family":"Appelman","given":"Naomi"},{"family":"Straub","given":"Marlene"}],"accessed":{"date-parts":[["2025",1,2]]},"issued":{"date-parts":[["2023"]]}},"locator":"169","label":"page"}],"schema":"https://github.com/citation-style-language/schema/raw/master/csl-citation.json"} </w:instrText>
      </w:r>
      <w:r w:rsidR="00CC4631" w:rsidRPr="000D3E55">
        <w:rPr>
          <w:lang w:val="en-GB"/>
        </w:rPr>
        <w:fldChar w:fldCharType="separate"/>
      </w:r>
      <w:r w:rsidR="006B03D9" w:rsidRPr="000D3E55">
        <w:rPr>
          <w:rFonts w:ascii="Calibri" w:cs="Calibri"/>
          <w:kern w:val="0"/>
          <w:szCs w:val="24"/>
          <w:lang w:val="en-GB"/>
        </w:rPr>
        <w:t xml:space="preserve">Aleksandra Kuczerawy, ‘Remedying Overremoval’ in Joris Hoboken and others, </w:t>
      </w:r>
      <w:r w:rsidR="006B03D9" w:rsidRPr="000D3E55">
        <w:rPr>
          <w:rFonts w:ascii="Calibri" w:cs="Calibri"/>
          <w:i/>
          <w:iCs/>
          <w:kern w:val="0"/>
          <w:szCs w:val="24"/>
          <w:lang w:val="en-GB"/>
        </w:rPr>
        <w:t>Putting the DSA into Practice: Enforcement, Access to Justice, and Global Implications</w:t>
      </w:r>
      <w:r w:rsidR="006B03D9" w:rsidRPr="000D3E55">
        <w:rPr>
          <w:rFonts w:ascii="Calibri" w:cs="Calibri"/>
          <w:kern w:val="0"/>
          <w:szCs w:val="24"/>
          <w:lang w:val="en-GB"/>
        </w:rPr>
        <w:t xml:space="preserve"> (Verfassungsblog gGmbH 2023) 169 &lt;https://intr2dok.vifa-recht.de/receive/mir_mods_00015033&gt; accessed 2 January 2025.</w:t>
      </w:r>
      <w:r w:rsidR="00CC4631" w:rsidRPr="000D3E55">
        <w:rPr>
          <w:lang w:val="en-GB"/>
        </w:rPr>
        <w:fldChar w:fldCharType="end"/>
      </w:r>
    </w:p>
  </w:footnote>
  <w:footnote w:id="44">
    <w:p w14:paraId="64E6527B" w14:textId="3D9F99E1" w:rsidR="000A085B" w:rsidRPr="000D3E55" w:rsidRDefault="000A085B">
      <w:pPr>
        <w:pStyle w:val="FootnoteText"/>
        <w:rPr>
          <w:lang w:val="en-GB"/>
        </w:rPr>
      </w:pPr>
      <w:r w:rsidRPr="000D3E55">
        <w:rPr>
          <w:rStyle w:val="FootnoteReference"/>
          <w:lang w:val="en-GB"/>
        </w:rPr>
        <w:footnoteRef/>
      </w:r>
      <w:r w:rsidRPr="000D3E55">
        <w:rPr>
          <w:lang w:val="en-GB"/>
        </w:rPr>
        <w:t xml:space="preserve"> </w:t>
      </w:r>
      <w:r w:rsidR="003537E5" w:rsidRPr="000D3E55">
        <w:rPr>
          <w:lang w:val="en-GB"/>
        </w:rPr>
        <w:fldChar w:fldCharType="begin"/>
      </w:r>
      <w:r w:rsidR="00D25645">
        <w:rPr>
          <w:lang w:val="en-GB"/>
        </w:rPr>
        <w:instrText xml:space="preserve"> ADDIN ZOTERO_ITEM CSL_CITATION {"citationID":"Zs62Ma99","properties":{"formattedCitation":"Scheuerer (n 9) 922.","plainCitation":"Scheuerer (n 9) 922.","noteIndex":43},"citationItems":[{"id":"njS2q1xr/Jyg8AFkM","uris":["http://zotero.org/users/1910271/items/R4KED8DV"],"itemData":{"id":17374,"type":"article-journal","abstract":"Fairness appears as the guiding paradigm for regulating the digital economy. Yet its exact meaning has always remained dubious. The present article, which summarizes key insights of my doctoral thesis, ‘Fairness als Rechtsprinzip’, aims at filling this theoretical void by exploring to which extent fairness phenomena in competition-related economic law (understood as comprising unfair competition, antitrust, IP, trade secrecy, contract, anti-discrimination and data law) may be united under an overarching legal principle. Departing from the classic fairness-defining notion of ‘honest commercial practices’ enshrined in Art. 10bis para. 2 of the Paris Convention for the Protection of Industrial Property, the article overall suggests to (re-)construct the fairness principle as a normative bridge between law and society. Its task, viewed against the backdrop of a legal pluralist analysis of sociological disruptions in the globalized digital economy, is to normatively moderate the interplay of state and non-state rules of market order towards the common good from the perspective of the state.","container-title":"GRUR International","DOI":"10.1093/grurint/ikad081","ISSN":"2632-8550","issue":"10","journalAbbreviation":"GRUR International","page":"919-932","source":"Silverchair","title":"The Fairness Principle in Competition-Related Economic Law","volume":"72","author":[{"family":"Scheuerer","given":"Stefan"}],"issued":{"date-parts":[["2023",10,1]]}},"locator":"922","label":"page"}],"schema":"https://github.com/citation-style-language/schema/raw/master/csl-citation.json"} </w:instrText>
      </w:r>
      <w:r w:rsidR="003537E5" w:rsidRPr="000D3E55">
        <w:rPr>
          <w:lang w:val="en-GB"/>
        </w:rPr>
        <w:fldChar w:fldCharType="separate"/>
      </w:r>
      <w:r w:rsidR="00A96DF0">
        <w:rPr>
          <w:rFonts w:ascii="Calibri" w:hAnsi="Calibri" w:cs="Calibri"/>
          <w:lang w:val="en-GB"/>
        </w:rPr>
        <w:t>Scheuerer (n 9) 922.</w:t>
      </w:r>
      <w:r w:rsidR="003537E5" w:rsidRPr="000D3E55">
        <w:rPr>
          <w:lang w:val="en-GB"/>
        </w:rPr>
        <w:fldChar w:fldCharType="end"/>
      </w:r>
    </w:p>
  </w:footnote>
  <w:footnote w:id="45">
    <w:p w14:paraId="36A22607" w14:textId="5D7EB983" w:rsidR="00DE72FC" w:rsidRDefault="00DE72FC">
      <w:pPr>
        <w:pStyle w:val="FootnoteText"/>
      </w:pPr>
      <w:r>
        <w:rPr>
          <w:rStyle w:val="FootnoteReference"/>
        </w:rPr>
        <w:footnoteRef/>
      </w:r>
      <w:r>
        <w:t xml:space="preserve"> </w:t>
      </w:r>
      <w:r w:rsidR="00FB77F3">
        <w:fldChar w:fldCharType="begin"/>
      </w:r>
      <w:r w:rsidR="00D25645">
        <w:instrText xml:space="preserve"> ADDIN ZOTERO_ITEM CSL_CITATION {"citationID":"V1I0gQAp","properties":{"formattedCitation":"Kuczerawy (n 42) 171.","plainCitation":"Kuczerawy (n 42) 171.","noteIndex":44},"citationItems":[{"id":"njS2q1xr/EB6FuRj4","uris":["http://zotero.org/users/1910271/items/UZHZ56C8"],"itemData":{"id":17497,"type":"chapter","container-title":"Putting the DSA into Practice: Enforcement, Access to Justice, and Global Implications","ISBN":"978-3-7575-1796-0","language":"de","license":"https://creativecommons.org/licenses/by-sa/4.0/","note":"DOI: 10.17176/20230208-093135-0","page":"169-181","publisher":"Verfassungsblog gGmbH","source":"intr2dok.vifa-recht.de","title":"Remedying Overremoval","URL":"https://intr2dok.vifa-recht.de/receive/mir_mods_00015033","author":[{"family":"Kuczerawy","given":"Aleksandra"}],"container-author":[{"family":"Hoboken","given":"Joris"},{"family":"Buri","given":"Ilaria"},{"family":"Quintais","given":"João"},{"family":"Fahy","given":"Ronan"},{"family":"Appelman","given":"Naomi"},{"family":"Straub","given":"Marlene"}],"accessed":{"date-parts":[["2025",1,2]]},"issued":{"date-parts":[["2023"]]}},"locator":"171","label":"page"}],"schema":"https://github.com/citation-style-language/schema/raw/master/csl-citation.json"} </w:instrText>
      </w:r>
      <w:r w:rsidR="00FB77F3">
        <w:fldChar w:fldCharType="separate"/>
      </w:r>
      <w:r w:rsidR="005B5BF1">
        <w:rPr>
          <w:noProof/>
        </w:rPr>
        <w:t>Kuczerawy (n 42) 171.</w:t>
      </w:r>
      <w:r w:rsidR="00FB77F3">
        <w:fldChar w:fldCharType="end"/>
      </w:r>
    </w:p>
  </w:footnote>
  <w:footnote w:id="46">
    <w:p w14:paraId="303CFE7B" w14:textId="4565DBBE" w:rsidR="003577CD" w:rsidRPr="000D3E55" w:rsidRDefault="003577CD" w:rsidP="003577CD">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{"citationID":"ghQ34BLT","properties":{"formattedCitation":"Natali Helberger, \\uc0\\u8216{}The Rise of Technology Courts, or: How Technology Companies Re-Invent Adjudication for a Digital World\\uc0\\u8217{} (2025) 56 Computer Law &amp; Security Review 106118, 6.","plainCitation":"Natali Helberger, ‘The Rise of Technology Courts, or: How Technology Companies Re-Invent Adjudication for a Digital World’ (2025) 56 Computer Law &amp; Security Review 106118, 6.","noteIndex":45},"citationItems":[{"id":"njS2q1xr/ckf8ed1G","uris":["http://zotero.org/users/1910271/items/RNZ3JUG4"],"itemData":{"id":17312,"type":"article-journal","abstract":"The article “The Rise of Technology Courts” explores the evolving role of courts in the digital world, where technological advancements and artificial intelligence (AI) are transforming traditional adjudication processes. It argues that traditional courts are undergoing a significant transition due to digitization and the increasing influence of technology companies. The paper frames this transformation through the concept of the “sphere of the digital,” which explains how digital technology and AI redefine societal expectations of what courts should be and how they function. The article highlights that technology is not only changing the materiality of courts—moving from physical buildings to digital portals—but also affecting their symbolic function as public institutions. It discusses the emergence of AI-powered judicial services, online dispute resolution (ODR), and technology-driven alternative adjudication bodies like the Meta Oversight Board. These developments challenge the traditional notions of judicial authority, jurisdiction, and legal expertise. The paper concludes that while these technology-driven solutions offer increased efficiency and accessibility, they also raise fundamental questions about the legitimacy, transparency, and independence of adjudicatory bodies. As technology companies continue to shape digital justice, the article also argues that there are lessons to learn for the role and structure of traditional courts to ensure that human rights and public values are upheld.","container-title":"Computer Law &amp; Security Review","DOI":"10.1016/j.clsr.2025.106118","ISSN":"2212-473X","journalAbbreviation":"Computer Law &amp; Security Review","page":"106118","source":"ScienceDirect","title":"The rise of technology courts, or: How technology companies re-invent adjudication for a digital world","title-short":"The rise of technology courts, or","volume":"56","author":[{"family":"Helberger","given":"Natali"}],"issued":{"date-parts":[["2025",4,1]]}},"locator":"6","label":"page"}],"schema":"https://github.com/citation-style-language/schema/raw/master/csl-citation.json"} </w:instrText>
      </w:r>
      <w:r w:rsidRPr="000D3E55">
        <w:rPr>
          <w:lang w:val="en-GB"/>
        </w:rPr>
        <w:fldChar w:fldCharType="separate"/>
      </w:r>
      <w:r w:rsidRPr="000D3E55">
        <w:rPr>
          <w:rFonts w:ascii="Calibri" w:cs="Calibri"/>
          <w:kern w:val="0"/>
          <w:szCs w:val="24"/>
          <w:lang w:val="en-GB"/>
        </w:rPr>
        <w:t>Natali Helberger, ‘The Rise of Technology Courts, or: How Technology Companies Re-Invent Adjudication for a Digital World’ (2025) 56 Computer Law &amp; Security Review 106118, 6.</w:t>
      </w:r>
      <w:r w:rsidRPr="000D3E55">
        <w:rPr>
          <w:lang w:val="en-GB"/>
        </w:rPr>
        <w:fldChar w:fldCharType="end"/>
      </w:r>
    </w:p>
  </w:footnote>
  <w:footnote w:id="47">
    <w:p w14:paraId="63C7A352" w14:textId="7CE1FA68" w:rsidR="00593336" w:rsidRPr="000D3E55" w:rsidRDefault="00593336">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{"citationID":"dVcVQfTG","properties":{"formattedCitation":"See generally Helberger (n 45); Giovanni De Gregorio (ed), \\uc0\\u8216{}The Law of the Platforms\\uc0\\u8217{}, {\\i{}Digital Constitutionalism in Europe: Reframing Rights and Powers in the Algorithmic Society} (Cambridge University Press 2022) &lt;https://www.cambridge.org/core/books/digital-constitutionalism-in-europe/law-of-the-platforms/DA41AF99D14B885E60EC0CFC7E4F6106&gt; accessed 4 April 2024.","plainCitation":"See generally Helberger (n 45); Giovanni De Gregorio (ed), ‘The Law of the Platforms’, Digital Constitutionalism in Europe: Reframing Rights and Powers in the Algorithmic Society (Cambridge University Press 2022) &lt;https://www.cambridge.org/core/books/digital-constitutionalism-in-europe/law-of-the-platforms/DA41AF99D14B885E60EC0CFC7E4F6106&gt; accessed 4 April 2024.","noteIndex":46},"citationItems":[{"id":"njS2q1xr/ckf8ed1G","uris":["http://zotero.org/users/1910271/items/RNZ3JUG4"],"itemData":{"id":17312,"type":"article-journal","abstract":"The article “The Rise of Technology Courts” explores the evolving role of courts in the digital world, where technological advancements and artificial intelligence (AI) are transforming traditional adjudication processes. It argues that traditional courts are undergoing a significant transition due to digitization and the increasing influence of technology companies. The paper frames this transformation through the concept of the “sphere of the digital,” which explains how digital technology and AI redefine societal expectations of what courts should be and how they function. The article highlights that technology is not only changing the materiality of courts—moving from physical buildings to digital portals—but also affecting their symbolic function as public institutions. It discusses the emergence of AI-powered judicial services, online dispute resolution (ODR), and technology-driven alternative adjudication bodies like the Meta Oversight Board. These developments challenge the traditional notions of judicial authority, jurisdiction, and legal expertise. The paper concludes that while these technology-driven solutions offer increased efficiency and accessibility, they also raise fundamental questions about the legitimacy, transparency, and independence of adjudicatory bodies. As technology companies continue to shape digital justice, the article also argues that there are lessons to learn for the role and structure of traditional courts to ensure that human rights and public values are upheld.","container-title":"Computer Law &amp; Security Review","DOI":"10.1016/j.clsr.2025.106118","ISSN":"2212-473X","journalAbbreviation":"Computer Law &amp; Security Review","page":"106118","source":"ScienceDirect","title":"The rise of technology courts, or: How technology companies re-invent adjudication for a digital world","title-short":"The rise of technology courts, or","volume":"56","author":[{"family":"Helberger","given":"Natali"}],"issued":{"date-parts":[["2025",4,1]]}},"prefix":"See generally"},{"id":"njS2q1xr/LovEOGB9","uris":["http://zotero.org/users/1910271/items/SIJP9P8V"],"itemData":{"id":16115,"type":"chapter","abstract":"This chapter highlights the reasons for the turning of freedoms to more extensive forms of private power by online platforms. Understanding the characteristics of platform power is critical to understand the remedies mitigating this constitutional challenge. This chapter analyses the two interrelated forms through which platforms exercise powers in the digital environment: delegated and autonomous powers. The first part of the chapter analyses the reasons for a governance shift from public to private actors in the digital environment. The second part examines delegated powers in the field of content and data while the third part focuses on the exercise of autonomous powers competing with public authority.","collection-title":"Cambridge Studies in European Law and Policy","container-title":"Digital Constitutionalism in Europe: Reframing Rights and Powers in the Algorithmic Society","event-place":"Cambridge","ISBN":"978-1-316-51277-7","note":"DOI: 10.1017/9781009071215.004","page":"80-122","publisher":"Cambridge University Press","publisher-place":"Cambridge","source":"Cambridge University Press","title":"The Law of the Platforms","URL":"https://www.cambridge.org/core/books/digital-constitutionalism-in-europe/law-of-the-platforms/DA41AF99D14B885E60EC0CFC7E4F6106","editor":[{"family":"De Gregorio","given":"Giovanni"}],"accessed":{"date-parts":[["2024",4,4]]},"issued":{"date-parts":[["2022"]]}}}],"schema":"https://github.com/citation-style-language/schema/raw/master/csl-citation.json"} </w:instrText>
      </w:r>
      <w:r w:rsidRPr="000D3E55">
        <w:rPr>
          <w:lang w:val="en-GB"/>
        </w:rPr>
        <w:fldChar w:fldCharType="separate"/>
      </w:r>
      <w:r w:rsidR="00A96DF0" w:rsidRPr="00A96DF0">
        <w:rPr>
          <w:rFonts w:ascii="Calibri" w:hAnsi="Calibri" w:cs="Calibri"/>
          <w:kern w:val="0"/>
          <w:szCs w:val="24"/>
        </w:rPr>
        <w:t xml:space="preserve">See generally Helberger (n 45); Giovanni De Gregorio (ed), ‘The Law of the Platforms’, </w:t>
      </w:r>
      <w:r w:rsidR="00A96DF0" w:rsidRPr="00A96DF0">
        <w:rPr>
          <w:rFonts w:ascii="Calibri" w:hAnsi="Calibri" w:cs="Calibri"/>
          <w:i/>
          <w:iCs/>
          <w:kern w:val="0"/>
          <w:szCs w:val="24"/>
        </w:rPr>
        <w:t>Digital Constitutionalism in Europe: Reframing Rights and Powers in the Algorithmic Society</w:t>
      </w:r>
      <w:r w:rsidR="00A96DF0" w:rsidRPr="00A96DF0">
        <w:rPr>
          <w:rFonts w:ascii="Calibri" w:hAnsi="Calibri" w:cs="Calibri"/>
          <w:kern w:val="0"/>
          <w:szCs w:val="24"/>
        </w:rPr>
        <w:t xml:space="preserve"> (Cambridge University Press 2022) &lt;https://www.cambridge.org/core/books/digital-constitutionalism-in-europe/law-of-the-platforms/DA41AF99D14B885E60EC0CFC7E4F6106&gt; accessed 4 April 2024.</w:t>
      </w:r>
      <w:r w:rsidRPr="000D3E55">
        <w:rPr>
          <w:lang w:val="en-GB"/>
        </w:rPr>
        <w:fldChar w:fldCharType="end"/>
      </w:r>
    </w:p>
  </w:footnote>
  <w:footnote w:id="48">
    <w:p w14:paraId="39E9BBC0" w14:textId="60B44B72" w:rsidR="000E43FB" w:rsidRDefault="000E43FB" w:rsidP="000E43FB">
      <w:pPr>
        <w:pStyle w:val="FootnoteText"/>
      </w:pPr>
      <w:r>
        <w:rPr>
          <w:rStyle w:val="FootnoteReference"/>
        </w:rPr>
        <w:footnoteRef/>
      </w:r>
      <w:r w:rsidR="00FF3678">
        <w:t xml:space="preserve"> </w:t>
      </w:r>
      <w:r w:rsidR="00FF3678">
        <w:fldChar w:fldCharType="begin"/>
      </w:r>
      <w:r w:rsidR="00D25645">
        <w:instrText xml:space="preserve"> ADDIN ZOTERO_ITEM CSL_CITATION {"citationID":"SnxyrhL8","properties":{"formattedCitation":"Pietro Ortolani, \\uc0\\u8216{}If You Build It, They Will Come. The DSA \\uc0\\u8220{}Procedure Before Substance\\uc0\\u8221{} Approach\\uc0\\u8217{} in Joris Hoboken and others, {\\i{}Putting the DSA into Practice: Enforcement, Access to Justice, and Global Implications} (Verfassungsblog gGmbH 2023) 153 &lt;https://intr2dok.vifa-recht.de/receive/mir_mods_00015033&gt; accessed 2 January 2025.","plainCitation":"Pietro Ortolani, ‘If You Build It, They Will Come. The DSA “Procedure Before Substance” Approach’ in Joris Hoboken and others, Putting the DSA into Practice: Enforcement, Access to Justice, and Global Implications (Verfassungsblog gGmbH 2023) 153 &lt;https://intr2dok.vifa-recht.de/receive/mir_mods_00015033&gt; accessed 2 January 2025.","noteIndex":47},"citationItems":[{"id":"njS2q1xr/F25qs1sO","uris":["http://zotero.org/users/1910271/items/8UC7DEHU"],"itemData":{"id":17499,"type":"chapter","container-title":"Putting the DSA into Practice: Enforcement, Access to Justice, and Global Implications","ISBN":"978-3-7575-1796-0","license":"https://creativecommons.org/licenses/by-sa/4.0/","note":"DOI: 10.17176/20230208-093135-0","page":"151-163","publisher":"Verfassungsblog gGmbH","source":"intr2dok.vifa-recht.de","title":"If You Build it, They Will Come. The DSA “Procedure Before Substance” Approach","URL":"https://intr2dok.vifa-recht.de/receive/mir_mods_00015033","author":[{"family":"Ortolani","given":"Pietro"}],"container-author":[{"family":"Hoboken","given":"Joris"},{"family":"Buri","given":"Ilaria"},{"family":"Quintais","given":"João"},{"family":"Fahy","given":"Ronan"},{"family":"Appelman","given":"Naomi"},{"family":"Straub","given":"Marlene"}],"accessed":{"date-parts":[["2025",1,2]]},"issued":{"date-parts":[["2023"]]}},"locator":"153","label":"page"}],"schema":"https://github.com/citation-style-language/schema/raw/master/csl-citation.json"} </w:instrText>
      </w:r>
      <w:r w:rsidR="00FF3678">
        <w:fldChar w:fldCharType="separate"/>
      </w:r>
      <w:r w:rsidR="008909EA" w:rsidRPr="008909EA">
        <w:rPr>
          <w:rFonts w:ascii="Calibri" w:cs="Calibri"/>
          <w:kern w:val="0"/>
          <w:szCs w:val="24"/>
        </w:rPr>
        <w:t xml:space="preserve">Pietro Ortolani, ‘If You Build It, They Will Come. The DSA “Procedure Before Substance” Approach’ in Joris Hoboken and others, </w:t>
      </w:r>
      <w:r w:rsidR="008909EA" w:rsidRPr="008909EA">
        <w:rPr>
          <w:rFonts w:ascii="Calibri" w:cs="Calibri"/>
          <w:i/>
          <w:iCs/>
          <w:kern w:val="0"/>
          <w:szCs w:val="24"/>
        </w:rPr>
        <w:t>Putting the DSA into Practice: Enforcement, Access to Justice, and Global Implications</w:t>
      </w:r>
      <w:r w:rsidR="008909EA" w:rsidRPr="008909EA">
        <w:rPr>
          <w:rFonts w:ascii="Calibri" w:cs="Calibri"/>
          <w:kern w:val="0"/>
          <w:szCs w:val="24"/>
        </w:rPr>
        <w:t xml:space="preserve"> (Verfassungsblog gGmbH 2023) 153 &lt;https://intr2dok.vifa-recht.de/receive/mir_mods_00015033&gt; accessed 2 January 2025.</w:t>
      </w:r>
      <w:r w:rsidR="00FF3678">
        <w:fldChar w:fldCharType="end"/>
      </w:r>
    </w:p>
  </w:footnote>
  <w:footnote w:id="49">
    <w:p w14:paraId="64D045CD" w14:textId="6841F177" w:rsidR="00F94933" w:rsidRPr="000D3E55" w:rsidRDefault="00F9493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{"citationID":"eArbdSn0","properties":{"formattedCitation":"Husovec (n 19) 19.","plainCitation":"Husovec (n 19) 19.","noteIndex":48},"citationItems":[{"id":"njS2q1xr/Y59GPNwV","uris":["http://zotero.org/users/1910271/items/VX6YWRL6"],"itemData":{"id":16777,"type":"book","abstract":"\"Numerous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beyond.\"--","event-place":"Oxford, United Kingdom","ISBN":"978-0-19-288245-5","language":"eng","number-of-pages":"482","publisher":"Oxford University Press","publisher-place":"Oxford, United Kingdom","source":"K10plus ISBN","title":"Principles of the Digital Services Act","author":[{"family":"Husovec","given":"Martin"}],"issued":{"date-parts":[["2024"]]}},"locator":"19","label":"page"}],"schema":"https://github.com/citation-style-language/schema/raw/master/csl-citation.json"} </w:instrText>
      </w:r>
      <w:r w:rsidRPr="000D3E55">
        <w:rPr>
          <w:lang w:val="en-GB"/>
        </w:rPr>
        <w:fldChar w:fldCharType="separate"/>
      </w:r>
      <w:r w:rsidR="00E302FB" w:rsidRPr="000D3E55">
        <w:rPr>
          <w:rFonts w:ascii="Calibri" w:hAnsi="Calibri" w:cs="Calibri"/>
          <w:lang w:val="en-GB"/>
        </w:rPr>
        <w:t>Husovec (n 19) 19.</w:t>
      </w:r>
      <w:r w:rsidRPr="000D3E55">
        <w:rPr>
          <w:lang w:val="en-GB"/>
        </w:rPr>
        <w:fldChar w:fldCharType="end"/>
      </w:r>
    </w:p>
  </w:footnote>
  <w:footnote w:id="50">
    <w:p w14:paraId="0750A7F7" w14:textId="0DBA386A" w:rsidR="00AA19F2" w:rsidRPr="000D3E55" w:rsidRDefault="00AA19F2" w:rsidP="00AA19F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{"citationID":"rT6J4Q4V","properties":{"formattedCitation":"ibid 8.","plainCitation":"ibid 8.","noteIndex":49},"citationItems":[{"id":"njS2q1xr/Y59GPNwV","uris":["http://zotero.org/users/1910271/items/VX6YWRL6"],"itemData":{"id":16777,"type":"book","abstract":"\"Numerous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beyond.\"--","event-place":"Oxford, United Kingdom","ISBN":"978-0-19-288245-5","language":"eng","number-of-pages":"482","publisher":"Oxford University Press","publisher-place":"Oxford, United Kingdom","source":"K10plus ISBN","title":"Principles of the Digital Services Act","author":[{"family":"Husovec","given":"Martin"}],"issued":{"date-parts":[["2024"]]}},"locator":"8","label":"page"}],"schema":"https://github.com/citation-style-language/schema/raw/master/csl-citation.json"} </w:instrText>
      </w:r>
      <w:r w:rsidRPr="000D3E55">
        <w:rPr>
          <w:lang w:val="en-GB"/>
        </w:rPr>
        <w:fldChar w:fldCharType="separate"/>
      </w:r>
      <w:r w:rsidR="00B87935" w:rsidRPr="000D3E55">
        <w:rPr>
          <w:rFonts w:ascii="Calibri" w:hAnsi="Calibri" w:cs="Calibri"/>
          <w:lang w:val="en-GB"/>
        </w:rPr>
        <w:t>ibid 8.</w:t>
      </w:r>
      <w:r w:rsidRPr="000D3E55">
        <w:rPr>
          <w:lang w:val="en-GB"/>
        </w:rPr>
        <w:fldChar w:fldCharType="end"/>
      </w:r>
    </w:p>
  </w:footnote>
  <w:footnote w:id="51">
    <w:p w14:paraId="3C48740A" w14:textId="37752622" w:rsidR="00AA19F2" w:rsidRPr="000D3E55" w:rsidRDefault="00AA19F2" w:rsidP="00AA19F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{"citationID":"g2vZilcG","properties":{"formattedCitation":"ibid 195.","plainCitation":"ibid 195.","noteIndex":50},"citationItems":[{"id":"njS2q1xr/Y59GPNwV","uris":["http://zotero.org/users/1910271/items/VX6YWRL6"],"itemData":{"id":16777,"type":"book","abstract":"\"Numerous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beyond.\"--","event-place":"Oxford, United Kingdom","ISBN":"978-0-19-288245-5","language":"eng","number-of-pages":"482","publisher":"Oxford University Press","publisher-place":"Oxford, United Kingdom","source":"K10plus ISBN","title":"Principles of the Digital Services Act","author":[{"family":"Husovec","given":"Martin"}],"issued":{"date-parts":[["2024"]]}},"locator":"195","label":"page"}],"schema":"https://github.com/citation-style-language/schema/raw/master/csl-citation.json"} </w:instrText>
      </w:r>
      <w:r w:rsidRPr="000D3E55">
        <w:rPr>
          <w:lang w:val="en-GB"/>
        </w:rPr>
        <w:fldChar w:fldCharType="separate"/>
      </w:r>
      <w:r w:rsidRPr="000D3E55">
        <w:rPr>
          <w:lang w:val="en-GB"/>
        </w:rPr>
        <w:t>ibid 195.</w:t>
      </w:r>
      <w:r w:rsidRPr="000D3E55">
        <w:rPr>
          <w:lang w:val="en-GB"/>
        </w:rPr>
        <w:fldChar w:fldCharType="end"/>
      </w:r>
    </w:p>
  </w:footnote>
  <w:footnote w:id="52">
    <w:p w14:paraId="68E26711" w14:textId="1A7A48F4" w:rsidR="004C2FC2" w:rsidRPr="000D3E55" w:rsidRDefault="004C2FC2" w:rsidP="004C2FC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{"citationID":"EB4WHsno","properties":{"formattedCitation":"ibid 19.","plainCitation":"ibid 19.","noteIndex":51},"citationItems":[{"id":"njS2q1xr/Y59GPNwV","uris":["http://zotero.org/users/1910271/items/VX6YWRL6"],"itemData":{"id":16777,"type":"book","abstract":"\"Numerous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beyond.\"--","event-place":"Oxford, United Kingdom","ISBN":"978-0-19-288245-5","language":"eng","number-of-pages":"482","publisher":"Oxford University Press","publisher-place":"Oxford, United Kingdom","source":"K10plus ISBN","title":"Principles of the Digital Services Act","author":[{"family":"Husovec","given":"Martin"}],"issued":{"date-parts":[["2024"]]}},"locator":"19","label":"page"}],"schema":"https://github.com/citation-style-language/schema/raw/master/csl-citation.json"} </w:instrText>
      </w:r>
      <w:r w:rsidRPr="000D3E55">
        <w:rPr>
          <w:lang w:val="en-GB"/>
        </w:rPr>
        <w:fldChar w:fldCharType="separate"/>
      </w:r>
      <w:r w:rsidR="00A038C2" w:rsidRPr="000D3E55">
        <w:rPr>
          <w:rFonts w:ascii="Calibri" w:hAnsi="Calibri" w:cs="Calibri"/>
          <w:lang w:val="en-GB"/>
        </w:rPr>
        <w:t>ibid 19.</w:t>
      </w:r>
      <w:r w:rsidRPr="000D3E55">
        <w:rPr>
          <w:lang w:val="en-GB"/>
        </w:rPr>
        <w:fldChar w:fldCharType="end"/>
      </w:r>
    </w:p>
  </w:footnote>
  <w:footnote w:id="53">
    <w:p w14:paraId="5A9200ED" w14:textId="77777777" w:rsidR="001A189D" w:rsidRPr="000D3E55" w:rsidRDefault="001A189D" w:rsidP="001A189D">
      <w:pPr>
        <w:pStyle w:val="FootnoteText"/>
        <w:rPr>
          <w:lang w:val="en-GB"/>
        </w:rPr>
      </w:pPr>
      <w:r w:rsidRPr="000D3E55">
        <w:rPr>
          <w:rStyle w:val="FootnoteReference"/>
          <w:lang w:val="en-GB"/>
        </w:rPr>
        <w:footnoteRef/>
      </w:r>
      <w:r w:rsidRPr="000D3E55">
        <w:rPr>
          <w:lang w:val="en-GB"/>
        </w:rPr>
        <w:t xml:space="preserve"> Case C-401/19 Republic of Poland v European Parliament and Council of the European Union [2022] ECLI:EU:C:2022:297, para. 99.</w:t>
      </w:r>
    </w:p>
  </w:footnote>
  <w:footnote w:id="54">
    <w:p w14:paraId="7DD4E85A" w14:textId="32490F93" w:rsidR="00AA3850" w:rsidRPr="000D3E55" w:rsidRDefault="00AA3850">
      <w:pPr>
        <w:pStyle w:val="FootnoteText"/>
        <w:rPr>
          <w:lang w:val="en-GB"/>
        </w:rPr>
      </w:pPr>
      <w:r w:rsidRPr="000D3E55">
        <w:rPr>
          <w:rStyle w:val="FootnoteReference"/>
          <w:lang w:val="en-GB"/>
        </w:rPr>
        <w:footnoteRef/>
      </w:r>
      <w:r w:rsidRPr="000D3E55">
        <w:rPr>
          <w:lang w:val="en-GB"/>
        </w:rPr>
        <w:t xml:space="preserve"> However, Kur et. al (2024) raise </w:t>
      </w:r>
      <w:r w:rsidR="00562EE3" w:rsidRPr="000D3E55">
        <w:rPr>
          <w:lang w:val="en-GB"/>
        </w:rPr>
        <w:t xml:space="preserve">and later answer in negative </w:t>
      </w:r>
      <w:r w:rsidR="00636DA8" w:rsidRPr="000D3E55">
        <w:rPr>
          <w:lang w:val="en-GB"/>
        </w:rPr>
        <w:t>the question, whether compliance</w:t>
      </w:r>
      <w:r w:rsidR="008D1A5E" w:rsidRPr="000D3E55">
        <w:rPr>
          <w:lang w:val="en-GB"/>
        </w:rPr>
        <w:t xml:space="preserve"> with fundamental rights could be regarded as specific enough</w:t>
      </w:r>
      <w:r w:rsidR="0053646E" w:rsidRPr="000D3E55">
        <w:rPr>
          <w:lang w:val="en-GB"/>
        </w:rPr>
        <w:t xml:space="preserve"> for being a „proxy“ for fairness</w:t>
      </w:r>
      <w:r w:rsidR="00EC57CE">
        <w:rPr>
          <w:lang w:val="en-GB"/>
        </w:rPr>
        <w:t>.</w:t>
      </w:r>
      <w:r w:rsidR="0053646E" w:rsidRPr="000D3E55">
        <w:rPr>
          <w:lang w:val="en-GB"/>
        </w:rPr>
        <w:t xml:space="preserve"> Kur et. al (2024), </w:t>
      </w:r>
      <w:r w:rsidR="00C259FB" w:rsidRPr="000D3E55">
        <w:rPr>
          <w:lang w:val="en-GB"/>
        </w:rPr>
        <w:t>176–181.</w:t>
      </w:r>
    </w:p>
  </w:footnote>
  <w:footnote w:id="55">
    <w:p w14:paraId="3FCE28C9" w14:textId="1E26ABF8" w:rsidR="00A66EA4" w:rsidRPr="000D3E55" w:rsidRDefault="00A66EA4">
      <w:pPr>
        <w:pStyle w:val="FootnoteText"/>
        <w:rPr>
          <w:lang w:val="en-GB"/>
        </w:rPr>
      </w:pPr>
      <w:r w:rsidRPr="000D3E55">
        <w:rPr>
          <w:rStyle w:val="FootnoteReference"/>
          <w:lang w:val="en-GB"/>
        </w:rPr>
        <w:footnoteRef/>
      </w:r>
      <w:r w:rsidRPr="000D3E55">
        <w:rPr>
          <w:lang w:val="en-GB"/>
        </w:rPr>
        <w:t xml:space="preserve"> Article 17 para. 9 CDSM.</w:t>
      </w:r>
    </w:p>
  </w:footnote>
  <w:footnote w:id="56">
    <w:p w14:paraId="163F5BE6" w14:textId="4AFD77F3" w:rsidR="008A77D5" w:rsidRDefault="008A77D5">
      <w:pPr>
        <w:pStyle w:val="FootnoteText"/>
      </w:pPr>
      <w:r>
        <w:rPr>
          <w:rStyle w:val="FootnoteReference"/>
        </w:rPr>
        <w:footnoteRef/>
      </w:r>
      <w:r w:rsidR="003F48B9">
        <w:t xml:space="preserve"> </w:t>
      </w:r>
      <w:r w:rsidR="00FA2E87" w:rsidRPr="00FA2E87">
        <w:t>Benjamin Raue, ‘»Unberührt« – Das Verhältnis von DSA Zur DSM-RL Und Zum UrhDaG Vortrag Im Rahmen Des Symposions »Die EU-Plattformregulierung: Eine ›Verfassung‹ Für Digitale Akteure Im Werden?« des Instituts Für Urheber- Und Medienrecht Am 11.11.2022 in München’ [2023] ZUM 160, 162.</w:t>
      </w:r>
      <w:r w:rsidR="00FA2E87">
        <w:t xml:space="preserve"> </w:t>
      </w:r>
      <w:r w:rsidR="00FA2E87" w:rsidRPr="00F97168">
        <w:t xml:space="preserve">As Kur et al. put it, </w:t>
      </w:r>
      <w:r w:rsidR="00FA2E87">
        <w:t xml:space="preserve">the Art.17 CDSM </w:t>
      </w:r>
      <w:r w:rsidR="00FA2E87" w:rsidRPr="00F97168">
        <w:t>was “complemented and superseded in part by the DSA”</w:t>
      </w:r>
      <w:r>
        <w:t xml:space="preserve"> </w:t>
      </w:r>
      <w:r>
        <w:fldChar w:fldCharType="begin"/>
      </w:r>
      <w:r w:rsidR="00D25645">
        <w:instrText xml:space="preserve"> ADDIN ZOTERO_ITEM CSL_CITATION {"citationID":"U0tF3xYe","properties":{"formattedCitation":"Kur, Lee and Tischner, \\uc0\\u8216{}Fairness In Intellectual Property Law\\uc0\\u8217{} (n 36) 320.","plainCitation":"Kur, Lee and Tischner, ‘Fairness In Intellectual Property Law’ (n 36) 320.","noteIndex":55},"citationItems":[{"id":"njS2q1xr/ANBe1MnW","uris":["http://zotero.org/users/1910271/items/FX5NV9Z3"],"itemData":{"id":17275,"type":"chapter","abstract":"\"Fairness In Intellectual Property Law\" published on 05 Nov 2024 by Edward Elgar Publishing.","container-title":"Fairness In Intellectual Property Law","ISBN":"978-1-80088-306-2","language":"eng","publisher":"Edward Elgar Publishing","source":"www.elgaronline.com","title":"Fairness In Intellectual Property Law: Searching for a Uniform Concept","title-short":"Fairness In Intellectual Property Law","URL":"https://www.elgaronline.com/monobook-oa/book/9781800883062/9781800883062.xml","author":[{"family":"Kur","given":"Annette"},{"family":"Lee","given":"Nari"},{"family":"Tischner","given":"Anna"}],"accessed":{"date-parts":[["2025",4,11]]},"issued":{"date-parts":[["2024",11,5]]}},"locator":"320","label":"page"}],"schema":"https://github.com/citation-style-language/schema/raw/master/csl-citation.json"} </w:instrText>
      </w:r>
      <w:r>
        <w:fldChar w:fldCharType="separate"/>
      </w:r>
      <w:r w:rsidR="0045134C" w:rsidRPr="0045134C">
        <w:rPr>
          <w:rFonts w:ascii="Calibri" w:cs="Calibri"/>
          <w:kern w:val="0"/>
          <w:szCs w:val="24"/>
        </w:rPr>
        <w:t>Kur, Lee and Tischner, ‘Fairness In Intellectual Property Law’ (n 36) 320.</w:t>
      </w:r>
      <w:r>
        <w:fldChar w:fldCharType="end"/>
      </w:r>
    </w:p>
  </w:footnote>
  <w:footnote w:id="57">
    <w:p w14:paraId="2BCA46BF" w14:textId="66EF8D8E" w:rsidR="006B68FC" w:rsidRPr="000D3E55" w:rsidRDefault="006B68FC">
      <w:pPr>
        <w:pStyle w:val="FootnoteText"/>
        <w:rPr>
          <w:lang w:val="en-GB"/>
        </w:rPr>
      </w:pPr>
      <w:r w:rsidRPr="000D3E55">
        <w:rPr>
          <w:rStyle w:val="FootnoteReference"/>
          <w:lang w:val="en-GB"/>
        </w:rPr>
        <w:footnoteRef/>
      </w:r>
      <w:r w:rsidR="00956323" w:rsidRPr="000D3E55">
        <w:rPr>
          <w:lang w:val="en-GB"/>
        </w:rPr>
        <w:t xml:space="preserve"> </w:t>
      </w:r>
      <w:r w:rsidR="00956323" w:rsidRPr="000D3E55">
        <w:rPr>
          <w:lang w:val="en-GB"/>
        </w:rPr>
        <w:fldChar w:fldCharType="begin"/>
      </w:r>
      <w:r w:rsidR="00D25645">
        <w:rPr>
          <w:lang w:val="en-GB"/>
        </w:rPr>
        <w:instrText xml:space="preserve"> ADDIN ZOTERO_ITEM CSL_CITATION {"citationID":"gAVfdZJ0","properties":{"formattedCitation":"Cauffman and Goanta (n 9).","plainCitation":"Cauffman and Goanta (n 9).","noteIndex":56},"citationItems":[{"id":11681,"uris":["http://zotero.org/users/local/09vVTa11/items/XUAD8334"],"itemData":{"id":11681,"type":"article-journal","abstract":"On 16 December 2020, the European Commission delivered on the plans proposed in the European Digital Strategy by publishing two proposals related to the governance of digital services in the European Union: the Digital Services Act (DSA) and the Digital Markets Act (DMA). The much-awaited regulatory reform is often mentioned in the context of content moderation and freedom of expression, market power and competition. It is, however, important to bear in mind the contractual nature of the relationship between users and platforms and the additional contracts concluded on the platform between the users, in particular traders and consumers. Moreover, the monetisation offered by digital platforms has led to new dynamics and economic interests. This paper explores the reform proposed by the European Commission by means of the DSA by touching upon four main themes that will be addressed from the perspective of consumer protection: (1) the internal coherence of European Union law; (2) intermediary liability; (3) the outsourcing of solutions to private parties; and (4) digital enforcement.","container-title":"European Journal of Risk Regulation","DOI":"10.1017/err.2021.8","ISSN":"1867-299X, 2190-8249","issue":"4","language":"en","page":"758-774","source":"Cambridge University Press","title":"A New Order: The Digital Services Act and Consumer Protection","title-short":"A New Order","volume":"12","author":[{"family":"Cauffman","given":"Caroline"},{"family":"Goanta","given":"Catalina"}],"issued":{"date-parts":[["2021",12]]}}}],"schema":"https://github.com/citation-style-language/schema/raw/master/csl-citation.json"} </w:instrText>
      </w:r>
      <w:r w:rsidR="00956323" w:rsidRPr="000D3E55">
        <w:rPr>
          <w:lang w:val="en-GB"/>
        </w:rPr>
        <w:fldChar w:fldCharType="separate"/>
      </w:r>
      <w:r w:rsidR="001C0834" w:rsidRPr="000D3E55">
        <w:rPr>
          <w:rFonts w:ascii="Calibri" w:hAnsi="Calibri" w:cs="Calibri"/>
          <w:lang w:val="en-GB"/>
        </w:rPr>
        <w:t>Cauffman and Goanta (n 9).</w:t>
      </w:r>
      <w:r w:rsidR="00956323" w:rsidRPr="000D3E55">
        <w:rPr>
          <w:lang w:val="en-GB"/>
        </w:rPr>
        <w:fldChar w:fldCharType="end"/>
      </w:r>
    </w:p>
  </w:footnote>
  <w:footnote w:id="58">
    <w:p w14:paraId="5708964B" w14:textId="7B9D0999" w:rsidR="00027995" w:rsidRPr="000D3E55" w:rsidRDefault="00027995">
      <w:pPr>
        <w:pStyle w:val="FootnoteText"/>
        <w:rPr>
          <w:lang w:val="en-GB"/>
        </w:rPr>
      </w:pPr>
      <w:r w:rsidRPr="000D3E55">
        <w:rPr>
          <w:rStyle w:val="FootnoteReference"/>
          <w:lang w:val="en-GB"/>
        </w:rPr>
        <w:footnoteRef/>
      </w:r>
      <w:r w:rsidR="00AA78CF" w:rsidRPr="000D3E55">
        <w:rPr>
          <w:lang w:val="en-GB"/>
        </w:rPr>
        <w:t xml:space="preserve"> </w:t>
      </w:r>
      <w:r w:rsidR="00AA78CF" w:rsidRPr="000D3E55">
        <w:rPr>
          <w:lang w:val="en-GB"/>
        </w:rPr>
        <w:fldChar w:fldCharType="begin"/>
      </w:r>
      <w:r w:rsidR="00D25645">
        <w:rPr>
          <w:lang w:val="en-GB"/>
        </w:rPr>
        <w:instrText xml:space="preserve"> ADDIN ZOTERO_ITEM CSL_CITATION {"citationID":"DTMJzLmQ","properties":{"formattedCitation":"\\uc0\\u8216{}Questions and answers on the Digital Services Act*\\uc0\\u8217{} ({\\i{}European Commission - European Commission}) &lt;https://ec.europa.eu/commission/presscorner/detail/en/qanda_20_2348&gt; accessed 10 May 2025.","plainCitation":"‘Questions and answers on the Digital Services Act*’ (European Commission - European Commission) &lt;https://ec.europa.eu/commission/presscorner/detail/en/qanda_20_2348&gt; accessed 10 May 2025.","noteIndex":57},"citationItems":[{"id":"njS2q1xr/DU9dQMfc","uris":["http://zotero.org/users/6317312/items/2CMM5QND"],"itemData":{"id":792,"type":"webpage","abstract":"Index General information on the Digital Services Act Impact of the Digital Services Act on users Impact of the Digital Services Act on businesses Impact of the Digital Services Act on Member States","container-title":"European Commission - European Commission","genre":"Text","language":"sk","title":"Questions and answers on the Digital Services Act*","URL":"https://ec.europa.eu/commission/presscorner/detail/en/qanda_20_2348","accessed":{"date-parts":[["2025",5,10]]}}}],"schema":"https://github.com/citation-style-language/schema/raw/master/csl-citation.json"} </w:instrText>
      </w:r>
      <w:r w:rsidR="00AA78CF" w:rsidRPr="000D3E55">
        <w:rPr>
          <w:lang w:val="en-GB"/>
        </w:rPr>
        <w:fldChar w:fldCharType="separate"/>
      </w:r>
      <w:r w:rsidR="00AA78CF" w:rsidRPr="000D3E55">
        <w:rPr>
          <w:rFonts w:ascii="Calibri" w:hAnsi="Calibri" w:cs="Calibri"/>
          <w:kern w:val="0"/>
          <w:lang w:val="en-GB"/>
        </w:rPr>
        <w:t>‘Questions and answers on the Digital Services Act*’ (</w:t>
      </w:r>
      <w:r w:rsidR="00AA78CF" w:rsidRPr="000D3E55">
        <w:rPr>
          <w:rFonts w:ascii="Calibri" w:hAnsi="Calibri" w:cs="Calibri"/>
          <w:i/>
          <w:kern w:val="0"/>
          <w:lang w:val="en-GB"/>
        </w:rPr>
        <w:t>European Commission - European Commission</w:t>
      </w:r>
      <w:r w:rsidR="00AA78CF" w:rsidRPr="000D3E55">
        <w:rPr>
          <w:rFonts w:ascii="Calibri" w:hAnsi="Calibri" w:cs="Calibri"/>
          <w:kern w:val="0"/>
          <w:lang w:val="en-GB"/>
        </w:rPr>
        <w:t>) &lt;https://ec.europa.eu/commission/presscorner/detail/en/qanda_20_2348&gt; accessed 10 May 2025.</w:t>
      </w:r>
      <w:r w:rsidR="00AA78CF" w:rsidRPr="000D3E55">
        <w:rPr>
          <w:lang w:val="en-GB"/>
        </w:rPr>
        <w:fldChar w:fldCharType="end"/>
      </w:r>
    </w:p>
  </w:footnote>
  <w:footnote w:id="59">
    <w:p w14:paraId="39BDBAD2" w14:textId="015D553A" w:rsidR="00FC149D" w:rsidRPr="000D3E55" w:rsidRDefault="00FC149D">
      <w:pPr>
        <w:pStyle w:val="FootnoteText"/>
        <w:rPr>
          <w:lang w:val="en-GB"/>
        </w:rPr>
      </w:pPr>
      <w:r w:rsidRPr="000D3E55">
        <w:rPr>
          <w:rStyle w:val="FootnoteReference"/>
          <w:lang w:val="en-GB"/>
        </w:rPr>
        <w:footnoteRef/>
      </w:r>
      <w:r w:rsidR="005E7A26" w:rsidRPr="000D3E55">
        <w:rPr>
          <w:lang w:val="en-GB"/>
        </w:rPr>
        <w:t xml:space="preserve"> </w:t>
      </w:r>
      <w:r w:rsidR="005E7A26" w:rsidRPr="000D3E55">
        <w:rPr>
          <w:lang w:val="en-GB"/>
        </w:rPr>
        <w:fldChar w:fldCharType="begin"/>
      </w:r>
      <w:r w:rsidR="00D25645">
        <w:rPr>
          <w:lang w:val="en-GB"/>
        </w:rPr>
        <w:instrText xml:space="preserve"> ADDIN ZOTERO_ITEM CSL_CITATION {"citationID":"2YA2PEA2","properties":{"formattedCitation":"\\uc0\\u8216{}European Commission - Have Your Say\\uc0\\u8217{} ({\\i{}European Commission - Have your say}) &lt;https://ec.europa.eu/info/law/better-regulation/have-your-say/initiatives/12416-New-competition-tool/public-consultation_en&gt; accessed 10 May 2025.","plainCitation":"‘European Commission - Have Your Say’ (European Commission - Have your say) &lt;https://ec.europa.eu/info/law/better-regulation/have-your-say/initiatives/12416-New-competition-tool/public-consultation_en&gt; accessed 10 May 2025.","noteIndex":58},"citationItems":[{"id":"njS2q1xr/5gQgtMeO","uris":["http://zotero.org/users/6317312/items/AN3YNG6B"],"itemData":{"id":794,"type":"webpage","abstract":"European Commission - Have your say","container-title":"European Commission - Have your say","genre":"Text","language":"en","title":"European Commission - Have your say","URL":"https://ec.europa.eu/info/law/better-regulation/have-your-say/initiatives/12416-New-competition-tool/public-consultation_en","accessed":{"date-parts":[["2025",5,10]]}}}],"schema":"https://github.com/citation-style-language/schema/raw/master/csl-citation.json"} </w:instrText>
      </w:r>
      <w:r w:rsidR="005E7A26" w:rsidRPr="000D3E55">
        <w:rPr>
          <w:lang w:val="en-GB"/>
        </w:rPr>
        <w:fldChar w:fldCharType="separate"/>
      </w:r>
      <w:r w:rsidR="005E7A26" w:rsidRPr="000D3E55">
        <w:rPr>
          <w:rFonts w:ascii="Calibri" w:hAnsi="Calibri" w:cs="Calibri"/>
          <w:kern w:val="0"/>
          <w:lang w:val="en-GB"/>
        </w:rPr>
        <w:t>‘European Commission - Have Your Say’ (</w:t>
      </w:r>
      <w:r w:rsidR="005E7A26" w:rsidRPr="000D3E55">
        <w:rPr>
          <w:rFonts w:ascii="Calibri" w:hAnsi="Calibri" w:cs="Calibri"/>
          <w:i/>
          <w:kern w:val="0"/>
          <w:lang w:val="en-GB"/>
        </w:rPr>
        <w:t>European Commission - Have your say</w:t>
      </w:r>
      <w:r w:rsidR="005E7A26" w:rsidRPr="000D3E55">
        <w:rPr>
          <w:rFonts w:ascii="Calibri" w:hAnsi="Calibri" w:cs="Calibri"/>
          <w:kern w:val="0"/>
          <w:lang w:val="en-GB"/>
        </w:rPr>
        <w:t>) &lt;https://ec.europa.eu/info/law/better-regulation/have-your-say/initiatives/12416-New-competition-tool/public-consultation_en&gt; accessed 10 May 2025.</w:t>
      </w:r>
      <w:r w:rsidR="005E7A26" w:rsidRPr="000D3E55">
        <w:rPr>
          <w:lang w:val="en-GB"/>
        </w:rPr>
        <w:fldChar w:fldCharType="end"/>
      </w:r>
    </w:p>
  </w:footnote>
  <w:footnote w:id="60">
    <w:p w14:paraId="083454AD" w14:textId="264FFB26" w:rsidR="00DE20F0" w:rsidRPr="000D3E55" w:rsidRDefault="00DE20F0">
      <w:pPr>
        <w:pStyle w:val="FootnoteText"/>
        <w:rPr>
          <w:lang w:val="en-GB"/>
        </w:rPr>
      </w:pPr>
      <w:r w:rsidRPr="000D3E55">
        <w:rPr>
          <w:rStyle w:val="FootnoteReference"/>
          <w:lang w:val="en-GB"/>
        </w:rPr>
        <w:footnoteRef/>
      </w:r>
      <w:r w:rsidR="008F3F84" w:rsidRPr="000D3E55">
        <w:rPr>
          <w:lang w:val="en-GB"/>
        </w:rPr>
        <w:t xml:space="preserve"> </w:t>
      </w:r>
      <w:r w:rsidR="008F3F84" w:rsidRPr="000D3E55">
        <w:rPr>
          <w:lang w:val="en-GB"/>
        </w:rPr>
        <w:fldChar w:fldCharType="begin"/>
      </w:r>
      <w:r w:rsidR="00D25645">
        <w:rPr>
          <w:lang w:val="en-GB"/>
        </w:rPr>
        <w:instrText xml:space="preserve"> ADDIN ZOTERO_ITEM CSL_CITATION {"citationID":"yIoZgNLc","properties":{"formattedCitation":"Cauffman and Goanta (n 9) 10.","plainCitation":"Cauffman and Goanta (n 9) 10.","noteIndex":59},"citationItems":[{"id":11681,"uris":["http://zotero.org/users/local/09vVTa11/items/XUAD8334"],"itemData":{"id":11681,"type":"article-journal","abstract":"On 16 December 2020, the European Commission delivered on the plans proposed in the European Digital Strategy by publishing two proposals related to the governance of digital services in the European Union: the Digital Services Act (DSA) and the Digital Markets Act (DMA). The much-awaited regulatory reform is often mentioned in the context of content moderation and freedom of expression, market power and competition. It is, however, important to bear in mind the contractual nature of the relationship between users and platforms and the additional contracts concluded on the platform between the users, in particular traders and consumers. Moreover, the monetisation offered by digital platforms has led to new dynamics and economic interests. This paper explores the reform proposed by the European Commission by means of the DSA by touching upon four main themes that will be addressed from the perspective of consumer protection: (1) the internal coherence of European Union law; (2) intermediary liability; (3) the outsourcing of solutions to private parties; and (4) digital enforcement.","container-title":"European Journal of Risk Regulation","DOI":"10.1017/err.2021.8","ISSN":"1867-299X, 2190-8249","issue":"4","language":"en","page":"758-774","source":"Cambridge University Press","title":"A New Order: The Digital Services Act and Consumer Protection","title-short":"A New Order","volume":"12","author":[{"family":"Cauffman","given":"Caroline"},{"family":"Goanta","given":"Catalina"}],"issued":{"date-parts":[["2021",12]]}},"locator":"10","label":"page"}],"schema":"https://github.com/citation-style-language/schema/raw/master/csl-citation.json"} </w:instrText>
      </w:r>
      <w:r w:rsidR="008F3F84" w:rsidRPr="000D3E55">
        <w:rPr>
          <w:lang w:val="en-GB"/>
        </w:rPr>
        <w:fldChar w:fldCharType="separate"/>
      </w:r>
      <w:r w:rsidR="001C0834" w:rsidRPr="000D3E55">
        <w:rPr>
          <w:rFonts w:ascii="Calibri" w:hAnsi="Calibri" w:cs="Calibri"/>
          <w:lang w:val="en-GB"/>
        </w:rPr>
        <w:t>Cauffman and Goanta (n 9) 10.</w:t>
      </w:r>
      <w:r w:rsidR="008F3F84" w:rsidRPr="000D3E55">
        <w:rPr>
          <w:lang w:val="en-GB"/>
        </w:rPr>
        <w:fldChar w:fldCharType="end"/>
      </w:r>
    </w:p>
  </w:footnote>
  <w:footnote w:id="61">
    <w:p w14:paraId="2BA8B748" w14:textId="7AE3FB0D" w:rsidR="00EA2222" w:rsidRPr="000D3E55" w:rsidRDefault="00EA2222">
      <w:pPr>
        <w:pStyle w:val="FootnoteText"/>
        <w:rPr>
          <w:lang w:val="en-GB"/>
        </w:rPr>
      </w:pPr>
      <w:r w:rsidRPr="000D3E55">
        <w:rPr>
          <w:rStyle w:val="FootnoteReference"/>
          <w:lang w:val="en-GB"/>
        </w:rPr>
        <w:footnoteRef/>
      </w:r>
      <w:r w:rsidR="0009301A" w:rsidRPr="000D3E55">
        <w:rPr>
          <w:lang w:val="en-GB"/>
        </w:rPr>
        <w:t xml:space="preserve"> </w:t>
      </w:r>
      <w:r w:rsidR="0009301A" w:rsidRPr="000D3E55">
        <w:rPr>
          <w:lang w:val="en-GB"/>
        </w:rPr>
        <w:fldChar w:fldCharType="begin"/>
      </w:r>
      <w:r w:rsidR="00D25645">
        <w:rPr>
          <w:lang w:val="en-GB"/>
        </w:rPr>
        <w:instrText xml:space="preserve"> ADDIN ZOTERO_ITEM CSL_CITATION {"citationID":"6Lfo7qrt","properties":{"formattedCitation":"Anja R\\uc0\\u246{}sner, Justus Haucap and Ulrich Heimeshoff, \\uc0\\u8216{}The Impact of Consumer Protection in the Digital Age: Evidence from the European Union\\uc0\\u8217{} (2020) 73 International Journal of Industrial Organization 102585 &lt;https://www.sciencedirect.com/science/article/pii/S0167718720300072&gt; accessed 10 May 2025.","plainCitation":"Anja Rösner, Justus Haucap and Ulrich Heimeshoff, ‘The Impact of Consumer Protection in the Digital Age: Evidence from the European Union’ (2020) 73 International Journal of Industrial Organization 102585 &lt;https://www.sciencedirect.com/science/article/pii/S0167718720300072&gt; accessed 10 May 2025.","noteIndex":60},"citationItems":[{"id":"njS2q1xr/tHoUrypA","uris":["http://zotero.org/users/6317312/items/NNYFFUMF"],"itemData":{"id":796,"type":"article-journal","abstract":"We investigate the effect of an EU-wide consumer protection regulation on consumer trust as well as consumer behavior. The Unfair Commercial Practice Directive (UCPD) was implemented by EU member states between 2007 and 2010. We utilize data from the Special and Flash Eurobarometer for the years between 2006 and 2014 and experts’ evaluation on consumer protection levels before the introduction of the regulation. This rich data set allows us to apply a difference-in-difference estimator with multiple time periods. We find a significant relationship between the introduction of the UCPD and consumer trust and cross-border purchases for countries with a low consumer protection level before the introduction of the UCPD. The relationship increases over time and stays then relatively constant.","container-title":"International Journal of Industrial Organization","DOI":"10.1016/j.ijindorg.2020.102585","ISSN":"0167-7187","journalAbbreviation":"International Journal of Industrial Organization","page":"102585","source":"ScienceDirect","title":"The impact of consumer protection in the digital age: Evidence from the European Union","title-short":"The impact of consumer protection in the digital age","URL":"https://www.sciencedirect.com/science/article/pii/S0167718720300072","volume":"73","author":[{"family":"Rösner","given":"Anja"},{"family":"Haucap","given":"Justus"},{"family":"Heimeshoff","given":"Ulrich"}],"accessed":{"date-parts":[["2025",5,10]]},"issued":{"date-parts":[["2020",12,1]]}}}],"schema":"https://github.com/citation-style-language/schema/raw/master/csl-citation.json"} </w:instrText>
      </w:r>
      <w:r w:rsidR="0009301A" w:rsidRPr="000D3E55">
        <w:rPr>
          <w:lang w:val="en-GB"/>
        </w:rPr>
        <w:fldChar w:fldCharType="separate"/>
      </w:r>
      <w:r w:rsidR="0009301A" w:rsidRPr="000D3E55">
        <w:rPr>
          <w:rFonts w:ascii="Calibri" w:hAnsi="Calibri" w:cs="Calibri"/>
          <w:kern w:val="0"/>
          <w:lang w:val="en-GB"/>
        </w:rPr>
        <w:t>Anja Rösner, Justus Haucap and Ulrich Heimeshoff, ‘The Impact of Consumer Protection in the Digital Age: Evidence from the European Union’ (2020) 73 International Journal of Industrial Organization 102585 &lt;https://www.sciencedirect.com/science/article/pii/S0167718720300072&gt; accessed 10 May 2025.</w:t>
      </w:r>
      <w:r w:rsidR="0009301A" w:rsidRPr="000D3E55">
        <w:rPr>
          <w:lang w:val="en-GB"/>
        </w:rPr>
        <w:fldChar w:fldCharType="end"/>
      </w:r>
    </w:p>
  </w:footnote>
  <w:footnote w:id="62">
    <w:p w14:paraId="0185F5F0" w14:textId="2DC2FC4C" w:rsidR="00F95747" w:rsidRPr="000D3E55" w:rsidRDefault="00F95747">
      <w:pPr>
        <w:pStyle w:val="FootnoteText"/>
        <w:rPr>
          <w:lang w:val="en-GB"/>
        </w:rPr>
      </w:pPr>
      <w:r w:rsidRPr="000D3E55">
        <w:rPr>
          <w:rStyle w:val="FootnoteReference"/>
          <w:lang w:val="en-GB"/>
        </w:rPr>
        <w:footnoteRef/>
      </w:r>
      <w:r w:rsidR="003021F2" w:rsidRPr="000D3E55">
        <w:rPr>
          <w:lang w:val="en-GB"/>
        </w:rPr>
        <w:t xml:space="preserve"> </w:t>
      </w:r>
      <w:r w:rsidR="003021F2" w:rsidRPr="000D3E55">
        <w:rPr>
          <w:lang w:val="en-GB"/>
        </w:rPr>
        <w:fldChar w:fldCharType="begin"/>
      </w:r>
      <w:r w:rsidR="00D25645">
        <w:rPr>
          <w:lang w:val="en-GB"/>
        </w:rPr>
        <w:instrText xml:space="preserve"> ADDIN ZOTERO_ITEM CSL_CITATION {"citationID":"HoCULpRv","properties":{"formattedCitation":"Anna Moskal, \\uc0\\u8216{}Digital Markets Act (DMA): A Consumer Protection Perspective\\uc0\\u8217{} (2023) 2022 7 European Papers - A Journal on Law and Integration 1113 &lt;https://www.europeanpapers.eu/en/europeanforum/digital-markets-act-consumer-protection-perspective&gt; accessed 10 May 2025.","plainCitation":"Anna Moskal, ‘Digital Markets Act (DMA): A Consumer Protection Perspective’ (2023) 2022 7 European Papers - A Journal on Law and Integration 1113 &lt;https://www.europeanpapers.eu/en/europeanforum/digital-markets-act-consumer-protection-perspective&gt; accessed 10 May 2025.","noteIndex":61},"citationItems":[{"id":"njS2q1xr/6uAhWAoz","uris":["http://zotero.org/users/6317312/items/6VYSE62V"],"itemData":{"id":799,"type":"article-journal","abstract":"European Papers","container-title":"European Papers - A Journal on Law and Integration","DOI":"10.15166/2499-8249/615","ISSN":"2499-8249","issue":"3","language":"eng","license":"Creative Commons Attribution Non Commercial No Derivatives 4.0 International (https://creativecommons.org/licenses/by-nc-nd/4.0/legalcode)","note":"publisher: European Papers (www.europeanpapers.eu)","page":"1113-1119","source":"www.europeanpapers.eu","title":"Digital Markets Act (DMA): A Consumer Protection Perspective","title-short":"Digital Markets Act (DMA)","URL":"https://www.europeanpapers.eu/en/europeanforum/digital-markets-act-consumer-protection-perspective","volume":"2022 7","author":[{"family":"Moskal","given":"Anna"}],"accessed":{"date-parts":[["2025",5,10]]},"issued":{"date-parts":[["2023",1,31]]}}}],"schema":"https://github.com/citation-style-language/schema/raw/master/csl-citation.json"} </w:instrText>
      </w:r>
      <w:r w:rsidR="003021F2" w:rsidRPr="000D3E55">
        <w:rPr>
          <w:lang w:val="en-GB"/>
        </w:rPr>
        <w:fldChar w:fldCharType="separate"/>
      </w:r>
      <w:r w:rsidR="003021F2" w:rsidRPr="000D3E55">
        <w:rPr>
          <w:rFonts w:ascii="Calibri" w:hAnsi="Calibri" w:cs="Calibri"/>
          <w:kern w:val="0"/>
          <w:lang w:val="en-GB"/>
        </w:rPr>
        <w:t>Anna Moskal, ‘Digital Markets Act (DMA): A Consumer Protection Perspective’ (2023) 2022 7 European Papers - A Journal on Law and Integration 1113 &lt;https://www.europeanpapers.eu/en/europeanforum/digital-markets-act-consumer-protection-perspective&gt; accessed 10 May 2025.</w:t>
      </w:r>
      <w:r w:rsidR="003021F2" w:rsidRPr="000D3E55">
        <w:rPr>
          <w:lang w:val="en-GB"/>
        </w:rPr>
        <w:fldChar w:fldCharType="end"/>
      </w:r>
    </w:p>
  </w:footnote>
  <w:footnote w:id="63">
    <w:p w14:paraId="208D945B" w14:textId="08A6B616" w:rsidR="00A41F2D" w:rsidRPr="000D3E55" w:rsidRDefault="00A41F2D">
      <w:pPr>
        <w:pStyle w:val="FootnoteText"/>
        <w:rPr>
          <w:lang w:val="en-GB"/>
        </w:rPr>
      </w:pPr>
      <w:r w:rsidRPr="000D3E55">
        <w:rPr>
          <w:rStyle w:val="FootnoteReference"/>
          <w:lang w:val="en-GB"/>
        </w:rPr>
        <w:footnoteRef/>
      </w:r>
      <w:r w:rsidRPr="000D3E55">
        <w:rPr>
          <w:lang w:val="en-GB"/>
        </w:rPr>
        <w:t xml:space="preserve"> Such as the </w:t>
      </w:r>
      <w:r w:rsidR="007E69A7" w:rsidRPr="000D3E55">
        <w:rPr>
          <w:lang w:val="en-GB"/>
        </w:rPr>
        <w:t xml:space="preserve">„Europe fit for the digital age“ and the Digital Decade strategies, </w:t>
      </w:r>
      <w:r w:rsidR="004D2919" w:rsidRPr="000D3E55">
        <w:rPr>
          <w:lang w:val="en-GB"/>
        </w:rPr>
        <w:t xml:space="preserve">see </w:t>
      </w:r>
      <w:r w:rsidR="007E69A7" w:rsidRPr="000D3E55">
        <w:rPr>
          <w:lang w:val="en-GB"/>
        </w:rPr>
        <w:t>https://commission.europa.eu/strategy-and-policy/priorities-2019-2024/europe-fit-digital-age_en</w:t>
      </w:r>
    </w:p>
  </w:footnote>
  <w:footnote w:id="64">
    <w:p w14:paraId="15E57F50" w14:textId="6DB092A3" w:rsidR="000C6516" w:rsidRPr="000D3E55" w:rsidRDefault="000C6516">
      <w:pPr>
        <w:pStyle w:val="FootnoteText"/>
        <w:rPr>
          <w:lang w:val="en-GB"/>
        </w:rPr>
      </w:pPr>
      <w:r w:rsidRPr="000D3E55">
        <w:rPr>
          <w:rStyle w:val="FootnoteReference"/>
          <w:lang w:val="en-GB"/>
        </w:rPr>
        <w:footnoteRef/>
      </w:r>
      <w:r w:rsidR="004104B7" w:rsidRPr="000D3E55">
        <w:rPr>
          <w:lang w:val="en-GB"/>
        </w:rPr>
        <w:t xml:space="preserve"> </w:t>
      </w:r>
      <w:r w:rsidR="004104B7" w:rsidRPr="000D3E55">
        <w:rPr>
          <w:lang w:val="en-GB"/>
        </w:rPr>
        <w:fldChar w:fldCharType="begin"/>
      </w:r>
      <w:r w:rsidR="00D25645">
        <w:rPr>
          <w:lang w:val="en-GB"/>
        </w:rPr>
        <w:instrText xml:space="preserve"> ADDIN ZOTERO_ITEM CSL_CITATION {"citationID":"7pfHwL3l","properties":{"formattedCitation":"Chris Willett, \\uc0\\u8216{}RE-THEORISING CONSUMER LAW\\uc0\\u8217{} (2018) 77 The Cambridge Law Journal 179 &lt;https://www.cambridge.org/core/journals/cambridge-law-journal/article/abs/retheorising-consumer-law/F6BBD48F7113C8E62EF967AB2DCE7BBD&gt; accessed 10 May 2025.","plainCitation":"Chris Willett, ‘RE-THEORISING CONSUMER LAW’ (2018) 77 The Cambridge Law Journal 179 &lt;https://www.cambridge.org/core/journals/cambridge-law-journal/article/abs/retheorising-consumer-law/F6BBD48F7113C8E62EF967AB2DCE7BBD&gt; accessed 10 May 2025.","noteIndex":63},"citationItems":[{"id":"njS2q1xr/1OuuHEQF","uris":["http://zotero.org/users/6317312/items/4ZNC3DRP"],"itemData":{"id":801,"type":"article-journal","abstract":"This article develops a new theoretical framework for understanding consumer contract law, one based on competing ethics of self-interest/reliance and need. It shows how this is a better way of understanding choices as to levels of protection than the traditional “freedom versus fairness” framework. The self-interest/reliance ethic favours rules allowing traders to use processes to escape responsibility for poor quality and harsh outcomes, while the need ethic is concerned with consumer weaknesses and better protects against such outcomes. The article also shows that need-based rules are usually more effective at improving clarity and certainty, and where such rules cause uncertainty, at least as much uncertainty is caused by the alternative self-interest/reliance-based rules.","container-title":"The Cambridge Law Journal","DOI":"10.1017/S0008197318000107","ISSN":"0008-1973, 1469-2139","issue":"1","language":"en","page":"179-210","source":"Cambridge University Press","title":"RE-THEORISING CONSUMER LAW","URL":"https://www.cambridge.org/core/journals/cambridge-law-journal/article/abs/retheorising-consumer-law/F6BBD48F7113C8E62EF967AB2DCE7BBD","volume":"77","author":[{"family":"Willett","given":"Chris"}],"accessed":{"date-parts":[["2025",5,10]]},"issued":{"date-parts":[["2018",3]]}}}],"schema":"https://github.com/citation-style-language/schema/raw/master/csl-citation.json"} </w:instrText>
      </w:r>
      <w:r w:rsidR="004104B7" w:rsidRPr="000D3E55">
        <w:rPr>
          <w:lang w:val="en-GB"/>
        </w:rPr>
        <w:fldChar w:fldCharType="separate"/>
      </w:r>
      <w:r w:rsidR="004104B7" w:rsidRPr="000D3E55">
        <w:rPr>
          <w:rFonts w:ascii="Calibri" w:hAnsi="Calibri" w:cs="Calibri"/>
          <w:kern w:val="0"/>
          <w:lang w:val="en-GB"/>
        </w:rPr>
        <w:t>Chris Willett, ‘RE-THEORISING CONSUMER LAW’ (2018) 77 The Cambridge Law Journal 179 &lt;https://www.cambridge.org/core/journals/cambridge-law-journal/article/abs/retheorising-consumer-law/F6BBD48F7113C8E62EF967AB2DCE7BBD&gt; accessed 10 May 2025.</w:t>
      </w:r>
      <w:r w:rsidR="004104B7" w:rsidRPr="000D3E55">
        <w:rPr>
          <w:lang w:val="en-GB"/>
        </w:rPr>
        <w:fldChar w:fldCharType="end"/>
      </w:r>
    </w:p>
  </w:footnote>
  <w:footnote w:id="65">
    <w:p w14:paraId="714805D2" w14:textId="49269994" w:rsidR="047E1197" w:rsidRPr="000D3E55" w:rsidRDefault="047E1197" w:rsidP="047E1197">
      <w:pPr>
        <w:pStyle w:val="FootnoteText"/>
        <w:rPr>
          <w:lang w:val="en-GB"/>
        </w:rPr>
      </w:pPr>
      <w:r w:rsidRPr="000D3E55">
        <w:rPr>
          <w:rStyle w:val="FootnoteReference"/>
          <w:lang w:val="en-GB"/>
        </w:rPr>
        <w:footnoteRef/>
      </w:r>
      <w:r w:rsidR="008C42F5" w:rsidRPr="000D3E55">
        <w:rPr>
          <w:lang w:val="en-GB"/>
        </w:rPr>
        <w:t xml:space="preserve"> </w:t>
      </w:r>
      <w:r w:rsidR="008C42F5" w:rsidRPr="000D3E55">
        <w:rPr>
          <w:lang w:val="en-GB"/>
        </w:rPr>
        <w:fldChar w:fldCharType="begin"/>
      </w:r>
      <w:r w:rsidR="00D25645">
        <w:rPr>
          <w:lang w:val="en-GB"/>
        </w:rPr>
        <w:instrText xml:space="preserve"> ADDIN ZOTERO_ITEM CSL_CITATION {"citationID":"jdGBF5BR","properties":{"formattedCitation":"European Commission (n 17).","plainCitation":"European Commission (n 17).","noteIndex":64},"citationItems":[{"id":11661,"uris":["http://zotero.org/users/local/09vVTa11/items/KBGNZBEV"],"itemData":{"id":11661,"type":"webpage","title":"Digital fairness – fitness check on EU consumer law","URL":"https://ec.europa.eu/info/law/better-regulation/have-your-say/initiatives/13413-Digital-fairness-fitness-check-on-EU-consumer-law_en","author":[{"literal":"European Commission"}],"accessed":{"date-parts":[["2025",5,2]]},"issued":{"date-parts":[["2022"]],"season":"2024"}}}],"schema":"https://github.com/citation-style-language/schema/raw/master/csl-citation.json"} </w:instrText>
      </w:r>
      <w:r w:rsidR="008C42F5" w:rsidRPr="000D3E55">
        <w:rPr>
          <w:lang w:val="en-GB"/>
        </w:rPr>
        <w:fldChar w:fldCharType="separate"/>
      </w:r>
      <w:r w:rsidR="00E302FB" w:rsidRPr="000D3E55">
        <w:rPr>
          <w:rFonts w:ascii="Calibri" w:hAnsi="Calibri" w:cs="Calibri"/>
          <w:lang w:val="en-GB"/>
        </w:rPr>
        <w:t>European Commission (n 17).</w:t>
      </w:r>
      <w:r w:rsidR="008C42F5" w:rsidRPr="000D3E55">
        <w:rPr>
          <w:lang w:val="en-GB"/>
        </w:rPr>
        <w:fldChar w:fldCharType="end"/>
      </w:r>
    </w:p>
  </w:footnote>
  <w:footnote w:id="66">
    <w:p w14:paraId="3EEDF0D2" w14:textId="7C8F0C8C" w:rsidR="00B2228C" w:rsidRPr="000D3E55" w:rsidRDefault="00B2228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{"citationID":"8nsUp7Uf","properties":{"formattedCitation":"Elkin-Koren and Salzberger (n 15) 23; See Deyneli at Alain Marciano and Giovanni Battista Ramello (eds), {\\i{}Encyclopedia of Law and Economics} (Springer New York 2019) 673 et seq. &lt;https://link.springer.com/10.1007/978-1-4614-7753-2&gt; accessed 27 July 2023.","plainCitation":"Elkin-Koren and Salzberger (n 15) 23; See Deyneli at Alain Marciano and Giovanni Battista Ramello (eds), Encyclopedia of Law and Economics (Springer New York 2019) 673 et seq. &lt;https://link.springer.com/10.1007/978-1-4614-7753-2&gt; accessed 27 July 2023.","noteIndex":65},"citationItems":[{"id":266,"uris":["http://zotero.org/users/local/09vVTa11/items/X4HI633N"],"itemData":{"id":266,"type":"book","ISBN":"978-1-138-78657-8","language":"en","publisher":"Routledge,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23","label":"page"},{"id":634,"uris":["http://zotero.org/users/local/09vVTa11/items/JWY6M8CK"],"itemData":{"id":634,"type":"book","event-place":"New York, NY","ISBN":"978-1-4614-7752-5","language":"en","note":"DOI: 10.1007/978-1-4614-7753-2","publisher":"Springer New York","publisher-place":"New York, NY","source":"DOI.org (Crossref)","title":"Encyclopedia of Law and Economics","URL":"https://link.springer.com/10.1007/978-1-4614-7753-2","editor":[{"family":"Marciano","given":"Alain"},{"family":"Ramello","given":"Giovanni Battista"}],"accessed":{"date-parts":[["2023",7,27]]},"issued":{"date-parts":[["2019"]]}},"locator":"673 et seq.","label":"page","prefix":"See Deyneli at"}],"schema":"https://github.com/citation-style-language/schema/raw/master/csl-citation.json"} </w:instrText>
      </w:r>
      <w:r w:rsidRPr="000D3E55">
        <w:rPr>
          <w:lang w:val="en-GB"/>
        </w:rPr>
        <w:fldChar w:fldCharType="separate"/>
      </w:r>
      <w:r w:rsidR="009A7302" w:rsidRPr="000D3E55">
        <w:rPr>
          <w:rFonts w:ascii="Calibri" w:hAnsi="Calibri" w:cs="Calibri"/>
          <w:kern w:val="0"/>
          <w:lang w:val="en-GB"/>
        </w:rPr>
        <w:t xml:space="preserve">Elkin-Koren and Salzberger (n 15) 23; See Deyneli at Alain Marciano and Giovanni Battista Ramello (eds), </w:t>
      </w:r>
      <w:r w:rsidR="009A7302" w:rsidRPr="000D3E55">
        <w:rPr>
          <w:rFonts w:ascii="Calibri" w:hAnsi="Calibri" w:cs="Calibri"/>
          <w:i/>
          <w:iCs/>
          <w:kern w:val="0"/>
          <w:lang w:val="en-GB"/>
        </w:rPr>
        <w:t>Encyclopedia of Law and Economics</w:t>
      </w:r>
      <w:r w:rsidR="009A7302" w:rsidRPr="000D3E55">
        <w:rPr>
          <w:rFonts w:ascii="Calibri" w:hAnsi="Calibri" w:cs="Calibri"/>
          <w:kern w:val="0"/>
          <w:lang w:val="en-GB"/>
        </w:rPr>
        <w:t xml:space="preserve"> (Springer New York 2019) 673 et seq. &lt;https://link.springer.com/10.1007/978-1-4614-7753-2&gt; accessed 27 July 2023.</w:t>
      </w:r>
      <w:r w:rsidRPr="000D3E55">
        <w:rPr>
          <w:lang w:val="en-GB"/>
        </w:rPr>
        <w:fldChar w:fldCharType="end"/>
      </w:r>
    </w:p>
  </w:footnote>
  <w:footnote w:id="67">
    <w:p w14:paraId="6D78FC09" w14:textId="242141D7" w:rsidR="00CF3977" w:rsidRPr="000D3E55" w:rsidRDefault="00CF397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{"citationID":"Ku4Nx8t1","properties":{"formattedCitation":"Deyneli, e.g., concludes that Kaldor-Hicks is a neccessary accomodation to legal system where Pareto efficiency struggles with legal outcomes where one party loses. Marciano and Ramello (n 65); Grimmelmann and Zhang note that literature on efficiency of platorm liability similarly relies on Kaldor-Hicks efficiency. Grimmelmann and Zhang (n 8) 1014; Nicholas Mercuro and Steven G Medema, {\\i{}Economics and the Law: From Posner to Postmodernism and Beyond - Second Edition} (NED-New edition, Princeton University Press 2006) 89\\uc0\\u8211{}93 &lt;https://www.jstor.org/stable/j.ctv131bw26&gt; accessed 25 July 2023.","plainCitation":"Deyneli, e.g., concludes that Kaldor-Hicks is a neccessary accomodation to legal system where Pareto efficiency struggles with legal outcomes where one party loses. Marciano and Ramello (n 65); Grimmelmann and Zhang note that literature on efficiency of platorm liability similarly relies on Kaldor-Hicks efficiency. Grimmelmann and Zhang (n 8) 1014; Nicholas Mercuro and Steven G Medema, Economics and the Law: From Posner to Postmodernism and Beyond - Second Edition (NED-New edition, Princeton University Press 2006) 89–93 &lt;https://www.jstor.org/stable/j.ctv131bw26&gt; accessed 25 July 2023.","noteIndex":66},"citationItems":[{"id":634,"uris":["http://zotero.org/users/local/09vVTa11/items/JWY6M8CK"],"itemData":{"id":634,"type":"book","event-place":"New York, NY","ISBN":"978-1-4614-7752-5","language":"en","note":"DOI: 10.1007/978-1-4614-7753-2","publisher":"Springer New York","publisher-place":"New York, NY","source":"DOI.org (Crossref)","title":"Encyclopedia of Law and Economics","URL":"https://link.springer.com/10.1007/978-1-4614-7753-2","editor":[{"family":"Marciano","given":"Alain"},{"family":"Ramello","given":"Giovanni Battista"}],"accessed":{"date-parts":[["2023",7,27]]},"issued":{"date-parts":[["2019"]]}},"label":"page","prefix":"Deyneli, e.g., concludes that Kaldor-Hicks is a neccessary accomodation to legal system where Pareto efficiency struggles with legal outcomes where one party loses."},{"id":2385,"uris":["http://zotero.org/users/local/09vVTa11/items/CW9MUM8F"],"itemData":{"id":2385,"type":"article-journal","abstract":"Scholars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liability","URL":"https://btlj.org/2024/01/volume-38-issue-3/","volume":"38","author":[{"family":"Grimmelmann","given":"James"},{"family":"Zhang","given":"Pengfei"}],"issued":{"date-parts":[["2023"]]}},"locator":"1014","label":"page","prefix":"Grimmelmann and Zhang note that literature on efficiency of platorm liability similarly relies on Kaldor-Hicks efficiency."},{"id":480,"uris":["http://zotero.org/users/local/09vVTa11/items/6R9WEHVW"],"itemData":{"id":480,"type":"book","abstract":"This is an expanded second edition of Nicholas Mercuro and Steven Medema's influential book Economics and the Law, whose publication in 1998 marked the most comprehensive overview of the various schools of thought in the burgeoning field of Law and Economics. Each of these competing yet complementary traditions has both redefined the study of law and exposed the key economic implications of the legal environment. The book remains true to the scope and aims of the first edition, but also takes account of the field's evolution. At the book's core is an expanded discussion of the Chicago school, Public Choice Theory, Institutional Law and Economics, and New Institutional Economics. A new chapter explores the Law and Economics literature on social norms, today an integral part of each of the schools of thought. The chapter on the New Haven and Modern Civic Republican approaches has likewise been expanded. These chapters are complemented by a discussion of the Austrian school of Law and Economics. Each chapter now includes an \"At Work\" section presenting applications of that particular school of thought. By providing readers with a concise, noncritical description of the broad contours of each school, this book illuminates the fundamental insights of a field with important implications not only for economics and the law, but also for political science, philosophy, public administration, and sociology.","edition":"NED - New edition","ISBN":"978-0-691-12572-5","note":"DOI: 10.2307/j.ctv131bw26","publisher":"Princeton University Press","source":"JSTOR","title":"Economics and the Law: From Posner to Postmodernism and Beyond - Second Edition","title-short":"Economics and the Law","URL":"https://www.jstor.org/stable/j.ctv131bw26","author":[{"family":"Mercuro","given":"Nicholas"},{"family":"Medema","given":"Steven G."}],"accessed":{"date-parts":[["2023",7,25]]},"issued":{"date-parts":[["2006"]]}},"locator":"89-93","label":"page"}],"schema":"https://github.com/citation-style-language/schema/raw/master/csl-citation.json"}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 xml:space="preserve">Deyneli, e.g., concludes that Kaldor-Hicks is a neccessary accomodation to legal system where Pareto efficiency struggles with legal outcomes where one party loses. Marciano and Ramello (n 65); Grimmelmann and Zhang note that literature on efficiency of platorm liability similarly relies on Kaldor-Hicks efficiency. Grimmelmann and Zhang (n 8) 1014; Nicholas Mercuro and Steven G Medema, </w:t>
      </w:r>
      <w:r w:rsidR="0045134C" w:rsidRPr="0045134C">
        <w:rPr>
          <w:rFonts w:ascii="Calibri" w:hAnsi="Calibri" w:cs="Calibri"/>
          <w:i/>
          <w:iCs/>
          <w:kern w:val="0"/>
          <w:szCs w:val="24"/>
        </w:rPr>
        <w:t>Economics and the Law: From Posner to Postmodernism and Beyond - Second Edition</w:t>
      </w:r>
      <w:r w:rsidR="0045134C" w:rsidRPr="0045134C">
        <w:rPr>
          <w:rFonts w:ascii="Calibri" w:hAnsi="Calibri" w:cs="Calibri"/>
          <w:kern w:val="0"/>
          <w:szCs w:val="24"/>
        </w:rPr>
        <w:t xml:space="preserve"> (NED-New edition, Princeton University Press 2006) 89–93 &lt;https://www.jstor.org/stable/j.ctv131bw26&gt; accessed 25 July 2023.</w:t>
      </w:r>
      <w:r w:rsidRPr="000D3E55">
        <w:rPr>
          <w:lang w:val="en-GB"/>
        </w:rPr>
        <w:fldChar w:fldCharType="end"/>
      </w:r>
    </w:p>
  </w:footnote>
  <w:footnote w:id="68">
    <w:p w14:paraId="1EF86395" w14:textId="400E32B4" w:rsidR="00446ED0" w:rsidRPr="000D3E55" w:rsidRDefault="00446ED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{"citationID":"BC9bR990","properties":{"formattedCitation":"For discussion see, e.g., Elkin-Koren and Salzberger (n 15) 25 et seq.","plainCitation":"For discussion see, e.g., Elkin-Koren and Salzberger (n 15) 25 et seq.","noteIndex":67},"citationItems":[{"id":266,"uris":["http://zotero.org/users/local/09vVTa11/items/X4HI633N"],"itemData":{"id":266,"type":"book","ISBN":"978-1-138-78657-8","language":"en","publisher":"Routledge,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Age","author":[{"family":"Elkin-Koren","given":"Niva"},{"family":"Salzberger","given":"Eli"}],"accessed":{"date-parts":[["2023",4,14]]},"issued":{"date-parts":[["2013"]]}},"locator":"25 et seq.","label":"page","prefix":"For discussion see, e.g.,"}],"schema":"https://github.com/citation-style-language/schema/raw/master/csl-citation.json"} </w:instrText>
      </w:r>
      <w:r w:rsidRPr="000D3E55">
        <w:rPr>
          <w:lang w:val="en-GB"/>
        </w:rPr>
        <w:fldChar w:fldCharType="separate"/>
      </w:r>
      <w:r w:rsidR="009A7302" w:rsidRPr="000D3E55">
        <w:rPr>
          <w:rFonts w:ascii="Calibri" w:hAnsi="Calibri" w:cs="Calibri"/>
          <w:lang w:val="en-GB"/>
        </w:rPr>
        <w:t>For discussion see, e.g., Elkin-Koren and Salzberger (n 15) 25 et seq.</w:t>
      </w:r>
      <w:r w:rsidRPr="000D3E55">
        <w:rPr>
          <w:lang w:val="en-GB"/>
        </w:rPr>
        <w:fldChar w:fldCharType="end"/>
      </w:r>
    </w:p>
  </w:footnote>
  <w:footnote w:id="69">
    <w:p w14:paraId="5ABDDDB3" w14:textId="3F4EA0CB" w:rsidR="00F17DA9" w:rsidRPr="000D3E55" w:rsidRDefault="00F17DA9">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{"citationID":"lroqaAIj","properties":{"formattedCitation":"Coase (n 27) 15 et seq.; See also Robert P Merges, \\uc0\\u8216{}Of Property Rules, Coase, and Intellectual Property\\uc0\\u8217{} (1994) 94 Columbia Law Review 2656 et seq.","plainCitation":"Coase (n 27) 15 et seq.; See also Robert P Merges, ‘Of Property Rules, Coase, and Intellectual Property’ (1994) 94 Columbia Law Review 2656 et seq.","noteIndex":68},"citationItems":[{"id":313,"uris":["http://zotero.org/users/local/09vVTa11/items/22IHE9PJ"],"itemData":{"id":313,"type":"article-journal","container-title":"The Journal of Law &amp; Economics","ISSN":"0022-2186","note":"publisher: [University of Chicago Press, Booth School of Business, University of Chicago, University of Chicago Law School]","page":"1-44","source":"JSTOR","title":"The Problem of Social Cost","volume":"3","author":[{"family":"Coase","given":"R. H."}],"issued":{"date-parts":[["1960"]]}},"locator":"15 et seq.","label":"page"},{"id":6135,"uris":["http://zotero.org/users/local/09vVTa11/items/7D9IGL86"],"itemData":{"id":6135,"type":"article-journal","container-title":"Columbia Law Review","journalAbbreviation":"Colum. L. Rev.","source":"Berkeley Law","title":"Of Property Rules, Coase, and Intellectual Property","volume":"94","author":[{"family":"Merges","given":"Robert P."}],"issued":{"date-parts":[["1994"]]}},"locator":"2656 et seq.","label":"page","prefix":"See also"}],"schema":"https://github.com/citation-style-language/schema/raw/master/csl-citation.json"} </w:instrText>
      </w:r>
      <w:r w:rsidRPr="000D3E55">
        <w:rPr>
          <w:lang w:val="en-GB"/>
        </w:rPr>
        <w:fldChar w:fldCharType="separate"/>
      </w:r>
      <w:r w:rsidR="00E302FB" w:rsidRPr="000D3E55">
        <w:rPr>
          <w:rFonts w:ascii="Calibri" w:hAnsi="Calibri" w:cs="Calibri"/>
          <w:kern w:val="0"/>
          <w:szCs w:val="24"/>
          <w:lang w:val="en-GB"/>
        </w:rPr>
        <w:t>Coase (n 27) 15 et seq.; See also Robert P Merges, ‘Of Property Rules, Coase, and Intellectual Property’ (1994) 94 Columbia Law Review 2656 et seq.</w:t>
      </w:r>
      <w:r w:rsidRPr="000D3E55">
        <w:rPr>
          <w:lang w:val="en-GB"/>
        </w:rPr>
        <w:fldChar w:fldCharType="end"/>
      </w:r>
    </w:p>
  </w:footnote>
  <w:footnote w:id="70">
    <w:p w14:paraId="70F2EDFF" w14:textId="62E1EF33" w:rsidR="00B0745E" w:rsidRPr="000D3E55" w:rsidRDefault="00B0745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{"citationID":"xIHt6lUc","properties":{"formattedCitation":"Coase similarly points out that it is possible and useful to compare two non-ideal policy settings as they offer different results due to existence of different transactin costs. Coase (n 27); Similarly Harold Demsetz, \\uc0\\u8216{}When Does the Rule of Liability Matter?\\uc0\\u8217{} (1972) 1 The Journal of Legal Studies 13, 25 et seq.","plainCitation":"Coase similarly points out that it is possible and useful to compare two non-ideal policy settings as they offer different results due to existence of different transactin costs. Coase (n 27); Similarly Harold Demsetz, ‘When Does the Rule of Liability Matter?’ (1972) 1 The Journal of Legal Studies 13, 25 et seq.","noteIndex":69},"citationItems":[{"id":313,"uris":["http://zotero.org/users/local/09vVTa11/items/22IHE9PJ"],"itemData":{"id":313,"type":"article-journal","container-title":"The Journal of Law &amp; Economics","ISSN":"0022-2186","note":"publisher: [University of Chicago Press, Booth School of Business, University of Chicago, University of Chicago Law School]","page":"1-44","source":"JSTOR","title":"The Problem of Social Cost","volume":"3","author":[{"family":"Coase","given":"R. H."}],"issued":{"date-parts":[["1960"]]}},"label":"page","prefix":"Coase similarly points out that it is possible and useful to compare two non-ideal policy settings as they offer different results due to existence of different transactin costs."},{"id":6131,"uris":["http://zotero.org/users/local/09vVTa11/items/DETU6GGJ"],"itemData":{"id":6131,"type":"article-journal","container-title":"The Journal of Legal Studies","ISSN":"0047-2530","issue":"1","note":"publisher: [The University of Chicago Press, The University of Chicago Law School]","page":"13-28","source":"JSTOR","title":"When Does the Rule of Liability Matter?","volume":"1","author":[{"family":"Demsetz","given":"Harold"}],"issued":{"date-parts":[["1972"]]}},"locator":"25 et seq.","label":"page","prefix":"Similarly"}],"schema":"https://github.com/citation-style-language/schema/raw/master/csl-citation.json"} </w:instrText>
      </w:r>
      <w:r w:rsidRPr="000D3E55">
        <w:rPr>
          <w:lang w:val="en-GB"/>
        </w:rPr>
        <w:fldChar w:fldCharType="separate"/>
      </w:r>
      <w:r w:rsidR="00E302FB" w:rsidRPr="000D3E55">
        <w:rPr>
          <w:rFonts w:ascii="Calibri" w:hAnsi="Calibri" w:cs="Calibri"/>
          <w:kern w:val="0"/>
          <w:szCs w:val="24"/>
          <w:lang w:val="en-GB"/>
        </w:rPr>
        <w:t>Coase similarly points out that it is possible and useful to compare two non-ideal policy settings as they offer different results due to existence of different transactin costs. Coase (n 27); Similarly Harold Demsetz, ‘When Does the Rule of Liability Matter?’ (1972) 1 The Journal of Legal Studies 13, 25 et seq.</w:t>
      </w:r>
      <w:r w:rsidRPr="000D3E55">
        <w:rPr>
          <w:lang w:val="en-GB"/>
        </w:rPr>
        <w:fldChar w:fldCharType="end"/>
      </w:r>
    </w:p>
  </w:footnote>
  <w:footnote w:id="71">
    <w:p w14:paraId="6D287725" w14:textId="084BA732" w:rsidR="00C7370F" w:rsidRPr="000D3E55" w:rsidRDefault="00C7370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{"citationID":"vZOllMe4","properties":{"formattedCitation":"This term includes power and information asymmetries, vulnerability to cognitive bias, manipulative design or other. See also FN 108 European Commission (n 17) 46.","plainCitation":"This term includes power and information asymmetries, vulnerability to cognitive bias, manipulative design or other. See also FN 108 European Commission (n 17) 46.","noteIndex":70},"citationItems":[{"id":11661,"uris":["http://zotero.org/users/local/09vVTa11/items/KBGNZBEV"],"itemData":{"id":11661,"type":"webpage","title":"Digital fairness – fitness check on EU consumer law","URL":"https://ec.europa.eu/info/law/better-regulation/have-your-say/initiatives/13413-Digital-fairness-fitness-check-on-EU-consumer-law_en","author":[{"literal":"European Commission"}],"accessed":{"date-parts":[["2025",5,2]]},"issued":{"date-parts":[["2022"]],"season":"2024"}},"locator":"46","label":"page","prefix":"This term includes power and information asymmetries, vulnerability to cognitive bias, manipulative design or other. See also FN 108"}],"schema":"https://github.com/citation-style-language/schema/raw/master/csl-citation.json"} </w:instrText>
      </w:r>
      <w:r w:rsidRPr="000D3E55">
        <w:rPr>
          <w:lang w:val="en-GB"/>
        </w:rPr>
        <w:fldChar w:fldCharType="separate"/>
      </w:r>
      <w:r w:rsidR="00E302FB" w:rsidRPr="000D3E55">
        <w:rPr>
          <w:rFonts w:ascii="Calibri" w:hAnsi="Calibri" w:cs="Calibri"/>
          <w:lang w:val="en-GB"/>
        </w:rPr>
        <w:t>This term includes power and information asymmetries, vulnerability to cognitive bias, manipulative design or other. See also FN 108 European Commission (n 17) 46.</w:t>
      </w:r>
      <w:r w:rsidRPr="000D3E55">
        <w:rPr>
          <w:lang w:val="en-GB"/>
        </w:rPr>
        <w:fldChar w:fldCharType="end"/>
      </w:r>
    </w:p>
  </w:footnote>
  <w:footnote w:id="72">
    <w:p w14:paraId="6C18A909" w14:textId="433BB78D" w:rsidR="004C597B" w:rsidRPr="000D3E55" w:rsidRDefault="004C597B">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{"citationID":"WueRY3qB","properties":{"formattedCitation":"Hans-Wolfgang Micklitz, \\uc0\\u8216{}Unfair Commercial Practices, Digital Asymmetry and Reversal of Burden of Proof\\uc0\\u8217{} in Florent Thouvenin and others (eds), {\\i{}Kreation Innovation M\\uc0\\u228{}rkte - Creation Innovation Markets: Festschrift Reto M. Hilty} (Springer 2024) 1079 &lt;https://doi.org/10.1007/978-3-662-68599-0_68&gt; accessed 5 May 2025.","plainCitation":"Hans-Wolfgang Micklitz, ‘Unfair Commercial Practices, Digital Asymmetry and Reversal of Burden of Proof’ in Florent Thouvenin and others (eds), Kreation Innovation Märkte - Creation Innovation Markets: Festschrift Reto M. Hilty (Springer 2024) 1079 &lt;https://doi.org/10.1007/978-3-662-68599-0_68&gt; accessed 5 May 2025.","noteIndex":71},"citationItems":[{"id":11703,"uris":["http://zotero.org/users/local/09vVTa11/items/IWX38UZD"],"itemData":{"id":11703,"type":"chapter","abstract":"The paper starts from the premise that digital vulnerability is universal, structural, and architectural. Digital vulnerability is to be translated into the legal concept of digital asymmetry, so as to avoid confusion with existing concepts of vulnerability, which build on individual deficiencies in capacity. Digital asymmetry cannot be overcome through more and better information, nor can it be controlled by the prohibition of misleading advertising. It has to be classified as a form of aggression in the meaning of Arts. 8 and 9 of the Unfair Commercial Practices Directive. The burden of demonstrating compliance by digital architecture with consumer law lies with the supplier.","container-title":"Kreation Innovation Märkte - Creation Innovation Markets: Festschrift Reto M. Hilty","event-place":"Berlin, Heidelberg","ISBN":"978-3-662-68599-0","language":"en","note":"DOI: 10.1007/978-3-662-68599-0_68","page":"1079-1093","publisher":"Springer","publisher-place":"Berlin, Heidelberg","source":"Springer Link","title":"Unfair Commercial Practices, Digital Asymmetry and Reversal of Burden of Proof","URL":"https://doi.org/10.1007/978-3-662-68599-0_68","author":[{"family":"Micklitz","given":"Hans-Wolfgang"}],"editor":[{"family":"Thouvenin","given":"Florent"},{"family":"Peukert","given":"Alexander"},{"family":"Jaeger","given":"Thomas"},{"family":"Geiger","given":"Christophe"}],"accessed":{"date-parts":[["2025",5,5]]},"issued":{"date-parts":[["2024"]]}},"locator":"1079","label":"page"}],"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Hans-Wolfgang Micklitz, ‘Unfair Commercial Practices, Digital Asymmetry and Reversal of Burden of Proof’ in Florent Thouvenin and others (eds), </w:t>
      </w:r>
      <w:r w:rsidRPr="000D3E55">
        <w:rPr>
          <w:rFonts w:ascii="Calibri" w:hAnsi="Calibri" w:cs="Calibri"/>
          <w:i/>
          <w:kern w:val="0"/>
          <w:lang w:val="en-GB"/>
        </w:rPr>
        <w:t>Kreation Innovation Märkte - Creation Innovation Markets: Festschrift Reto M. Hilty</w:t>
      </w:r>
      <w:r w:rsidRPr="000D3E55">
        <w:rPr>
          <w:rFonts w:ascii="Calibri" w:hAnsi="Calibri" w:cs="Calibri"/>
          <w:kern w:val="0"/>
          <w:lang w:val="en-GB"/>
        </w:rPr>
        <w:t xml:space="preserve"> (Springer 2024) 1079 &lt;https://doi.org/10.1007/978-3-662-68599-0_68&gt; accessed 5 May 2025.</w:t>
      </w:r>
      <w:r w:rsidRPr="000D3E55">
        <w:rPr>
          <w:lang w:val="en-GB"/>
        </w:rPr>
        <w:fldChar w:fldCharType="end"/>
      </w:r>
    </w:p>
  </w:footnote>
  <w:footnote w:id="73">
    <w:p w14:paraId="33B6E7C3" w14:textId="3DB908E7" w:rsidR="006C24AC" w:rsidRPr="006C24AC" w:rsidRDefault="006C24AC">
      <w:pPr>
        <w:pStyle w:val="FootnoteText"/>
        <w:rPr>
          <w:lang w:val="en-US"/>
        </w:rPr>
      </w:pPr>
      <w:r>
        <w:rPr>
          <w:rStyle w:val="FootnoteReference"/>
        </w:rPr>
        <w:footnoteRef/>
      </w:r>
      <w:r>
        <w:t xml:space="preserve"> </w:t>
      </w:r>
      <w:r>
        <w:fldChar w:fldCharType="begin"/>
      </w:r>
      <w:r w:rsidR="00D25645">
        <w:instrText xml:space="preserve"> ADDIN ZOTERO_ITEM CSL_CITATION {"citationID":"oLHQZKq5","properties":{"formattedCitation":"Mark A Lemley, \\uc0\\u8216{}Protecting Consumers in a Post-Consent World\\uc0\\u8217{} (Social Science Research Network, 24 January 2025) &lt;https://papers.ssrn.com/abstract=5113536&gt; accessed 5 May 2025.","plainCitation":"Mark A Lemley, ‘Protecting Consumers in a Post-Consent World’ (Social Science Research Network, 24 January 2025) &lt;https://papers.ssrn.com/abstract=5113536&gt; accessed 5 May 2025.","noteIndex":72},"citationItems":[{"id":11705,"uris":["http://zotero.org/users/local/09vVTa11/items/YV7D9JPC"],"itemData":{"id":11705,"type":"article","abstract":"Privacy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A."}],"accessed":{"date-parts":[["2025",5,5]]},"issued":{"date-parts":[["2025",1,24]]}}}],"schema":"https://github.com/citation-style-language/schema/raw/master/csl-citation.json"} </w:instrText>
      </w:r>
      <w:r>
        <w:fldChar w:fldCharType="separate"/>
      </w:r>
      <w:r w:rsidRPr="006C24AC">
        <w:rPr>
          <w:rFonts w:ascii="Calibri" w:hAnsi="Calibri" w:cs="Calibri"/>
          <w:kern w:val="0"/>
        </w:rPr>
        <w:t>Mark A Lemley, ‘Protecting Consumers in a Post-Consent World’ (Social Science Research Network, 24 January 2025) &lt;https://papers.ssrn.com/abstract=5113536&gt; accessed 5 May 2025.</w:t>
      </w:r>
      <w:r>
        <w:fldChar w:fldCharType="end"/>
      </w:r>
    </w:p>
  </w:footnote>
  <w:footnote w:id="74">
    <w:p w14:paraId="1A266735" w14:textId="742AFC88" w:rsidR="00FB09EF" w:rsidRPr="000D3E55" w:rsidRDefault="00FB09EF" w:rsidP="00FB09E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{"citationID":"Q0dnLwaa","properties":{"formattedCitation":"See, e.g., Elkin-Koren and Salzberger (n 15) 100; Daniel J Gervais, {\\i{}(Re)Structuring Copyright: A Comprehensive Path to International Copyright Reform} (Edward Elgar Publishing 2017) 176 et seq.","plainCitation":"See, e.g., Elkin-Koren and Salzberger (n 15) 100; Daniel J Gervais, (Re)Structuring Copyright: A Comprehensive Path to International Copyright Reform (Edward Elgar Publishing 2017) 176 et seq.","noteIndex":73},"citationItems":[{"id":266,"uris":["http://zotero.org/users/local/09vVTa11/items/X4HI633N"],"itemData":{"id":266,"type":"book","ISBN":"978-1-138-78657-8","language":"en","publisher":"Routledge,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Age","author":[{"family":"Elkin-Koren","given":"Niva"},{"family":"Salzberger","given":"Eli"}],"accessed":{"date-parts":[["2023",4,14]]},"issued":{"date-parts":[["2013"]]}},"locator":"100","label":"page","prefix":"See, e.g.,"},{"id":736,"uris":["http://zotero.org/users/local/09vVTa11/items/SV4X8PPI"],"itemData":{"id":736,"type":"book","abstract":"In this bold and persuasive work Daniel Gervais, one of the world's leading thinkers on the subject of intellectual property, argues that the international copyright system is in need of a root and branch rethink. As the Internet alters the world in which copyright operates beyond all recognition, a world increasingly defined by the might of online intermediaries and spawning a generation who are simultaneously authors, users and re-users of creative works, the structure of copyright in its current form is inadequate and unfit for purpose","event-place":"Cheltenham, UK","ISBN":"978-1-78990-214-3","language":"eng","number-of-pages":"359","publisher":"Edward Elgar Publishing","publisher-place":"Cheltenham, UK","source":"K10plus ISBN","title":"(Re)structuring copyright: a comprehensive path to international copyright reform","title-short":"(Re)structuring copyright","author":[{"family":"Gervais","given":"Daniel J."}],"issued":{"date-parts":[["2017"]]}},"locator":"176 et seq.","label":"page"}],"schema":"https://github.com/citation-style-language/schema/raw/master/csl-citation.json"} </w:instrText>
      </w:r>
      <w:r w:rsidRPr="000D3E55">
        <w:rPr>
          <w:lang w:val="en-GB"/>
        </w:rPr>
        <w:fldChar w:fldCharType="separate"/>
      </w:r>
      <w:r w:rsidR="00F65244" w:rsidRPr="00F65244">
        <w:rPr>
          <w:rFonts w:ascii="Calibri" w:hAnsi="Calibri" w:cs="Calibri"/>
          <w:kern w:val="0"/>
        </w:rPr>
        <w:t xml:space="preserve">See, e.g., Elkin-Koren and Salzberger (n 15) 100; Daniel J Gervais, </w:t>
      </w:r>
      <w:r w:rsidR="00F65244" w:rsidRPr="00F65244">
        <w:rPr>
          <w:rFonts w:ascii="Calibri" w:hAnsi="Calibri" w:cs="Calibri"/>
          <w:i/>
          <w:iCs/>
          <w:kern w:val="0"/>
        </w:rPr>
        <w:t>(Re)Structuring Copyright: A Comprehensive Path to International Copyright Reform</w:t>
      </w:r>
      <w:r w:rsidR="00F65244" w:rsidRPr="00F65244">
        <w:rPr>
          <w:rFonts w:ascii="Calibri" w:hAnsi="Calibri" w:cs="Calibri"/>
          <w:kern w:val="0"/>
        </w:rPr>
        <w:t xml:space="preserve"> (Edward Elgar Publishing 2017) 176 et seq.</w:t>
      </w:r>
      <w:r w:rsidRPr="000D3E55">
        <w:rPr>
          <w:lang w:val="en-GB"/>
        </w:rPr>
        <w:fldChar w:fldCharType="end"/>
      </w:r>
    </w:p>
  </w:footnote>
  <w:footnote w:id="75">
    <w:p w14:paraId="6EB24296" w14:textId="650F358F" w:rsidR="004659BA" w:rsidRPr="000D3E55" w:rsidRDefault="004659BA">
      <w:pPr>
        <w:pStyle w:val="FootnoteText"/>
        <w:rPr>
          <w:lang w:val="en-GB"/>
        </w:rPr>
      </w:pPr>
      <w:r w:rsidRPr="000D3E55">
        <w:rPr>
          <w:rStyle w:val="FootnoteReference"/>
          <w:lang w:val="en-GB"/>
        </w:rPr>
        <w:footnoteRef/>
      </w:r>
      <w:r w:rsidRPr="000D3E55">
        <w:rPr>
          <w:lang w:val="en-GB"/>
        </w:rPr>
        <w:t xml:space="preserve"> See Recs. 45, 72 and 96 DSA.</w:t>
      </w:r>
    </w:p>
  </w:footnote>
  <w:footnote w:id="76">
    <w:p w14:paraId="2F706E8F" w14:textId="050B8725" w:rsidR="004659BA" w:rsidRPr="000D3E55" w:rsidRDefault="004659BA">
      <w:pPr>
        <w:pStyle w:val="FootnoteText"/>
        <w:rPr>
          <w:lang w:val="en-GB"/>
        </w:rPr>
      </w:pPr>
      <w:r w:rsidRPr="000D3E55">
        <w:rPr>
          <w:rStyle w:val="FootnoteReference"/>
          <w:lang w:val="en-GB"/>
        </w:rPr>
        <w:footnoteRef/>
      </w:r>
      <w:r w:rsidRPr="000D3E55">
        <w:rPr>
          <w:lang w:val="en-GB"/>
        </w:rPr>
        <w:t xml:space="preserve"> See </w:t>
      </w:r>
      <w:r w:rsidR="00585BA5" w:rsidRPr="000D3E55">
        <w:rPr>
          <w:lang w:val="en-GB"/>
        </w:rPr>
        <w:t xml:space="preserve">Recs. </w:t>
      </w:r>
      <w:r w:rsidRPr="000D3E55">
        <w:rPr>
          <w:lang w:val="en-GB"/>
        </w:rPr>
        <w:t>9, 68 and 8</w:t>
      </w:r>
      <w:r w:rsidR="00585BA5" w:rsidRPr="000D3E55">
        <w:rPr>
          <w:lang w:val="en-GB"/>
        </w:rPr>
        <w:t>2 DSA.</w:t>
      </w:r>
    </w:p>
  </w:footnote>
  <w:footnote w:id="77">
    <w:p w14:paraId="370AC084" w14:textId="6C14E869" w:rsidR="00585BA5" w:rsidRPr="000D3E55" w:rsidRDefault="00585BA5">
      <w:pPr>
        <w:pStyle w:val="FootnoteText"/>
        <w:rPr>
          <w:lang w:val="en-GB"/>
        </w:rPr>
      </w:pPr>
      <w:r w:rsidRPr="000D3E55">
        <w:rPr>
          <w:rStyle w:val="FootnoteReference"/>
          <w:lang w:val="en-GB"/>
        </w:rPr>
        <w:footnoteRef/>
      </w:r>
      <w:r w:rsidRPr="000D3E55">
        <w:rPr>
          <w:lang w:val="en-GB"/>
        </w:rPr>
        <w:t xml:space="preserve"> See Recs. 57 and 75 DSA.</w:t>
      </w:r>
    </w:p>
  </w:footnote>
  <w:footnote w:id="78">
    <w:p w14:paraId="32FD9085" w14:textId="2244B126" w:rsidR="006F561A" w:rsidRPr="006F561A" w:rsidRDefault="006F561A">
      <w:pPr>
        <w:pStyle w:val="FootnoteText"/>
        <w:rPr>
          <w:lang w:val="en-US"/>
        </w:rPr>
      </w:pPr>
      <w:r>
        <w:rPr>
          <w:rStyle w:val="FootnoteReference"/>
        </w:rPr>
        <w:footnoteRef/>
      </w:r>
      <w:r>
        <w:t xml:space="preserve"> </w:t>
      </w:r>
      <w:r>
        <w:fldChar w:fldCharType="begin"/>
      </w:r>
      <w:r w:rsidR="00D25645">
        <w:instrText xml:space="preserve"> ADDIN ZOTERO_ITEM CSL_CITATION {"citationID":"jzmwKUQb","properties":{"formattedCitation":"See Parts B and C. Particularly, the design of license merger under Article 17(2) has several weakneses. Woznica (n 14).","plainCitation":"See Parts B and C. Particularly, the design of license merger under Article 17(2) has several weakneses. Woznica (n 14).","noteIndex":77},"citationItems":[{"id":9128,"uris":["http://zotero.org/users/local/09vVTa11/items/PIRB2A9K"],"itemData":{"id":9128,"type":"thesis","language":"eng","publisher":"Masaryk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copyright","URL":"https://is.muni.cz/th/uxxvw/","author":[{"family":"Woznica","given":"Ondřej"}],"accessed":{"date-parts":[["2025",3,3]]},"issued":{"date-parts":[["2024"]]}},"label":"page","prefix":"See Parts B and C. Particularly, the design of license merger under Article 17(2) has several weakneses."}],"schema":"https://github.com/citation-style-language/schema/raw/master/csl-citation.json"} </w:instrText>
      </w:r>
      <w:r>
        <w:fldChar w:fldCharType="separate"/>
      </w:r>
      <w:r w:rsidRPr="006F561A">
        <w:rPr>
          <w:rFonts w:ascii="Calibri" w:hAnsi="Calibri" w:cs="Calibri"/>
        </w:rPr>
        <w:t>See Parts B and C. Particularly, the design of license merger under Article 17(2) has several weakneses. Woznica (n 14).</w:t>
      </w:r>
      <w:r>
        <w:fldChar w:fldCharType="end"/>
      </w:r>
    </w:p>
  </w:footnote>
  <w:footnote w:id="79">
    <w:p w14:paraId="50F97F61" w14:textId="29451550" w:rsidR="00C74590" w:rsidRPr="000D3E55" w:rsidRDefault="00C7459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{"citationID":"4WpcvTse","properties":{"formattedCitation":"Grimmelmann and Zhang (n 8).","plainCitation":"Grimmelmann and Zhang (n 8).","noteIndex":78},"citationItems":[{"id":2385,"uris":["http://zotero.org/users/local/09vVTa11/items/CW9MUM8F"],"itemData":{"id":2385,"type":"article-journal","abstract":"Scholars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schema":"https://github.com/citation-style-language/schema/raw/master/csl-citation.json"} </w:instrText>
      </w:r>
      <w:r w:rsidRPr="000D3E55">
        <w:rPr>
          <w:lang w:val="en-GB"/>
        </w:rPr>
        <w:fldChar w:fldCharType="separate"/>
      </w:r>
      <w:r w:rsidR="00724570" w:rsidRPr="000D3E55">
        <w:rPr>
          <w:rFonts w:ascii="Calibri" w:hAnsi="Calibri" w:cs="Calibri"/>
          <w:lang w:val="en-GB"/>
        </w:rPr>
        <w:t>Grimmelmann and Zhang (n 8).</w:t>
      </w:r>
      <w:r w:rsidRPr="000D3E55">
        <w:rPr>
          <w:lang w:val="en-GB"/>
        </w:rPr>
        <w:fldChar w:fldCharType="end"/>
      </w:r>
    </w:p>
  </w:footnote>
  <w:footnote w:id="80">
    <w:p w14:paraId="22395850" w14:textId="2428FA14" w:rsidR="00DA012C" w:rsidRPr="00DA012C" w:rsidRDefault="00DA012C">
      <w:pPr>
        <w:pStyle w:val="FootnoteText"/>
        <w:rPr>
          <w:lang w:val="en-US"/>
        </w:rPr>
      </w:pPr>
      <w:r>
        <w:rPr>
          <w:rStyle w:val="FootnoteReference"/>
        </w:rPr>
        <w:footnoteRef/>
      </w:r>
      <w:r>
        <w:t xml:space="preserve"> </w:t>
      </w:r>
      <w:r>
        <w:fldChar w:fldCharType="begin"/>
      </w:r>
      <w:r w:rsidR="00D25645">
        <w:instrText xml:space="preserve"> ADDIN ZOTERO_ITEM CSL_CITATION {"citationID":"SwwJ78Lh","properties":{"formattedCitation":"ibid; See also Danielle K Citron and Benjamin Wittes, \\uc0\\u8216{}The Problem Isn\\uc0\\u8217{}t Just Backpage: Revising Section 230 Immunity\\uc0\\u8217{} [2018] Georgetown Law Technology Review &lt;https://scholarship.law.bu.edu/cgi/viewcontent.cgi?article=1638&amp;context=faculty_scholarship&gt; accessed 11 May 2025; Ann Bartow, \\uc0\\u8216{}Internet Defamation as Profit Center: The Monetization of Online Harassment\\uc0\\u8217{} (2009) 32 Harvard Journal of Law &amp; Gender &lt;https://scholars.unh.edu/cgi/viewcontent.cgi?referer=&amp;httpsredir=1&amp;article=1296&amp;context=law_facpub&gt; accessed 5 November 2025.","plainCitation":"ibid; See also Danielle K Citron and Benjamin Wittes, ‘The Problem Isn’t Just Backpage: Revising Section 230 Immunity’ [2018] Georgetown Law Technology Review &lt;https://scholarship.law.bu.edu/cgi/viewcontent.cgi?article=1638&amp;context=faculty_scholarship&gt; accessed 11 May 2025; Ann Bartow, ‘Internet Defamation as Profit Center: The Monetization of Online Harassment’ (2009) 32 Harvard Journal of Law &amp; Gender &lt;https://scholars.unh.edu/cgi/viewcontent.cgi?referer=&amp;httpsredir=1&amp;article=1296&amp;context=law_facpub&gt; accessed 5 November 2025.","noteIndex":79},"citationItems":[{"id":2385,"uris":["http://zotero.org/users/local/09vVTa11/items/CW9MUM8F"],"itemData":{"id":2385,"type":"article-journal","abstract":"Scholars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id":12031,"uris":["http://zotero.org/users/local/09vVTa11/items/GIHPSS9W"],"itemData":{"id":12031,"type":"article-journal","container-title":"Georgetown Law Technology Review","issue":"453","language":"en","source":"Zotero","title":"The Problem Isn't Just Backpage: Revising Section 230 Immunity","URL":"https://scholarship.law.bu.edu/cgi/viewcontent.cgi?article=1638&amp;context=faculty_scholarship","author":[{"family":"Citron","given":"Danielle K"},{"family":"Wittes","given":"Benjamin"}],"accessed":{"date-parts":[["2025",5,11]]},"issued":{"date-parts":[["2018"]]}},"label":"page","prefix":"See also"},{"id":12029,"uris":["http://zotero.org/users/local/09vVTa11/items/VKYEQVCM"],"itemData":{"id":12029,"type":"article-journal","container-title":"Harvard Journal of Law &amp; Gender","issue":"383","language":"en","source":"Zotero","title":"Internet Defamation as Profit Center: The Monetization of Online Harassment","URL":"https://scholars.unh.edu/cgi/viewcontent.cgi?referer=&amp;httpsredir=1&amp;article=1296&amp;context=law_facpub","volume":"32","author":[{"family":"Bartow","given":"Ann"}],"accessed":{"date-parts":[["2025",11,5]]},"issued":{"date-parts":[["2009"]]}}}],"schema":"https://github.com/citation-style-language/schema/raw/master/csl-citation.json"} </w:instrText>
      </w:r>
      <w:r>
        <w:fldChar w:fldCharType="separate"/>
      </w:r>
      <w:r w:rsidR="009E3DE6" w:rsidRPr="009E3DE6">
        <w:rPr>
          <w:rFonts w:ascii="Calibri" w:hAnsi="Calibri" w:cs="Calibri"/>
          <w:kern w:val="0"/>
        </w:rPr>
        <w:t>ibid; See also Danielle K Citron and Benjamin Wittes, ‘The Problem Isn’t Just Backpage: Revising Section 230 Immunity’ [2018] Georgetown Law Technology Review &lt;https://scholarship.law.bu.edu/cgi/viewcontent.cgi?article=1638&amp;context=faculty_scholarship&gt; accessed 11 May 2025; Ann Bartow, ‘Internet Defamation as Profit Center: The Monetization of Online Harassment’ (2009) 32 Harvard Journal of Law &amp; Gender &lt;https://scholars.unh.edu/cgi/viewcontent.cgi?referer=&amp;httpsredir=1&amp;article=1296&amp;context=law_facpub&gt; accessed 5 November 2025.</w:t>
      </w:r>
      <w:r>
        <w:fldChar w:fldCharType="end"/>
      </w:r>
    </w:p>
  </w:footnote>
  <w:footnote w:id="81">
    <w:p w14:paraId="758FC46B" w14:textId="5A031D12" w:rsidR="00CE4E45" w:rsidRPr="000D3E55" w:rsidRDefault="00CE4E4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{"citationID":"YUaruB32","properties":{"formattedCitation":"For example, see the frequent feature of animal cruelty on Youtube. KG Orphanides, \\uc0\\u8216{}On YouTube, You\\uc0\\u8217{}re Never Far from a Dying Kitten\\uc0\\u8217{} [2021] {\\i{}Wired} &lt;https://www.wired.com/story/youtube-animal-abuse-rescue/&gt; accessed 7 May 2025; Ant\\uc0\\u244{}nio F Carvalho, Igor Oliveira B de Morais and Thamyrys B Souza, \\uc0\\u8216{}Profiting from Cruelty: Digital Content Creators Abuse Animals Worldwide to Incur Profit\\uc0\\u8217{} (2023) 287 Biological Conservation 110321.","plainCitation":"For example, see the frequent feature of animal cruelty on Youtube. KG Orphanides, ‘On YouTube, You’re Never Far from a Dying Kitten’ [2021] Wired &lt;https://www.wired.com/story/youtube-animal-abuse-rescue/&gt; accessed 7 May 2025; Antônio F Carvalho, Igor Oliveira B de Morais and Thamyrys B Souza, ‘Profiting from Cruelty: Digital Content Creators Abuse Animals Worldwide to Incur Profit’ (2023) 287 Biological Conservation 110321.","noteIndex":80},"citationItems":[{"id":11750,"uris":["http://zotero.org/users/local/09vVTa11/items/FCX85UDW"],"itemData":{"id":11750,"type":"article-magazine","abstract":"Staged animal rescue videos featuring brutal violence and cruelty are racking up millions of views on YouTube","container-title":"Wired","ISSN":"1059-1028","language":"en-US","note":"section: tags","source":"www.wired.com","title":"On YouTube, you’re never far from a dying kitten","URL":"https://www.wired.com/story/youtube-animal-abuse-rescue/","author":[{"family":"Orphanides","given":"K. G."}],"accessed":{"date-parts":[["2025",5,7]]},"issued":{"date-parts":[["2021"]]}},"label":"page","prefix":"For example, see the frequent feature of animal cruelty on Youtube."},{"id":11749,"uris":["http://zotero.org/users/local/09vVTa11/items/TEBHUFW2"],"itemData":{"id":11749,"type":"article-journal","abstract":"With the increasing interest of people in profiting from cruelty on the Internet and the failure of platforms such as YouTube in removing contents related to this practice, to recognize who is funding animal suffering is imperative to combat this serious problem for sustainability, conservation, and animal welfare. Here, we investigate how content creators exploit animals to incur profit, by analyzing 411 productions of: A) visible and B) hidden suffering. Categories included A) 1. Hunting-fishing-experiments, 2. Animal crushing, 3. Cruel slaughtering, 4. Animal fights, 5. Cooking/eating animals alive, 6. Staged rescues, and B) 7. Selfies and 8. Wildlife as pets. Across 39 countries, different tools and tactics, from high heels to grenade launchers, were resorted to harm and to expose &gt;96 animal species in nearly 50 h of online animal cruelty content. Monetized by 155 advertisers, 114 videos amassed over US $1,14 million, benefiting 79 channels. ‘Wildlife as pets’ was most profitable and 38 of the identified species are listed in CITES appendices. Model-based insights revealed monetization's link to cruelty categories (especially Category 8, ‘Wildlife as pets’) and creators' gender (i.e., undetermined gender of content creator) parameters. Children were in 61 productions. Removals generated by YouTube correlated with cruelty Category 6 (Staged rescues), proving that the diligence of the platform in taking contents down is paramount for more or less monetization. We propose advertiser-imposed legal standards on social networks to compel content removal and that audience report crimes to police aiming legal penalization of animal cruelty content creators.","container-title":"Biological Conservation","DOI":"10.1016/j.biocon.2023.110321","ISSN":"0006-3207","journalAbbreviation":"Biological Conservation","page":"110321","source":"ScienceDirect","title":"Profiting from cruelty: Digital content creators abuse animals worldwide to incur profit","title-short":"Profiting from cruelty","volume":"287","author":[{"family":"Carvalho","given":"Antônio F."},{"family":"Morais","given":"Igor Oliveira B.","non-dropping-particle":"de"},{"family":"Souza","given":"Thamyrys B."}],"issued":{"date-parts":[["2023",11,1]]}}}],"schema":"https://github.com/citation-style-language/schema/raw/master/csl-citation.json"} </w:instrText>
      </w:r>
      <w:r w:rsidRPr="000D3E55">
        <w:rPr>
          <w:lang w:val="en-GB"/>
        </w:rPr>
        <w:fldChar w:fldCharType="separate"/>
      </w:r>
      <w:r w:rsidR="00B60B26" w:rsidRPr="000D3E55">
        <w:rPr>
          <w:rFonts w:ascii="Calibri" w:hAnsi="Calibri" w:cs="Calibri"/>
          <w:kern w:val="0"/>
          <w:lang w:val="en-GB"/>
        </w:rPr>
        <w:t xml:space="preserve">For example, see the frequent feature of animal cruelty on Youtube. KG Orphanides, ‘On YouTube, You’re Never Far from a Dying Kitten’ [2021] </w:t>
      </w:r>
      <w:r w:rsidR="00B60B26" w:rsidRPr="000D3E55">
        <w:rPr>
          <w:rFonts w:ascii="Calibri" w:hAnsi="Calibri" w:cs="Calibri"/>
          <w:i/>
          <w:kern w:val="0"/>
          <w:lang w:val="en-GB"/>
        </w:rPr>
        <w:t>Wired</w:t>
      </w:r>
      <w:r w:rsidR="00B60B26" w:rsidRPr="000D3E55">
        <w:rPr>
          <w:rFonts w:ascii="Calibri" w:hAnsi="Calibri" w:cs="Calibri"/>
          <w:kern w:val="0"/>
          <w:lang w:val="en-GB"/>
        </w:rPr>
        <w:t xml:space="preserve"> &lt;https://www.wired.com/story/youtube-animal-abuse-rescue/&gt; accessed 7 May 2025; Antônio F Carvalho, Igor Oliveira B de Morais and Thamyrys B Souza, ‘Profiting from Cruelty: Digital Content Creators Abuse Animals Worldwide to Incur Profit’ (2023) 287 Biological Conservation 110321.</w:t>
      </w:r>
      <w:r w:rsidRPr="000D3E55">
        <w:rPr>
          <w:lang w:val="en-GB"/>
        </w:rPr>
        <w:fldChar w:fldCharType="end"/>
      </w:r>
    </w:p>
  </w:footnote>
  <w:footnote w:id="82">
    <w:p w14:paraId="54BF6126" w14:textId="4630CB67" w:rsidR="00A662F3" w:rsidRPr="000D3E55" w:rsidRDefault="00A662F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{"citationID":"5BSd1ApQ","properties":{"formattedCitation":"Grimmelmann and Zhang (n 8) 1026 et seq.","plainCitation":"Grimmelmann and Zhang (n 8) 1026 et seq.","noteIndex":81},"citationItems":[{"id":2385,"uris":["http://zotero.org/users/local/09vVTa11/items/CW9MUM8F"],"itemData":{"id":2385,"type":"article-journal","abstract":"Scholars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liability","URL":"https://btlj.org/2024/01/volume-38-issue-3/","volume":"38","author":[{"family":"Grimmelmann","given":"James"},{"family":"Zhang","given":"Pengfei"}],"issued":{"date-parts":[["2023"]]}},"locator":"1026 et seq.","label":"page"}],"schema":"https://github.com/citation-style-language/schema/raw/master/csl-citation.json"} </w:instrText>
      </w:r>
      <w:r w:rsidRPr="000D3E55">
        <w:rPr>
          <w:lang w:val="en-GB"/>
        </w:rPr>
        <w:fldChar w:fldCharType="separate"/>
      </w:r>
      <w:r w:rsidR="00724570" w:rsidRPr="000D3E55">
        <w:rPr>
          <w:rFonts w:ascii="Calibri" w:hAnsi="Calibri" w:cs="Calibri"/>
          <w:lang w:val="en-GB"/>
        </w:rPr>
        <w:t>Grimmelmann and Zhang (n 8) 1026 et seq.</w:t>
      </w:r>
      <w:r w:rsidRPr="000D3E55">
        <w:rPr>
          <w:lang w:val="en-GB"/>
        </w:rPr>
        <w:fldChar w:fldCharType="end"/>
      </w:r>
    </w:p>
  </w:footnote>
  <w:footnote w:id="83">
    <w:p w14:paraId="68ED1239" w14:textId="40756575" w:rsidR="00275EB7" w:rsidRPr="000D3E55" w:rsidRDefault="00275EB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{"citationID":"F2i9JQGF","properties":{"formattedCitation":"ibid 1028\\uc0\\u8211{}1029.","plainCitation":"ibid 1028–1029.","noteIndex":82},"citationItems":[{"id":2385,"uris":["http://zotero.org/users/local/09vVTa11/items/CW9MUM8F"],"itemData":{"id":2385,"type":"article-journal","abstract":"Scholars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1028-1029","label":"page"}],"schema":"https://github.com/citation-style-language/schema/raw/master/csl-citation.json"} </w:instrText>
      </w:r>
      <w:r w:rsidRPr="000D3E55">
        <w:rPr>
          <w:lang w:val="en-GB"/>
        </w:rPr>
        <w:fldChar w:fldCharType="separate"/>
      </w:r>
      <w:r w:rsidRPr="000D3E55">
        <w:rPr>
          <w:rFonts w:ascii="Calibri" w:hAnsi="Calibri" w:cs="Calibri"/>
          <w:kern w:val="0"/>
          <w:lang w:val="en-GB"/>
        </w:rPr>
        <w:t>ibid 1028–1029.</w:t>
      </w:r>
      <w:r w:rsidRPr="000D3E55">
        <w:rPr>
          <w:lang w:val="en-GB"/>
        </w:rPr>
        <w:fldChar w:fldCharType="end"/>
      </w:r>
    </w:p>
  </w:footnote>
  <w:footnote w:id="84">
    <w:p w14:paraId="168C4748" w14:textId="3CFCF753" w:rsidR="00E47E05" w:rsidRPr="000D3E55" w:rsidRDefault="00E47E0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{"citationID":"C8aBxfz6","properties":{"formattedCitation":"See also ibid 1020.","plainCitation":"See also ibid 1020.","noteIndex":83},"citationItems":[{"id":2385,"uris":["http://zotero.org/users/local/09vVTa11/items/CW9MUM8F"],"itemData":{"id":2385,"type":"article-journal","abstract":"Scholars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liability","URL":"https://btlj.org/2024/01/volume-38-issue-3/","volume":"38","author":[{"family":"Grimmelmann","given":"James"},{"family":"Zhang","given":"Pengfei"}],"issued":{"date-parts":[["2023"]]}},"locator":"1020","label":"page","prefix":"See also"}],"schema":"https://github.com/citation-style-language/schema/raw/master/csl-citation.json"} </w:instrText>
      </w:r>
      <w:r w:rsidRPr="000D3E55">
        <w:rPr>
          <w:lang w:val="en-GB"/>
        </w:rPr>
        <w:fldChar w:fldCharType="separate"/>
      </w:r>
      <w:r w:rsidRPr="000D3E55">
        <w:rPr>
          <w:rFonts w:ascii="Calibri" w:hAnsi="Calibri" w:cs="Calibri"/>
          <w:lang w:val="en-GB"/>
        </w:rPr>
        <w:t>See also ibid 1020.</w:t>
      </w:r>
      <w:r w:rsidRPr="000D3E55">
        <w:rPr>
          <w:lang w:val="en-GB"/>
        </w:rPr>
        <w:fldChar w:fldCharType="end"/>
      </w:r>
    </w:p>
  </w:footnote>
  <w:footnote w:id="85">
    <w:p w14:paraId="317607F7" w14:textId="55E19633" w:rsidR="00736E05" w:rsidRPr="000D3E55" w:rsidRDefault="00736E0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{"citationID":"lxrT5cIP","properties":{"formattedCitation":"ibid 1029 et seq.","plainCitation":"ibid 1029 et seq.","noteIndex":84},"citationItems":[{"id":2385,"uris":["http://zotero.org/users/local/09vVTa11/items/CW9MUM8F"],"itemData":{"id":2385,"type":"article-journal","abstract":"Scholars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liability","URL":"https://btlj.org/2024/01/volume-38-issue-3/","volume":"38","author":[{"family":"Grimmelmann","given":"James"},{"family":"Zhang","given":"Pengfei"}],"issued":{"date-parts":[["2023"]]}},"locator":"1029 et seq.","label":"page"}],"schema":"https://github.com/citation-style-language/schema/raw/master/csl-citation.json"} </w:instrText>
      </w:r>
      <w:r w:rsidRPr="000D3E55">
        <w:rPr>
          <w:lang w:val="en-GB"/>
        </w:rPr>
        <w:fldChar w:fldCharType="separate"/>
      </w:r>
      <w:r w:rsidRPr="000D3E55">
        <w:rPr>
          <w:rFonts w:ascii="Calibri" w:hAnsi="Calibri" w:cs="Calibri"/>
          <w:lang w:val="en-GB"/>
        </w:rPr>
        <w:t>ibid 1029 et seq.</w:t>
      </w:r>
      <w:r w:rsidRPr="000D3E55">
        <w:rPr>
          <w:lang w:val="en-GB"/>
        </w:rPr>
        <w:fldChar w:fldCharType="end"/>
      </w:r>
    </w:p>
  </w:footnote>
  <w:footnote w:id="86">
    <w:p w14:paraId="66F5D612" w14:textId="1CC10016" w:rsidR="002E3E9C" w:rsidRPr="000D3E55" w:rsidRDefault="002E3E9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{"citationID":"0fAb8yIs","properties":{"formattedCitation":"ibid 1064.","plainCitation":"ibid 1064.","noteIndex":85},"citationItems":[{"id":2385,"uris":["http://zotero.org/users/local/09vVTa11/items/CW9MUM8F"],"itemData":{"id":2385,"type":"article-journal","abstract":"Scholars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1064","label":"page"}],"schema":"https://github.com/citation-style-language/schema/raw/master/csl-citation.json"} </w:instrText>
      </w:r>
      <w:r w:rsidRPr="000D3E55">
        <w:rPr>
          <w:lang w:val="en-GB"/>
        </w:rPr>
        <w:fldChar w:fldCharType="separate"/>
      </w:r>
      <w:r w:rsidRPr="000D3E55">
        <w:rPr>
          <w:rFonts w:ascii="Calibri" w:hAnsi="Calibri" w:cs="Calibri"/>
          <w:lang w:val="en-GB"/>
        </w:rPr>
        <w:t>ibid 1064.</w:t>
      </w:r>
      <w:r w:rsidRPr="000D3E55">
        <w:rPr>
          <w:lang w:val="en-GB"/>
        </w:rPr>
        <w:fldChar w:fldCharType="end"/>
      </w:r>
    </w:p>
  </w:footnote>
  <w:footnote w:id="87">
    <w:p w14:paraId="52642495" w14:textId="48EB237F" w:rsidR="005F1284" w:rsidRPr="000D3E55" w:rsidRDefault="005F1284">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{"citationID":"twZqGhFW","properties":{"formattedCitation":"ibid 1063\\uc0\\u8211{}1064.","plainCitation":"ibid 1063–1064.","noteIndex":86},"citationItems":[{"id":2385,"uris":["http://zotero.org/users/local/09vVTa11/items/CW9MUM8F"],"itemData":{"id":2385,"type":"article-journal","abstract":"Scholars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1063-1064","label":"page"}],"schema":"https://github.com/citation-style-language/schema/raw/master/csl-citation.json"} </w:instrText>
      </w:r>
      <w:r w:rsidRPr="000D3E55">
        <w:rPr>
          <w:lang w:val="en-GB"/>
        </w:rPr>
        <w:fldChar w:fldCharType="separate"/>
      </w:r>
      <w:r w:rsidRPr="000D3E55">
        <w:rPr>
          <w:rFonts w:ascii="Calibri" w:hAnsi="Calibri" w:cs="Calibri"/>
          <w:kern w:val="0"/>
          <w:lang w:val="en-GB"/>
        </w:rPr>
        <w:t>ibid 1063–1064.</w:t>
      </w:r>
      <w:r w:rsidRPr="000D3E55">
        <w:rPr>
          <w:lang w:val="en-GB"/>
        </w:rPr>
        <w:fldChar w:fldCharType="end"/>
      </w:r>
    </w:p>
  </w:footnote>
  <w:footnote w:id="88">
    <w:p w14:paraId="2478ABE1" w14:textId="503F7441" w:rsidR="00E94242" w:rsidRPr="00E94242" w:rsidRDefault="00E94242">
      <w:pPr>
        <w:pStyle w:val="FootnoteText"/>
        <w:rPr>
          <w:lang w:val="en-US"/>
        </w:rPr>
      </w:pPr>
      <w:r>
        <w:rPr>
          <w:rStyle w:val="FootnoteReference"/>
        </w:rPr>
        <w:footnoteRef/>
      </w:r>
      <w:r>
        <w:t xml:space="preserve"> </w:t>
      </w:r>
      <w:r>
        <w:fldChar w:fldCharType="begin"/>
      </w:r>
      <w:r w:rsidR="00D25645">
        <w:instrText xml:space="preserve"> ADDIN ZOTERO_ITEM CSL_CITATION {"citationID":"Sx31LBIv","properties":{"formattedCitation":"ibid 1029 et seq.","plainCitation":"ibid 1029 et seq.","noteIndex":87},"citationItems":[{"id":2385,"uris":["http://zotero.org/users/local/09vVTa11/items/CW9MUM8F"],"itemData":{"id":2385,"type":"article-journal","abstract":"Scholars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liability","URL":"https://btlj.org/2024/01/volume-38-issue-3/","volume":"38","author":[{"family":"Grimmelmann","given":"James"},{"family":"Zhang","given":"Pengfei"}],"issued":{"date-parts":[["2023"]]}},"locator":"1029 et seq.","label":"page"}],"schema":"https://github.com/citation-style-language/schema/raw/master/csl-citation.json"} </w:instrText>
      </w:r>
      <w:r>
        <w:fldChar w:fldCharType="separate"/>
      </w:r>
      <w:r w:rsidRPr="00E94242">
        <w:rPr>
          <w:rFonts w:ascii="Calibri" w:hAnsi="Calibri" w:cs="Calibri"/>
        </w:rPr>
        <w:t>ibid 1029 et seq.</w:t>
      </w:r>
      <w:r>
        <w:fldChar w:fldCharType="end"/>
      </w:r>
    </w:p>
  </w:footnote>
  <w:footnote w:id="89">
    <w:p w14:paraId="7C7D8F99" w14:textId="5CAA943F" w:rsidR="004E74D5" w:rsidRPr="004E74D5" w:rsidRDefault="004E74D5">
      <w:pPr>
        <w:pStyle w:val="FootnoteText"/>
        <w:rPr>
          <w:lang w:val="en-US"/>
        </w:rPr>
      </w:pPr>
      <w:r>
        <w:rPr>
          <w:rStyle w:val="FootnoteReference"/>
        </w:rPr>
        <w:footnoteRef/>
      </w:r>
      <w:r>
        <w:t xml:space="preserve"> </w:t>
      </w:r>
      <w:r>
        <w:fldChar w:fldCharType="begin"/>
      </w:r>
      <w:r w:rsidR="00D25645">
        <w:instrText xml:space="preserve"> ADDIN ZOTERO_ITEM CSL_CITATION {"citationID":"Tu6hTzxI","properties":{"formattedCitation":"ibid 1031.","plainCitation":"ibid 1031.","noteIndex":88},"citationItems":[{"id":2385,"uris":["http://zotero.org/users/local/09vVTa11/items/CW9MUM8F"],"itemData":{"id":2385,"type":"article-journal","abstract":"Scholars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1031","label":"page"}],"schema":"https://github.com/citation-style-language/schema/raw/master/csl-citation.json"} </w:instrText>
      </w:r>
      <w:r>
        <w:fldChar w:fldCharType="separate"/>
      </w:r>
      <w:r w:rsidRPr="004E74D5">
        <w:rPr>
          <w:rFonts w:ascii="Calibri" w:hAnsi="Calibri" w:cs="Calibri"/>
        </w:rPr>
        <w:t>ibid 1031.</w:t>
      </w:r>
      <w:r>
        <w:fldChar w:fldCharType="end"/>
      </w:r>
    </w:p>
  </w:footnote>
  <w:footnote w:id="90">
    <w:p w14:paraId="7B68123A" w14:textId="0A386C47" w:rsidR="00C6757D" w:rsidRPr="00C6757D" w:rsidRDefault="00C6757D">
      <w:pPr>
        <w:pStyle w:val="FootnoteText"/>
        <w:rPr>
          <w:lang w:val="en-US"/>
        </w:rPr>
      </w:pPr>
      <w:r>
        <w:rPr>
          <w:rStyle w:val="FootnoteReference"/>
        </w:rPr>
        <w:footnoteRef/>
      </w:r>
      <w:r>
        <w:t xml:space="preserve"> </w:t>
      </w:r>
      <w:r>
        <w:fldChar w:fldCharType="begin"/>
      </w:r>
      <w:r w:rsidR="00D25645">
        <w:instrText xml:space="preserve"> ADDIN ZOTERO_ITEM CSL_CITATION {"citationID":"zLgfDT1K","properties":{"formattedCitation":"ibid 1055 et seq.","plainCitation":"ibid 1055 et seq.","noteIndex":89},"citationItems":[{"id":2385,"uris":["http://zotero.org/users/local/09vVTa11/items/CW9MUM8F"],"itemData":{"id":2385,"type":"article-journal","abstract":"Scholars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liability","URL":"https://btlj.org/2024/01/volume-38-issue-3/","volume":"38","author":[{"family":"Grimmelmann","given":"James"},{"family":"Zhang","given":"Pengfei"}],"issued":{"date-parts":[["2023"]]}},"locator":"1055 et seq.","label":"page"}],"schema":"https://github.com/citation-style-language/schema/raw/master/csl-citation.json"} </w:instrText>
      </w:r>
      <w:r>
        <w:fldChar w:fldCharType="separate"/>
      </w:r>
      <w:r w:rsidRPr="00C6757D">
        <w:rPr>
          <w:rFonts w:ascii="Calibri" w:hAnsi="Calibri" w:cs="Calibri"/>
        </w:rPr>
        <w:t>ibid 1055 et seq.</w:t>
      </w:r>
      <w:r>
        <w:fldChar w:fldCharType="end"/>
      </w:r>
    </w:p>
  </w:footnote>
  <w:footnote w:id="91">
    <w:p w14:paraId="397E52E1" w14:textId="68B41990" w:rsidR="00C6757D" w:rsidRPr="00C6757D" w:rsidRDefault="00C6757D">
      <w:pPr>
        <w:pStyle w:val="FootnoteText"/>
        <w:rPr>
          <w:lang w:val="en-US"/>
        </w:rPr>
      </w:pPr>
      <w:r>
        <w:rPr>
          <w:rStyle w:val="FootnoteReference"/>
        </w:rPr>
        <w:footnoteRef/>
      </w:r>
      <w:r>
        <w:t xml:space="preserve"> </w:t>
      </w:r>
      <w:r>
        <w:fldChar w:fldCharType="begin"/>
      </w:r>
      <w:r w:rsidR="00D25645">
        <w:instrText xml:space="preserve"> ADDIN ZOTERO_ITEM CSL_CITATION {"citationID":"IcOCuoyB","properties":{"formattedCitation":"See Part C in, particularly the evaluation of technological private ordering. Woznica (n 14); See also Daria Dergacheva and Christian Katzenbach, \\uc0\\u8216{}Mandate to Overblock? Understanding the Impact of the European Union\\uc0\\u8217{}s Article 17 on Copyright Content Moderation on YouTube\\uc0\\u8217{} (2024) 16 Policy &amp; Internet 362.","plainCitation":"See Part C in, particularly the evaluation of technological private ordering. Woznica (n 14); See also Daria Dergacheva and Christian Katzenbach, ‘Mandate to Overblock? Understanding the Impact of the European Union’s Article 17 on Copyright Content Moderation on YouTube’ (2024) 16 Policy &amp; Internet 362.","noteIndex":90},"citationItems":[{"id":9128,"uris":["http://zotero.org/users/local/09vVTa11/items/PIRB2A9K"],"itemData":{"id":9128,"type":"thesis","language":"eng","publisher":"Masaryk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copyright","URL":"https://is.muni.cz/th/uxxvw/","author":[{"family":"Woznica","given":"Ondřej"}],"accessed":{"date-parts":[["2025",3,3]]},"issued":{"date-parts":[["2024"]]}},"label":"page","prefix":"See Part C in, particularly the evaluation of technological private ordering."},{"id":5605,"uris":["http://zotero.org/users/local/09vVTa11/items/I67H65F2"],"itemData":{"id":5605,"type":"article-journal","abstract":"Abstract This article presents the results of a study measuring possible overblocking due to copyright moderation and changes in the diversity of cultural products supply on YouTube in two European Union (EU) member states comparable in size and population, Germany and France. Both have adopted Article 17 of the EU Copyright in the Digital Single Market (CDSM) Directive (CDSMD) but Germany was 5 months ahead of France in changing its legislative regime for large social media platforms and copyright content moderation. The article assesses how content takedowns that were likely connected to copyright differed in these two countries and how this might have been influenced by the greater copyright moderation linked to the implementation of Article 17 of the CDSMD. Furthermore, the cultural supply diversity according to genre on YouTube was examined by applying Stirling's model of diversity and using a dual-concept diversity index. To the best of the authors' knowledge, this is the first attempt to measure predicted changes to overblocking and possible changes in cultural diversity on YouTube's infrastructure since the new copyright rules came into force in the EU. The findings show that during the period examined, 2019?2022, significant differences were identified between Germany and France in terms of the takedowns of videos from categories prone to copyright moderation. In addition, the content-level supply of cultural products diversity, measured by genre (channel categories), number of videos, and subscribers, decreased in YouTube's available content in both countries but more so in Germany than in France. The study also makes a methodological contribution to the field of content moderation by reusing previously collected data to explore YouTube's infrastructure and cultural diversity within the framework of media economics. Platforms' content moderation practices and the potential impacts they have on cultural diversity are notoriously difficult to study, and this research establishes new methodological frameworks for further exploration.","container-title":"Policy &amp; Internet","DOI":"10.1002/poi3.379","ISSN":"1944-2866","issue":"2","note":"publisher: John Wiley &amp; Sons, Ltd","page":"362-383","source":"onlinelibrary.wiley.com (Atypon)","title":"Mandate to overblock? Understanding the impact of the European Union's Article 17 on copyright content moderation on YouTube","title-short":"Mandate to overblock?","volume":"16","author":[{"family":"Dergacheva","given":"Daria"},{"family":"Katzenbach","given":"Christian"}],"issued":{"date-parts":[["2024",6]]}},"label":"page","prefix":"See also"}],"schema":"https://github.com/citation-style-language/schema/raw/master/csl-citation.json"} </w:instrText>
      </w:r>
      <w:r>
        <w:fldChar w:fldCharType="separate"/>
      </w:r>
      <w:r w:rsidR="006B22E7" w:rsidRPr="006B22E7">
        <w:rPr>
          <w:rFonts w:ascii="Calibri" w:hAnsi="Calibri" w:cs="Calibri"/>
          <w:kern w:val="0"/>
        </w:rPr>
        <w:t>See Part C in, particularly the evaluation of technological private ordering. Woznica (n 14); See also Daria Dergacheva and Christian Katzenbach, ‘Mandate to Overblock? Understanding the Impact of the European Union’s Article 17 on Copyright Content Moderation on YouTube’ (2024) 16 Policy &amp; Internet 362.</w:t>
      </w:r>
      <w:r>
        <w:fldChar w:fldCharType="end"/>
      </w:r>
    </w:p>
  </w:footnote>
  <w:footnote w:id="92">
    <w:p w14:paraId="3CCD4F69" w14:textId="5DB4494D" w:rsidR="009B1073" w:rsidRPr="000D3E55" w:rsidRDefault="009B107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{"citationID":"lsrGPaci","properties":{"formattedCitation":"Primarily drawing on Lessig (n 6) 123; Similarly, Roger Brownsword, {\\i{}Rethinking Law, Regulation, and Technology} (Edward Elgar Publishing 2022) 2 et seq. &lt;https://www.elgaronline.com/view/9781800886469.xml&gt; accessed 3 March 2023; Samuels (n 12).","plainCitation":"Primarily drawing on Lessig (n 6) 123; Similarly, Roger Brownsword, Rethinking Law, Regulation, and Technology (Edward Elgar Publishing 2022) 2 et seq. &lt;https://www.elgaronline.com/view/9781800886469.xml&gt; accessed 3 March 2023; Samuels (n 12).","noteIndex":91},"citationItems":[{"id":58,"uris":["http://zotero.org/users/local/09vVTa11/items/XHT9AKWI"],"itemData":{"id":58,"type":"book","abstract":"\"Code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2.0","author":[{"family":"Lessig","given":"Lawrence"}],"issued":{"date-parts":[["2006"]]}},"locator":"123","label":"page","prefix":"Primarily drawing on"},{"id":54,"uris":["http://zotero.org/users/local/09vVTa11/items/29AS9FXM"],"itemData":{"id":54,"type":"book","ISBN":"978-1-80088-647-6","language":"en","note":"DOI: 10.4337/9781800886476","publisher":"Edward Elgar Publishing","source":"DOI.org (Crossref)","title":"Rethinking Law, Regulation, and Technology","URL":"https://www.elgaronline.com/view/9781800886469.xml","author":[{"family":"Brownsword","given":"Roger"}],"accessed":{"date-parts":[["2023",3,3]]},"issued":{"date-parts":[["2022",3,4]]}},"locator":"2 et seq.","label":"page","prefix":"Similarly,"},{"id":11758,"uris":["http://zotero.org/users/local/09vVTa11/items/ZG43D8YX"],"itemData":{"id":11758,"type":"book","abstract":"Providing another key contribution to the immensely popular field of law and economics, this book, written by the doyen of the history of economic thought in the US, explores the dynamic relationship between economics, law and polity","collection-number":"v.1","collection-title":"The Economics of Legal Relationships","edition":"1st ed","event-place":"London","ISBN":"978-0-415-77179-5","language":"eng","number-of-pages":"491","publisher":"Routledge","publisher-place":"London","source":"K10plus ISBN","title":"The legal-economic nexus: fundamental processes","title-short":"The legal-economic nexus","author":[{"family":"Samuels","given":"Warren J."}],"issued":{"date-parts":[["2007"]]}}}],"schema":"https://github.com/citation-style-language/schema/raw/master/csl-citation.json"} </w:instrText>
      </w:r>
      <w:r w:rsidRPr="000D3E55">
        <w:rPr>
          <w:lang w:val="en-GB"/>
        </w:rPr>
        <w:fldChar w:fldCharType="separate"/>
      </w:r>
      <w:r w:rsidR="00B63251" w:rsidRPr="000D3E55">
        <w:rPr>
          <w:rFonts w:ascii="Calibri" w:hAnsi="Calibri" w:cs="Calibri"/>
          <w:kern w:val="0"/>
          <w:lang w:val="en-GB"/>
        </w:rPr>
        <w:t xml:space="preserve">Primarily drawing on Lessig (n 6) 123; Similarly, Roger Brownsword, </w:t>
      </w:r>
      <w:r w:rsidR="00B63251" w:rsidRPr="000D3E55">
        <w:rPr>
          <w:rFonts w:ascii="Calibri" w:hAnsi="Calibri" w:cs="Calibri"/>
          <w:i/>
          <w:iCs/>
          <w:kern w:val="0"/>
          <w:lang w:val="en-GB"/>
        </w:rPr>
        <w:t>Rethinking Law, Regulation, and Technology</w:t>
      </w:r>
      <w:r w:rsidR="00B63251" w:rsidRPr="000D3E55">
        <w:rPr>
          <w:rFonts w:ascii="Calibri" w:hAnsi="Calibri" w:cs="Calibri"/>
          <w:kern w:val="0"/>
          <w:lang w:val="en-GB"/>
        </w:rPr>
        <w:t xml:space="preserve"> (Edward Elgar Publishing 2022) 2 et seq. &lt;https://www.elgaronline.com/view/9781800886469.xml&gt; accessed 3 March 2023; Samuels (n 12).</w:t>
      </w:r>
      <w:r w:rsidRPr="000D3E55">
        <w:rPr>
          <w:lang w:val="en-GB"/>
        </w:rPr>
        <w:fldChar w:fldCharType="end"/>
      </w:r>
    </w:p>
  </w:footnote>
  <w:footnote w:id="93">
    <w:p w14:paraId="5A45B55F" w14:textId="7356C920" w:rsidR="0068467E" w:rsidRPr="000D3E55" w:rsidRDefault="0068467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{"citationID":"mmDQsJlx","properties":{"formattedCitation":"Lessig (n 6) 123 et seq.","plainCitation":"Lessig (n 6) 123 et seq.","noteIndex":92},"citationItems":[{"id":58,"uris":["http://zotero.org/users/local/09vVTa11/items/XHT9AKWI"],"itemData":{"id":58,"type":"book","abstract":"\"Code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2.0","author":[{"family":"Lessig","given":"Lawrence"}],"issued":{"date-parts":[["2006"]]}},"locator":"123 et seq.","label":"page"}],"schema":"https://github.com/citation-style-language/schema/raw/master/csl-citation.json"} </w:instrText>
      </w:r>
      <w:r w:rsidRPr="000D3E55">
        <w:rPr>
          <w:lang w:val="en-GB"/>
        </w:rPr>
        <w:fldChar w:fldCharType="separate"/>
      </w:r>
      <w:r w:rsidRPr="000D3E55">
        <w:rPr>
          <w:rFonts w:ascii="Calibri" w:hAnsi="Calibri" w:cs="Calibri"/>
          <w:lang w:val="en-GB"/>
        </w:rPr>
        <w:t>Lessig (n 6) 123 et seq.</w:t>
      </w:r>
      <w:r w:rsidRPr="000D3E55">
        <w:rPr>
          <w:lang w:val="en-GB"/>
        </w:rPr>
        <w:fldChar w:fldCharType="end"/>
      </w:r>
    </w:p>
  </w:footnote>
  <w:footnote w:id="94">
    <w:p w14:paraId="175FB69A" w14:textId="3BF0EAAD" w:rsidR="005E1CDB" w:rsidRPr="000D3E55" w:rsidRDefault="005E1CDB">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{"citationID":"tpXeT4xW","properties":{"formattedCitation":"Samuels (n 12) 18 et seq.","plainCitation":"Samuels (n 12) 18 et seq.","noteIndex":93},"citationItems":[{"id":11758,"uris":["http://zotero.org/users/local/09vVTa11/items/ZG43D8YX"],"itemData":{"id":11758,"type":"book","abstract":"Providing another key contribution to the immensely popular field of law and economics, this book, written by the doyen of the history of economic thought in the US, explores the dynamic relationship between economics, law and polity","collection-number":"v.1","collection-title":"The Economics of Legal Relationships","edition":"1st ed","event-place":"London","ISBN":"978-0-415-77179-5","language":"eng","number-of-pages":"491","publisher":"Routledge","publisher-place":"London","source":"K10plus ISBN","title":"The legal-economic nexus: fundamental processes","title-short":"The legal-economic nexus","author":[{"family":"Samuels","given":"Warren J."}],"issued":{"date-parts":[["2007"]]}},"locator":"18 et seq.","label":"page"}],"schema":"https://github.com/citation-style-language/schema/raw/master/csl-citation.json"} </w:instrText>
      </w:r>
      <w:r w:rsidRPr="000D3E55">
        <w:rPr>
          <w:lang w:val="en-GB"/>
        </w:rPr>
        <w:fldChar w:fldCharType="separate"/>
      </w:r>
      <w:r w:rsidR="00B63251" w:rsidRPr="000D3E55">
        <w:rPr>
          <w:rFonts w:ascii="Calibri" w:hAnsi="Calibri" w:cs="Calibri"/>
          <w:lang w:val="en-GB"/>
        </w:rPr>
        <w:t>Samuels (n 12) 18 et seq.</w:t>
      </w:r>
      <w:r w:rsidRPr="000D3E55">
        <w:rPr>
          <w:lang w:val="en-GB"/>
        </w:rPr>
        <w:fldChar w:fldCharType="end"/>
      </w:r>
    </w:p>
  </w:footnote>
  <w:footnote w:id="95">
    <w:p w14:paraId="1211D2D0" w14:textId="53D2D7CF" w:rsidR="00FA73EB" w:rsidRPr="000D3E55" w:rsidRDefault="00FA73EB">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{"citationID":"LizdH2pZ","properties":{"formattedCitation":"ibid 27.","plainCitation":"ibid 27.","noteIndex":94},"citationItems":[{"id":11758,"uris":["http://zotero.org/users/local/09vVTa11/items/ZG43D8YX"],"itemData":{"id":11758,"type":"book","abstract":"Providing another key contribution to the immensely popular field of law and economics, this book, written by the doyen of the history of economic thought in the US, explores the dynamic relationship between economics, law and polity","collection-number":"v.1","collection-title":"The Economics of Legal Relationships","edition":"1st ed","event-place":"London","ISBN":"978-0-415-77179-5","language":"eng","number-of-pages":"491","publisher":"Routledge","publisher-place":"London","source":"K10plus ISBN","title":"The legal-economic nexus: fundamental processes","title-short":"The legal-economic nexus","author":[{"family":"Samuels","given":"Warren J."}],"issued":{"date-parts":[["2007"]]}},"locator":"27","label":"page"}],"schema":"https://github.com/citation-style-language/schema/raw/master/csl-citation.json"} </w:instrText>
      </w:r>
      <w:r w:rsidRPr="000D3E55">
        <w:rPr>
          <w:lang w:val="en-GB"/>
        </w:rPr>
        <w:fldChar w:fldCharType="separate"/>
      </w:r>
      <w:r w:rsidR="005E1CDB" w:rsidRPr="000D3E55">
        <w:rPr>
          <w:rFonts w:ascii="Calibri" w:hAnsi="Calibri" w:cs="Calibri"/>
          <w:lang w:val="en-GB"/>
        </w:rPr>
        <w:t>ibid 27.</w:t>
      </w:r>
      <w:r w:rsidRPr="000D3E55">
        <w:rPr>
          <w:lang w:val="en-GB"/>
        </w:rPr>
        <w:fldChar w:fldCharType="end"/>
      </w:r>
    </w:p>
  </w:footnote>
  <w:footnote w:id="96">
    <w:p w14:paraId="1EF249CB" w14:textId="0CCDB86C" w:rsidR="0091185C" w:rsidRPr="000D3E55" w:rsidRDefault="0091185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{"citationID":"SbYTai8q","properties":{"formattedCitation":"Similarly, Elkin-Koren and Salzberger highlight the influence of technology over economic and legal regulation. See Elkin-Koren and Salzberger (n 15) 26 et seq.","plainCitation":"Similarly, Elkin-Koren and Salzberger highlight the influence of technology over economic and legal regulation. See Elkin-Koren and Salzberger (n 15) 26 et seq.","noteIndex":95},"citationItems":[{"id":266,"uris":["http://zotero.org/users/local/09vVTa11/items/X4HI633N"],"itemData":{"id":266,"type":"book","ISBN":"978-1-138-78657-8","language":"en","publisher":"Routledge,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Age","author":[{"family":"Elkin-Koren","given":"Niva"},{"family":"Salzberger","given":"Eli"}],"accessed":{"date-parts":[["2023",4,14]]},"issued":{"date-parts":[["2013"]]}},"locator":"26 et seq.","label":"page","prefix":"Similarly, Elkin-Koren and Salzberger highlight the influence of technology over economic and legal regulation. See"}],"schema":"https://github.com/citation-style-language/schema/raw/master/csl-citation.json"} </w:instrText>
      </w:r>
      <w:r w:rsidRPr="000D3E55">
        <w:rPr>
          <w:lang w:val="en-GB"/>
        </w:rPr>
        <w:fldChar w:fldCharType="separate"/>
      </w:r>
      <w:r w:rsidR="009A7302" w:rsidRPr="000D3E55">
        <w:rPr>
          <w:rFonts w:ascii="Calibri" w:hAnsi="Calibri" w:cs="Calibri"/>
          <w:lang w:val="en-GB"/>
        </w:rPr>
        <w:t>Similarly, Elkin-Koren and Salzberger highlight the influence of technology over economic and legal regulation. See Elkin-Koren and Salzberger (n 15) 26 et seq.</w:t>
      </w:r>
      <w:r w:rsidRPr="000D3E55">
        <w:rPr>
          <w:lang w:val="en-GB"/>
        </w:rPr>
        <w:fldChar w:fldCharType="end"/>
      </w:r>
    </w:p>
  </w:footnote>
  <w:footnote w:id="97">
    <w:p w14:paraId="0FE3CC38" w14:textId="4DD622F1" w:rsidR="005F7350" w:rsidRPr="000D3E55" w:rsidRDefault="005F735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{"citationID":"jU8qwUYg","properties":{"formattedCitation":"See, e.g., how Lessig describes the shift from initial freedom-based internet to today\\uc0\\u8217{}s version due to legal and market interventions. Lessig (n 6) 4 et seq.","plainCitation":"See, e.g., how Lessig describes the shift from initial freedom-based internet to today’s version due to legal and market interventions. Lessig (n 6) 4 et seq.","noteIndex":96},"citationItems":[{"id":58,"uris":["http://zotero.org/users/local/09vVTa11/items/XHT9AKWI"],"itemData":{"id":58,"type":"book","abstract":"\"Code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2.0","author":[{"family":"Lessig","given":"Lawrence"}],"issued":{"date-parts":[["2006"]]}},"locator":"4 et seq.","label":"page","prefix":"See, e.g., how Lessig describes the shift from initial freedom-based internet to today's version due to legal and market interventions."}],"schema":"https://github.com/citation-style-language/schema/raw/master/csl-citation.json"} </w:instrText>
      </w:r>
      <w:r w:rsidRPr="000D3E55">
        <w:rPr>
          <w:lang w:val="en-GB"/>
        </w:rPr>
        <w:fldChar w:fldCharType="separate"/>
      </w:r>
      <w:r w:rsidRPr="000D3E55">
        <w:rPr>
          <w:rFonts w:ascii="Calibri" w:hAnsi="Calibri" w:cs="Calibri"/>
          <w:kern w:val="0"/>
          <w:lang w:val="en-GB"/>
        </w:rPr>
        <w:t>See, e.g., how Lessig describes the shift from initial freedom-based internet to today’s version due to legal and market interventions. Lessig (n 6) 4 et seq.</w:t>
      </w:r>
      <w:r w:rsidRPr="000D3E55">
        <w:rPr>
          <w:lang w:val="en-GB"/>
        </w:rPr>
        <w:fldChar w:fldCharType="end"/>
      </w:r>
    </w:p>
  </w:footnote>
  <w:footnote w:id="98">
    <w:p w14:paraId="4099E448" w14:textId="088D7524" w:rsidR="00BD124C" w:rsidRPr="000D3E55" w:rsidRDefault="00BD124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{"citationID":"f4eLGaEG","properties":{"formattedCitation":"Grimmelmann and Zhang (n 8) 1027 et seq.","plainCitation":"Grimmelmann and Zhang (n 8) 1027 et seq.","noteIndex":97},"citationItems":[{"id":2385,"uris":["http://zotero.org/users/local/09vVTa11/items/CW9MUM8F"],"itemData":{"id":2385,"type":"article-journal","abstract":"Scholars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liability","URL":"https://btlj.org/2024/01/volume-38-issue-3/","volume":"38","author":[{"family":"Grimmelmann","given":"James"},{"family":"Zhang","given":"Pengfei"}],"issued":{"date-parts":[["2023"]]}},"locator":"1027 et seq.","label":"page"}],"schema":"https://github.com/citation-style-language/schema/raw/master/csl-citation.json"} </w:instrText>
      </w:r>
      <w:r w:rsidRPr="000D3E55">
        <w:rPr>
          <w:lang w:val="en-GB"/>
        </w:rPr>
        <w:fldChar w:fldCharType="separate"/>
      </w:r>
      <w:r w:rsidR="00724570" w:rsidRPr="000D3E55">
        <w:rPr>
          <w:rFonts w:ascii="Calibri" w:hAnsi="Calibri" w:cs="Calibri"/>
          <w:lang w:val="en-GB"/>
        </w:rPr>
        <w:t>Grimmelmann and Zhang (n 8) 1027 et seq.</w:t>
      </w:r>
      <w:r w:rsidRPr="000D3E55">
        <w:rPr>
          <w:lang w:val="en-GB"/>
        </w:rPr>
        <w:fldChar w:fldCharType="end"/>
      </w:r>
    </w:p>
  </w:footnote>
  <w:footnote w:id="99">
    <w:p w14:paraId="1167D0DF" w14:textId="0A62B447" w:rsidR="00501B31" w:rsidRPr="000D3E55" w:rsidRDefault="00501B31">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{"citationID":"eTFDXR7q","properties":{"formattedCitation":"Lessig (n 6) 130 et seq.","plainCitation":"Lessig (n 6) 130 et seq.","noteIndex":98},"citationItems":[{"id":58,"uris":["http://zotero.org/users/local/09vVTa11/items/XHT9AKWI"],"itemData":{"id":58,"type":"book","abstract":"\"Code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2.0","author":[{"family":"Lessig","given":"Lawrence"}],"issued":{"date-parts":[["2006"]]}},"locator":"130 et seq.","label":"page"}],"schema":"https://github.com/citation-style-language/schema/raw/master/csl-citation.json"} </w:instrText>
      </w:r>
      <w:r w:rsidRPr="000D3E55">
        <w:rPr>
          <w:lang w:val="en-GB"/>
        </w:rPr>
        <w:fldChar w:fldCharType="separate"/>
      </w:r>
      <w:r w:rsidRPr="000D3E55">
        <w:rPr>
          <w:rFonts w:ascii="Calibri" w:hAnsi="Calibri" w:cs="Calibri"/>
          <w:lang w:val="en-GB"/>
        </w:rPr>
        <w:t>Lessig (n 6) 130 et seq.</w:t>
      </w:r>
      <w:r w:rsidRPr="000D3E55">
        <w:rPr>
          <w:lang w:val="en-GB"/>
        </w:rPr>
        <w:fldChar w:fldCharType="end"/>
      </w:r>
    </w:p>
  </w:footnote>
  <w:footnote w:id="100">
    <w:p w14:paraId="1FCAAD8E" w14:textId="2C672C81" w:rsidR="009C0BA1" w:rsidRPr="000D3E55" w:rsidRDefault="009C0BA1">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{"citationID":"czLIVIKO","properties":{"formattedCitation":"Grimmelmann and Zhang (n 8) 1025 et seq.","plainCitation":"Grimmelmann and Zhang (n 8) 1025 et seq.","noteIndex":99},"citationItems":[{"id":2385,"uris":["http://zotero.org/users/local/09vVTa11/items/CW9MUM8F"],"itemData":{"id":2385,"type":"article-journal","abstract":"Scholars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liability","URL":"https://btlj.org/2024/01/volume-38-issue-3/","volume":"38","author":[{"family":"Grimmelmann","given":"James"},{"family":"Zhang","given":"Pengfei"}],"issued":{"date-parts":[["2023"]]}},"locator":"1025 et seq.","label":"page"}],"schema":"https://github.com/citation-style-language/schema/raw/master/csl-citation.json"} </w:instrText>
      </w:r>
      <w:r w:rsidRPr="000D3E55">
        <w:rPr>
          <w:lang w:val="en-GB"/>
        </w:rPr>
        <w:fldChar w:fldCharType="separate"/>
      </w:r>
      <w:r w:rsidR="00724570" w:rsidRPr="000D3E55">
        <w:rPr>
          <w:rFonts w:ascii="Calibri" w:hAnsi="Calibri" w:cs="Calibri"/>
          <w:lang w:val="en-GB"/>
        </w:rPr>
        <w:t>Grimmelmann and Zhang (n 8) 1025 et seq.</w:t>
      </w:r>
      <w:r w:rsidRPr="000D3E55">
        <w:rPr>
          <w:lang w:val="en-GB"/>
        </w:rPr>
        <w:fldChar w:fldCharType="end"/>
      </w:r>
    </w:p>
  </w:footnote>
  <w:footnote w:id="101">
    <w:p w14:paraId="54554D95" w14:textId="6FC0A37F" w:rsidR="00453AD8" w:rsidRPr="000D3E55" w:rsidRDefault="00453AD8" w:rsidP="00453AD8">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{"citationID":"4BFJfepk","properties":{"formattedCitation":"ibid 1028\\uc0\\u8211{}1029.","plainCitation":"ibid 1028–1029.","noteIndex":100},"citationItems":[{"id":2385,"uris":["http://zotero.org/users/local/09vVTa11/items/CW9MUM8F"],"itemData":{"id":2385,"type":"article-journal","abstract":"Scholars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ocator":"1028-1029","label":"page"}],"schema":"https://github.com/citation-style-language/schema/raw/master/csl-citation.json"} </w:instrText>
      </w:r>
      <w:r w:rsidRPr="000D3E55">
        <w:rPr>
          <w:lang w:val="en-GB"/>
        </w:rPr>
        <w:fldChar w:fldCharType="separate"/>
      </w:r>
      <w:r w:rsidRPr="000D3E55">
        <w:rPr>
          <w:rFonts w:ascii="Calibri" w:hAnsi="Calibri" w:cs="Calibri"/>
          <w:kern w:val="0"/>
          <w:lang w:val="en-GB"/>
        </w:rPr>
        <w:t>ibid 1028–1029.</w:t>
      </w:r>
      <w:r w:rsidRPr="000D3E55">
        <w:rPr>
          <w:lang w:val="en-GB"/>
        </w:rPr>
        <w:fldChar w:fldCharType="end"/>
      </w:r>
    </w:p>
  </w:footnote>
  <w:footnote w:id="102">
    <w:p w14:paraId="2E69332C" w14:textId="7D82FC52" w:rsidR="00A951AC" w:rsidRPr="000D3E55" w:rsidRDefault="00A951A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{"citationID":"i83nupaB","properties":{"formattedCitation":"Esposito (n 10) 176 et seq.","plainCitation":"Esposito (n 10) 176 et seq.","noteIndex":101},"citationItems":[{"id":220,"uris":["http://zotero.org/users/local/09vVTa11/items/TRLLX6IV"],"itemData":{"id":220,"type":"book","ISBN":"978 1 80037 964 0","language":"en","publisher":"Edward Elgar Publishing","title":"The Consumer Welfare Hypothesis in Law and Economics","author":[{"family":"Esposito","given":"Fabrizio"}],"issued":{"date-parts":[["2022"]]}},"locator":"176 et seq.","label":"page"}],"schema":"https://github.com/citation-style-language/schema/raw/master/csl-citation.json"} </w:instrText>
      </w:r>
      <w:r w:rsidRPr="000D3E55">
        <w:rPr>
          <w:lang w:val="en-GB"/>
        </w:rPr>
        <w:fldChar w:fldCharType="separate"/>
      </w:r>
      <w:r w:rsidR="001C0834" w:rsidRPr="000D3E55">
        <w:rPr>
          <w:rFonts w:ascii="Calibri" w:hAnsi="Calibri" w:cs="Calibri"/>
          <w:lang w:val="en-GB"/>
        </w:rPr>
        <w:t>Esposito (n 10) 176 et seq.</w:t>
      </w:r>
      <w:r w:rsidRPr="000D3E55">
        <w:rPr>
          <w:lang w:val="en-GB"/>
        </w:rPr>
        <w:fldChar w:fldCharType="end"/>
      </w:r>
    </w:p>
  </w:footnote>
  <w:footnote w:id="103">
    <w:p w14:paraId="7868E193" w14:textId="78462F31" w:rsidR="00E112D3" w:rsidRPr="000D3E55" w:rsidRDefault="00E112D3">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{"citationID":"Hhuyc3At","properties":{"formattedCitation":"ibid 3, 176\\uc0\\u8211{}177.","plainCitation":"ibid 3, 176–177.","noteIndex":102},"citationItems":[{"id":220,"uris":["http://zotero.org/users/local/09vVTa11/items/TRLLX6IV"],"itemData":{"id":220,"type":"book","ISBN":"978 1 80037 964 0","language":"en","publisher":"Edward Elgar Publishing","title":"The Consumer Welfare Hypothesis in Law and Economics","author":[{"family":"Esposito","given":"Fabrizio"}],"issued":{"date-parts":[["2022"]]}},"locator":"3, 176-177","label":"page"}],"schema":"https://github.com/citation-style-language/schema/raw/master/csl-citation.json"} </w:instrText>
      </w:r>
      <w:r w:rsidRPr="000D3E55">
        <w:rPr>
          <w:lang w:val="en-GB"/>
        </w:rPr>
        <w:fldChar w:fldCharType="separate"/>
      </w:r>
      <w:r w:rsidRPr="000D3E55">
        <w:rPr>
          <w:rFonts w:ascii="Calibri" w:hAnsi="Calibri" w:cs="Calibri"/>
          <w:kern w:val="0"/>
          <w:lang w:val="en-GB"/>
        </w:rPr>
        <w:t>ibid 3, 176–177.</w:t>
      </w:r>
      <w:r w:rsidRPr="000D3E55">
        <w:rPr>
          <w:lang w:val="en-GB"/>
        </w:rPr>
        <w:fldChar w:fldCharType="end"/>
      </w:r>
    </w:p>
  </w:footnote>
  <w:footnote w:id="104">
    <w:p w14:paraId="03D7A7A2" w14:textId="03FA8BB2" w:rsidR="004B19AA" w:rsidRPr="000D3E55" w:rsidRDefault="004B19AA">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{"citationID":"CuHs2jA9","properties":{"formattedCitation":"ibid 30 et seq., 178.","plainCitation":"ibid 30 et seq., 178.","noteIndex":103},"citationItems":[{"id":220,"uris":["http://zotero.org/users/local/09vVTa11/items/TRLLX6IV"],"itemData":{"id":220,"type":"book","ISBN":"978 1 80037 964 0","language":"en","publisher":"Edward Elgar Publishing","title":"The Consumer Welfare Hypothesis in Law and Economics","author":[{"family":"Esposito","given":"Fabrizio"}],"issued":{"date-parts":[["2022"]]}},"locator":"30 et seq., 178","label":"page"}],"schema":"https://github.com/citation-style-language/schema/raw/master/csl-citation.json"} </w:instrText>
      </w:r>
      <w:r w:rsidRPr="000D3E55">
        <w:rPr>
          <w:lang w:val="en-GB"/>
        </w:rPr>
        <w:fldChar w:fldCharType="separate"/>
      </w:r>
      <w:r w:rsidRPr="000D3E55">
        <w:rPr>
          <w:rFonts w:ascii="Calibri" w:hAnsi="Calibri" w:cs="Calibri"/>
          <w:lang w:val="en-GB"/>
        </w:rPr>
        <w:t>ibid 30 et seq., 178.</w:t>
      </w:r>
      <w:r w:rsidRPr="000D3E55">
        <w:rPr>
          <w:lang w:val="en-GB"/>
        </w:rPr>
        <w:fldChar w:fldCharType="end"/>
      </w:r>
    </w:p>
  </w:footnote>
  <w:footnote w:id="105">
    <w:p w14:paraId="32DF93C8" w14:textId="55E17B1C" w:rsidR="00FA5B78" w:rsidRPr="000D3E55" w:rsidRDefault="00FA5B78">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{"citationID":"9ajXzJEx","properties":{"formattedCitation":"ibid 97 et seq., 180.","plainCitation":"ibid 97 et seq., 180.","noteIndex":104},"citationItems":[{"id":220,"uris":["http://zotero.org/users/local/09vVTa11/items/TRLLX6IV"],"itemData":{"id":220,"type":"book","ISBN":"978 1 80037 964 0","language":"en","publisher":"Edward Elgar Publishing","title":"The Consumer Welfare Hypothesis in Law and Economics","author":[{"family":"Esposito","given":"Fabrizio"}],"issued":{"date-parts":[["2022"]]}},"locator":"97 et seq., 180","label":"page"}],"schema":"https://github.com/citation-style-language/schema/raw/master/csl-citation.json"} </w:instrText>
      </w:r>
      <w:r w:rsidRPr="000D3E55">
        <w:rPr>
          <w:lang w:val="en-GB"/>
        </w:rPr>
        <w:fldChar w:fldCharType="separate"/>
      </w:r>
      <w:r w:rsidRPr="000D3E55">
        <w:rPr>
          <w:rFonts w:ascii="Calibri" w:hAnsi="Calibri" w:cs="Calibri"/>
          <w:lang w:val="en-GB"/>
        </w:rPr>
        <w:t>ibid 97 et seq., 180.</w:t>
      </w:r>
      <w:r w:rsidRPr="000D3E55">
        <w:rPr>
          <w:lang w:val="en-GB"/>
        </w:rPr>
        <w:fldChar w:fldCharType="end"/>
      </w:r>
    </w:p>
  </w:footnote>
  <w:footnote w:id="106">
    <w:p w14:paraId="12B3DF6E" w14:textId="5C55F741" w:rsidR="00405834" w:rsidRPr="000D3E55" w:rsidRDefault="00405834" w:rsidP="00405834">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{"citationID":"aCu4TyX5","properties":{"formattedCitation":"Lessig (n 6) 130 et seq.; Similarly understood also by Frankel and Gervais, see introduction or individual contributions in Frankel and Gervais (n 7).","plainCitation":"Lessig (n 6) 130 et seq.; Similarly understood also by Frankel and Gervais, see introduction or individual contributions in Frankel and Gervais (n 7).","noteIndex":105},"citationItems":[{"id":58,"uris":["http://zotero.org/users/local/09vVTa11/items/XHT9AKWI"],"itemData":{"id":58,"type":"book","abstract":"\"Code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2006","edition":"Version 2.0","event-place":"New York","ISBN":"978-0-465-03914-2","language":"en","note":"OCLC: ocm77638613","number-of-pages":"410","publisher":"Basic Books","publisher-place":"New York","source":"Library of Congress ISBN","title":"Code 2.0","author":[{"family":"Lessig","given":"Lawrence"}],"issued":{"date-parts":[["2006"]]}},"locator":"130 et seq.","label":"page"},{"id":691,"uris":["http://zotero.org/users/local/09vVTa11/items/WKZ2GVM6"],"itemData":{"id":691,"type":"book","abstract":"The digital age has prompted new questions about the role and function of copyright. Internationally, copyright has progressively increased its scope of protection over new technology and modes of distribution. Yet many copyright owners express dissatisfaction and consider that the system is not working for them. Many users of copyright material, and even some owners, consider that copyright gives too much protection and that copyright owners want too much. This book considers how copyright might evolve in the twenty-first century and how it might reach equilibrium between authors, owners, users and those who connect them.","collection-title":"Cambridge Intellectual Property and Information Law","event-place":"Cambridge","ISBN":"978-1-107-06256-6","note":"DOI: 10.1017/CBO9781107477179","publisher":"Cambridge University Press","publisher-place":"Cambridge","source":"Cambridge University Press","title":"The Evolution and Equilibrium of Copyright in the Digital Age","URL":"https://www.cambridge.org/core/books/evolution-and-equilibrium-of-copyright-in-the-digital-age/707E92AD9E89272D0DCC8F8CF83BD57D","editor":[{"family":"Frankel","given":"Susy"},{"family":"Gervais","given":"Daniel"}],"accessed":{"date-parts":[["2023",11,7]]},"issued":{"date-parts":[["2014"]]}},"label":"page","prefix":"Similarly understood also by Frankel and Gervais, see introduction or individual contributions in"}],"schema":"https://github.com/citation-style-language/schema/raw/master/csl-citation.json"} </w:instrText>
      </w:r>
      <w:r w:rsidRPr="000D3E55">
        <w:rPr>
          <w:lang w:val="en-GB"/>
        </w:rPr>
        <w:fldChar w:fldCharType="separate"/>
      </w:r>
      <w:r w:rsidR="00505CC4" w:rsidRPr="000D3E55">
        <w:rPr>
          <w:rFonts w:ascii="Calibri" w:hAnsi="Calibri" w:cs="Calibri"/>
          <w:lang w:val="en-GB"/>
        </w:rPr>
        <w:t>Lessig (n 6) 130 et seq.; Similarly understood also by Frankel and Gervais, see introduction or individual contributions in Frankel and Gervais (n 7).</w:t>
      </w:r>
      <w:r w:rsidRPr="000D3E55">
        <w:rPr>
          <w:lang w:val="en-GB"/>
        </w:rPr>
        <w:fldChar w:fldCharType="end"/>
      </w:r>
    </w:p>
  </w:footnote>
  <w:footnote w:id="107">
    <w:p w14:paraId="2CF2CBCC" w14:textId="3D236573" w:rsidR="00AB68C0" w:rsidRPr="000D3E55" w:rsidRDefault="00AB68C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{"citationID":"Y2xXDnbG","properties":{"formattedCitation":"Elkin-Koren and Salzberger (n 15) 150; Stefan Grundmann, Hans-Wolfgang Micklitz and Moritz Renner (eds), {\\i{}New Private Law Theory: A Pluralist Approach} (Cambridge University Press 2021) 485\\uc0\\u8211{}487; Jo\\uc0\\u227{}o Pedro Quintais and others, \\uc0\\u8216{}Copyright Content Moderation in the EU: An Interdisciplinary Mapping Analysis\\uc0\\u8217{} (SSRN.com, 1 August 2022) 29\\uc0\\u8211{}30 &lt;https://papers.ssrn.com/abstract=4210278&gt; accessed 10 July 2023.","plainCitation":"Elkin-Koren and Salzberger (n 15) 150; Stefan Grundmann, Hans-Wolfgang Micklitz and Moritz Renner (eds), New Private Law Theory: A Pluralist Approach (Cambridge University Press 2021) 485–487; João Pedro Quintais and others, ‘Copyright Content Moderation in the EU: An Interdisciplinary Mapping Analysis’ (SSRN.com, 1 August 2022) 29–30 &lt;https://papers.ssrn.com/abstract=4210278&gt; accessed 10 July 2023.","noteIndex":106},"citationItems":[{"id":266,"uris":["http://zotero.org/users/local/09vVTa11/items/X4HI633N"],"itemData":{"id":266,"type":"book","ISBN":"978-1-138-78657-8","language":"en","publisher":"Routledge,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150","label":"page"},{"id":11793,"uris":["http://zotero.org/users/local/09vVTa11/items/N9ZZ945Z"],"itemData":{"id":11793,"type":"book","abstract":"New Private Law Theory opens a new pathway to private law theory through a pluralistic approach. Such a theory needs a broad and stable foundation, which the authors have built here through a canon of nearly seventy texts of reference. This book brings these different texts from different disciplines into conversation with each other, grouping them around central questions of private law and at the same time integrating them with the legal doctrinal analysis of example cases. This book will be accessible to both experienced and early career scholars working on private law","event-place":"Cambridge","ISBN":"978-1-108-48650-7","language":"eng","number-of-pages":"1","publisher":"Cambridge University Press","publisher-place":"Cambridge","source":"K10plus ISBN","title":"New private law theory: a pluralist approach","title-short":"New private law theory","editor":[{"family":"Grundmann","given":"Stefan"},{"family":"Micklitz","given":"Hans-Wolfgang"},{"family":"Renner","given":"Moritz"}],"issued":{"date-parts":[["2021"]]}},"locator":"485-487","label":"page"},{"id":462,"uris":["http://zotero.org/users/local/09vVTa11/items/Q2ZPFW69"],"itemData":{"id":462,"type":"article","DOI":"10.2139/ssrn.4210278","event-place":"Rochester, NY","genre":"SSRN Scholarly Paper","language":"en","note":"issue: 4210278","number":"4210278","publisher":"SSRN.com","publisher-place":"Rochester, NY","source":"Social Science Research Network","title":"Copyright Content Moderation in the EU: An Interdisciplinary Mapping Analysis","title-short":"Copyright Content Moderation in the EU","URL":"https://papers.ssrn.com/abstract=4210278","author":[{"family":"Quintais","given":"João Pedro"},{"family":"Mezei","given":"Péter"},{"family":"Harkai","given":"István"},{"family":"C. Magalhães","given":"João"},{"family":"Katzenbach","given":"Christian"},{"family":"Schwemer","given":"Sebastian Felix"},{"family":"Riis","given":"Thomas"}],"accessed":{"date-parts":[["2023",7,10]]},"issued":{"date-parts":[["2022",8,1]]}},"locator":"29-30","label":"page"}],"schema":"https://github.com/citation-style-language/schema/raw/master/csl-citation.json"} </w:instrText>
      </w:r>
      <w:r w:rsidRPr="000D3E55">
        <w:rPr>
          <w:lang w:val="en-GB"/>
        </w:rPr>
        <w:fldChar w:fldCharType="separate"/>
      </w:r>
      <w:r w:rsidR="009A7302" w:rsidRPr="000D3E55">
        <w:rPr>
          <w:rFonts w:ascii="Calibri" w:hAnsi="Calibri" w:cs="Calibri"/>
          <w:kern w:val="0"/>
          <w:lang w:val="en-GB"/>
        </w:rPr>
        <w:t xml:space="preserve">Elkin-Koren and Salzberger (n 15) 150; Stefan Grundmann, Hans-Wolfgang Micklitz and Moritz Renner (eds), </w:t>
      </w:r>
      <w:r w:rsidR="009A7302" w:rsidRPr="000D3E55">
        <w:rPr>
          <w:rFonts w:ascii="Calibri" w:hAnsi="Calibri" w:cs="Calibri"/>
          <w:i/>
          <w:iCs/>
          <w:kern w:val="0"/>
          <w:lang w:val="en-GB"/>
        </w:rPr>
        <w:t>New Private Law Theory: A Pluralist Approach</w:t>
      </w:r>
      <w:r w:rsidR="009A7302" w:rsidRPr="000D3E55">
        <w:rPr>
          <w:rFonts w:ascii="Calibri" w:hAnsi="Calibri" w:cs="Calibri"/>
          <w:kern w:val="0"/>
          <w:lang w:val="en-GB"/>
        </w:rPr>
        <w:t xml:space="preserve"> (Cambridge University Press 2021) 485–487; João Pedro Quintais and others, ‘Copyright Content Moderation in the EU: An Interdisciplinary Mapping Analysis’ (SSRN.com, 1 August 2022) 29–30 &lt;https://papers.ssrn.com/abstract=4210278&gt; accessed 10 July 2023.</w:t>
      </w:r>
      <w:r w:rsidRPr="000D3E55">
        <w:rPr>
          <w:lang w:val="en-GB"/>
        </w:rPr>
        <w:fldChar w:fldCharType="end"/>
      </w:r>
    </w:p>
  </w:footnote>
  <w:footnote w:id="108">
    <w:p w14:paraId="7D97992B" w14:textId="4E330C36" w:rsidR="008D18CD" w:rsidRPr="000D3E55" w:rsidRDefault="008D18CD">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{"citationID":"GEi5DLdI","properties":{"formattedCitation":"Quintais and others (n 106) 30 et seq.; See also Luca Belli and Jamila Venturini, \\uc0\\u8216{}Private Ordering and the Rise of Terms of Service as Cyber-Regulation\\uc0\\u8217{} (2016) 5 Internet Policy Review &lt;https://policyreview.info/articles/analysis/private-ordering-and-rise-terms-service-cyber-regulation&gt; accessed 8 May 2025; Tarleton Gillespie, \\uc0\\u8216{}Regulation of and by Platforms\\uc0\\u8217{} in Jean Burgess, Alice E Marwick and Thomas Poell (eds), {\\i{}The SAGE handbook of social media} (Paperback edition, Sage reference 2019).","plainCitation":"Quintais and others (n 106) 30 et seq.; See also Luca Belli and Jamila Venturini, ‘Private Ordering and the Rise of Terms of Service as Cyber-Regulation’ (2016) 5 Internet Policy Review &lt;https://policyreview.info/articles/analysis/private-ordering-and-rise-terms-service-cyber-regulation&gt; accessed 8 May 2025; Tarleton Gillespie, ‘Regulation of and by Platforms’ in Jean Burgess, Alice E Marwick and Thomas Poell (eds), The SAGE handbook of social media (Paperback edition, Sage reference 2019).","noteIndex":107},"citationItems":[{"id":462,"uris":["http://zotero.org/users/local/09vVTa11/items/Q2ZPFW69"],"itemData":{"id":462,"type":"article","DOI":"10.2139/ssrn.4210278","event-place":"Rochester, NY","genre":"SSRN Scholarly Paper","language":"en","note":"issue: 4210278","number":"4210278","publisher":"SSRN.com","publisher-place":"Rochester, NY","source":"Social Science Research Network","title":"Copyright Content Moderation in the EU: An Interdisciplinary Mapping Analysis","title-short":"Copyright Content Moderation in the EU","URL":"https://papers.ssrn.com/abstract=4210278","author":[{"family":"Quintais","given":"João Pedro"},{"family":"Mezei","given":"Péter"},{"family":"Harkai","given":"István"},{"family":"C. Magalhães","given":"João"},{"family":"Katzenbach","given":"Christian"},{"family":"Schwemer","given":"Sebastian Felix"},{"family":"Riis","given":"Thomas"}],"accessed":{"date-parts":[["2023",7,10]]},"issued":{"date-parts":[["2022",8,1]]}},"locator":"30 et seq.","label":"page"},{"id":11804,"uris":["http://zotero.org/users/local/09vVTa11/items/CD94PN37"],"itemData":{"id":11804,"type":"article-journal","abstract":"Online communications and activities require the intermediation of numerous private entities that unilaterally define and implement their terms of service (ToS). The substantive provisions set in the ToS regulate the relationships between intermediaries and users with a binding force that may be even stronger than the one exercised by the law. Notably, we stress that internet intermediaries privately enforce their contractual regulation by shaping the architecture of the networks and platforms under their control. Such regulation and implementation do not need to rely on “traditional” public law-enforcement mechanisms and may apply in a transnational fashion. This paper argues that internet governance is witnessing the increasing centralisation of power in the hands of internet intermediaries defining private orderings. While acknowledging that ToS are an efficient and well-suited instrument to regulate the online world, we claim that ToS unilaterally impose rules, despite being presented as voluntarily accepted by the involved parties through the expression of free and informed consent. Based on empirical research, we highlight that ToS and their private implementation affect internet users’ capability to enjoy their human rights, with particular regard to freedom of expression (and innovation), the right to privacy and to due process. Lastly, we put forward some recommendations on internet intermediaries’ compliance with human rights standards.","container-title":"Internet Policy Review","DOI":"10.14763/2016.4.441","issue":"4","language":"eng","license":"Creative Commons Attribution 3.0 Germany","note":"publisher: Alexander von Humboldt Institute for Internet and Society gGmbH","title":"Private ordering and the rise of terms of service as cyber-regulation","URL":"https://policyreview.info/articles/analysis/private-ordering-and-rise-terms-service-cyber-regulation","volume":"5","author":[{"family":"Belli","given":"Luca"},{"family":"Venturini","given":"Jamila"}],"accessed":{"date-parts":[["2025",5,8]]},"issued":{"date-parts":[["2016",12,29]]}},"label":"page","prefix":"See also"},{"id":11812,"uris":["http://zotero.org/users/local/09vVTa11/items/MV7GGSQH"],"itemData":{"id":11812,"type":"chapter","container-title":"The SAGE handbook of social media","edition":"Paperback edition","event-place":"Los Angeles London New Delhi Singapore Washington DC Melbourne","ISBN":"978-1-4129-6229-2","language":"eng","page":"254-278","publisher":"Sage reference","publisher-place":"Los Angeles London New Delhi Singapore Washington DC Melbourne","source":"K10plus ISBN","title":"Regulation of and by platforms","editor":[{"family":"Burgess","given":"Jean"},{"family":"Marwick","given":"Alice E."},{"family":"Poell","given":"Thomas"}],"author":[{"family":"Gillespie","given":"Tarleton"}],"issued":{"date-parts":[["2019"]]}}}],"schema":"https://github.com/citation-style-language/schema/raw/master/csl-citation.json"}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 xml:space="preserve">Quintais and others (n 106) 30 et seq.; See also Luca Belli and Jamila Venturini, ‘Private Ordering and the Rise of Terms of Service as Cyber-Regulation’ (2016) 5 Internet Policy Review &lt;https://policyreview.info/articles/analysis/private-ordering-and-rise-terms-service-cyber-regulation&gt; accessed 8 May 2025; Tarleton Gillespie, ‘Regulation of and by Platforms’ in Jean Burgess, Alice E Marwick and Thomas Poell (eds), </w:t>
      </w:r>
      <w:r w:rsidR="0045134C" w:rsidRPr="0045134C">
        <w:rPr>
          <w:rFonts w:ascii="Calibri" w:hAnsi="Calibri" w:cs="Calibri"/>
          <w:i/>
          <w:iCs/>
          <w:kern w:val="0"/>
          <w:szCs w:val="24"/>
        </w:rPr>
        <w:t>The SAGE handbook of social media</w:t>
      </w:r>
      <w:r w:rsidR="0045134C" w:rsidRPr="0045134C">
        <w:rPr>
          <w:rFonts w:ascii="Calibri" w:hAnsi="Calibri" w:cs="Calibri"/>
          <w:kern w:val="0"/>
          <w:szCs w:val="24"/>
        </w:rPr>
        <w:t xml:space="preserve"> (Paperback edition, Sage reference 2019).</w:t>
      </w:r>
      <w:r w:rsidRPr="000D3E55">
        <w:rPr>
          <w:lang w:val="en-GB"/>
        </w:rPr>
        <w:fldChar w:fldCharType="end"/>
      </w:r>
    </w:p>
  </w:footnote>
  <w:footnote w:id="109">
    <w:p w14:paraId="390163DC" w14:textId="5DE92C11" w:rsidR="001D27F9" w:rsidRPr="000D3E55" w:rsidRDefault="001D27F9">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{"citationID":"IYKGMEvG","properties":{"formattedCitation":"Generally, see Sharon Bar-Ziv, \\uc0\\u8216{}A Content Analysis Approach to Intellectual Property Research\\uc0\\u8217{} in Irene Calboli and Maria Lill\\uc0\\u224{} Montagnani (eds), {\\i{}Handbook of Intellectual Property Research: Lenses, Methods, and Perspectives} (Oxford University Press 2021) &lt;https://doi.org/10.1093/oso/9780198826743.003.0031&gt; accessed 19 March 2023.","plainCitation":"Generally, see Sharon Bar-Ziv, ‘A Content Analysis Approach to Intellectual Property Research’ in Irene Calboli and Maria Lillà Montagnani (eds), Handbook of Intellectual Property Research: Lenses, Methods, and Perspectives (Oxford University Press 2021) &lt;https://doi.org/10.1093/oso/9780198826743.003.0031&gt; accessed 19 March 2023.","noteIndex":108},"citationItems":[{"id":160,"uris":["http://zotero.org/users/local/09vVTa11/items/ZAS4SQJD"],"itemData":{"id":160,"type":"chapter","abstract":"This chapter aims to demonstrate the implementation of the content analysis approach in the legal discipline; it argues that this approach is suitable for use by legal scholars, enabling analysis of various legal texts to uncover their connection and to learn about their meaning. Moreover, systematic analysing of legal texts yields insights that fine-tune the various challenges policy-makers and decision-makers are facing. This issue is particularly important in intellectual property (IP) research—a rapidly developing and dynamic legal field that calls for an up-to-date legal response to issues emanating from speedy technological developments. Specifically, the chapter sets forth a content analysis approach to analysing the judicial process in the context of online copyright enforcement cases. I argue that this approach facilitates advanced analysis of the legal process in a way that will help us understand and follow the development of the legal norm and contribute to legal certainty, despite the rapid changes taking place in the online copyright enforcement arena.This chapter aims to demonstrate the implementation of the content analysis approach in the legal discipline; it argues that this approach is suitable for use by legal scholars, enabling analysis of various legal texts to uncover their connection and to learn about their meaning. Moreover, systematic analysing of legal texts yields insights that fine-tune the various challenges policy-makers and decision-makers are facing. This issue is particularly important in intellectual property (IP) research—a rapidly developing and dynamic legal field that calls for an up-to-date legal response to issues emanating from speedy technological developments. Specifically, the chapter sets forth a content analysis approach to analysing the judicial process in the context of online copyright enforcement cases. I argue that this approach facilitates advanced analysis of the legal process in a way that will help us understand and follow the development of the legal norm and contribute to legal certainty, despite the rapid changes taking place in the online copyright enforcement arena.This chapter aims to demonstrate the implementation of the content analysis approach in the legal discipline; it argues that this approach is suitable for use by legal scholars, enabling analysis of various legal texts to uncover their connection and to learn about their meaning. Moreover, systematic analysing of legal texts yields insights that fine-tune the various challenges policy-makers and decision-makers are facing. This issue is particularly important in intellectual property (IP) research—a rapidly developing and dynamic legal field that calls for an up-to-date legal response to issues emanating from speedy technological developments. Specifically, the chapter sets forth a content analysis approach to analysing the judicial process in the context of online copyright enforcement cases. I argue that this approach facilitates advanced analysis of the legal process in a way that will help us understand and follow the development of the legal norm and contribute to legal certainty, despite the rapid changes taking place in the online copyright enforcement arena.","container-title":"Handbook of Intellectual Property Research: Lenses, Methods, and Perspectives","ISBN":"978-0-19-882674-3","note":"DOI: 10.1093/oso/9780198826743.003.0031","page":"0","publisher":"Oxford University Press","source":"Silverchair","title":"A Content Analysis Approach to Intellectual Property Research","URL":"https://doi.org/10.1093/oso/9780198826743.003.0031","author":[{"family":"Bar-Ziv","given":"Sharon"}],"editor":[{"family":"Calboli","given":"Irene"},{"family":"Montagnani","given":"Maria Lillà"}],"accessed":{"date-parts":[["2023",3,19]]},"issued":{"date-parts":[["2021",5,20]]}},"label":"page","prefix":"Generally, see"}],"schema":"https://github.com/citation-style-language/schema/raw/master/csl-citation.json"} </w:instrText>
      </w:r>
      <w:r w:rsidRPr="000D3E55">
        <w:rPr>
          <w:lang w:val="en-GB"/>
        </w:rPr>
        <w:fldChar w:fldCharType="separate"/>
      </w:r>
      <w:r w:rsidRPr="000D3E55">
        <w:rPr>
          <w:rFonts w:ascii="Calibri" w:hAnsi="Calibri" w:cs="Calibri"/>
          <w:kern w:val="0"/>
          <w:lang w:val="en-GB"/>
        </w:rPr>
        <w:t xml:space="preserve">Generally, see Sharon Bar-Ziv, ‘A Content Analysis Approach to Intellectual Property Research’ in Irene Calboli and Maria Lillà Montagnani (eds), </w:t>
      </w:r>
      <w:r w:rsidRPr="000D3E55">
        <w:rPr>
          <w:rFonts w:ascii="Calibri" w:hAnsi="Calibri" w:cs="Calibri"/>
          <w:i/>
          <w:kern w:val="0"/>
          <w:lang w:val="en-GB"/>
        </w:rPr>
        <w:t>Handbook of Intellectual Property Research: Lenses, Methods, and Perspectives</w:t>
      </w:r>
      <w:r w:rsidRPr="000D3E55">
        <w:rPr>
          <w:rFonts w:ascii="Calibri" w:hAnsi="Calibri" w:cs="Calibri"/>
          <w:kern w:val="0"/>
          <w:lang w:val="en-GB"/>
        </w:rPr>
        <w:t xml:space="preserve"> (Oxford University Press 2021) &lt;https://doi.org/10.1093/oso/9780198826743.003.0031&gt; accessed 19 March 2023.</w:t>
      </w:r>
      <w:r w:rsidRPr="000D3E55">
        <w:rPr>
          <w:lang w:val="en-GB"/>
        </w:rPr>
        <w:fldChar w:fldCharType="end"/>
      </w:r>
    </w:p>
  </w:footnote>
  <w:footnote w:id="110">
    <w:p w14:paraId="6C0A6CA8" w14:textId="46C33255" w:rsidR="00DD2E91" w:rsidRPr="000D3E55" w:rsidRDefault="00DD2E91">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{"citationID":"iZ7y4e3T","properties":{"formattedCitation":"Particularly Mezei and Harkia who relied on the toolbox approach. P\\uc0\\u233{}ter Mezei and Istv\\uc0\\u225{}n Harkai, \\uc0\\u8216{}End-User Flexibilities in Digital Copyright Law \\uc0\\u8211{} an Empirical Analysis of End-User License Agreements\\uc0\\u8217{} (2022) 5 Interactive Entertainment Law Review 2, 6; P\\uc0\\u233{}ter Mezei, \\uc0\\u8216{}Five Years After - The Critical Re-Evaluation of End-User Flexibilities Under the CDSM Directive\\uc0\\u8217{} (Social Science Research Network, 22 August 2024) &lt;https://papers.ssrn.com/abstract=4933485&gt; accessed 20 January 2025.","plainCitation":"Particularly Mezei and Harkia who relied on the toolbox approach. Péter Mezei and István Harkai, ‘End-User Flexibilities in Digital Copyright Law – an Empirical Analysis of End-User License Agreements’ (2022) 5 Interactive Entertainment Law Review 2, 6; Péter Mezei, ‘Five Years After - The Critical Re-Evaluation of End-User Flexibilities Under the CDSM Directive’ (Social Science Research Network, 22 August 2024) &lt;https://papers.ssrn.com/abstract=4933485&gt; accessed 20 January 2025.","noteIndex":109},"citationItems":[{"id":3227,"uris":["http://zotero.org/users/local/09vVTa11/items/PTSIY7SH"],"itemData":{"id":3227,"type":"article-journal","container-title":"Interactive Entertainment Law Review","issue":"1","page":"2–21","title":"End-user flexibilities in digital copyright law – an empirical analysis of end-user license agreements","volume":"5","author":[{"family":"Mezei","given":"Péter"},{"family":"Harkai","given":"István"}],"issued":{"date-parts":[["2022"]]}},"locator":"6","label":"page","prefix":"Particularly Mezei and Harkia who relied on the toolbox approach."},{"id":7085,"uris":["http://zotero.org/users/local/09vVTa11/items/TT8RPSIN"],"itemData":{"id":7085,"type":"article","abstract":"Platforms access-based dissemination model poses various challenges to the copyright regime, including the need for 'fair balance' between the interests of rightholders and other members of society. Copyright norms try to guarantee this balance by granting a high level of protection for rightholders, on the on hand, and preserving some flexibility for end-users, on the other hand. The most important copyright reform package of the European Union in this field was the Copyright in the Digital Single Market Directive (CDSM Directive). It did not only introduce new substantive rights and further guarantees for the rightholders to secure a fair reward for their activities, but also numerous new exceptions and limitations were harmonized. As a part of the deal, platforms were obliged to introduce certain safeguards for the benefit of their endusers in their end-user license agreements. Shortly after the adoption of the CDSM Directive, a grandiose research endeavour kicked-off, namely, the reCreating Europe H2020 project. As a part of that, the research group of the University of Szeged focused on how Member States regulate and indeed updated their statutory provisions on end-user flexibilities, on the one hand, and how platforms' private norms allow for or diminish the exercise of end-user flexibilities, on the other hand. The empirical review of ten selected Member States statutory and case law as well as the private ordering mechanisms of seventeen selected platforms led us to the conclusion that, first, Member States followed a rather defensive approach in the transposition of the new EU provisions, and, second, intermediaries offer substantive flexibilities for their consumers, but they meaningfully limit the possibilities and decrease the expectations of end-users by restricting certain uses and provide limited access to contents. Five years after the adoption of the CDSM Directive, the question still remains: can the new model more effectively preserve the copyright balance in the platform age? The follow-up review of our findings and the developments on this field prompt us to summarize the sad conclusion that such a balance remains predominantly a dream rather than reality, and that enduser flexibilities are not fully enforced yet.","DOI":"10.2139/ssrn.4933485","event-place":"Rochester, NY","genre":"SSRN Scholarly Paper","language":"en","number":"4933485","publisher":"Social Science Research Network","publisher-place":"Rochester, NY","source":"papers.ssrn.com","title":"Five Years After - The Critical Re-Evaluation of End-User Flexibilities Under the CDSM Directive","URL":"https://papers.ssrn.com/abstract=4933485","author":[{"family":"Mezei","given":"Péter"}],"accessed":{"date-parts":[["2025",1,20]]},"issued":{"date-parts":[["2024",8,22]]}},"label":"page"}],"schema":"https://github.com/citation-style-language/schema/raw/master/csl-citation.json"} </w:instrText>
      </w:r>
      <w:r w:rsidRPr="000D3E55">
        <w:rPr>
          <w:lang w:val="en-GB"/>
        </w:rPr>
        <w:fldChar w:fldCharType="separate"/>
      </w:r>
      <w:r w:rsidRPr="000D3E55">
        <w:rPr>
          <w:rFonts w:ascii="Calibri" w:hAnsi="Calibri" w:cs="Calibri"/>
          <w:kern w:val="0"/>
          <w:lang w:val="en-GB"/>
        </w:rPr>
        <w:t>Particularly Mezei and Harkia who relied on the toolbox approach. Péter Mezei and István Harkai, ‘End-User Flexibilities in Digital Copyright Law – an Empirical Analysis of End-User License Agreements’ (2022) 5 Interactive Entertainment Law Review 2, 6; Péter Mezei, ‘Five Years After - The Critical Re-Evaluation of End-User Flexibilities Under the CDSM Directive’ (Social Science Research Network, 22 August 2024) &lt;https://papers.ssrn.com/abstract=4933485&gt; accessed 20 January 2025.</w:t>
      </w:r>
      <w:r w:rsidRPr="000D3E55">
        <w:rPr>
          <w:lang w:val="en-GB"/>
        </w:rPr>
        <w:fldChar w:fldCharType="end"/>
      </w:r>
    </w:p>
  </w:footnote>
  <w:footnote w:id="111">
    <w:p w14:paraId="392EDEC5" w14:textId="683829BE" w:rsidR="0014474F" w:rsidRPr="0014474F" w:rsidRDefault="0014474F">
      <w:pPr>
        <w:pStyle w:val="FootnoteText"/>
        <w:rPr>
          <w:lang w:val="en-US"/>
        </w:rPr>
      </w:pPr>
      <w:r>
        <w:rPr>
          <w:rStyle w:val="FootnoteReference"/>
        </w:rPr>
        <w:footnoteRef/>
      </w:r>
      <w:r>
        <w:t xml:space="preserve"> </w:t>
      </w:r>
      <w:r>
        <w:fldChar w:fldCharType="begin"/>
      </w:r>
      <w:r>
        <w:instrText xml:space="preserve"> ADDIN ZOTERO_ITEM CSL_CITATION {"citationID":"EkBmqg1Y","properties":{"formattedCitation":"Christian Katzenbach and others, \\uc0\\u8216{}Platform Governance Archive (PGA): Dataset PGA\\uc0\\u8217{} &lt;https://doi.org/10.26092/elib/2373.&gt; accessed 9 May 2025.","plainCitation":"Christian Katzenbach and others, ‘Platform Governance Archive (PGA): Dataset PGA’ &lt;https://doi.org/10.26092/elib/2373.&gt; accessed 9 May 2025.","noteIndex":110},"citationItems":[{"id":11816,"uris":["http://zotero.org/users/local/09vVTa11/items/E7A9VEB8"],"itemData":{"id":11816,"type":"dataset","language":"en","title":"Platform Governance Archive (PGA): Dataset PGA","URL":"https://doi.org/10.26092/elib/2373.","version":"v2","author":[{"family":"Katzenbach","given":"Christian"},{"family":"Dergacheva","given":"Daria"},{"family":"Fischer","given":"A"},{"family":"Kopps","given":"A"},{"family":"Kolesnikov","given":"S"},{"family":"Redeker","given":"D"},{"family":"Viejo Otero","given":"P"}],"accessed":{"date-parts":[["2025",5,9]]},"issued":{"date-parts":[["2023"]]}}}],"schema":"https://github.com/citation-style-language/schema/raw/master/csl-citation.json"} </w:instrText>
      </w:r>
      <w:r>
        <w:fldChar w:fldCharType="separate"/>
      </w:r>
      <w:r w:rsidRPr="0014474F">
        <w:rPr>
          <w:rFonts w:ascii="Calibri" w:hAnsi="Calibri" w:cs="Calibri"/>
          <w:kern w:val="0"/>
        </w:rPr>
        <w:t>Christian Katzenbach and others, ‘Platform Governance Archive (PGA): Dataset PGA’ &lt;https://doi.org/10.26092/elib/2373.&gt; accessed 9 May 2025.</w:t>
      </w:r>
      <w:r>
        <w:fldChar w:fldCharType="end"/>
      </w:r>
    </w:p>
  </w:footnote>
  <w:footnote w:id="112">
    <w:p w14:paraId="2F15DC08" w14:textId="26A3B479" w:rsidR="00A449D8" w:rsidRPr="000D3E55" w:rsidRDefault="00A449D8">
      <w:pPr>
        <w:pStyle w:val="FootnoteText"/>
        <w:rPr>
          <w:lang w:val="en-GB"/>
        </w:rPr>
      </w:pPr>
      <w:r w:rsidRPr="000D3E55">
        <w:rPr>
          <w:rStyle w:val="FootnoteReference"/>
          <w:lang w:val="en-GB"/>
        </w:rPr>
        <w:footnoteRef/>
      </w:r>
      <w:r w:rsidRPr="000D3E55">
        <w:rPr>
          <w:lang w:val="en-GB"/>
        </w:rPr>
        <w:t xml:space="preserve"> See Article 93 DSA.</w:t>
      </w:r>
    </w:p>
  </w:footnote>
  <w:footnote w:id="113">
    <w:p w14:paraId="45E99B37" w14:textId="76B3B283" w:rsidR="003E78AB" w:rsidRPr="000D3E55" w:rsidRDefault="003E78AB">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{"citationID":"DTzoyoYY","properties":{"formattedCitation":"Michal Ov\\uc0\\u225{}dek, Phillip Schroeder and Jan Zglinski, \\uc0\\u8216{}Where Law Meets Data: A Practical Guide to Expert Coding in Legal Research\\uc0\\u8217{} [2025] European Law Open 1, 16 et seq.","plainCitation":"Michal Ovádek, Phillip Schroeder and Jan Zglinski, ‘Where Law Meets Data: A Practical Guide to Expert Coding in Legal Research’ [2025] European Law Open 1, 16 et seq.","noteIndex":111},"citationItems":[{"id":11739,"uris":["http://zotero.org/users/local/09vVTa11/items/Z3MAUSJT"],"itemData":{"id":11739,"type":"article-journal","abstract":"The rise of empirical methods has had a polarising effect on legal studies in Europe. On the one hand, quantitative empiricists have frequently dismissed traditional doctrinal scholarship as unscientific and its insights as unreliable. On the other hand, many doctrinal scholars are apprehensive about the perceived displacement of domain expertise from legal research caused by the empirical turn. To bridge the gap between the two camps and address their respective concerns, we propose a wider adoption of expert coding as a methodology for legal research. Expert coding is a method for systematic parsing and representation of phenomena such as legal principles in a structured form, using researchers’ subject matter expertise. To facilitate the uptake of expert coding, we provide a step-by-step guide that addresses not only the coding process but also fundamental prerequisites such as conceptualisation, operationalisation and document selection. We argue that this methodological framework leverages legal scholars’ expertise in a more impactful way than traditional doctrinal analyses. We illustrate each step and methodological principle with examples from European Union law.","container-title":"European Law Open","DOI":"10.1017/elo.2024.23","ISSN":"2752-6135","language":"en","page":"1-29","source":"Cambridge University Press","title":"Where law meets data: a practical guide to expert coding in legal research","title-short":"Where law meets data","author":[{"family":"Ovádek","given":"Michal"},{"family":"Schroeder","given":"Phillip"},{"family":"Zglinski","given":"Jan"}],"issued":{"date-parts":[["2025",4,24]]}},"locator":"16 et seq.","label":"page"}],"schema":"https://github.com/citation-style-language/schema/raw/master/csl-citation.json"} </w:instrText>
      </w:r>
      <w:r w:rsidRPr="000D3E55">
        <w:rPr>
          <w:lang w:val="en-GB"/>
        </w:rPr>
        <w:fldChar w:fldCharType="separate"/>
      </w:r>
      <w:r w:rsidRPr="000D3E55">
        <w:rPr>
          <w:rFonts w:ascii="Calibri" w:hAnsi="Calibri" w:cs="Calibri"/>
          <w:kern w:val="0"/>
          <w:lang w:val="en-GB"/>
        </w:rPr>
        <w:t>Michal Ovádek, Phillip Schroeder and Jan Zglinski, ‘Where Law Meets Data: A Practical Guide to Expert Coding in Legal Research’ [2025] European Law Open 1, 16 et seq.</w:t>
      </w:r>
      <w:r w:rsidRPr="000D3E55">
        <w:rPr>
          <w:lang w:val="en-GB"/>
        </w:rPr>
        <w:fldChar w:fldCharType="end"/>
      </w:r>
    </w:p>
  </w:footnote>
  <w:footnote w:id="114">
    <w:p w14:paraId="669769C4" w14:textId="02B6A1B5" w:rsidR="00157AE0" w:rsidRPr="000D3E55" w:rsidRDefault="00157AE0">
      <w:pPr>
        <w:pStyle w:val="FootnoteText"/>
        <w:rPr>
          <w:lang w:val="en-GB"/>
        </w:rPr>
      </w:pPr>
      <w:r w:rsidRPr="000D3E55">
        <w:rPr>
          <w:rStyle w:val="FootnoteReference"/>
          <w:lang w:val="en-GB"/>
        </w:rPr>
        <w:footnoteRef/>
      </w:r>
      <w:r w:rsidRPr="000D3E55">
        <w:rPr>
          <w:lang w:val="en-GB"/>
        </w:rPr>
        <w:t xml:space="preserve"> Voluntary signifies obligations that </w:t>
      </w:r>
      <w:r w:rsidR="00254AD1" w:rsidRPr="000D3E55">
        <w:rPr>
          <w:lang w:val="en-GB"/>
        </w:rPr>
        <w:t>online platforms must comply with but regarding which platforms do not have to inform users in their terms and conditions.</w:t>
      </w:r>
      <w:r w:rsidR="000660C0">
        <w:rPr>
          <w:lang w:val="en-GB"/>
        </w:rPr>
        <w:t xml:space="preserve"> One such category is </w:t>
      </w:r>
      <w:r w:rsidR="00C70166">
        <w:rPr>
          <w:lang w:val="en-GB"/>
        </w:rPr>
        <w:t xml:space="preserve">statement of reasons. While online platforms have to provide such statement under Article 17 DSA, </w:t>
      </w:r>
      <w:r w:rsidR="008F324A">
        <w:rPr>
          <w:lang w:val="en-GB"/>
        </w:rPr>
        <w:t xml:space="preserve">DSA does not require that this provision is included also in the text of terms and conditions. </w:t>
      </w:r>
      <w:r w:rsidR="00902989">
        <w:rPr>
          <w:lang w:val="en-GB"/>
        </w:rPr>
        <w:t>Nonetheless, it would make sense for such information to be provided as they increase clarity on moderation practices.</w:t>
      </w:r>
      <w:r w:rsidR="00DF2F47">
        <w:rPr>
          <w:lang w:val="en-GB"/>
        </w:rPr>
        <w:t xml:space="preserve"> </w:t>
      </w:r>
    </w:p>
  </w:footnote>
  <w:footnote w:id="115">
    <w:p w14:paraId="4007E711" w14:textId="1F986217" w:rsidR="00E36C00" w:rsidRPr="00E36C00" w:rsidRDefault="00E36C00">
      <w:pPr>
        <w:pStyle w:val="FootnoteText"/>
        <w:rPr>
          <w:lang w:val="en-US"/>
        </w:rPr>
      </w:pPr>
      <w:r>
        <w:rPr>
          <w:rStyle w:val="FootnoteReference"/>
        </w:rPr>
        <w:footnoteRef/>
      </w:r>
      <w:r>
        <w:t xml:space="preserve"> </w:t>
      </w:r>
      <w:r>
        <w:fldChar w:fldCharType="begin"/>
      </w:r>
      <w:r w:rsidR="0014474F">
        <w:instrText xml:space="preserve"> ADDIN ZOTERO_ITEM CSL_CITATION {"citationID":"SiklxXE7","properties":{"formattedCitation":"See active enforcement actions in Tremau T&amp;S Research Team, \\uc0\\u8216{}DSA Database\\uc0\\u8217{} &lt;https://tremau.com/resources/dsa-database/&gt; accessed 11 May 2025.","plainCitation":"See active enforcement actions in Tremau T&amp;S Research Team, ‘DSA Database’ &lt;https://tremau.com/resources/dsa-database/&gt; accessed 11 May 2025.","noteIndex":114},"citationItems":[{"id":12026,"uris":["http://zotero.org/users/local/09vVTa11/items/63USQD43"],"itemData":{"id":12026,"type":"webpage","language":"en","title":"DSA Database","URL":"https://tremau.com/resources/dsa-database/","author":[{"literal":"Tremau T&amp;S Research Team"}],"accessed":{"date-parts":[["2025",5,11]]}},"prefix":"See active enforcement actions in"}],"schema":"https://github.com/citation-style-language/schema/raw/master/csl-citation.json"} </w:instrText>
      </w:r>
      <w:r>
        <w:fldChar w:fldCharType="separate"/>
      </w:r>
      <w:r w:rsidRPr="00E36C00">
        <w:rPr>
          <w:rFonts w:ascii="Calibri" w:hAnsi="Calibri" w:cs="Calibri"/>
          <w:kern w:val="0"/>
        </w:rPr>
        <w:t>See active enforcement actions in Tremau T&amp;S Research Team, ‘DSA Database’ &lt;https://tremau.com/resources/dsa-database/&gt; accessed 11 May 2025.</w:t>
      </w:r>
      <w:r>
        <w:fldChar w:fldCharType="end"/>
      </w:r>
    </w:p>
  </w:footnote>
  <w:footnote w:id="116">
    <w:p w14:paraId="21683AFB" w14:textId="0FB4792A" w:rsidR="00D25645" w:rsidRPr="00D25645" w:rsidRDefault="00D25645">
      <w:pPr>
        <w:pStyle w:val="FootnoteText"/>
        <w:rPr>
          <w:lang w:val="en-US"/>
        </w:rPr>
      </w:pPr>
      <w:r>
        <w:rPr>
          <w:rStyle w:val="FootnoteReference"/>
        </w:rPr>
        <w:footnoteRef/>
      </w:r>
      <w:r>
        <w:t xml:space="preserve"> </w:t>
      </w:r>
      <w:r>
        <w:fldChar w:fldCharType="begin"/>
      </w:r>
      <w:r>
        <w:instrText xml:space="preserve"> ADDIN ZOTERO_ITEM CSL_CITATION {"citationID":"YMkMCVk4","properties":{"formattedCitation":"Woznica (n 14) 224 et seq.","plainCitation":"Woznica (n 14) 224 et seq.","noteIndex":113},"citationItems":[{"id":9128,"uris":["http://zotero.org/users/local/09vVTa11/items/PIRB2A9K"],"itemData":{"id":9128,"type":"thesis","language":"eng","publisher":"Masaryk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copyright","URL":"https://is.muni.cz/th/uxxvw/","author":[{"family":"Woznica","given":"Ondřej"}],"accessed":{"date-parts":[["2025",3,3]]},"issued":{"date-parts":[["2024"]]}},"locator":"224 et seq.","label":"page"}],"schema":"https://github.com/citation-style-language/schema/raw/master/csl-citation.json"} </w:instrText>
      </w:r>
      <w:r>
        <w:fldChar w:fldCharType="separate"/>
      </w:r>
      <w:r w:rsidRPr="00D25645">
        <w:rPr>
          <w:rFonts w:ascii="Calibri" w:hAnsi="Calibri" w:cs="Calibri"/>
        </w:rPr>
        <w:t>Woznica (n 14) 224 et seq.</w:t>
      </w:r>
      <w:r>
        <w:fldChar w:fldCharType="end"/>
      </w:r>
    </w:p>
  </w:footnote>
  <w:footnote w:id="117">
    <w:p w14:paraId="5273A364" w14:textId="3400D863" w:rsidR="00A038C2" w:rsidRPr="000D3E55" w:rsidRDefault="00A038C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{"citationID":"RJp9Dqk6","properties":{"formattedCitation":"\\uc0\\u8216{}Appeal a Community Guidelines Strike or Video Removal - Computer - YouTube Help\\uc0\\u8217{} &lt;https://support.google.com/youtube/answer/185111&gt; accessed 10 August 2024.","plainCitation":"‘Appeal a Community Guidelines Strike or Video Removal - Computer - YouTube Help’ &lt;https://support.google.com/youtube/answer/185111&gt; accessed 10 August 2024.","noteIndex":114},"citationItems":[{"id":5474,"uris":["http://zotero.org/users/local/09vVTa11/items/L63EZZI7"],"itemData":{"id":5474,"type":"webpage","title":"Appeal a Community Guidelines strike or video removal - Computer - YouTube Help","URL":"https://support.google.com/youtube/answer/185111","accessed":{"date-parts":[["2024",8,10]]}}}],"schema":"https://github.com/citation-style-language/schema/raw/master/csl-citation.json"} </w:instrText>
      </w:r>
      <w:r w:rsidRPr="000D3E55">
        <w:rPr>
          <w:lang w:val="en-GB"/>
        </w:rPr>
        <w:fldChar w:fldCharType="separate"/>
      </w:r>
      <w:r w:rsidR="00D25645" w:rsidRPr="00D25645">
        <w:rPr>
          <w:rFonts w:ascii="Calibri" w:hAnsi="Calibri" w:cs="Calibri"/>
          <w:kern w:val="0"/>
        </w:rPr>
        <w:t>‘Appeal a Community Guidelines Strike or Video Removal - Computer - YouTube Help’ &lt;https://support.google.com/youtube/answer/185111&gt; accessed 10 August 2024.</w:t>
      </w:r>
      <w:r w:rsidRPr="000D3E55">
        <w:rPr>
          <w:lang w:val="en-GB"/>
        </w:rPr>
        <w:fldChar w:fldCharType="end"/>
      </w:r>
    </w:p>
  </w:footnote>
  <w:footnote w:id="118">
    <w:p w14:paraId="281AC32B" w14:textId="7FE65763" w:rsidR="006F6022" w:rsidRPr="000D3E55" w:rsidRDefault="006F602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{"citationID":"GjJWUcsE","properties":{"formattedCitation":"Jo\\uc0\\u227{}o Pedro Quintais and others, \\uc0\\u8216{}Copyright Content Moderation in the European Union: State of the Art, Ways Forward and Policy Recommendations\\uc0\\u8217{} (2024) 55 IIC - International Review of Intellectual Property and Competition Law 157; Mezei and Harkai (n 109); Mezei (n 109); Daria Dergacheva and Christian Katzenbach, \\uc0\\u8216{}Copyright Moderation on YouTube Following the Implementation of Article 17 CDSMD\\uc0\\u8217{} ({\\i{}Kluwer Copyright Blog}, 14 August 2024) &lt;https://copyrightblog.kluweriplaw.com/2024/08/14/copyright-moderation-on-youtube-following-the-implementation-of-article-17-cdsmd/&gt; accessed 15 August 2024; Woznica (n 14).","plainCitation":"João Pedro Quintais and others, ‘Copyright Content Moderation in the European Union: State of the Art, Ways Forward and Policy Recommendations’ (2024) 55 IIC - International Review of Intellectual Property and Competition Law 157; Mezei and Harkai (n 109); Mezei (n 109); Daria Dergacheva and Christian Katzenbach, ‘Copyright Moderation on YouTube Following the Implementation of Article 17 CDSMD’ (Kluwer Copyright Blog, 14 August 2024) &lt;https://copyrightblog.kluweriplaw.com/2024/08/14/copyright-moderation-on-youtube-following-the-implementation-of-article-17-cdsmd/&gt; accessed 15 August 2024; Woznica (n 14).","noteIndex":115},"citationItems":[{"id":11808,"uris":["http://zotero.org/users/local/09vVTa11/items/59WUFRUP"],"itemData":{"id":11808,"type":"article-journal","abstract":"This Opinion describes and summarises the results of the interdisciplinary research carried out by the authors during the course of a three-year project on intermediaries’ practices regarding copyright content moderation. This research includes the mapping of the EU legal framework and intermediaries’ practices regarding copyright content moderation, the evaluation and measuring of the impact of moderation practices and technologies on access and diversity, and a set of policy recommendations. Our recommendations touch on the following topics: the deﬁnition of ‘‘online content-sharing service provider’’; the recognition and operationalisation of user rights; the complementary nature of complaint and redress safeguards; the scope of permissible preventive ﬁltering; the clariﬁcation of the relationship between Art. 17 of the new Copyright Directive and the Digital Services Act; monetisation and restrictive content moderation actions; recommender systems and copyright content moderation; transparency and data access for researchers; trade secret protection and transparency of content moderation systems; the relationship between the copyright acquis, the Digital Services Act and the upcoming Artiﬁcial Intelligence Act; and human competences in copyright content moderation.","container-title":"IIC - International Review of Intellectual Property and Competition Law","DOI":"10.1007/s40319-023-01409-5","ISSN":"0018-9855, 2195-0237","issue":"1","journalAbbreviation":"IIC","language":"en","page":"157-177","source":"DOI.org (Crossref)","title":"Copyright Content Moderation in the European Union: State of the Art, Ways Forward and Policy Recommendations","title-short":"Copyright Content Moderation in the European Union","volume":"55","author":[{"family":"Quintais","given":"João Pedro"},{"family":"Katzenbach","given":"Christian"},{"family":"Schwemer","given":"Sebastian Felix"},{"family":"Dergacheva","given":"Daria"},{"family":"Riis","given":"Thomas"},{"family":"Mezei","given":"Péter"},{"family":"Harkai","given":"István"},{"family":"Magalhães","given":"João Carlos"}],"issued":{"date-parts":[["2024",1]]}}},{"id":3227,"uris":["http://zotero.org/users/local/09vVTa11/items/PTSIY7SH"],"itemData":{"id":3227,"type":"article-journal","container-title":"Interactive Entertainment Law Review","issue":"1","page":"2–21","title":"End-user flexibilities in digital copyright law – an empirical analysis of end-user license agreements","volume":"5","author":[{"family":"Mezei","given":"Péter"},{"family":"Harkai","given":"István"}],"issued":{"date-parts":[["2022"]]}}},{"id":7085,"uris":["http://zotero.org/users/local/09vVTa11/items/TT8RPSIN"],"itemData":{"id":7085,"type":"article","abstract":"Platforms access-based dissemination model poses various challenges to the copyright regime, including the need for 'fair balance' between the interests of rightholders and other members of society. Copyright norms try to guarantee this balance by granting a high level of protection for rightholders, on the on hand, and preserving some flexibility for end-users, on the other hand. The most important copyright reform package of the European Union in this field was the Copyright in the Digital Single Market Directive (CDSM Directive). It did not only introduce new substantive rights and further guarantees for the rightholders to secure a fair reward for their activities, but also numerous new exceptions and limitations were harmonized. As a part of the deal, platforms were obliged to introduce certain safeguards for the benefit of their endusers in their end-user license agreements. Shortly after the adoption of the CDSM Directive, a grandiose research endeavour kicked-off, namely, the reCreating Europe H2020 project. As a part of that, the research group of the University of Szeged focused on how Member States regulate and indeed updated their statutory provisions on end-user flexibilities, on the one hand, and how platforms' private norms allow for or diminish the exercise of end-user flexibilities, on the other hand. The empirical review of ten selected Member States statutory and case law as well as the private ordering mechanisms of seventeen selected platforms led us to the conclusion that, first, Member States followed a rather defensive approach in the transposition of the new EU provisions, and, second, intermediaries offer substantive flexibilities for their consumers, but they meaningfully limit the possibilities and decrease the expectations of end-users by restricting certain uses and provide limited access to contents. Five years after the adoption of the CDSM Directive, the question still remains: can the new model more effectively preserve the copyright balance in the platform age? The follow-up review of our findings and the developments on this field prompt us to summarize the sad conclusion that such a balance remains predominantly a dream rather than reality, and that enduser flexibilities are not fully enforced yet.","DOI":"10.2139/ssrn.4933485","event-place":"Rochester, NY","genre":"SSRN Scholarly Paper","language":"en","number":"4933485","publisher":"Social Science Research Network","publisher-place":"Rochester, NY","source":"papers.ssrn.com","title":"Five Years After - The Critical Re-Evaluation of End-User Flexibilities Under the CDSM Directive","URL":"https://papers.ssrn.com/abstract=4933485","author":[{"family":"Mezei","given":"Péter"}],"accessed":{"date-parts":[["2025",1,20]]},"issued":{"date-parts":[["2024",8,22]]}}},{"id":5603,"uris":["http://zotero.org/users/local/09vVTa11/items/PSSB5S45"],"itemData":{"id":5603,"type":"webpage","abstract":"The Digital Services Act (DSA) transparency database, while proving to be rather useless for misinformation or hate speech researchers, is very enlightening on copyright moderation.  Platform governance researchers have long suspected that YouTube is the most heavily moderated platform on copyright issues, and we now have concrete proof of this.  YouTube, to date, according to... Continue reading","container-title":"Kluwer Copyright Blog","language":"en-US","title":"Copyright Moderation on YouTube following the implementation of Article 17 CDSMD","URL":"https://copyrightblog.kluweriplaw.com/2024/08/14/copyright-moderation-on-youtube-following-the-implementation-of-article-17-cdsmd/","author":[{"family":"Dergacheva","given":"Daria"},{"family":"Katzenbach","given":"Christian"}],"accessed":{"date-parts":[["2024",8,15]]},"issued":{"date-parts":[["2024",8,14]]}}},{"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João Pedro Quintais and others, ‘Copyright Content Moderation in the European Union: State of the Art, Ways Forward and Policy Recommendations’ (2024) 55 IIC - International Review of Intellectual Property and Competition Law 157; Mezei and Harkai (n 109); Mezei (n 109); Daria Dergacheva and Christian Katzenbach, ‘Copyright Moderation on YouTube Following the Implementation of Article 17 CDSMD’ (</w:t>
      </w:r>
      <w:r w:rsidR="0045134C" w:rsidRPr="0045134C">
        <w:rPr>
          <w:rFonts w:ascii="Calibri" w:hAnsi="Calibri" w:cs="Calibri"/>
          <w:i/>
          <w:iCs/>
          <w:kern w:val="0"/>
          <w:szCs w:val="24"/>
        </w:rPr>
        <w:t>Kluwer Copyright Blog</w:t>
      </w:r>
      <w:r w:rsidR="0045134C" w:rsidRPr="0045134C">
        <w:rPr>
          <w:rFonts w:ascii="Calibri" w:hAnsi="Calibri" w:cs="Calibri"/>
          <w:kern w:val="0"/>
          <w:szCs w:val="24"/>
        </w:rPr>
        <w:t>, 14 August 2024) &lt;https://copyrightblog.kluweriplaw.com/2024/08/14/copyright-moderation-on-youtube-following-the-implementation-of-article-17-cdsmd/&gt; accessed 15 August 2024; Woznica (n 14).</w:t>
      </w:r>
      <w:r w:rsidRPr="000D3E55">
        <w:rPr>
          <w:lang w:val="en-GB"/>
        </w:rPr>
        <w:fldChar w:fldCharType="end"/>
      </w:r>
    </w:p>
  </w:footnote>
  <w:footnote w:id="119">
    <w:p w14:paraId="21D9090F" w14:textId="1FA8F125" w:rsidR="00DD6F35" w:rsidRPr="000D3E55" w:rsidRDefault="00DD6F3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{"citationID":"3eTy7Vn6","properties":{"formattedCitation":"Primarily drawing on economic model of online intermediary liability by Grimmelmann and Zhang. See Grimmelmann and Zhang (n 8).","plainCitation":"Primarily drawing on economic model of online intermediary liability by Grimmelmann and Zhang. See Grimmelmann and Zhang (n 8).","noteIndex":116},"citationItems":[{"id":2385,"uris":["http://zotero.org/users/local/09vVTa11/items/CW9MUM8F"],"itemData":{"id":2385,"type":"article-journal","abstract":"Scholars have debated the costs and benefits of internet intermediary liability for decades. Many of their arguments rest on informal economic arguments about the effects of imposing different liability rules on online platforms. Some scholars argue that broad immunity is necessary to prevent overmoderation; others argue that liability is necessary to prevent undermoderation. These are economic questions, but they rarely receive economic answers.","container-title":"Berkeley Technology Law Journal","issue":"3","language":"en","source":"Zotero","title":"An economic model of online intermediary liability","URL":"https://btlj.org/2024/01/volume-38-issue-3/","volume":"38","author":[{"family":"Grimmelmann","given":"James"},{"family":"Zhang","given":"Pengfei"}],"issued":{"date-parts":[["2023"]]}},"label":"page","prefix":"Primarily drawing on economic model of online intermediary liability by Grimmelmann and Zhang. See"}],"schema":"https://github.com/citation-style-language/schema/raw/master/csl-citation.json"} </w:instrText>
      </w:r>
      <w:r w:rsidRPr="000D3E55">
        <w:rPr>
          <w:lang w:val="en-GB"/>
        </w:rPr>
        <w:fldChar w:fldCharType="separate"/>
      </w:r>
      <w:r w:rsidR="00724570" w:rsidRPr="000D3E55">
        <w:rPr>
          <w:rFonts w:ascii="Calibri" w:hAnsi="Calibri" w:cs="Calibri"/>
          <w:lang w:val="en-GB"/>
        </w:rPr>
        <w:t>Primarily drawing on economic model of online intermediary liability by Grimmelmann and Zhang. See Grimmelmann and Zhang (n 8).</w:t>
      </w:r>
      <w:r w:rsidRPr="000D3E55">
        <w:rPr>
          <w:lang w:val="en-GB"/>
        </w:rPr>
        <w:fldChar w:fldCharType="end"/>
      </w:r>
    </w:p>
  </w:footnote>
  <w:footnote w:id="120">
    <w:p w14:paraId="0015944F" w14:textId="1F48A4BE" w:rsidR="00D9390E" w:rsidRPr="000D3E55" w:rsidRDefault="00D9390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{"citationID":"hMl7djhx","properties":{"formattedCitation":"Primarily building on the consumer welfare hypothesis. See Esposito (n 10).","plainCitation":"Primarily building on the consumer welfare hypothesis. See Esposito (n 10).","noteIndex":117},"citationItems":[{"id":220,"uris":["http://zotero.org/users/local/09vVTa11/items/TRLLX6IV"],"itemData":{"id":220,"type":"book","ISBN":"978 1 80037 964 0","language":"en","publisher":"Edward Elgar Publishing","title":"The Consumer Welfare Hypothesis in Law and Economics","author":[{"family":"Esposito","given":"Fabrizio"}],"issued":{"date-parts":[["2022"]]}},"label":"page","prefix":"Primarily building on the consumer welfare hypothesis. See"}],"schema":"https://github.com/citation-style-language/schema/raw/master/csl-citation.json"} </w:instrText>
      </w:r>
      <w:r w:rsidRPr="000D3E55">
        <w:rPr>
          <w:lang w:val="en-GB"/>
        </w:rPr>
        <w:fldChar w:fldCharType="separate"/>
      </w:r>
      <w:r w:rsidR="001C0834" w:rsidRPr="000D3E55">
        <w:rPr>
          <w:rFonts w:ascii="Calibri" w:hAnsi="Calibri" w:cs="Calibri"/>
          <w:lang w:val="en-GB"/>
        </w:rPr>
        <w:t>Primarily building on the consumer welfare hypothesis. See Esposito (n 10).</w:t>
      </w:r>
      <w:r w:rsidRPr="000D3E55">
        <w:rPr>
          <w:lang w:val="en-GB"/>
        </w:rPr>
        <w:fldChar w:fldCharType="end"/>
      </w:r>
    </w:p>
  </w:footnote>
  <w:footnote w:id="121">
    <w:p w14:paraId="565E4276" w14:textId="260DA0DE" w:rsidR="001439F5" w:rsidRPr="000D3E55" w:rsidRDefault="001439F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{"citationID":"iagBvYJI","properties":{"formattedCitation":"Mezei and Harkai (n 109); P\\uc0\\u233{}ter Mezei and Istv\\uc0\\u225{}n Harkai, \\uc0\\u8216{}Self-Regulating Platforms? The Analysis of the Enforcement of End-User Rights in the Light of the Transposition of Article 17 of the CDSM Directive\\uc0\\u8217{} (2022) 7 Public Governance, Administration and Finances Law Review 109; Mezei (n 109).","plainCitation":"Mezei and Harkai (n 109); Péter Mezei and István Harkai, ‘Self-Regulating Platforms? The Analysis of the Enforcement of End-User Rights in the Light of the Transposition of Article 17 of the CDSM Directive’ (2022) 7 Public Governance, Administration and Finances Law Review 109; Mezei (n 109).","noteIndex":118},"citationItems":[{"id":3227,"uris":["http://zotero.org/users/local/09vVTa11/items/PTSIY7SH"],"itemData":{"id":3227,"type":"article-journal","container-title":"Interactive Entertainment Law Review","issue":"1","page":"2–21","title":"End-user flexibilities in digital copyright law – an empirical analysis of end-user license agreements","volume":"5","author":[{"family":"Mezei","given":"Péter"},{"family":"Harkai","given":"István"}],"issued":{"date-parts":[["2022"]]}}},{"id":4947,"uris":["http://zotero.org/users/local/09vVTa11/items/MLA4ZCNJ"],"itemData":{"id":4947,"type":"article-journal","abstract":"The deadline for the transposition of Directive (EU) 2019/790 (the CDSM Directive) into national law expired on 7 June 2021. Some EU Member States have failed to perform the transposition, and so they also failed to introduce the new obligations under Article 17 prescribing brand new requirements that online content-sharing service providers (OCSSPs) shall comply with. As a part of these rules, OCSSPs shall amend their end-user licence agreements (EULAs) to include terms on the enforcement of the mandatory limitations and exceptions (quotation, criticism, review, as well as use for the purpose of caricature, parody and pastiche) under Article 17(7) and the establishment of an effective complaints and redress mechanism regarding the removal of the user-generated content in line with Article 17(9). In the second phase of our ongoing EU-funded research project, we examined the extent to which specific OCSSPs have amended their EULAs to meet these EU obligations. Our empirical data show that, besides only little progress, new sources of conflict have emerged.","container-title":"Public Governance, Administration and Finances Law Review","DOI":"10.53116/pgaflr.2022.1.8","ISSN":"2786-0736","issue":"1","language":"en","license":"Copyright (c) 2022 Mezei Péter, Harkai István","note":"number: 1","page":"109-122","source":"folyoirat.ludovika.hu","title":"Self-regulating platforms? The Analysis of the Enforcement of End-user Rights in the Light of the Transposition of Article 17 of the CDSM Directive","title-short":"Self-regulating platforms?","volume":"7","author":[{"family":"Mezei","given":"Péter"},{"family":"Harkai","given":"István"}],"issued":{"date-parts":[["2022",10,28]]}}},{"id":7085,"uris":["http://zotero.org/users/local/09vVTa11/items/TT8RPSIN"],"itemData":{"id":7085,"type":"article","abstract":"Platforms access-based dissemination model poses various challenges to the copyright regime, including the need for 'fair balance' between the interests of rightholders and other members of society. Copyright norms try to guarantee this balance by granting a high level of protection for rightholders, on the on hand, and preserving some flexibility for end-users, on the other hand. The most important copyright reform package of the European Union in this field was the Copyright in the Digital Single Market Directive (CDSM Directive). It did not only introduce new substantive rights and further guarantees for the rightholders to secure a fair reward for their activities, but also numerous new exceptions and limitations were harmonized. As a part of the deal, platforms were obliged to introduce certain safeguards for the benefit of their endusers in their end-user license agreements. Shortly after the adoption of the CDSM Directive, a grandiose research endeavour kicked-off, namely, the reCreating Europe H2020 project. As a part of that, the research group of the University of Szeged focused on how Member States regulate and indeed updated their statutory provisions on end-user flexibilities, on the one hand, and how platforms' private norms allow for or diminish the exercise of end-user flexibilities, on the other hand. The empirical review of ten selected Member States statutory and case law as well as the private ordering mechanisms of seventeen selected platforms led us to the conclusion that, first, Member States followed a rather defensive approach in the transposition of the new EU provisions, and, second, intermediaries offer substantive flexibilities for their consumers, but they meaningfully limit the possibilities and decrease the expectations of end-users by restricting certain uses and provide limited access to contents. Five years after the adoption of the CDSM Directive, the question still remains: can the new model more effectively preserve the copyright balance in the platform age? The follow-up review of our findings and the developments on this field prompt us to summarize the sad conclusion that such a balance remains predominantly a dream rather than reality, and that enduser flexibilities are not fully enforced yet.","DOI":"10.2139/ssrn.4933485","event-place":"Rochester, NY","genre":"SSRN Scholarly Paper","language":"en","number":"4933485","publisher":"Social Science Research Network","publisher-place":"Rochester, NY","source":"papers.ssrn.com","title":"Five Years After - The Critical Re-Evaluation of End-User Flexibilities Under the CDSM Directive","URL":"https://papers.ssrn.com/abstract=4933485","author":[{"family":"Mezei","given":"Péter"}],"accessed":{"date-parts":[["2025",1,20]]},"issued":{"date-parts":[["2024",8,22]]}}}],"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Mezei and Harkai (n 109); Péter Mezei and István Harkai, ‘Self-Regulating Platforms? The Analysis of the Enforcement of End-User Rights in the Light of the Transposition of Article 17 of the CDSM Directive’ (2022) 7 Public Governance, Administration and Finances Law Review 109; Mezei (n 109).</w:t>
      </w:r>
      <w:r w:rsidRPr="000D3E55">
        <w:rPr>
          <w:lang w:val="en-GB"/>
        </w:rPr>
        <w:fldChar w:fldCharType="end"/>
      </w:r>
    </w:p>
  </w:footnote>
  <w:footnote w:id="122">
    <w:p w14:paraId="52EEC350" w14:textId="229DE102" w:rsidR="00DC0065" w:rsidRPr="000D3E55" w:rsidRDefault="00DC0065">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{"citationID":"MzTJjFG3","properties":{"formattedCitation":"Mezei and Harkai (n 109) 6\\uc0\\u8211{}7.","plainCitation":"Mezei and Harkai (n 109) 6–7.","noteIndex":119},"citationItems":[{"id":3227,"uris":["http://zotero.org/users/local/09vVTa11/items/PTSIY7SH"],"itemData":{"id":3227,"type":"article-journal","container-title":"Interactive Entertainment Law Review","issue":"1","page":"2–21","title":"End-user flexibilities in digital copyright law – an empirical analysis of end-user license agreements","volume":"5","author":[{"family":"Mezei","given":"Péter"},{"family":"Harkai","given":"István"}],"issued":{"date-parts":[["2022"]]}},"locator":"6-7","label":"page"}],"schema":"https://github.com/citation-style-language/schema/raw/master/csl-citation.json"}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Mezei and Harkai (n 109) 6–7.</w:t>
      </w:r>
      <w:r w:rsidRPr="000D3E55">
        <w:rPr>
          <w:lang w:val="en-GB"/>
        </w:rPr>
        <w:fldChar w:fldCharType="end"/>
      </w:r>
    </w:p>
  </w:footnote>
  <w:footnote w:id="123">
    <w:p w14:paraId="3C385F04" w14:textId="1DC878BF" w:rsidR="00DF3497" w:rsidRPr="000D3E55" w:rsidRDefault="00DF349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{"citationID":"lpc81eJz","properties":{"formattedCitation":"Mezei (n 109) 6 et seq.","plainCitation":"Mezei (n 109) 6 et seq.","noteIndex":120},"citationItems":[{"id":7085,"uris":["http://zotero.org/users/local/09vVTa11/items/TT8RPSIN"],"itemData":{"id":7085,"type":"article","abstract":"Platforms access-based dissemination model poses various challenges to the copyright regime, including the need for 'fair balance' between the interests of rightholders and other members of society. Copyright norms try to guarantee this balance by granting a high level of protection for rightholders, on the on hand, and preserving some flexibility for end-users, on the other hand. The most important copyright reform package of the European Union in this field was the Copyright in the Digital Single Market Directive (CDSM Directive). It did not only introduce new substantive rights and further guarantees for the rightholders to secure a fair reward for their activities, but also numerous new exceptions and limitations were harmonized. As a part of the deal, platforms were obliged to introduce certain safeguards for the benefit of their endusers in their end-user license agreements. Shortly after the adoption of the CDSM Directive, a grandiose research endeavour kicked-off, namely, the reCreating Europe H2020 project. As a part of that, the research group of the University of Szeged focused on how Member States regulate and indeed updated their statutory provisions on end-user flexibilities, on the one hand, and how platforms' private norms allow for or diminish the exercise of end-user flexibilities, on the other hand. The empirical review of ten selected Member States statutory and case law as well as the private ordering mechanisms of seventeen selected platforms led us to the conclusion that, first, Member States followed a rather defensive approach in the transposition of the new EU provisions, and, second, intermediaries offer substantive flexibilities for their consumers, but they meaningfully limit the possibilities and decrease the expectations of end-users by restricting certain uses and provide limited access to contents. Five years after the adoption of the CDSM Directive, the question still remains: can the new model more effectively preserve the copyright balance in the platform age? The follow-up review of our findings and the developments on this field prompt us to summarize the sad conclusion that such a balance remains predominantly a dream rather than reality, and that enduser flexibilities are not fully enforced yet.","DOI":"10.2139/ssrn.4933485","event-place":"Rochester, NY","genre":"SSRN Scholarly Paper","language":"en","number":"4933485","publisher":"Social Science Research Network","publisher-place":"Rochester, NY","source":"papers.ssrn.com","title":"Five Years After - The Critical Re-Evaluation of End-User Flexibilities Under the CDSM Directive","URL":"https://papers.ssrn.com/abstract=4933485","author":[{"family":"Mezei","given":"Péter"}],"accessed":{"date-parts":[["2025",1,20]]},"issued":{"date-parts":[["2024",8,22]]}},"locator":"6 et seq.","label":"page"}],"schema":"https://github.com/citation-style-language/schema/raw/master/csl-citation.json"} </w:instrText>
      </w:r>
      <w:r w:rsidRPr="000D3E55">
        <w:rPr>
          <w:lang w:val="en-GB"/>
        </w:rPr>
        <w:fldChar w:fldCharType="separate"/>
      </w:r>
      <w:r w:rsidR="0045134C">
        <w:rPr>
          <w:rFonts w:ascii="Calibri" w:hAnsi="Calibri" w:cs="Calibri"/>
        </w:rPr>
        <w:t>Mezei (n 109) 6 et seq.</w:t>
      </w:r>
      <w:r w:rsidRPr="000D3E55">
        <w:rPr>
          <w:lang w:val="en-GB"/>
        </w:rPr>
        <w:fldChar w:fldCharType="end"/>
      </w:r>
    </w:p>
  </w:footnote>
  <w:footnote w:id="124">
    <w:p w14:paraId="48790D48" w14:textId="1406B052" w:rsidR="00CA5E2F" w:rsidRPr="000D3E55" w:rsidRDefault="00CA5E2F">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{"citationID":"G6CavZA8","properties":{"formattedCitation":"Woznica (n 14) 229 et seq.","plainCitation":"Woznica (n 14) 229 et seq.","noteIndex":121},"citationItems":[{"id":9128,"uris":["http://zotero.org/users/local/09vVTa11/items/PIRB2A9K"],"itemData":{"id":9128,"type":"thesis","language":"eng","publisher":"Masaryk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copyright","URL":"https://is.muni.cz/th/uxxvw/","author":[{"family":"Woznica","given":"Ondřej"}],"accessed":{"date-parts":[["2025",3,3]]},"issued":{"date-parts":[["2024"]]}},"locator":"229 et seq.","label":"page"}],"schema":"https://github.com/citation-style-language/schema/raw/master/csl-citation.json"} </w:instrText>
      </w:r>
      <w:r w:rsidRPr="000D3E55">
        <w:rPr>
          <w:lang w:val="en-GB"/>
        </w:rPr>
        <w:fldChar w:fldCharType="separate"/>
      </w:r>
      <w:r w:rsidR="009A7302" w:rsidRPr="000D3E55">
        <w:rPr>
          <w:rFonts w:ascii="Calibri" w:hAnsi="Calibri" w:cs="Calibri"/>
          <w:lang w:val="en-GB"/>
        </w:rPr>
        <w:t>Woznica (n 14) 229 et seq.</w:t>
      </w:r>
      <w:r w:rsidRPr="000D3E55">
        <w:rPr>
          <w:lang w:val="en-GB"/>
        </w:rPr>
        <w:fldChar w:fldCharType="end"/>
      </w:r>
    </w:p>
  </w:footnote>
  <w:footnote w:id="125">
    <w:p w14:paraId="10F7001A" w14:textId="5DF52536" w:rsidR="00AB115A" w:rsidRPr="000D3E55" w:rsidRDefault="00AB115A">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{"citationID":"qO52B7KR","properties":{"formattedCitation":"Lemley (n 72) 1 et seq.","plainCitation":"Lemley (n 72) 1 et seq.","noteIndex":122},"citationItems":[{"id":11705,"uris":["http://zotero.org/users/local/09vVTa11/items/YV7D9JPC"],"itemData":{"id":11705,"type":"article","abstract":"Privacy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A."}],"accessed":{"date-parts":[["2025",5,5]]},"issued":{"date-parts":[["2025",1,24]]}},"locator":"1 et seq.","label":"page"}],"schema":"https://github.com/citation-style-language/schema/raw/master/csl-citation.json"} </w:instrText>
      </w:r>
      <w:r w:rsidRPr="000D3E55">
        <w:rPr>
          <w:lang w:val="en-GB"/>
        </w:rPr>
        <w:fldChar w:fldCharType="separate"/>
      </w:r>
      <w:r w:rsidR="0045134C">
        <w:rPr>
          <w:rFonts w:ascii="Calibri" w:hAnsi="Calibri" w:cs="Calibri"/>
          <w:lang w:val="en-GB"/>
        </w:rPr>
        <w:t>Lemley (n 72) 1 et seq.</w:t>
      </w:r>
      <w:r w:rsidRPr="000D3E55">
        <w:rPr>
          <w:lang w:val="en-GB"/>
        </w:rPr>
        <w:fldChar w:fldCharType="end"/>
      </w:r>
    </w:p>
  </w:footnote>
  <w:footnote w:id="126">
    <w:p w14:paraId="4A5F0EEB" w14:textId="10783274" w:rsidR="00622BA0" w:rsidRPr="000D3E55" w:rsidRDefault="00622BA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{"citationID":"6Dk4L3NF","properties":{"formattedCitation":"Yannis Bakos, Florencia Marotta-Wurgler and David R Trossen, \\uc0\\u8216{}Does Anyone Read the Fine Print? Consumer Attention to Standard-Form Contracts\\uc0\\u8217{} (2014) 43 The Journal of Legal Studies 1; Irene Pollach, \\uc0\\u8216{}A Typology of Communicative Strategies in Online Privacy Policies: Ethics, Power and Informed Consent\\uc0\\u8217{} (2005) 62 Journal of Business Ethics 221.","plainCitation":"Yannis Bakos, Florencia Marotta-Wurgler and David R Trossen, ‘Does Anyone Read the Fine Print? Consumer Attention to Standard-Form Contracts’ (2014) 43 The Journal of Legal Studies 1; Irene Pollach, ‘A Typology of Communicative Strategies in Online Privacy Policies: Ethics, Power and Informed Consent’ (2005) 62 Journal of Business Ethics 221.","noteIndex":123},"citationItems":[{"id":11989,"uris":["http://zotero.org/users/local/09vVTa11/items/Y7F96ICR"],"itemData":{"id":11989,"type":"article-journal","abstract":"A cornerstone of the law and economics approach to standard-form contracts is the informed-minority hypothesis: in competitive markets, a minority of term-conscious buyers is sufficient to discipline sellers from using unfavorable boilerplate terms. This argument is often invoked to limit intervention or regulate consumer transactions, but there has been little empirical investigation of its validity. We track the Internet browsing behavior of 48,154 monthly visitors to the Web sites of 90 online software companies to study the extent to which potential buyers access the end-user license agreement. We find that only one or two of every 1,000 retail software shoppers access the license agreement and that most of those who do access it read no more than a small portion. Since the cost of comparison shopping online is so low, the limiting factor in becoming informed thus seems not to be the cost of accessing license terms but reading and comprehending them.","container-title":"The Journal of Legal Studies","DOI":"10.1086/674424","ISSN":"0047-2530","issue":"1","note":"publisher: [The University of Chicago Press, The University of Chicago Law School]","page":"1-35","source":"JSTOR","title":"Does Anyone Read the Fine Print? Consumer Attention to Standard-Form Contracts","title-short":"Does Anyone Read the Fine Print?","volume":"43","author":[{"family":"Bakos","given":"Yannis"},{"family":"Marotta-Wurgler","given":"Florencia"},{"family":"Trossen","given":"David R."}],"issued":{"date-parts":[["2014"]]}}},{"id":12000,"uris":["http://zotero.org/users/local/09vVTa11/items/W6QF4IXI"],"itemData":{"id":12000,"type":"article-journal","abstract":"The opaque use of data collection methods on the WWW has given rise to privacy concerns among Internet users. Privacy policies on websites may ease these concerns, if they communicate clearly and unequivocally when, how and for what purpose data are collected, used or shared. This paper examines privacy policies from a linguistic angle to determine whether the language of these documents is adequate for communicating data-handling practices in a manner that enables informed consent on the part of the user. The findings highlight that corporate privacy policies obfuscate, enhance and mitigate unethical data handling practices and use persuasive appeals to increase companies’ trustworthiness. The communicative strategies identified provide starting points for redesigning existing privacy statements with a view to communicating data handling practices in a more transparent and responsible manner, laying the groundwork for informed consent.","container-title":"Journal of Business Ethics","DOI":"10.1007/s10551-005-7898-3","ISSN":"1573-0697","issue":"3","journalAbbreviation":"J Bus Ethics","language":"en","page":"221-235","source":"Springer Link","title":"A Typology of Communicative Strategies in Online Privacy Policies: Ethics, Power and Informed Consent","title-short":"A Typology of Communicative Strategies in Online Privacy Policies","volume":"62","author":[{"family":"Pollach","given":"Irene"}],"issued":{"date-parts":[["2005",12,1]]}}}],"schema":"https://github.com/citation-style-language/schema/raw/master/csl-citation.json"} </w:instrText>
      </w:r>
      <w:r w:rsidRPr="000D3E55">
        <w:rPr>
          <w:lang w:val="en-GB"/>
        </w:rPr>
        <w:fldChar w:fldCharType="separate"/>
      </w:r>
      <w:r w:rsidRPr="000D3E55">
        <w:rPr>
          <w:rFonts w:ascii="Calibri" w:hAnsi="Calibri" w:cs="Calibri"/>
          <w:kern w:val="0"/>
          <w:lang w:val="en-GB"/>
        </w:rPr>
        <w:t>Yannis Bakos, Florencia Marotta-Wurgler and David R Trossen, ‘Does Anyone Read the Fine Print? Consumer Attention to Standard-Form Contracts’ (2014) 43 The Journal of Legal Studies 1; Irene Pollach, ‘A Typology of Communicative Strategies in Online Privacy Policies: Ethics, Power and Informed Consent’ (2005) 62 Journal of Business Ethics 221.</w:t>
      </w:r>
      <w:r w:rsidRPr="000D3E55">
        <w:rPr>
          <w:lang w:val="en-GB"/>
        </w:rPr>
        <w:fldChar w:fldCharType="end"/>
      </w:r>
    </w:p>
  </w:footnote>
  <w:footnote w:id="127">
    <w:p w14:paraId="34332D4B" w14:textId="10AA6442" w:rsidR="00515817" w:rsidRPr="000D3E55" w:rsidRDefault="00515817" w:rsidP="0051581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{"citationID":"ADrvQkUQ","properties":{"formattedCitation":"I.e. the internal disposition of consumer. See Micklitz (n 71) 1079; Vanessa Mak, \\uc0\\u8216{}The Myth of the \\uc0\\u8220{}Empowered Consumer\\uc0\\u8221{}: Lessons from Financial Literacy Studies\\uc0\\u8217{} (2012) 1 Zeitschrift f\\uc0\\u252{}r Europ\\uc0\\u228{}isches Unternehmens- und Verbraucherrecht 254; Similarly Elkin-Koren and Salzberger comment on user capacity to understand copyright. Elkin-Koren and Salzberger (n 15) 100; Gervais (n 73) 176 et seq.","plainCitation":"I.e. the internal disposition of consumer. See Micklitz (n 71) 1079; Vanessa Mak, ‘The Myth of the “Empowered Consumer”: Lessons from Financial Literacy Studies’ (2012) 1 Zeitschrift für Europäisches Unternehmens- und Verbraucherrecht 254; Similarly Elkin-Koren and Salzberger comment on user capacity to understand copyright. Elkin-Koren and Salzberger (n 15) 100; Gervais (n 73) 176 et seq.","noteIndex":124},"citationItems":[{"id":11703,"uris":["http://zotero.org/users/local/09vVTa11/items/IWX38UZD"],"itemData":{"id":11703,"type":"chapter","abstract":"The paper starts from the premise that digital vulnerability is universal, structural, and architectural. Digital vulnerability is to be translated into the legal concept of digital asymmetry, so as to avoid confusion with existing concepts of vulnerability, which build on individual deficiencies in capacity. Digital asymmetry cannot be overcome through more and better information, nor can it be controlled by the prohibition of misleading advertising. It has to be classified as a form of aggression in the meaning of Arts. 8 and 9 of the Unfair Commercial Practices Directive. The burden of demonstrating compliance by digital architecture with consumer law lies with the supplier.","container-title":"Kreation Innovation Märkte - Creation Innovation Markets: Festschrift Reto M. Hilty","event-place":"Berlin, Heidelberg","ISBN":"978-3-662-68599-0","language":"en","note":"DOI: 10.1007/978-3-662-68599-0_68","page":"1079-1093","publisher":"Springer","publisher-place":"Berlin, Heidelberg","source":"Springer Link","title":"Unfair Commercial Practices, Digital Asymmetry and Reversal of Burden of Proof","URL":"https://doi.org/10.1007/978-3-662-68599-0_68","author":[{"family":"Micklitz","given":"Hans-Wolfgang"}],"editor":[{"family":"Thouvenin","given":"Florent"},{"family":"Peukert","given":"Alexander"},{"family":"Jaeger","given":"Thomas"},{"family":"Geiger","given":"Christophe"}],"accessed":{"date-parts":[["2025",5,5]]},"issued":{"date-parts":[["2024"]]}},"locator":"1079","label":"page","prefix":"I.e. the internal disposition of consumer. See"},{"id":12002,"uris":["http://zotero.org/users/local/09vVTa11/items/5FVZA9NE"],"itemData":{"id":12002,"type":"article-journal","abstract":"'Consumer empowerment' is a central goal of European consumer law. The empowerment of consumers, e.g. through information disclosure or through education, is used as a means to tackle asymmetries of bargaining power between consumers and businesses. One area in which this policy is prominent is in financial services law relating to consumer credit and investment. In this field, empowerment relies on consumers' ability to understand complex financial products, and their knowledge of and experience with financial products and services – in short, their 'financial literacy'. Financially literate consumers, are individuals who are equipped to assess risks and to make informed decisions about the suitability of financial products to their situation. However, the focus on empowerment is under pressure. Insights from behavioural studies reveal that consumers' ability to make rational, informed choices is limited. Although such insights have influenced US consumer policy for many years, the EU legislature has only more recently started to actively take account of behavioural evidence in policy choices and lawmaking. This paper questions how EU law should respond to behavioural evidence in financial consumer law: should the empowerment model be abandoned in favour of a more paternalistic approach? Which alternatives exist? The argument put forward is that the empowerment model in EU consumer law needs updating. Lessons from financial literacy studies suggest that adjustments can be made to improve the law by allowing greater differentiation between individual consumers, and in certain circumstances by introducing stricter regulation. That can involve a re-balancing of private law and public law regulation in this field.","container-title":"Zeitschrift für Europäisches Unternehmens- und Verbraucherrecht","DOI":"10.1007/s13590-012-0027-5","ISSN":"2191-3420","issue":"4","journalAbbreviation":"Z. Eur. Unternehm. Verbrauch. -r.","language":"en","page":"254-263","source":"Springer Link","title":"The Myth of the 'Empowered Consumer': Lessons from Financial Literacy Studies","title-short":"The Myth of the 'Empowered Consumer'","volume":"1","author":[{"family":"Mak","given":"Vanessa"}],"issued":{"date-parts":[["2012",12,1]]}}},{"id":266,"uris":["http://zotero.org/users/local/09vVTa11/items/X4HI633N"],"itemData":{"id":266,"type":"book","ISBN":"978-1-138-78657-8","language":"en","publisher":"Routledge, Taylor &amp; Francis Group","title":"The Law and Economics of Intellectual Property in the Digital Age: The Limits of Analysis","title-short":"The Law and Economics of Intellectual Property in the Digital Age","author":[{"family":"Elkin-Koren","given":"Niva"},{"family":"Salzberger","given":"Eli"}],"accessed":{"date-parts":[["2023",4,14]]},"issued":{"date-parts":[["2013"]]}},"locator":"100","label":"page","prefix":"Similarly Elkin-Koren and Salzberger comment on user capacity to understand copyright."},{"id":736,"uris":["http://zotero.org/users/local/09vVTa11/items/SV4X8PPI"],"itemData":{"id":736,"type":"book","abstract":"In this bold and persuasive work Daniel Gervais, one of the world's leading thinkers on the subject of intellectual property, argues that the international copyright system is in need of a root and branch rethink. As the Internet alters the world in which copyright operates beyond all recognition, a world increasingly defined by the might of online intermediaries and spawning a generation who are simultaneously authors, users and re-users of creative works, the structure of copyright in its current form is inadequate and unfit for purpose","event-place":"Cheltenham, UK","ISBN":"978-1-78990-214-3","language":"eng","number-of-pages":"359","publisher":"Edward Elgar Publishing","publisher-place":"Cheltenham, UK","source":"K10plus ISBN","title":"(Re)structuring copyright: a comprehensive path to international copyright reform","title-short":"(Re)structuring copyright","author":[{"family":"Gervais","given":"Daniel J."}],"issued":{"date-parts":[["2017"]]}},"locator":"176 et seq.","label":"page"}],"schema":"https://github.com/citation-style-language/schema/raw/master/csl-citation.json"}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I.e. the internal disposition of consumer. See Micklitz (n 71) 1079; Vanessa Mak, ‘The Myth of the “Empowered Consumer”: Lessons from Financial Literacy Studies’ (2012) 1 Zeitschrift für Europäisches Unternehmens- und Verbraucherrecht 254; Similarly Elkin-Koren and Salzberger comment on user capacity to understand copyright. Elkin-Koren and Salzberger (n 15) 100; Gervais (n 73) 176 et seq.</w:t>
      </w:r>
      <w:r w:rsidRPr="000D3E55">
        <w:rPr>
          <w:lang w:val="en-GB"/>
        </w:rPr>
        <w:fldChar w:fldCharType="end"/>
      </w:r>
    </w:p>
  </w:footnote>
  <w:footnote w:id="128">
    <w:p w14:paraId="0ABB7E77" w14:textId="159501B3" w:rsidR="00790BEA" w:rsidRPr="000D3E55" w:rsidRDefault="00790BEA">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{"citationID":"q70pNMED","properties":{"formattedCitation":"Steven Furnell and Andy Phippen, \\uc0\\u8216{}Online Privacy: A Matter of Policy?\\uc0\\u8217{} (2012) 2012 Computer Fraud &amp; Security 12.","plainCitation":"Steven Furnell and Andy Phippen, ‘Online Privacy: A Matter of Policy?’ (2012) 2012 Computer Fraud &amp; Security 12.","noteIndex":125},"citationItems":[{"id":12005,"uris":["http://zotero.org/users/local/09vVTa11/items/S2CZWKYX"],"itemData":{"id":12005,"type":"article-journal","abstract":"Privacy policies are a standard element of most online sites, but can differ markedly in the degree to which they are understandable to users, thanks to the volume of information and the complexity of the language used. Steven Furnell and Andy Phippen of Plymouth University, UK examine the policies of some leading sites and assess the implications for users. They also consider other ways in which users may tend to seek reassurance if understanding the policy is beyond their ability. Privacy is a key topic of interest and concern for those involved with any aspect of online activity. While the concept of privacy may have existed for many hundreds of years, it has become more important as the value of personal data has increased. Indeed, in Magna Carta, one of the first definitions of the rights of the individual in history, there is no mention of privacy, and personal information had little value. With the advent of the merchant classes came competition and with it the concept of competitive advantage, the value of personal information began to increase and with it the need for privacy. However, it is only in post-war capitalist societies that we see an exponential interest. It was the advent of the Internet, with its facilitation of global instant access to information at virtually no cost, that has raised massive concerns for the privacy of one's personal data. And this is due to the number of companies and organisations wishing to access such information, and their reasons for doing so.","container-title":"Computer Fraud &amp; Security","DOI":"10.1016/S1361-3723(12)70083-0","ISSN":"1361-3723","issue":"8","journalAbbreviation":"Computer Fraud &amp; Security","page":"12-18","source":"ScienceDirect","title":"Online privacy: a matter of policy?","title-short":"Online privacy","volume":"2012","author":[{"family":"Furnell","given":"Steven"},{"family":"Phippen","given":"Andy"}],"issued":{"date-parts":[["2012",8,1]]}}}],"schema":"https://github.com/citation-style-language/schema/raw/master/csl-citation.json"} </w:instrText>
      </w:r>
      <w:r w:rsidRPr="000D3E55">
        <w:rPr>
          <w:lang w:val="en-GB"/>
        </w:rPr>
        <w:fldChar w:fldCharType="separate"/>
      </w:r>
      <w:r w:rsidRPr="000D3E55">
        <w:rPr>
          <w:rFonts w:ascii="Calibri" w:hAnsi="Calibri" w:cs="Calibri"/>
          <w:kern w:val="0"/>
          <w:lang w:val="en-GB"/>
        </w:rPr>
        <w:t>Steven Furnell and Andy Phippen, ‘Online Privacy: A Matter of Policy?’ (2012) 2012 Computer Fraud &amp; Security 12.</w:t>
      </w:r>
      <w:r w:rsidRPr="000D3E55">
        <w:rPr>
          <w:lang w:val="en-GB"/>
        </w:rPr>
        <w:fldChar w:fldCharType="end"/>
      </w:r>
    </w:p>
  </w:footnote>
  <w:footnote w:id="129">
    <w:p w14:paraId="6997A429" w14:textId="136D7D2B" w:rsidR="00C5716E" w:rsidRPr="000D3E55" w:rsidRDefault="00C5716E">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{"citationID":"txQQkj7s","properties":{"formattedCitation":"Meirav Furth-Matzkin, \\uc0\\u8216{}On the Unexpected Use of Unenforceable Contract Terms: Evidence from the Residential Rental Market\\uc0\\u8217{} (2017) 9 Journal of Legal Analysis 1; Tess Wilkinson-Ryan, \\uc0\\u8216{}The Perverse Consequences of Disclosing Standard Terms\\uc0\\u8217{} (2017) 103 Cornell Law Review &lt;https://osf.io/znpgc&gt; accessed 11 May 2025.","plainCitation":"Meirav Furth-Matzkin, ‘On the Unexpected Use of Unenforceable Contract Terms: Evidence from the Residential Rental Market’ (2017) 9 Journal of Legal Analysis 1; Tess Wilkinson-Ryan, ‘The Perverse Consequences of Disclosing Standard Terms’ (2017) 103 Cornell Law Review &lt;https://osf.io/znpgc&gt; accessed 11 May 2025.","noteIndex":126},"citationItems":[{"id":12008,"uris":["http://zotero.org/users/local/09vVTa11/items/JV8RE4GZ"],"itemData":{"id":12008,"type":"article-journal","abstract":"This article explores the prevalence of unenforceable and misleading terms in residential rental contracts. For this purpose, the study analyzes a sample of seventy residential leases from the Greater Boston Area in terms of Massachusetts Landlord and Tenant Law. The article’s findings reveal that landlords often use deceptive—as well as clearly invalid—provisions in their contracts, and regularly fail to disclose the vast majority of the mandatory rights and remedies that the law bestows upon tenants in their leases. Building on psychological insights and on survey evidence, the article suggests that this drafting pattern may significantly affect tenants’ decisions and behavior. In particular, when a problem or a dispute with the landlord arises, tenants are likely to perceive the terms in their lease agreements as enforceable and binding, and consequently forgo valid legal rights and claims. Therefore, the article expects that such clauses will persist as long as monitoring and enforcement mechanisms do not sufficiently deter landlords from using such terms in their contracts. In light of this evidence, the article discusses preliminary policy prescriptions.","container-title":"Journal of Legal Analysis","DOI":"10.1093/jla/lax002","ISSN":"2161-7201","issue":"1","journalAbbreviation":"Journal of Legal Analysis","page":"1-49","source":"Silverchair","title":"On the Unexpected Use of Unenforceable Contract Terms: Evidence from the Residential Rental Market","title-short":"On the Unexpected Use of Unenforceable Contract Terms","volume":"9","author":[{"family":"Furth-Matzkin","given":"Meirav"}],"issued":{"date-parts":[["2017",6,1]]}}},{"id":12012,"uris":["http://zotero.org/users/local/09vVTa11/items/XH6G64DY"],"itemData":{"id":12012,"type":"article-journal","abstract":"103 Cornell L. Rev. 117 (2017)Although assent is the doctrinal and theoretical hallmark of contract, its relevance for form contracts has been drastically undermined by the overwhelming evidence that no one reads standard terms. Until now, most political and academic discussions of this phenomenon have acknowledged the truth of universally unread contracts, but have assumed that even unread terms are at best potentially helpful, and at worst harmless. This Article makes the empirical case that unread terms are not a neutral part of American commerce; instead, the mere fact of fine print inhibits reasonable challenges to unfair deals. The experimental study reported here tests the hypothesis that when a policy is disclosed as a boilerplate contract term, it appears more legitimate, both morally and legally, than if it is disclosed elsewhere—even if the term would be plausibly subject to legal challenge in either case. Subjects from an in-person campus sample were randomly assigned to read about a consumer policy communicated either as a standard term in a form contract, or as a company policy available on the firm’s website. They were more likely to think that harsh policies were legally enforceable, and morally defensible, when the policies were in the fine print—and were more likely to object to a policy that was publicly available but not within the standard terms. Disclosing onerous terms up front does not affect consumer choice ex ante but creates a problematic assumption of enforceability when the terms turn out to be troublesome ex post. These results were also replicated using a sample of subjects from the general population. If correct, this phenomenon presents a substantial challenge to the traditional economic analysis of private bargaining in contract. The Article concludes with an analysis, in light of these findings, of doctrinal, political, and market mechanisms for policing unfair terms.","container-title":"Cornell Law Review","DOI":"10.31228/osf.io/znpgc","issue":"1","language":"en","source":"LawArXiv","title":"The Perverse Consequences of Disclosing Standard Terms","URL":"https://osf.io/znpgc","volume":"103","author":[{"family":"Wilkinson-Ryan","given":"Tess"}],"accessed":{"date-parts":[["2025",5,11]]},"issued":{"date-parts":[["2017"]]}}}],"schema":"https://github.com/citation-style-language/schema/raw/master/csl-citation.json"} </w:instrText>
      </w:r>
      <w:r w:rsidRPr="000D3E55">
        <w:rPr>
          <w:lang w:val="en-GB"/>
        </w:rPr>
        <w:fldChar w:fldCharType="separate"/>
      </w:r>
      <w:r w:rsidRPr="000D3E55">
        <w:rPr>
          <w:rFonts w:ascii="Calibri" w:hAnsi="Calibri" w:cs="Calibri"/>
          <w:kern w:val="0"/>
          <w:lang w:val="en-GB"/>
        </w:rPr>
        <w:t>Meirav Furth-Matzkin, ‘On the Unexpected Use of Unenforceable Contract Terms: Evidence from the Residential Rental Market’ (2017) 9 Journal of Legal Analysis 1; Tess Wilkinson-Ryan, ‘The Perverse Consequences of Disclosing Standard Terms’ (2017) 103 Cornell Law Review &lt;https://osf.io/znpgc&gt; accessed 11 May 2025.</w:t>
      </w:r>
      <w:r w:rsidRPr="000D3E55">
        <w:rPr>
          <w:lang w:val="en-GB"/>
        </w:rPr>
        <w:fldChar w:fldCharType="end"/>
      </w:r>
    </w:p>
  </w:footnote>
  <w:footnote w:id="130">
    <w:p w14:paraId="2B388DB2" w14:textId="03900A73" w:rsidR="008E62EB" w:rsidRPr="000D3E55" w:rsidRDefault="008E62EB">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{"citationID":"3AYpvWiZ","properties":{"formattedCitation":"Lemley (n 72) 3\\uc0\\u8211{}4.","plainCitation":"Lemley (n 72) 3–4.","noteIndex":127},"citationItems":[{"id":11705,"uris":["http://zotero.org/users/local/09vVTa11/items/YV7D9JPC"],"itemData":{"id":11705,"type":"article","abstract":"Privacy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A."}],"accessed":{"date-parts":[["2025",5,5]]},"issued":{"date-parts":[["2025",1,24]]}},"locator":"3-4","label":"page"}],"schema":"https://github.com/citation-style-language/schema/raw/master/csl-citation.json"}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Lemley (n 72) 3–4.</w:t>
      </w:r>
      <w:r w:rsidRPr="000D3E55">
        <w:rPr>
          <w:lang w:val="en-GB"/>
        </w:rPr>
        <w:fldChar w:fldCharType="end"/>
      </w:r>
    </w:p>
  </w:footnote>
  <w:footnote w:id="131">
    <w:p w14:paraId="4F9A1B44" w14:textId="4BEB78B7" w:rsidR="001D6269" w:rsidRPr="000D3E55" w:rsidRDefault="001D6269">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{"citationID":"jR3I3BOs","properties":{"formattedCitation":"Shmuel I Becher and Esther Unger-Aviram, \\uc0\\u8216{}The Law of Standard Form Contracts: Misguided Intuitions and Suggestions for Reconstruction\\uc0\\u8217{} (2010) 8 DePaul Business and Commercial Law Journal &lt;https://via.library.depaul.edu/cgi/viewcontent.cgi?referer=&amp;httpsredir=1&amp;article=1094&amp;context=bclj&gt; accessed 11 May 2025; Lemley (n 72) 4\\uc0\\u8211{}5, 11\\uc0\\u8211{}12.","plainCitation":"Shmuel I Becher and Esther Unger-Aviram, ‘The Law of Standard Form Contracts: Misguided Intuitions and Suggestions for Reconstruction’ (2010) 8 DePaul Business and Commercial Law Journal &lt;https://via.library.depaul.edu/cgi/viewcontent.cgi?referer=&amp;httpsredir=1&amp;article=1094&amp;context=bclj&gt; accessed 11 May 2025; Lemley (n 72) 4–5, 11–12.","noteIndex":128},"citationItems":[{"id":12020,"uris":["http://zotero.org/users/local/09vVTa11/items/X8ZTIRFL"],"itemData":{"id":12020,"type":"article-journal","abstract":"The law of standardform contracts rests on intuitions. This Essay explores these intuitions and examines intended consumer behavior in common contractingcontexts. The firststudy in this Essay focuses on the intent of consumers to read form contracts in four different scenarios. The second examines the extent to which prevalent rational-economic factors influence potential consumers in their intent to read form contracts.","container-title":"DePaul Business and Commercial Law Journal","issue":"3","language":"en","source":"Zotero","title":"The Law of Standard Form Contracts: Misguided Intuitions and Suggestions for Reconstruction","URL":"https://via.library.depaul.edu/cgi/viewcontent.cgi?referer=&amp;httpsredir=1&amp;article=1094&amp;context=bclj","volume":"8","author":[{"family":"Becher","given":"Shmuel I"},{"family":"Unger-Aviram","given":"Esther"}],"accessed":{"date-parts":[["2025",5,11]]},"issued":{"date-parts":[["2010"]]}}},{"id":11705,"uris":["http://zotero.org/users/local/09vVTa11/items/YV7D9JPC"],"itemData":{"id":11705,"type":"article","abstract":"Privacy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A."}],"accessed":{"date-parts":[["2025",5,5]]},"issued":{"date-parts":[["2025",1,24]]}},"locator":"4-5, 11-12","label":"page"}],"schema":"https://github.com/citation-style-language/schema/raw/master/csl-citation.json"}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Shmuel I Becher and Esther Unger-Aviram, ‘The Law of Standard Form Contracts: Misguided Intuitions and Suggestions for Reconstruction’ (2010) 8 DePaul Business and Commercial Law Journal &lt;https://via.library.depaul.edu/cgi/viewcontent.cgi?referer=&amp;httpsredir=1&amp;article=1094&amp;context=bclj&gt; accessed 11 May 2025; Lemley (n 72) 4–5, 11–12.</w:t>
      </w:r>
      <w:r w:rsidRPr="000D3E55">
        <w:rPr>
          <w:lang w:val="en-GB"/>
        </w:rPr>
        <w:fldChar w:fldCharType="end"/>
      </w:r>
    </w:p>
  </w:footnote>
  <w:footnote w:id="132">
    <w:p w14:paraId="4727DCD4" w14:textId="4F06E613" w:rsidR="00215AC8" w:rsidRPr="000D3E55" w:rsidRDefault="00215AC8">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{"citationID":"9rjK2j0P","properties":{"formattedCitation":"Lemley (n 72) 12\\uc0\\u8211{}13; Eric Goldman, \\uc0\\u8216{}The Crisis of Online Contracts (as Told in 10 Memes)\\uc0\\u8217{} (Social Science Research Network, 1 November 2021) &lt;https://papers.ssrn.com/abstract=3796519&gt; accessed 11 May 2025.","plainCitation":"Lemley (n 72) 12–13; Eric Goldman, ‘The Crisis of Online Contracts (as Told in 10 Memes)’ (Social Science Research Network, 1 November 2021) &lt;https://papers.ssrn.com/abstract=3796519&gt; accessed 11 May 2025.","noteIndex":129},"citationItems":[{"id":11705,"uris":["http://zotero.org/users/local/09vVTa11/items/YV7D9JPC"],"itemData":{"id":11705,"type":"article","abstract":"Privacy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A."}],"accessed":{"date-parts":[["2025",5,5]]},"issued":{"date-parts":[["2025",1,24]]}},"locator":"12-13","label":"page"},{"id":11995,"uris":["http://zotero.org/users/local/09vVTa11/items/DRWVWGJL"],"itemData":{"id":11995,"type":"article","abstract":"This essay explains the “crisis” of online contracts, the legal fiction that consumers have assented to online contract terms when we have ample empirical evidence that they didn’t really mean to assent. The essay describes the crisis, and some possible solutions, using 10 Internet memes. The essay concludes that the crisis of online contracts may be the least-worst option among the alternatives.","DOI":"10.2139/ssrn.3796519","event-place":"Rochester, NY","genre":"SSRN Scholarly Paper","language":"en","number":"3796519","publisher":"Social Science Research Network","publisher-place":"Rochester, NY","source":"papers.ssrn.com","title":"The Crisis of Online Contracts (as Told in 10 Memes)","URL":"https://papers.ssrn.com/abstract=3796519","author":[{"family":"Goldman","given":"Eric"}],"accessed":{"date-parts":[["2025",5,11]]},"issued":{"date-parts":[["2021",11,1]]}}}],"schema":"https://github.com/citation-style-language/schema/raw/master/csl-citation.json"} </w:instrText>
      </w:r>
      <w:r w:rsidRPr="000D3E55">
        <w:rPr>
          <w:lang w:val="en-GB"/>
        </w:rPr>
        <w:fldChar w:fldCharType="separate"/>
      </w:r>
      <w:r w:rsidR="0045134C" w:rsidRPr="0045134C">
        <w:rPr>
          <w:rFonts w:ascii="Calibri" w:hAnsi="Calibri" w:cs="Calibri"/>
          <w:kern w:val="0"/>
          <w:szCs w:val="24"/>
        </w:rPr>
        <w:t>Lemley (n 72) 12–13; Eric Goldman, ‘The Crisis of Online Contracts (as Told in 10 Memes)’ (Social Science Research Network, 1 November 2021) &lt;https://papers.ssrn.com/abstract=3796519&gt; accessed 11 May 2025.</w:t>
      </w:r>
      <w:r w:rsidRPr="000D3E55">
        <w:rPr>
          <w:lang w:val="en-GB"/>
        </w:rPr>
        <w:fldChar w:fldCharType="end"/>
      </w:r>
    </w:p>
  </w:footnote>
  <w:footnote w:id="133">
    <w:p w14:paraId="48AF41FE" w14:textId="150438AC" w:rsidR="007E0976" w:rsidRPr="000D3E55" w:rsidRDefault="007E0976">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14474F">
        <w:rPr>
          <w:lang w:val="en-GB"/>
        </w:rPr>
        <w:instrText xml:space="preserve"> ADDIN ZOTERO_ITEM CSL_CITATION {"citationID":"iR6dL0D5","properties":{"formattedCitation":"Alexander J Wulf and Ognyan Seizov, \\uc0\\u8216{}How to Improve Consumers\\uc0\\u8217{} Understanding of Online Legal Information: Insights from a Behavioral Experiment\\uc0\\u8217{} (2023) 56 European Journal of Law and Economics 559, 561.","plainCitation":"Alexander J Wulf and Ognyan Seizov, ‘How to Improve Consumers’ Understanding of Online Legal Information: Insights from a Behavioral Experiment’ (2023) 56 European Journal of Law and Economics 559, 561.","noteIndex":132},"citationItems":[{"id":11716,"uris":["http://zotero.org/users/local/09vVTa11/items/8RDDXPEB"],"itemData":{"id":11716,"type":"article-journal","abstract":"Past research has shown that online information notices often fail to inform consumers well, even if transparency-enhancing measures are implemented. However, the studies in question have employed research designs that were restricted to pre-contract conclusion scenarios and ad hoc, text-only attempts to optimize disclosures. While these results point to the general limitations of disclosures, they leave open whether optimizing information notices can be of substantial value to consumers in other settings. Our study tests the effectiveness of multimodal disclosure optimization techniques in both the pre- and post-contract conclusion scenarios. The post-contract conclusion scenario is the situation where a consumer has a dispute with a business. While this setting is not the primary target of disclosure legislation, it is a more realistic instance of the actual use of legal information online. Here the consumer has a real incentive to obtain information about his or her rights and obligations. We show that under these conditions, consumers do in fact read, retain and understand more when the attempt has been made to optimize disclosures.","container-title":"European Journal of Law and Economics","DOI":"10.1007/s10657-022-09755-4","ISSN":"1572-9990","issue":"3","journalAbbreviation":"Eur J Law Econ","language":"en","page":"559-584","source":"Springer Link","title":"How to improve consumers’ understanding of online legal information: insights from a behavioral experiment","title-short":"How to improve consumers’ understanding of online legal information","volume":"56","author":[{"family":"Wulf","given":"Alexander J."},{"family":"Seizov","given":"Ognyan"}],"issued":{"date-parts":[["2023",12,1]]}},"locator":"561","label":"page"}],"schema":"https://github.com/citation-style-language/schema/raw/master/csl-citation.json"} </w:instrText>
      </w:r>
      <w:r w:rsidRPr="000D3E55">
        <w:rPr>
          <w:lang w:val="en-GB"/>
        </w:rPr>
        <w:fldChar w:fldCharType="separate"/>
      </w:r>
      <w:r w:rsidRPr="000D3E55">
        <w:rPr>
          <w:rFonts w:ascii="Calibri" w:hAnsi="Calibri" w:cs="Calibri"/>
          <w:kern w:val="0"/>
          <w:lang w:val="en-GB"/>
        </w:rPr>
        <w:t>Alexander J Wulf and Ognyan Seizov, ‘How to Improve Consumers’ Understanding of Online Legal Information: Insights from a Behavioral Experiment’ (2023) 56 European Journal of Law and Economics 559, 561.</w:t>
      </w:r>
      <w:r w:rsidRPr="000D3E55">
        <w:rPr>
          <w:lang w:val="en-GB"/>
        </w:rPr>
        <w:fldChar w:fldCharType="end"/>
      </w:r>
    </w:p>
  </w:footnote>
  <w:footnote w:id="134">
    <w:p w14:paraId="0D4566B3" w14:textId="31A44308" w:rsidR="00170689" w:rsidRPr="000D3E55" w:rsidRDefault="00170689">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14474F">
        <w:rPr>
          <w:lang w:val="en-GB"/>
        </w:rPr>
        <w:instrText xml:space="preserve"> ADDIN ZOTERO_ITEM CSL_CITATION {"citationID":"jKmQxbOd","properties":{"formattedCitation":"ibid 560\\uc0\\u8211{}561.","plainCitation":"ibid 560–561.","noteIndex":133},"citationItems":[{"id":11716,"uris":["http://zotero.org/users/local/09vVTa11/items/8RDDXPEB"],"itemData":{"id":11716,"type":"article-journal","abstract":"Past research has shown that online information notices often fail to inform consumers well, even if transparency-enhancing measures are implemented. However, the studies in question have employed research designs that were restricted to pre-contract conclusion scenarios and ad hoc, text-only attempts to optimize disclosures. While these results point to the general limitations of disclosures, they leave open whether optimizing information notices can be of substantial value to consumers in other settings. Our study tests the effectiveness of multimodal disclosure optimization techniques in both the pre- and post-contract conclusion scenarios. The post-contract conclusion scenario is the situation where a consumer has a dispute with a business. While this setting is not the primary target of disclosure legislation, it is a more realistic instance of the actual use of legal information online. Here the consumer has a real incentive to obtain information about his or her rights and obligations. We show that under these conditions, consumers do in fact read, retain and understand more when the attempt has been made to optimize disclosures.","container-title":"European Journal of Law and Economics","DOI":"10.1007/s10657-022-09755-4","ISSN":"1572-9990","issue":"3","journalAbbreviation":"Eur J Law Econ","language":"en","page":"559-584","source":"Springer Link","title":"How to improve consumers’ understanding of online legal information: insights from a behavioral experiment","title-short":"How to improve consumers’ understanding of online legal information","volume":"56","author":[{"family":"Wulf","given":"Alexander J."},{"family":"Seizov","given":"Ognyan"}],"issued":{"date-parts":[["2023",12,1]]}},"locator":"560-561","label":"page"}],"schema":"https://github.com/citation-style-language/schema/raw/master/csl-citation.json"} </w:instrText>
      </w:r>
      <w:r w:rsidRPr="000D3E55">
        <w:rPr>
          <w:lang w:val="en-GB"/>
        </w:rPr>
        <w:fldChar w:fldCharType="separate"/>
      </w:r>
      <w:r w:rsidRPr="000D3E55">
        <w:rPr>
          <w:rFonts w:ascii="Calibri" w:hAnsi="Calibri" w:cs="Calibri"/>
          <w:kern w:val="0"/>
          <w:lang w:val="en-GB"/>
        </w:rPr>
        <w:t>ibid 560–561.</w:t>
      </w:r>
      <w:r w:rsidRPr="000D3E55">
        <w:rPr>
          <w:lang w:val="en-GB"/>
        </w:rPr>
        <w:fldChar w:fldCharType="end"/>
      </w:r>
    </w:p>
  </w:footnote>
  <w:footnote w:id="135">
    <w:p w14:paraId="0EE3BD52" w14:textId="0DB649FB" w:rsidR="00F160F1" w:rsidRPr="000D3E55" w:rsidRDefault="00F160F1">
      <w:pPr>
        <w:pStyle w:val="FootnoteText"/>
        <w:rPr>
          <w:lang w:val="en-GB"/>
        </w:rPr>
      </w:pPr>
      <w:r w:rsidRPr="000D3E55">
        <w:rPr>
          <w:rStyle w:val="FootnoteReference"/>
          <w:lang w:val="en-GB"/>
        </w:rPr>
        <w:footnoteRef/>
      </w:r>
      <w:r w:rsidRPr="000D3E55">
        <w:rPr>
          <w:lang w:val="en-GB"/>
        </w:rPr>
        <w:t xml:space="preserve"> See Art 14(1) DSA.</w:t>
      </w:r>
    </w:p>
  </w:footnote>
  <w:footnote w:id="136">
    <w:p w14:paraId="7E8EE92F" w14:textId="0AB5585E" w:rsidR="00873192" w:rsidRPr="000D3E55" w:rsidRDefault="0087319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{"citationID":"gcghewQq","properties":{"formattedCitation":"\\uc0\\u8216{}About CC Licenses\\uc0\\u8217{} ({\\i{}Creative Commons}) &lt;https://creativecommons.org/share-your-work/cclicenses/&gt; accessed 11 May 2025.","plainCitation":"‘About CC Licenses’ (Creative Commons) &lt;https://creativecommons.org/share-your-work/cclicenses/&gt; accessed 11 May 2025.","noteIndex":133},"citationItems":[{"id":12022,"uris":["http://zotero.org/users/local/09vVTa11/items/KQ7A5WUF"],"itemData":{"id":12022,"type":"post-weblog","abstract":"Creative Commons licenses give everyone from individual creators to large institutions a standardized way to grant the public permission to use their creative work under copyright law. From the reuser’s perspective, the presence of a Creative Commons license on a copyrighted work answers the question, What can I do with this work? The CC License…","container-title":"Creative Commons","language":"en-US","title":"About CC Licenses","URL":"https://creativecommons.org/share-your-work/cclicenses/","accessed":{"date-parts":[["2025",5,11]]}}}],"schema":"https://github.com/citation-style-language/schema/raw/master/csl-citation.json"} </w:instrText>
      </w:r>
      <w:r w:rsidRPr="000D3E55">
        <w:rPr>
          <w:lang w:val="en-GB"/>
        </w:rPr>
        <w:fldChar w:fldCharType="separate"/>
      </w:r>
      <w:r w:rsidRPr="000D3E55">
        <w:rPr>
          <w:rFonts w:ascii="Calibri" w:hAnsi="Calibri" w:cs="Calibri"/>
          <w:kern w:val="0"/>
          <w:lang w:val="en-GB"/>
        </w:rPr>
        <w:t>‘About CC Licenses’ (</w:t>
      </w:r>
      <w:r w:rsidRPr="000D3E55">
        <w:rPr>
          <w:rFonts w:ascii="Calibri" w:hAnsi="Calibri" w:cs="Calibri"/>
          <w:i/>
          <w:iCs/>
          <w:kern w:val="0"/>
          <w:lang w:val="en-GB"/>
        </w:rPr>
        <w:t>Creative Commons</w:t>
      </w:r>
      <w:r w:rsidRPr="000D3E55">
        <w:rPr>
          <w:rFonts w:ascii="Calibri" w:hAnsi="Calibri" w:cs="Calibri"/>
          <w:kern w:val="0"/>
          <w:lang w:val="en-GB"/>
        </w:rPr>
        <w:t>) &lt;https://creativecommons.org/share-your-work/cclicenses/&gt; accessed 11 May 2025.</w:t>
      </w:r>
      <w:r w:rsidRPr="000D3E55">
        <w:rPr>
          <w:lang w:val="en-GB"/>
        </w:rPr>
        <w:fldChar w:fldCharType="end"/>
      </w:r>
    </w:p>
  </w:footnote>
  <w:footnote w:id="137">
    <w:p w14:paraId="798ED1E4" w14:textId="7DC2C2F0" w:rsidR="00BF17E6" w:rsidRPr="000D3E55" w:rsidRDefault="00BF17E6">
      <w:pPr>
        <w:pStyle w:val="FootnoteText"/>
        <w:rPr>
          <w:lang w:val="en-GB"/>
        </w:rPr>
      </w:pPr>
      <w:r w:rsidRPr="000D3E55">
        <w:rPr>
          <w:rStyle w:val="FootnoteReference"/>
          <w:lang w:val="en-GB"/>
        </w:rPr>
        <w:footnoteRef/>
      </w:r>
      <w:r w:rsidRPr="000D3E55">
        <w:rPr>
          <w:lang w:val="en-GB"/>
        </w:rPr>
        <w:t xml:space="preserve"> </w:t>
      </w:r>
      <w:r w:rsidR="00870213" w:rsidRPr="000D3E55">
        <w:rPr>
          <w:lang w:val="en-GB"/>
        </w:rPr>
        <w:t>Over</w:t>
      </w:r>
      <w:r w:rsidR="00130236" w:rsidRPr="000D3E55">
        <w:rPr>
          <w:lang w:val="en-GB"/>
        </w:rPr>
        <w:t>-simplification of legal language to plain language</w:t>
      </w:r>
      <w:r w:rsidR="00870213" w:rsidRPr="000D3E55">
        <w:rPr>
          <w:lang w:val="en-GB"/>
        </w:rPr>
        <w:t xml:space="preserve"> that does not respect the principle of easification may endanger legal certainty –</w:t>
      </w:r>
      <w:r w:rsidR="00130236" w:rsidRPr="000D3E55">
        <w:rPr>
          <w:lang w:val="en-GB"/>
        </w:rPr>
        <w:t xml:space="preserve"> see</w:t>
      </w:r>
      <w:r w:rsidR="00BD3D96" w:rsidRPr="000D3E55">
        <w:rPr>
          <w:lang w:val="en-GB"/>
        </w:rPr>
        <w:t xml:space="preserve"> </w:t>
      </w:r>
      <w:r w:rsidR="00130236" w:rsidRPr="000D3E55">
        <w:rPr>
          <w:lang w:val="en-GB"/>
        </w:rPr>
        <w:fldChar w:fldCharType="begin"/>
      </w:r>
      <w:r w:rsidR="00D25645">
        <w:rPr>
          <w:lang w:val="en-GB"/>
        </w:rPr>
        <w:instrText xml:space="preserve"> ADDIN ZOTERO_ITEM CSL_CITATION {"citationID":"Vnn5fd7t","properties":{"formattedCitation":"Mat\\uc0\\u283{}j My\\uc0\\u353{}ka and others, \\uc0\\u8216{}Creative Commons and Grand Challenge to Make Legal Language Simple\\uc0\\u8217{} in Monica Palmirani and others (eds), {\\i{}AI Approaches to the Complexity of Legal Systems. Models and Ethical Challenges for Legal Systems, Legal Language and Legal Ontologies, Argumentation and Software Agents} (Springer Berlin Heidelberg 2012) &lt;http://link.springer.com/chapter/10.1007/978-3-642-35731-2_19&gt; accessed 6 August 2014.","plainCitation":"Matěj Myška and others, ‘Creative Commons and Grand Challenge to Make Legal Language Simple’ in Monica Palmirani and others (eds), AI Approaches to the Complexity of Legal Systems. Models and Ethical Challenges for Legal Systems, Legal Language and Legal Ontologies, Argumentation and Software Agents (Springer Berlin Heidelberg 2012) &lt;http://link.springer.com/chapter/10.1007/978-3-642-35731-2_19&gt; accessed 6 August 2014.","noteIndex":134},"citationItems":[{"id":"njS2q1xr/Ywz1aGYz","uris":["http://zotero.org/users/1910271/items/G88T7ED5"],"itemData":{"id":1206,"type":"chapter","abstract":"In this paper we analyse the Creative Commons computerized licensing system. We draw the attention to the fact that despite considerable efforts to make the complicated task of licensing work using so-called free license as simple as possible, the system is apt to give rise to countless ambiguities often leading to copyright infringements. We maintain that the phenomenon has been caused by the modifications of ‘language’ that facilitates the communication of the relevant section of law and consequent loss of vital context and structure in the framework of which the communication has to be perceived. We come to a conclusion that while context and structure preserving modifications should be regarded as the preferable method of simplifying legal language, its scope is too narrow to achieve the goal of making legal language easily understandable for a layperson. Unconstrained simplification is powerful enough to achieve the goal but entails a danger of driving a layperson, as well as a professional, into undesirable outcomes.","collection-number":"7639","collection-title":"Lecture Notes in Computer Science","container-title":"AI Approaches to the Complexity of Legal Systems. Models and Ethical Challenges for Legal Systems, Legal Language and Legal Ontologies, Argumentation and Software Agents","ISBN":"978-3-642-35730-5","language":"en","license":"©2012 Springer-Verlag Berlin Heidelberg","page":"271-285","publisher":"Springer Berlin Heidelberg","source":"link.springer.com","title":"Creative Commons and Grand Challenge to Make Legal Language Simple","URL":"http://link.springer.com/chapter/10.1007/978-3-642-35731-2_19","author":[{"family":"Myška","given":"Matěj"},{"family":"Smejkalová","given":"Terezie"},{"family":"Šavelka","given":"Jaromír"},{"family":"Škop","given":"Martin"}],"editor":[{"family":"Palmirani","given":"Monica"},{"family":"Pagallo","given":"Ugo"},{"family":"Casanovas","given":"Pompeu"},{"family":"Sartor","given":"Giovanni"}],"accessed":{"date-parts":[["2014",8,6]]},"issued":{"date-parts":[["2012",1,1]]}}}],"schema":"https://github.com/citation-style-language/schema/raw/master/csl-citation.json"} </w:instrText>
      </w:r>
      <w:r w:rsidR="00130236" w:rsidRPr="000D3E55">
        <w:rPr>
          <w:lang w:val="en-GB"/>
        </w:rPr>
        <w:fldChar w:fldCharType="separate"/>
      </w:r>
      <w:r w:rsidR="00130236" w:rsidRPr="000D3E55">
        <w:rPr>
          <w:rFonts w:ascii="Calibri" w:cs="Calibri"/>
          <w:kern w:val="0"/>
          <w:szCs w:val="24"/>
          <w:lang w:val="en-GB"/>
        </w:rPr>
        <w:t xml:space="preserve">Matěj Myška and others, ‘Creative Commons and Grand Challenge to Make Legal Language Simple’ in Monica Palmirani and others (eds), </w:t>
      </w:r>
      <w:r w:rsidR="00130236" w:rsidRPr="000D3E55">
        <w:rPr>
          <w:rFonts w:ascii="Calibri" w:cs="Calibri"/>
          <w:i/>
          <w:iCs/>
          <w:kern w:val="0"/>
          <w:szCs w:val="24"/>
          <w:lang w:val="en-GB"/>
        </w:rPr>
        <w:t>AI Approaches to the Complexity of Legal Systems. Models and Ethical Challenges for Legal Systems, Legal Language and Legal Ontologies, Argumentation and Software Agents</w:t>
      </w:r>
      <w:r w:rsidR="00130236" w:rsidRPr="000D3E55">
        <w:rPr>
          <w:rFonts w:ascii="Calibri" w:cs="Calibri"/>
          <w:kern w:val="0"/>
          <w:szCs w:val="24"/>
          <w:lang w:val="en-GB"/>
        </w:rPr>
        <w:t xml:space="preserve"> (Springer Berlin Heidelberg 2012) &lt;http://link.springer.com/chapter/10.1007/978-3-642-35731-2_19&gt; accessed 6 August 2014.</w:t>
      </w:r>
      <w:r w:rsidR="00130236" w:rsidRPr="000D3E55">
        <w:rPr>
          <w:lang w:val="en-GB"/>
        </w:rPr>
        <w:fldChar w:fldCharType="end"/>
      </w:r>
    </w:p>
  </w:footnote>
  <w:footnote w:id="138">
    <w:p w14:paraId="58074229" w14:textId="52FF07BF" w:rsidR="00A17352" w:rsidRPr="000D3E55" w:rsidRDefault="00A17352">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{"citationID":"Pa5AAPUv","properties":{"formattedCitation":"Lemley (n 72) 15 et seq.","plainCitation":"Lemley (n 72) 15 et seq.","noteIndex":135},"citationItems":[{"id":11705,"uris":["http://zotero.org/users/local/09vVTa11/items/YV7D9JPC"],"itemData":{"id":11705,"type":"article","abstract":"Privacy scholars are moving beyond the \"notice and consent\" paradigm that has dominated privacy law for a generation. They are right to do so. The evidence shows that it does very little to protect privacy.","event-place":"Rochester, NY","genre":"SSRN Scholarly Paper","language":"en","number":"5113536","publisher":"Social Science Research Network","publisher-place":"Rochester, NY","source":"papers.ssrn.com","title":"Protecting Consumers in a Post-Consent World","URL":"https://papers.ssrn.com/abstract=5113536","author":[{"family":"Lemley","given":"Mark A."}],"accessed":{"date-parts":[["2025",5,5]]},"issued":{"date-parts":[["2025",1,24]]}},"locator":"15 et seq.","label":"page"}],"schema":"https://github.com/citation-style-language/schema/raw/master/csl-citation.json"} </w:instrText>
      </w:r>
      <w:r w:rsidRPr="000D3E55">
        <w:rPr>
          <w:lang w:val="en-GB"/>
        </w:rPr>
        <w:fldChar w:fldCharType="separate"/>
      </w:r>
      <w:r w:rsidR="0045134C">
        <w:rPr>
          <w:rFonts w:ascii="Calibri" w:hAnsi="Calibri" w:cs="Calibri"/>
        </w:rPr>
        <w:t>Lemley (n 72) 15 et seq.</w:t>
      </w:r>
      <w:r w:rsidRPr="000D3E55">
        <w:rPr>
          <w:lang w:val="en-GB"/>
        </w:rPr>
        <w:fldChar w:fldCharType="end"/>
      </w:r>
    </w:p>
  </w:footnote>
  <w:footnote w:id="139">
    <w:p w14:paraId="635043BF" w14:textId="1BB116E5" w:rsidR="00D57640" w:rsidRPr="000D3E55" w:rsidRDefault="00D57640">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{"citationID":"BsTVjkQo","properties":{"formattedCitation":"Woznica (n 14) 224 et seq.","plainCitation":"Woznica (n 14) 224 et seq.","noteIndex":136},"citationItems":[{"id":9128,"uris":["http://zotero.org/users/local/09vVTa11/items/PIRB2A9K"],"itemData":{"id":9128,"type":"thesis","language":"eng","publisher":"Masaryk University, Faculty of Law","source":"is.muni.cz","title":"Control, compensation, and access in digital copyright: Property and liability rule analysis of Article 17 CDSM Directive","title-short":"Control, compensation, and access in digital copyright","URL":"https://is.muni.cz/th/uxxvw/","author":[{"family":"Woznica","given":"Ondřej"}],"accessed":{"date-parts":[["2025",3,3]]},"issued":{"date-parts":[["2024"]]}},"locator":"224 et seq.","label":"page"}],"schema":"https://github.com/citation-style-language/schema/raw/master/csl-citation.json"} </w:instrText>
      </w:r>
      <w:r w:rsidRPr="000D3E55">
        <w:rPr>
          <w:lang w:val="en-GB"/>
        </w:rPr>
        <w:fldChar w:fldCharType="separate"/>
      </w:r>
      <w:r w:rsidR="009A7302" w:rsidRPr="000D3E55">
        <w:rPr>
          <w:rFonts w:ascii="Calibri" w:hAnsi="Calibri" w:cs="Calibri"/>
          <w:lang w:val="en-GB"/>
        </w:rPr>
        <w:t>Woznica (n 14) 224 et seq.</w:t>
      </w:r>
      <w:r w:rsidRPr="000D3E55">
        <w:rPr>
          <w:lang w:val="en-GB"/>
        </w:rPr>
        <w:fldChar w:fldCharType="end"/>
      </w:r>
    </w:p>
  </w:footnote>
  <w:footnote w:id="140">
    <w:p w14:paraId="00F89A64" w14:textId="67E5F414" w:rsidR="003B2B77" w:rsidRPr="000D3E55" w:rsidRDefault="003B2B77">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D25645">
        <w:rPr>
          <w:lang w:val="en-GB"/>
        </w:rPr>
        <w:instrText xml:space="preserve"> ADDIN ZOTERO_ITEM CSL_CITATION {"citationID":"Ahwi4HON","properties":{"formattedCitation":"\\uc0\\u8216{}Lack of Effective Implementation of the Digital Services Act\\uc0\\u8217{} ({\\i{}European Commission - European Commission}) &lt;https://ec.europa.eu/commission/presscorner/detail/en/ip_25_1081&gt; accessed 11 May 2025.","plainCitation":"‘Lack of Effective Implementation of the Digital Services Act’ (European Commission - European Commission) &lt;https://ec.europa.eu/commission/presscorner/detail/en/ip_25_1081&gt; accessed 11 May 2025.","noteIndex":137},"citationItems":[{"id":12024,"uris":["http://zotero.org/users/local/09vVTa11/items/E38KXUCI"],"itemData":{"id":12024,"type":"webpage","abstract":"The European Commission decided to refer Czechia, Spain, Cyprus, Poland and Portugal to the Court of Justice of the European Union.","container-title":"European Commission - European Commission","genre":"Text","language":"en","title":"Lack of effective implementation of the Digital Services Act","URL":"https://ec.europa.eu/commission/presscorner/detail/en/ip_25_1081","accessed":{"date-parts":[["2025",5,11]]}}}],"schema":"https://github.com/citation-style-language/schema/raw/master/csl-citation.json"} </w:instrText>
      </w:r>
      <w:r w:rsidRPr="000D3E55">
        <w:rPr>
          <w:lang w:val="en-GB"/>
        </w:rPr>
        <w:fldChar w:fldCharType="separate"/>
      </w:r>
      <w:r w:rsidRPr="000D3E55">
        <w:rPr>
          <w:rFonts w:ascii="Calibri" w:hAnsi="Calibri" w:cs="Calibri"/>
          <w:kern w:val="0"/>
          <w:lang w:val="en-GB"/>
        </w:rPr>
        <w:t>‘Lack of Effective Implementation of the Digital Services Act’ (</w:t>
      </w:r>
      <w:r w:rsidRPr="000D3E55">
        <w:rPr>
          <w:rFonts w:ascii="Calibri" w:hAnsi="Calibri" w:cs="Calibri"/>
          <w:i/>
          <w:iCs/>
          <w:kern w:val="0"/>
          <w:lang w:val="en-GB"/>
        </w:rPr>
        <w:t>European Commission - European Commission</w:t>
      </w:r>
      <w:r w:rsidRPr="000D3E55">
        <w:rPr>
          <w:rFonts w:ascii="Calibri" w:hAnsi="Calibri" w:cs="Calibri"/>
          <w:kern w:val="0"/>
          <w:lang w:val="en-GB"/>
        </w:rPr>
        <w:t>) &lt;https://ec.europa.eu/commission/presscorner/detail/en/ip_25_1081&gt; accessed 11 May 2025.</w:t>
      </w:r>
      <w:r w:rsidRPr="000D3E55">
        <w:rPr>
          <w:lang w:val="en-GB"/>
        </w:rPr>
        <w:fldChar w:fldCharType="end"/>
      </w:r>
    </w:p>
  </w:footnote>
  <w:footnote w:id="141">
    <w:p w14:paraId="32227672" w14:textId="21EEFFA1" w:rsidR="00791FDC" w:rsidRPr="000D3E55" w:rsidRDefault="00791FDC">
      <w:pPr>
        <w:pStyle w:val="FootnoteText"/>
        <w:rPr>
          <w:lang w:val="en-GB"/>
        </w:rPr>
      </w:pPr>
      <w:r w:rsidRPr="000D3E55">
        <w:rPr>
          <w:rStyle w:val="FootnoteReference"/>
          <w:lang w:val="en-GB"/>
        </w:rPr>
        <w:footnoteRef/>
      </w:r>
      <w:r w:rsidRPr="000D3E55">
        <w:rPr>
          <w:lang w:val="en-GB"/>
        </w:rPr>
        <w:t xml:space="preserve"> </w:t>
      </w:r>
      <w:r w:rsidRPr="000D3E55">
        <w:rPr>
          <w:lang w:val="en-GB"/>
        </w:rPr>
        <w:fldChar w:fldCharType="begin"/>
      </w:r>
      <w:r w:rsidR="0014474F">
        <w:rPr>
          <w:lang w:val="en-GB"/>
        </w:rPr>
        <w:instrText xml:space="preserve"> ADDIN ZOTERO_ITEM CSL_CITATION {"citationID":"shfy1vVM","properties":{"formattedCitation":"See Enforcement Actions under the DSA in Tremau T&amp;S Research Team (n 114).","plainCitation":"See Enforcement Actions under the DSA in Tremau T&amp;S Research Team (n 114).","noteIndex":140},"citationItems":[{"id":12026,"uris":["http://zotero.org/users/local/09vVTa11/items/63USQD43"],"itemData":{"id":12026,"type":"webpage","language":"en","title":"DSA Database","URL":"https://tremau.com/resources/dsa-database/","author":[{"literal":"Tremau T&amp;S Research Team"}],"accessed":{"date-parts":[["2025",5,11]]}},"label":"page","prefix":"See Enforcement Actions under the DSA in"}],"schema":"https://github.com/citation-style-language/schema/raw/master/csl-citation.json"} </w:instrText>
      </w:r>
      <w:r w:rsidRPr="000D3E55">
        <w:rPr>
          <w:lang w:val="en-GB"/>
        </w:rPr>
        <w:fldChar w:fldCharType="separate"/>
      </w:r>
      <w:r w:rsidR="0014474F" w:rsidRPr="0014474F">
        <w:rPr>
          <w:rFonts w:ascii="Calibri" w:hAnsi="Calibri" w:cs="Calibri"/>
        </w:rPr>
        <w:t>See Enforcement Actions under the DSA in Tremau T&amp;S Research Team (n 114).</w:t>
      </w:r>
      <w:r w:rsidRPr="000D3E55">
        <w:rPr>
          <w:lang w:val="en-GB"/>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F34A" w14:textId="1FAA09AE" w:rsidR="00595FDD" w:rsidRPr="0063677B" w:rsidRDefault="00595FDD" w:rsidP="0063677B">
    <w:pPr>
      <w:pStyle w:val="Header"/>
      <w:jc w:val="center"/>
      <w:rPr>
        <w:i/>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75E"/>
    <w:multiLevelType w:val="multilevel"/>
    <w:tmpl w:val="298C534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lowerLetter"/>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CF0AF3"/>
    <w:multiLevelType w:val="hybridMultilevel"/>
    <w:tmpl w:val="8ACC4D98"/>
    <w:lvl w:ilvl="0" w:tplc="85F6AEE8">
      <w:numFmt w:val="bullet"/>
      <w:lvlText w:val="-"/>
      <w:lvlJc w:val="left"/>
      <w:pPr>
        <w:ind w:left="842" w:hanging="360"/>
      </w:pPr>
      <w:rPr>
        <w:rFonts w:ascii="Cambria" w:eastAsia="Times New Roman" w:hAnsi="Cambria" w:cs="Times New Roman"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2" w15:restartNumberingAfterBreak="0">
    <w:nsid w:val="14E82DCD"/>
    <w:multiLevelType w:val="hybridMultilevel"/>
    <w:tmpl w:val="F97A7252"/>
    <w:lvl w:ilvl="0" w:tplc="9BACC0F4">
      <w:numFmt w:val="bullet"/>
      <w:lvlText w:val="-"/>
      <w:lvlJc w:val="left"/>
      <w:pPr>
        <w:ind w:left="842" w:hanging="360"/>
      </w:pPr>
      <w:rPr>
        <w:rFonts w:ascii="Calibri" w:eastAsia="Times New Roman" w:hAnsi="Calibri" w:cs="Calibri"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3" w15:restartNumberingAfterBreak="0">
    <w:nsid w:val="15883195"/>
    <w:multiLevelType w:val="multilevel"/>
    <w:tmpl w:val="CA50D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C84DFF"/>
    <w:multiLevelType w:val="hybridMultilevel"/>
    <w:tmpl w:val="0D2A468A"/>
    <w:lvl w:ilvl="0" w:tplc="9998087E">
      <w:start w:val="14"/>
      <w:numFmt w:val="bullet"/>
      <w:lvlText w:val="-"/>
      <w:lvlJc w:val="left"/>
      <w:pPr>
        <w:ind w:left="842" w:hanging="360"/>
      </w:pPr>
      <w:rPr>
        <w:rFonts w:ascii="Cambria" w:eastAsia="Times New Roman" w:hAnsi="Cambria" w:cs="Times New Roman" w:hint="default"/>
      </w:rPr>
    </w:lvl>
    <w:lvl w:ilvl="1" w:tplc="04050003">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5" w15:restartNumberingAfterBreak="0">
    <w:nsid w:val="183B50C9"/>
    <w:multiLevelType w:val="hybridMultilevel"/>
    <w:tmpl w:val="8B5CE9F4"/>
    <w:lvl w:ilvl="0" w:tplc="D00CD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F04313"/>
    <w:multiLevelType w:val="hybridMultilevel"/>
    <w:tmpl w:val="47423584"/>
    <w:lvl w:ilvl="0" w:tplc="FFFFFFFF">
      <w:start w:val="1"/>
      <w:numFmt w:val="decimal"/>
      <w:lvlText w:val="%1)"/>
      <w:lvlJc w:val="left"/>
      <w:pPr>
        <w:ind w:left="1320" w:hanging="360"/>
      </w:pPr>
      <w:rPr>
        <w:rFonts w:hint="default"/>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45BF7D65"/>
    <w:multiLevelType w:val="hybridMultilevel"/>
    <w:tmpl w:val="455099B2"/>
    <w:lvl w:ilvl="0" w:tplc="A05ED17E">
      <w:start w:val="3"/>
      <w:numFmt w:val="bullet"/>
      <w:lvlText w:val=""/>
      <w:lvlJc w:val="left"/>
      <w:pPr>
        <w:ind w:left="1070" w:hanging="360"/>
      </w:pPr>
      <w:rPr>
        <w:rFonts w:ascii="Wingdings" w:eastAsiaTheme="minorHAnsi" w:hAnsi="Wingdings" w:cstheme="minorBid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8" w15:restartNumberingAfterBreak="0">
    <w:nsid w:val="49A86DFA"/>
    <w:multiLevelType w:val="hybridMultilevel"/>
    <w:tmpl w:val="B636DA84"/>
    <w:lvl w:ilvl="0" w:tplc="424E16F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5E125E"/>
    <w:multiLevelType w:val="hybridMultilevel"/>
    <w:tmpl w:val="F8CC4C70"/>
    <w:lvl w:ilvl="0" w:tplc="965493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8B7355"/>
    <w:multiLevelType w:val="hybridMultilevel"/>
    <w:tmpl w:val="92D81632"/>
    <w:lvl w:ilvl="0" w:tplc="D00CD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B23377"/>
    <w:multiLevelType w:val="hybridMultilevel"/>
    <w:tmpl w:val="2F5C3D36"/>
    <w:lvl w:ilvl="0" w:tplc="D5F6D260">
      <w:start w:val="14"/>
      <w:numFmt w:val="bullet"/>
      <w:lvlText w:val="-"/>
      <w:lvlJc w:val="left"/>
      <w:pPr>
        <w:ind w:left="892" w:hanging="360"/>
      </w:pPr>
      <w:rPr>
        <w:rFonts w:ascii="Cambria" w:eastAsia="Times New Roman" w:hAnsi="Cambria" w:cs="Times New Roman"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12" w15:restartNumberingAfterBreak="0">
    <w:nsid w:val="670D2C82"/>
    <w:multiLevelType w:val="hybridMultilevel"/>
    <w:tmpl w:val="FD0E88E8"/>
    <w:lvl w:ilvl="0" w:tplc="0C7AE474">
      <w:numFmt w:val="bullet"/>
      <w:lvlText w:val="-"/>
      <w:lvlJc w:val="left"/>
      <w:pPr>
        <w:ind w:left="842" w:hanging="360"/>
      </w:pPr>
      <w:rPr>
        <w:rFonts w:ascii="Cambria" w:eastAsia="Times New Roman" w:hAnsi="Cambria" w:cs="Times New Roman"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13" w15:restartNumberingAfterBreak="0">
    <w:nsid w:val="7B0544FE"/>
    <w:multiLevelType w:val="hybridMultilevel"/>
    <w:tmpl w:val="47423584"/>
    <w:lvl w:ilvl="0" w:tplc="DC544512">
      <w:start w:val="1"/>
      <w:numFmt w:val="decimal"/>
      <w:lvlText w:val="%1)"/>
      <w:lvlJc w:val="lef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num w:numId="1" w16cid:durableId="31735935">
    <w:abstractNumId w:val="0"/>
  </w:num>
  <w:num w:numId="2" w16cid:durableId="1483892120">
    <w:abstractNumId w:val="3"/>
  </w:num>
  <w:num w:numId="3" w16cid:durableId="1646280852">
    <w:abstractNumId w:val="8"/>
  </w:num>
  <w:num w:numId="4" w16cid:durableId="2100104325">
    <w:abstractNumId w:val="13"/>
  </w:num>
  <w:num w:numId="5" w16cid:durableId="1905407728">
    <w:abstractNumId w:val="6"/>
  </w:num>
  <w:num w:numId="6" w16cid:durableId="70396398">
    <w:abstractNumId w:val="1"/>
  </w:num>
  <w:num w:numId="7" w16cid:durableId="2068069009">
    <w:abstractNumId w:val="12"/>
  </w:num>
  <w:num w:numId="8" w16cid:durableId="1955091160">
    <w:abstractNumId w:val="11"/>
  </w:num>
  <w:num w:numId="9" w16cid:durableId="32775014">
    <w:abstractNumId w:val="4"/>
  </w:num>
  <w:num w:numId="10" w16cid:durableId="2100712108">
    <w:abstractNumId w:val="9"/>
  </w:num>
  <w:num w:numId="11" w16cid:durableId="1357846945">
    <w:abstractNumId w:val="10"/>
  </w:num>
  <w:num w:numId="12" w16cid:durableId="691951572">
    <w:abstractNumId w:val="5"/>
  </w:num>
  <w:num w:numId="13" w16cid:durableId="1870796863">
    <w:abstractNumId w:val="7"/>
  </w:num>
  <w:num w:numId="14" w16cid:durableId="70159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wMDc1NjcyNTIxNzBS0lEKTi0uzszPAykwNKwFAMhFxNYtAAAA"/>
  </w:docVars>
  <w:rsids>
    <w:rsidRoot w:val="004A6B41"/>
    <w:rsid w:val="00000076"/>
    <w:rsid w:val="0000010D"/>
    <w:rsid w:val="0000018F"/>
    <w:rsid w:val="00000AEF"/>
    <w:rsid w:val="00000BC0"/>
    <w:rsid w:val="00001315"/>
    <w:rsid w:val="00001600"/>
    <w:rsid w:val="00001AD2"/>
    <w:rsid w:val="0000237B"/>
    <w:rsid w:val="00002886"/>
    <w:rsid w:val="00003AA8"/>
    <w:rsid w:val="000048EC"/>
    <w:rsid w:val="00004F28"/>
    <w:rsid w:val="00004F4D"/>
    <w:rsid w:val="0000513D"/>
    <w:rsid w:val="00005579"/>
    <w:rsid w:val="00006C1E"/>
    <w:rsid w:val="00006E10"/>
    <w:rsid w:val="00006F13"/>
    <w:rsid w:val="0000714A"/>
    <w:rsid w:val="000074BF"/>
    <w:rsid w:val="000074DB"/>
    <w:rsid w:val="000076B4"/>
    <w:rsid w:val="0000779F"/>
    <w:rsid w:val="000079BE"/>
    <w:rsid w:val="00007A50"/>
    <w:rsid w:val="00007AC4"/>
    <w:rsid w:val="00007C69"/>
    <w:rsid w:val="00007E55"/>
    <w:rsid w:val="00007E77"/>
    <w:rsid w:val="00010615"/>
    <w:rsid w:val="00010795"/>
    <w:rsid w:val="000108B5"/>
    <w:rsid w:val="00010BA6"/>
    <w:rsid w:val="00010EED"/>
    <w:rsid w:val="0001110B"/>
    <w:rsid w:val="00011143"/>
    <w:rsid w:val="00011568"/>
    <w:rsid w:val="00011F06"/>
    <w:rsid w:val="0001202C"/>
    <w:rsid w:val="00012070"/>
    <w:rsid w:val="00012820"/>
    <w:rsid w:val="0001291A"/>
    <w:rsid w:val="00012C3B"/>
    <w:rsid w:val="00012CE5"/>
    <w:rsid w:val="00013028"/>
    <w:rsid w:val="0001336F"/>
    <w:rsid w:val="000134FA"/>
    <w:rsid w:val="00013507"/>
    <w:rsid w:val="00014916"/>
    <w:rsid w:val="00014D3D"/>
    <w:rsid w:val="000155C6"/>
    <w:rsid w:val="0001574C"/>
    <w:rsid w:val="00016005"/>
    <w:rsid w:val="000161D8"/>
    <w:rsid w:val="0001661B"/>
    <w:rsid w:val="00017B57"/>
    <w:rsid w:val="000201C4"/>
    <w:rsid w:val="0002027E"/>
    <w:rsid w:val="00020397"/>
    <w:rsid w:val="00020550"/>
    <w:rsid w:val="00020600"/>
    <w:rsid w:val="000206DC"/>
    <w:rsid w:val="00020B5D"/>
    <w:rsid w:val="00020CF8"/>
    <w:rsid w:val="00021A69"/>
    <w:rsid w:val="00021FB6"/>
    <w:rsid w:val="00022EFD"/>
    <w:rsid w:val="00022F26"/>
    <w:rsid w:val="00022F81"/>
    <w:rsid w:val="000231C2"/>
    <w:rsid w:val="000233A6"/>
    <w:rsid w:val="00023423"/>
    <w:rsid w:val="00023FE7"/>
    <w:rsid w:val="0002408E"/>
    <w:rsid w:val="00024787"/>
    <w:rsid w:val="0002499D"/>
    <w:rsid w:val="00025BFA"/>
    <w:rsid w:val="00025DD1"/>
    <w:rsid w:val="00026C49"/>
    <w:rsid w:val="00026C97"/>
    <w:rsid w:val="00026F47"/>
    <w:rsid w:val="000273F5"/>
    <w:rsid w:val="000278EE"/>
    <w:rsid w:val="00027995"/>
    <w:rsid w:val="00027B8D"/>
    <w:rsid w:val="00027C4E"/>
    <w:rsid w:val="00027D9C"/>
    <w:rsid w:val="00027EDC"/>
    <w:rsid w:val="00027F39"/>
    <w:rsid w:val="00030119"/>
    <w:rsid w:val="00030199"/>
    <w:rsid w:val="00030B70"/>
    <w:rsid w:val="00031994"/>
    <w:rsid w:val="00031E55"/>
    <w:rsid w:val="00032790"/>
    <w:rsid w:val="00032971"/>
    <w:rsid w:val="00032AE7"/>
    <w:rsid w:val="00033BF5"/>
    <w:rsid w:val="0003423D"/>
    <w:rsid w:val="000342B3"/>
    <w:rsid w:val="0003448C"/>
    <w:rsid w:val="000346E5"/>
    <w:rsid w:val="00034A0A"/>
    <w:rsid w:val="00034FA8"/>
    <w:rsid w:val="000354BE"/>
    <w:rsid w:val="00035528"/>
    <w:rsid w:val="00035D09"/>
    <w:rsid w:val="00036A29"/>
    <w:rsid w:val="00036B49"/>
    <w:rsid w:val="00036C64"/>
    <w:rsid w:val="00036F6F"/>
    <w:rsid w:val="0003731C"/>
    <w:rsid w:val="000374B5"/>
    <w:rsid w:val="000374D5"/>
    <w:rsid w:val="00037521"/>
    <w:rsid w:val="00037B82"/>
    <w:rsid w:val="00037F00"/>
    <w:rsid w:val="0004014B"/>
    <w:rsid w:val="000406B9"/>
    <w:rsid w:val="0004108B"/>
    <w:rsid w:val="00041808"/>
    <w:rsid w:val="00041F25"/>
    <w:rsid w:val="0004230B"/>
    <w:rsid w:val="0004251B"/>
    <w:rsid w:val="00042609"/>
    <w:rsid w:val="00042BA8"/>
    <w:rsid w:val="000433C7"/>
    <w:rsid w:val="000437B4"/>
    <w:rsid w:val="00044434"/>
    <w:rsid w:val="00044C4D"/>
    <w:rsid w:val="00044E57"/>
    <w:rsid w:val="000450D4"/>
    <w:rsid w:val="000452A6"/>
    <w:rsid w:val="0004571E"/>
    <w:rsid w:val="000457D3"/>
    <w:rsid w:val="000459C3"/>
    <w:rsid w:val="00046700"/>
    <w:rsid w:val="00050C1D"/>
    <w:rsid w:val="00050DE9"/>
    <w:rsid w:val="0005103A"/>
    <w:rsid w:val="00051096"/>
    <w:rsid w:val="00051178"/>
    <w:rsid w:val="00051419"/>
    <w:rsid w:val="00051505"/>
    <w:rsid w:val="00051C30"/>
    <w:rsid w:val="00053397"/>
    <w:rsid w:val="00053731"/>
    <w:rsid w:val="00054863"/>
    <w:rsid w:val="00054E25"/>
    <w:rsid w:val="00054ED0"/>
    <w:rsid w:val="000550B7"/>
    <w:rsid w:val="00055137"/>
    <w:rsid w:val="0005546D"/>
    <w:rsid w:val="00055D69"/>
    <w:rsid w:val="0005650C"/>
    <w:rsid w:val="00056753"/>
    <w:rsid w:val="0005689C"/>
    <w:rsid w:val="00056C03"/>
    <w:rsid w:val="000570D2"/>
    <w:rsid w:val="00060EAC"/>
    <w:rsid w:val="00061097"/>
    <w:rsid w:val="000612EF"/>
    <w:rsid w:val="000619ED"/>
    <w:rsid w:val="00061B73"/>
    <w:rsid w:val="00061C8B"/>
    <w:rsid w:val="0006229E"/>
    <w:rsid w:val="00062344"/>
    <w:rsid w:val="00062EB8"/>
    <w:rsid w:val="00062EC9"/>
    <w:rsid w:val="00063021"/>
    <w:rsid w:val="000631F8"/>
    <w:rsid w:val="000637A8"/>
    <w:rsid w:val="00063804"/>
    <w:rsid w:val="00063A45"/>
    <w:rsid w:val="00063A95"/>
    <w:rsid w:val="00063BEB"/>
    <w:rsid w:val="00064222"/>
    <w:rsid w:val="000647D7"/>
    <w:rsid w:val="00064B6D"/>
    <w:rsid w:val="00064D3F"/>
    <w:rsid w:val="00064EE4"/>
    <w:rsid w:val="00065571"/>
    <w:rsid w:val="00065766"/>
    <w:rsid w:val="000660C0"/>
    <w:rsid w:val="00066D2C"/>
    <w:rsid w:val="00066F50"/>
    <w:rsid w:val="000677C2"/>
    <w:rsid w:val="00067A9E"/>
    <w:rsid w:val="00067C56"/>
    <w:rsid w:val="00070AF5"/>
    <w:rsid w:val="0007127B"/>
    <w:rsid w:val="00072467"/>
    <w:rsid w:val="0007250F"/>
    <w:rsid w:val="00073A23"/>
    <w:rsid w:val="00074041"/>
    <w:rsid w:val="000740C2"/>
    <w:rsid w:val="000743D0"/>
    <w:rsid w:val="00074462"/>
    <w:rsid w:val="00075064"/>
    <w:rsid w:val="000758F0"/>
    <w:rsid w:val="00075983"/>
    <w:rsid w:val="00075F4C"/>
    <w:rsid w:val="00076138"/>
    <w:rsid w:val="0007684E"/>
    <w:rsid w:val="00076AA5"/>
    <w:rsid w:val="0007728F"/>
    <w:rsid w:val="00077A9D"/>
    <w:rsid w:val="00080699"/>
    <w:rsid w:val="000808F4"/>
    <w:rsid w:val="0008092B"/>
    <w:rsid w:val="00080A86"/>
    <w:rsid w:val="000815F3"/>
    <w:rsid w:val="000818CE"/>
    <w:rsid w:val="00081A39"/>
    <w:rsid w:val="00081C22"/>
    <w:rsid w:val="000820FA"/>
    <w:rsid w:val="0008261D"/>
    <w:rsid w:val="00082BAD"/>
    <w:rsid w:val="000831B6"/>
    <w:rsid w:val="00083222"/>
    <w:rsid w:val="000832F3"/>
    <w:rsid w:val="000835C2"/>
    <w:rsid w:val="00083B90"/>
    <w:rsid w:val="0008415D"/>
    <w:rsid w:val="000844DB"/>
    <w:rsid w:val="00084774"/>
    <w:rsid w:val="00084ACE"/>
    <w:rsid w:val="00084D9E"/>
    <w:rsid w:val="000854FA"/>
    <w:rsid w:val="00085567"/>
    <w:rsid w:val="00085AFC"/>
    <w:rsid w:val="00085B28"/>
    <w:rsid w:val="000863FF"/>
    <w:rsid w:val="00086A86"/>
    <w:rsid w:val="00087AA7"/>
    <w:rsid w:val="00087EC0"/>
    <w:rsid w:val="0009301A"/>
    <w:rsid w:val="000930D0"/>
    <w:rsid w:val="0009336F"/>
    <w:rsid w:val="00093501"/>
    <w:rsid w:val="00093630"/>
    <w:rsid w:val="0009379C"/>
    <w:rsid w:val="0009391C"/>
    <w:rsid w:val="00093D93"/>
    <w:rsid w:val="00093FA1"/>
    <w:rsid w:val="00094894"/>
    <w:rsid w:val="00094964"/>
    <w:rsid w:val="00094B31"/>
    <w:rsid w:val="00094D85"/>
    <w:rsid w:val="00095663"/>
    <w:rsid w:val="00095903"/>
    <w:rsid w:val="000963CC"/>
    <w:rsid w:val="00096A16"/>
    <w:rsid w:val="00097198"/>
    <w:rsid w:val="00097442"/>
    <w:rsid w:val="0009770E"/>
    <w:rsid w:val="0009773E"/>
    <w:rsid w:val="00097766"/>
    <w:rsid w:val="00097DA0"/>
    <w:rsid w:val="000A04E3"/>
    <w:rsid w:val="000A062A"/>
    <w:rsid w:val="000A06C3"/>
    <w:rsid w:val="000A085B"/>
    <w:rsid w:val="000A098B"/>
    <w:rsid w:val="000A0ED8"/>
    <w:rsid w:val="000A0EF5"/>
    <w:rsid w:val="000A1018"/>
    <w:rsid w:val="000A110A"/>
    <w:rsid w:val="000A137F"/>
    <w:rsid w:val="000A188D"/>
    <w:rsid w:val="000A1B32"/>
    <w:rsid w:val="000A1E72"/>
    <w:rsid w:val="000A1EBA"/>
    <w:rsid w:val="000A2039"/>
    <w:rsid w:val="000A2135"/>
    <w:rsid w:val="000A2431"/>
    <w:rsid w:val="000A427D"/>
    <w:rsid w:val="000A45F6"/>
    <w:rsid w:val="000A489A"/>
    <w:rsid w:val="000A5068"/>
    <w:rsid w:val="000A5180"/>
    <w:rsid w:val="000A5286"/>
    <w:rsid w:val="000A545F"/>
    <w:rsid w:val="000A59AA"/>
    <w:rsid w:val="000A6495"/>
    <w:rsid w:val="000A6CF5"/>
    <w:rsid w:val="000A7156"/>
    <w:rsid w:val="000A74AC"/>
    <w:rsid w:val="000A7F4E"/>
    <w:rsid w:val="000B03CA"/>
    <w:rsid w:val="000B1686"/>
    <w:rsid w:val="000B19BF"/>
    <w:rsid w:val="000B207D"/>
    <w:rsid w:val="000B20A6"/>
    <w:rsid w:val="000B348A"/>
    <w:rsid w:val="000B34C7"/>
    <w:rsid w:val="000B39B3"/>
    <w:rsid w:val="000B3A54"/>
    <w:rsid w:val="000B3C6F"/>
    <w:rsid w:val="000B3F7A"/>
    <w:rsid w:val="000B3FFB"/>
    <w:rsid w:val="000B4158"/>
    <w:rsid w:val="000B42E3"/>
    <w:rsid w:val="000B4B87"/>
    <w:rsid w:val="000B4DA4"/>
    <w:rsid w:val="000B53CC"/>
    <w:rsid w:val="000B5550"/>
    <w:rsid w:val="000B5C77"/>
    <w:rsid w:val="000B5CDD"/>
    <w:rsid w:val="000B5F4E"/>
    <w:rsid w:val="000B5FD0"/>
    <w:rsid w:val="000B60EB"/>
    <w:rsid w:val="000B75C4"/>
    <w:rsid w:val="000B7CED"/>
    <w:rsid w:val="000C00E2"/>
    <w:rsid w:val="000C01A7"/>
    <w:rsid w:val="000C0536"/>
    <w:rsid w:val="000C08DA"/>
    <w:rsid w:val="000C0A93"/>
    <w:rsid w:val="000C0DA3"/>
    <w:rsid w:val="000C14E5"/>
    <w:rsid w:val="000C21C8"/>
    <w:rsid w:val="000C21DC"/>
    <w:rsid w:val="000C2282"/>
    <w:rsid w:val="000C2A0E"/>
    <w:rsid w:val="000C2B62"/>
    <w:rsid w:val="000C2E4E"/>
    <w:rsid w:val="000C30ED"/>
    <w:rsid w:val="000C39F6"/>
    <w:rsid w:val="000C3A09"/>
    <w:rsid w:val="000C3D67"/>
    <w:rsid w:val="000C40A7"/>
    <w:rsid w:val="000C4739"/>
    <w:rsid w:val="000C4907"/>
    <w:rsid w:val="000C56B8"/>
    <w:rsid w:val="000C5F3F"/>
    <w:rsid w:val="000C60AB"/>
    <w:rsid w:val="000C6516"/>
    <w:rsid w:val="000C6588"/>
    <w:rsid w:val="000C6AC7"/>
    <w:rsid w:val="000C6B1D"/>
    <w:rsid w:val="000C6FF6"/>
    <w:rsid w:val="000C718B"/>
    <w:rsid w:val="000C7584"/>
    <w:rsid w:val="000C78EC"/>
    <w:rsid w:val="000C7FA7"/>
    <w:rsid w:val="000C7FF8"/>
    <w:rsid w:val="000D05EF"/>
    <w:rsid w:val="000D0783"/>
    <w:rsid w:val="000D09E2"/>
    <w:rsid w:val="000D1739"/>
    <w:rsid w:val="000D17A9"/>
    <w:rsid w:val="000D1C66"/>
    <w:rsid w:val="000D213A"/>
    <w:rsid w:val="000D21C4"/>
    <w:rsid w:val="000D2625"/>
    <w:rsid w:val="000D2631"/>
    <w:rsid w:val="000D3046"/>
    <w:rsid w:val="000D3893"/>
    <w:rsid w:val="000D39AA"/>
    <w:rsid w:val="000D3DE1"/>
    <w:rsid w:val="000D3E55"/>
    <w:rsid w:val="000D43BB"/>
    <w:rsid w:val="000D485E"/>
    <w:rsid w:val="000D5943"/>
    <w:rsid w:val="000D60CC"/>
    <w:rsid w:val="000D6C2B"/>
    <w:rsid w:val="000D775A"/>
    <w:rsid w:val="000D7810"/>
    <w:rsid w:val="000D790A"/>
    <w:rsid w:val="000D7BE6"/>
    <w:rsid w:val="000D7C51"/>
    <w:rsid w:val="000D7D6E"/>
    <w:rsid w:val="000E02E7"/>
    <w:rsid w:val="000E03E7"/>
    <w:rsid w:val="000E0D1D"/>
    <w:rsid w:val="000E0E15"/>
    <w:rsid w:val="000E0E53"/>
    <w:rsid w:val="000E182F"/>
    <w:rsid w:val="000E1929"/>
    <w:rsid w:val="000E1DB1"/>
    <w:rsid w:val="000E23B6"/>
    <w:rsid w:val="000E2524"/>
    <w:rsid w:val="000E35F2"/>
    <w:rsid w:val="000E3E97"/>
    <w:rsid w:val="000E3F28"/>
    <w:rsid w:val="000E416D"/>
    <w:rsid w:val="000E43FB"/>
    <w:rsid w:val="000E540C"/>
    <w:rsid w:val="000E5A16"/>
    <w:rsid w:val="000E5E44"/>
    <w:rsid w:val="000E6BC6"/>
    <w:rsid w:val="000E6BE0"/>
    <w:rsid w:val="000E6C64"/>
    <w:rsid w:val="000E6CAC"/>
    <w:rsid w:val="000E7786"/>
    <w:rsid w:val="000E7E18"/>
    <w:rsid w:val="000E7F5D"/>
    <w:rsid w:val="000F0469"/>
    <w:rsid w:val="000F0631"/>
    <w:rsid w:val="000F09E2"/>
    <w:rsid w:val="000F13B1"/>
    <w:rsid w:val="000F1A4F"/>
    <w:rsid w:val="000F1F59"/>
    <w:rsid w:val="000F2104"/>
    <w:rsid w:val="000F2620"/>
    <w:rsid w:val="000F2736"/>
    <w:rsid w:val="000F3768"/>
    <w:rsid w:val="000F3BA5"/>
    <w:rsid w:val="000F3C8F"/>
    <w:rsid w:val="000F411E"/>
    <w:rsid w:val="000F41F1"/>
    <w:rsid w:val="000F4CAA"/>
    <w:rsid w:val="000F59B6"/>
    <w:rsid w:val="000F5A9D"/>
    <w:rsid w:val="000F5F93"/>
    <w:rsid w:val="000F61DD"/>
    <w:rsid w:val="000F6264"/>
    <w:rsid w:val="000F650B"/>
    <w:rsid w:val="000F6828"/>
    <w:rsid w:val="000F6838"/>
    <w:rsid w:val="000F68C6"/>
    <w:rsid w:val="000F6AC5"/>
    <w:rsid w:val="000F6CEB"/>
    <w:rsid w:val="000F70A5"/>
    <w:rsid w:val="000F7504"/>
    <w:rsid w:val="000F7C15"/>
    <w:rsid w:val="000F7D9F"/>
    <w:rsid w:val="0010029E"/>
    <w:rsid w:val="00100BCC"/>
    <w:rsid w:val="001014AF"/>
    <w:rsid w:val="00101CC0"/>
    <w:rsid w:val="00101D2F"/>
    <w:rsid w:val="00101F4B"/>
    <w:rsid w:val="0010230D"/>
    <w:rsid w:val="001024CC"/>
    <w:rsid w:val="00102646"/>
    <w:rsid w:val="001028AE"/>
    <w:rsid w:val="00102B61"/>
    <w:rsid w:val="00102D5D"/>
    <w:rsid w:val="00103194"/>
    <w:rsid w:val="001033DB"/>
    <w:rsid w:val="00103CF1"/>
    <w:rsid w:val="00104152"/>
    <w:rsid w:val="00104262"/>
    <w:rsid w:val="001049AC"/>
    <w:rsid w:val="00104A5B"/>
    <w:rsid w:val="00104A92"/>
    <w:rsid w:val="00105204"/>
    <w:rsid w:val="0010520E"/>
    <w:rsid w:val="00106085"/>
    <w:rsid w:val="00106117"/>
    <w:rsid w:val="00106684"/>
    <w:rsid w:val="001067C7"/>
    <w:rsid w:val="00106804"/>
    <w:rsid w:val="00106ACC"/>
    <w:rsid w:val="00106C18"/>
    <w:rsid w:val="00107BC2"/>
    <w:rsid w:val="001102E9"/>
    <w:rsid w:val="0011031F"/>
    <w:rsid w:val="001105C0"/>
    <w:rsid w:val="001110B5"/>
    <w:rsid w:val="00111226"/>
    <w:rsid w:val="00111697"/>
    <w:rsid w:val="001120C5"/>
    <w:rsid w:val="00112500"/>
    <w:rsid w:val="00113805"/>
    <w:rsid w:val="00113849"/>
    <w:rsid w:val="00113859"/>
    <w:rsid w:val="001138F3"/>
    <w:rsid w:val="0011410C"/>
    <w:rsid w:val="001158BF"/>
    <w:rsid w:val="00116009"/>
    <w:rsid w:val="0011601C"/>
    <w:rsid w:val="001164B9"/>
    <w:rsid w:val="001165CB"/>
    <w:rsid w:val="00116768"/>
    <w:rsid w:val="0011686C"/>
    <w:rsid w:val="001169F1"/>
    <w:rsid w:val="0011704C"/>
    <w:rsid w:val="001173D7"/>
    <w:rsid w:val="0011760F"/>
    <w:rsid w:val="00117B4A"/>
    <w:rsid w:val="001201DB"/>
    <w:rsid w:val="001202BD"/>
    <w:rsid w:val="0012035F"/>
    <w:rsid w:val="00120C1C"/>
    <w:rsid w:val="00121447"/>
    <w:rsid w:val="00121A3B"/>
    <w:rsid w:val="00121B4B"/>
    <w:rsid w:val="0012201F"/>
    <w:rsid w:val="00122709"/>
    <w:rsid w:val="00122DCF"/>
    <w:rsid w:val="00122EA4"/>
    <w:rsid w:val="00122F81"/>
    <w:rsid w:val="001235CA"/>
    <w:rsid w:val="0012363C"/>
    <w:rsid w:val="00123718"/>
    <w:rsid w:val="00123A3E"/>
    <w:rsid w:val="00123A6A"/>
    <w:rsid w:val="00123B02"/>
    <w:rsid w:val="00123C1F"/>
    <w:rsid w:val="00123D7F"/>
    <w:rsid w:val="00124103"/>
    <w:rsid w:val="00124230"/>
    <w:rsid w:val="001243CD"/>
    <w:rsid w:val="00124EB5"/>
    <w:rsid w:val="0012523D"/>
    <w:rsid w:val="00125785"/>
    <w:rsid w:val="001259E9"/>
    <w:rsid w:val="00125C0E"/>
    <w:rsid w:val="00125D38"/>
    <w:rsid w:val="00125D8B"/>
    <w:rsid w:val="00126C8B"/>
    <w:rsid w:val="00126E62"/>
    <w:rsid w:val="0012734F"/>
    <w:rsid w:val="0012740D"/>
    <w:rsid w:val="0012792E"/>
    <w:rsid w:val="00127B0E"/>
    <w:rsid w:val="00127B25"/>
    <w:rsid w:val="00127FDD"/>
    <w:rsid w:val="00130236"/>
    <w:rsid w:val="001302A7"/>
    <w:rsid w:val="001304D9"/>
    <w:rsid w:val="00130638"/>
    <w:rsid w:val="00131026"/>
    <w:rsid w:val="00131894"/>
    <w:rsid w:val="00132DD5"/>
    <w:rsid w:val="00132EB4"/>
    <w:rsid w:val="00132EDB"/>
    <w:rsid w:val="00133045"/>
    <w:rsid w:val="001332B8"/>
    <w:rsid w:val="0013394E"/>
    <w:rsid w:val="00133BD3"/>
    <w:rsid w:val="00133EC3"/>
    <w:rsid w:val="001349D7"/>
    <w:rsid w:val="00134B71"/>
    <w:rsid w:val="00134BAA"/>
    <w:rsid w:val="00135406"/>
    <w:rsid w:val="001354D2"/>
    <w:rsid w:val="00135EC5"/>
    <w:rsid w:val="00136220"/>
    <w:rsid w:val="0013640F"/>
    <w:rsid w:val="001367AC"/>
    <w:rsid w:val="001367D2"/>
    <w:rsid w:val="00136B57"/>
    <w:rsid w:val="00136FAE"/>
    <w:rsid w:val="001371DB"/>
    <w:rsid w:val="00137409"/>
    <w:rsid w:val="001376AF"/>
    <w:rsid w:val="001379E5"/>
    <w:rsid w:val="00140004"/>
    <w:rsid w:val="001403A5"/>
    <w:rsid w:val="00140467"/>
    <w:rsid w:val="001406AC"/>
    <w:rsid w:val="0014079F"/>
    <w:rsid w:val="0014098B"/>
    <w:rsid w:val="001414D2"/>
    <w:rsid w:val="00141F4E"/>
    <w:rsid w:val="00141F79"/>
    <w:rsid w:val="0014245C"/>
    <w:rsid w:val="00143341"/>
    <w:rsid w:val="0014366B"/>
    <w:rsid w:val="001437DD"/>
    <w:rsid w:val="00143889"/>
    <w:rsid w:val="001439F5"/>
    <w:rsid w:val="00143AE7"/>
    <w:rsid w:val="0014442C"/>
    <w:rsid w:val="0014474F"/>
    <w:rsid w:val="00144832"/>
    <w:rsid w:val="001451EE"/>
    <w:rsid w:val="001455A3"/>
    <w:rsid w:val="001457B2"/>
    <w:rsid w:val="001459E7"/>
    <w:rsid w:val="001459F8"/>
    <w:rsid w:val="00145A2F"/>
    <w:rsid w:val="0014609D"/>
    <w:rsid w:val="001460CE"/>
    <w:rsid w:val="001462B8"/>
    <w:rsid w:val="00146462"/>
    <w:rsid w:val="00146EC3"/>
    <w:rsid w:val="00147162"/>
    <w:rsid w:val="00147453"/>
    <w:rsid w:val="001474AF"/>
    <w:rsid w:val="00150F3D"/>
    <w:rsid w:val="0015164C"/>
    <w:rsid w:val="0015185B"/>
    <w:rsid w:val="0015187D"/>
    <w:rsid w:val="00152151"/>
    <w:rsid w:val="00152753"/>
    <w:rsid w:val="0015278F"/>
    <w:rsid w:val="00152807"/>
    <w:rsid w:val="0015384E"/>
    <w:rsid w:val="0015426C"/>
    <w:rsid w:val="00154393"/>
    <w:rsid w:val="00154541"/>
    <w:rsid w:val="00154C59"/>
    <w:rsid w:val="0015511F"/>
    <w:rsid w:val="001552B9"/>
    <w:rsid w:val="001554A2"/>
    <w:rsid w:val="00155A51"/>
    <w:rsid w:val="00155B5C"/>
    <w:rsid w:val="0015675D"/>
    <w:rsid w:val="00156B7D"/>
    <w:rsid w:val="00156F72"/>
    <w:rsid w:val="001572CA"/>
    <w:rsid w:val="001572F8"/>
    <w:rsid w:val="001573F0"/>
    <w:rsid w:val="001575D8"/>
    <w:rsid w:val="001576E9"/>
    <w:rsid w:val="001577D5"/>
    <w:rsid w:val="00157AE0"/>
    <w:rsid w:val="00157B44"/>
    <w:rsid w:val="00157CAE"/>
    <w:rsid w:val="00157CF8"/>
    <w:rsid w:val="00157DFA"/>
    <w:rsid w:val="001602E1"/>
    <w:rsid w:val="0016030D"/>
    <w:rsid w:val="0016040B"/>
    <w:rsid w:val="00160592"/>
    <w:rsid w:val="00160ADC"/>
    <w:rsid w:val="00160C0A"/>
    <w:rsid w:val="00160D21"/>
    <w:rsid w:val="00161208"/>
    <w:rsid w:val="0016120B"/>
    <w:rsid w:val="00161737"/>
    <w:rsid w:val="001618B3"/>
    <w:rsid w:val="00162539"/>
    <w:rsid w:val="001625FA"/>
    <w:rsid w:val="00162F74"/>
    <w:rsid w:val="001631F0"/>
    <w:rsid w:val="001632BF"/>
    <w:rsid w:val="00163B31"/>
    <w:rsid w:val="00163CC1"/>
    <w:rsid w:val="00163CDA"/>
    <w:rsid w:val="00163FE2"/>
    <w:rsid w:val="00164573"/>
    <w:rsid w:val="00164A48"/>
    <w:rsid w:val="0016565D"/>
    <w:rsid w:val="00166017"/>
    <w:rsid w:val="00166745"/>
    <w:rsid w:val="00166EB4"/>
    <w:rsid w:val="001671FE"/>
    <w:rsid w:val="001678A7"/>
    <w:rsid w:val="00167AD4"/>
    <w:rsid w:val="0017054F"/>
    <w:rsid w:val="00170689"/>
    <w:rsid w:val="00170A4E"/>
    <w:rsid w:val="00170E5F"/>
    <w:rsid w:val="00171224"/>
    <w:rsid w:val="00171439"/>
    <w:rsid w:val="00171512"/>
    <w:rsid w:val="001716E1"/>
    <w:rsid w:val="00171B44"/>
    <w:rsid w:val="00171ECC"/>
    <w:rsid w:val="0017243A"/>
    <w:rsid w:val="001727A6"/>
    <w:rsid w:val="001727AF"/>
    <w:rsid w:val="00173000"/>
    <w:rsid w:val="001735D1"/>
    <w:rsid w:val="001737B7"/>
    <w:rsid w:val="00173A50"/>
    <w:rsid w:val="00173C8F"/>
    <w:rsid w:val="001742BE"/>
    <w:rsid w:val="00174ECE"/>
    <w:rsid w:val="00175158"/>
    <w:rsid w:val="001751AA"/>
    <w:rsid w:val="001752FE"/>
    <w:rsid w:val="001756AC"/>
    <w:rsid w:val="00175D75"/>
    <w:rsid w:val="00175F0C"/>
    <w:rsid w:val="001760F0"/>
    <w:rsid w:val="001766C2"/>
    <w:rsid w:val="00176ED9"/>
    <w:rsid w:val="0017715A"/>
    <w:rsid w:val="00177387"/>
    <w:rsid w:val="00177F9E"/>
    <w:rsid w:val="0018009F"/>
    <w:rsid w:val="00180420"/>
    <w:rsid w:val="0018046C"/>
    <w:rsid w:val="00180835"/>
    <w:rsid w:val="00180A20"/>
    <w:rsid w:val="0018139F"/>
    <w:rsid w:val="001814C7"/>
    <w:rsid w:val="001816BD"/>
    <w:rsid w:val="001823AC"/>
    <w:rsid w:val="0018274E"/>
    <w:rsid w:val="001830DB"/>
    <w:rsid w:val="001830F1"/>
    <w:rsid w:val="0018339B"/>
    <w:rsid w:val="0018339D"/>
    <w:rsid w:val="001834EC"/>
    <w:rsid w:val="0018377C"/>
    <w:rsid w:val="00183D11"/>
    <w:rsid w:val="001849EC"/>
    <w:rsid w:val="00184BA9"/>
    <w:rsid w:val="00184F2A"/>
    <w:rsid w:val="001851C1"/>
    <w:rsid w:val="0018522B"/>
    <w:rsid w:val="00185C78"/>
    <w:rsid w:val="00185E20"/>
    <w:rsid w:val="00186483"/>
    <w:rsid w:val="0018649C"/>
    <w:rsid w:val="0018664D"/>
    <w:rsid w:val="00187698"/>
    <w:rsid w:val="00187FBA"/>
    <w:rsid w:val="00190016"/>
    <w:rsid w:val="00190BCD"/>
    <w:rsid w:val="0019161E"/>
    <w:rsid w:val="001918F0"/>
    <w:rsid w:val="00191932"/>
    <w:rsid w:val="00191CE8"/>
    <w:rsid w:val="00191E21"/>
    <w:rsid w:val="0019252A"/>
    <w:rsid w:val="00192DA3"/>
    <w:rsid w:val="00192E79"/>
    <w:rsid w:val="001930F6"/>
    <w:rsid w:val="00193373"/>
    <w:rsid w:val="00193AE8"/>
    <w:rsid w:val="00194587"/>
    <w:rsid w:val="0019461A"/>
    <w:rsid w:val="001946F8"/>
    <w:rsid w:val="001947A3"/>
    <w:rsid w:val="00194D97"/>
    <w:rsid w:val="0019503C"/>
    <w:rsid w:val="0019554D"/>
    <w:rsid w:val="00195AB6"/>
    <w:rsid w:val="00195B98"/>
    <w:rsid w:val="00195C36"/>
    <w:rsid w:val="00195E68"/>
    <w:rsid w:val="00195EB4"/>
    <w:rsid w:val="00195F77"/>
    <w:rsid w:val="00196074"/>
    <w:rsid w:val="00196F2A"/>
    <w:rsid w:val="00196F4A"/>
    <w:rsid w:val="00196F9A"/>
    <w:rsid w:val="001972B5"/>
    <w:rsid w:val="00197A05"/>
    <w:rsid w:val="001A0275"/>
    <w:rsid w:val="001A1528"/>
    <w:rsid w:val="001A189D"/>
    <w:rsid w:val="001A1D0C"/>
    <w:rsid w:val="001A1DEB"/>
    <w:rsid w:val="001A1EE5"/>
    <w:rsid w:val="001A20DD"/>
    <w:rsid w:val="001A2738"/>
    <w:rsid w:val="001A2A46"/>
    <w:rsid w:val="001A2ACE"/>
    <w:rsid w:val="001A3095"/>
    <w:rsid w:val="001A3DDA"/>
    <w:rsid w:val="001A3F92"/>
    <w:rsid w:val="001A465D"/>
    <w:rsid w:val="001A49F5"/>
    <w:rsid w:val="001A4A85"/>
    <w:rsid w:val="001A55CA"/>
    <w:rsid w:val="001A656C"/>
    <w:rsid w:val="001A690B"/>
    <w:rsid w:val="001A6E90"/>
    <w:rsid w:val="001A6F32"/>
    <w:rsid w:val="001A71FD"/>
    <w:rsid w:val="001A7694"/>
    <w:rsid w:val="001A7D63"/>
    <w:rsid w:val="001A7F05"/>
    <w:rsid w:val="001B00B7"/>
    <w:rsid w:val="001B0374"/>
    <w:rsid w:val="001B058C"/>
    <w:rsid w:val="001B0C1B"/>
    <w:rsid w:val="001B0E61"/>
    <w:rsid w:val="001B0F4A"/>
    <w:rsid w:val="001B1241"/>
    <w:rsid w:val="001B13AB"/>
    <w:rsid w:val="001B1660"/>
    <w:rsid w:val="001B1768"/>
    <w:rsid w:val="001B1AAC"/>
    <w:rsid w:val="001B1B25"/>
    <w:rsid w:val="001B2217"/>
    <w:rsid w:val="001B22A1"/>
    <w:rsid w:val="001B25A1"/>
    <w:rsid w:val="001B2DCC"/>
    <w:rsid w:val="001B32C7"/>
    <w:rsid w:val="001B3385"/>
    <w:rsid w:val="001B3792"/>
    <w:rsid w:val="001B3FA2"/>
    <w:rsid w:val="001B4363"/>
    <w:rsid w:val="001B5306"/>
    <w:rsid w:val="001B5F39"/>
    <w:rsid w:val="001B6660"/>
    <w:rsid w:val="001B7085"/>
    <w:rsid w:val="001B71FA"/>
    <w:rsid w:val="001B7591"/>
    <w:rsid w:val="001B79BF"/>
    <w:rsid w:val="001B79C6"/>
    <w:rsid w:val="001B7BAA"/>
    <w:rsid w:val="001C0034"/>
    <w:rsid w:val="001C0087"/>
    <w:rsid w:val="001C010E"/>
    <w:rsid w:val="001C021C"/>
    <w:rsid w:val="001C052D"/>
    <w:rsid w:val="001C0834"/>
    <w:rsid w:val="001C0A28"/>
    <w:rsid w:val="001C0A2A"/>
    <w:rsid w:val="001C0B94"/>
    <w:rsid w:val="001C0F42"/>
    <w:rsid w:val="001C18C1"/>
    <w:rsid w:val="001C1902"/>
    <w:rsid w:val="001C1DA9"/>
    <w:rsid w:val="001C1FFF"/>
    <w:rsid w:val="001C2034"/>
    <w:rsid w:val="001C2669"/>
    <w:rsid w:val="001C2FC6"/>
    <w:rsid w:val="001C309B"/>
    <w:rsid w:val="001C37F7"/>
    <w:rsid w:val="001C3FD8"/>
    <w:rsid w:val="001C4415"/>
    <w:rsid w:val="001C47A7"/>
    <w:rsid w:val="001C483D"/>
    <w:rsid w:val="001C4B72"/>
    <w:rsid w:val="001C5B1E"/>
    <w:rsid w:val="001C6014"/>
    <w:rsid w:val="001C65E0"/>
    <w:rsid w:val="001C7145"/>
    <w:rsid w:val="001C7763"/>
    <w:rsid w:val="001C7D83"/>
    <w:rsid w:val="001C7E2F"/>
    <w:rsid w:val="001D001D"/>
    <w:rsid w:val="001D0103"/>
    <w:rsid w:val="001D0106"/>
    <w:rsid w:val="001D0535"/>
    <w:rsid w:val="001D0BB4"/>
    <w:rsid w:val="001D0BE0"/>
    <w:rsid w:val="001D15C9"/>
    <w:rsid w:val="001D16A3"/>
    <w:rsid w:val="001D179B"/>
    <w:rsid w:val="001D182D"/>
    <w:rsid w:val="001D1FE3"/>
    <w:rsid w:val="001D26FF"/>
    <w:rsid w:val="001D27F9"/>
    <w:rsid w:val="001D2B3B"/>
    <w:rsid w:val="001D3602"/>
    <w:rsid w:val="001D3671"/>
    <w:rsid w:val="001D3FE8"/>
    <w:rsid w:val="001D41DB"/>
    <w:rsid w:val="001D4279"/>
    <w:rsid w:val="001D4F25"/>
    <w:rsid w:val="001D50A6"/>
    <w:rsid w:val="001D513F"/>
    <w:rsid w:val="001D543C"/>
    <w:rsid w:val="001D5526"/>
    <w:rsid w:val="001D58CE"/>
    <w:rsid w:val="001D5976"/>
    <w:rsid w:val="001D5CFC"/>
    <w:rsid w:val="001D5FB1"/>
    <w:rsid w:val="001D60E0"/>
    <w:rsid w:val="001D622A"/>
    <w:rsid w:val="001D6269"/>
    <w:rsid w:val="001D632B"/>
    <w:rsid w:val="001D64BF"/>
    <w:rsid w:val="001D68AA"/>
    <w:rsid w:val="001D7126"/>
    <w:rsid w:val="001D796D"/>
    <w:rsid w:val="001D79A1"/>
    <w:rsid w:val="001D7B22"/>
    <w:rsid w:val="001D7D00"/>
    <w:rsid w:val="001D7DA5"/>
    <w:rsid w:val="001E0EDA"/>
    <w:rsid w:val="001E10F9"/>
    <w:rsid w:val="001E1227"/>
    <w:rsid w:val="001E1CF7"/>
    <w:rsid w:val="001E1D83"/>
    <w:rsid w:val="001E1F9E"/>
    <w:rsid w:val="001E2850"/>
    <w:rsid w:val="001E2C68"/>
    <w:rsid w:val="001E3059"/>
    <w:rsid w:val="001E35DB"/>
    <w:rsid w:val="001E4168"/>
    <w:rsid w:val="001E47CF"/>
    <w:rsid w:val="001E4C40"/>
    <w:rsid w:val="001E4F88"/>
    <w:rsid w:val="001E4FF5"/>
    <w:rsid w:val="001E5123"/>
    <w:rsid w:val="001E53E2"/>
    <w:rsid w:val="001E586D"/>
    <w:rsid w:val="001E628F"/>
    <w:rsid w:val="001E63F1"/>
    <w:rsid w:val="001E65ED"/>
    <w:rsid w:val="001E6653"/>
    <w:rsid w:val="001E6814"/>
    <w:rsid w:val="001E6D7C"/>
    <w:rsid w:val="001E70BC"/>
    <w:rsid w:val="001E728F"/>
    <w:rsid w:val="001E759F"/>
    <w:rsid w:val="001E76F5"/>
    <w:rsid w:val="001E7BE4"/>
    <w:rsid w:val="001E7E21"/>
    <w:rsid w:val="001F00E0"/>
    <w:rsid w:val="001F0608"/>
    <w:rsid w:val="001F0945"/>
    <w:rsid w:val="001F0962"/>
    <w:rsid w:val="001F0A32"/>
    <w:rsid w:val="001F1309"/>
    <w:rsid w:val="001F15A3"/>
    <w:rsid w:val="001F1AA2"/>
    <w:rsid w:val="001F1B37"/>
    <w:rsid w:val="001F1C7E"/>
    <w:rsid w:val="001F2510"/>
    <w:rsid w:val="001F2617"/>
    <w:rsid w:val="001F2AEE"/>
    <w:rsid w:val="001F2BA6"/>
    <w:rsid w:val="001F2DB7"/>
    <w:rsid w:val="001F2EBC"/>
    <w:rsid w:val="001F2F6D"/>
    <w:rsid w:val="001F31B3"/>
    <w:rsid w:val="001F31F4"/>
    <w:rsid w:val="001F3505"/>
    <w:rsid w:val="001F3AEC"/>
    <w:rsid w:val="001F3CC3"/>
    <w:rsid w:val="001F3D52"/>
    <w:rsid w:val="001F3FD6"/>
    <w:rsid w:val="001F4522"/>
    <w:rsid w:val="001F4FE3"/>
    <w:rsid w:val="001F51B9"/>
    <w:rsid w:val="001F52D1"/>
    <w:rsid w:val="001F5AEE"/>
    <w:rsid w:val="001F614D"/>
    <w:rsid w:val="001F6529"/>
    <w:rsid w:val="001F6609"/>
    <w:rsid w:val="001F668E"/>
    <w:rsid w:val="001F6FFF"/>
    <w:rsid w:val="001F7246"/>
    <w:rsid w:val="001F7328"/>
    <w:rsid w:val="001F7428"/>
    <w:rsid w:val="001F7995"/>
    <w:rsid w:val="001F7D82"/>
    <w:rsid w:val="001F7EB0"/>
    <w:rsid w:val="001F7FA3"/>
    <w:rsid w:val="00200029"/>
    <w:rsid w:val="00200221"/>
    <w:rsid w:val="002007F5"/>
    <w:rsid w:val="00200915"/>
    <w:rsid w:val="00200CBD"/>
    <w:rsid w:val="0020108E"/>
    <w:rsid w:val="002012AD"/>
    <w:rsid w:val="00201CFD"/>
    <w:rsid w:val="00201DB8"/>
    <w:rsid w:val="002023C7"/>
    <w:rsid w:val="002024EA"/>
    <w:rsid w:val="00202B16"/>
    <w:rsid w:val="00202D5B"/>
    <w:rsid w:val="00202F6C"/>
    <w:rsid w:val="00202FDA"/>
    <w:rsid w:val="00203297"/>
    <w:rsid w:val="002035B1"/>
    <w:rsid w:val="002035B5"/>
    <w:rsid w:val="00203634"/>
    <w:rsid w:val="002037A6"/>
    <w:rsid w:val="00203848"/>
    <w:rsid w:val="00203E4C"/>
    <w:rsid w:val="00204131"/>
    <w:rsid w:val="0020544E"/>
    <w:rsid w:val="00205891"/>
    <w:rsid w:val="00205ACA"/>
    <w:rsid w:val="00206780"/>
    <w:rsid w:val="00206A13"/>
    <w:rsid w:val="00206DA3"/>
    <w:rsid w:val="00206E6A"/>
    <w:rsid w:val="002072F1"/>
    <w:rsid w:val="00207318"/>
    <w:rsid w:val="0020786C"/>
    <w:rsid w:val="00210C45"/>
    <w:rsid w:val="00210D6D"/>
    <w:rsid w:val="002114EB"/>
    <w:rsid w:val="002117B0"/>
    <w:rsid w:val="00212201"/>
    <w:rsid w:val="0021295D"/>
    <w:rsid w:val="00212F59"/>
    <w:rsid w:val="002130B8"/>
    <w:rsid w:val="0021489C"/>
    <w:rsid w:val="002148BF"/>
    <w:rsid w:val="00214E79"/>
    <w:rsid w:val="00215003"/>
    <w:rsid w:val="0021585F"/>
    <w:rsid w:val="00215923"/>
    <w:rsid w:val="00215AC8"/>
    <w:rsid w:val="00216214"/>
    <w:rsid w:val="00216282"/>
    <w:rsid w:val="002166A1"/>
    <w:rsid w:val="00216E2E"/>
    <w:rsid w:val="00216EBB"/>
    <w:rsid w:val="002172DF"/>
    <w:rsid w:val="002175D3"/>
    <w:rsid w:val="002176FE"/>
    <w:rsid w:val="00217FE2"/>
    <w:rsid w:val="002204F3"/>
    <w:rsid w:val="00220595"/>
    <w:rsid w:val="0022065E"/>
    <w:rsid w:val="002206EE"/>
    <w:rsid w:val="002209C0"/>
    <w:rsid w:val="00220E76"/>
    <w:rsid w:val="00220E98"/>
    <w:rsid w:val="00220EE8"/>
    <w:rsid w:val="00221E16"/>
    <w:rsid w:val="00221FE5"/>
    <w:rsid w:val="002224C0"/>
    <w:rsid w:val="00222616"/>
    <w:rsid w:val="0022261C"/>
    <w:rsid w:val="0022294F"/>
    <w:rsid w:val="0022362D"/>
    <w:rsid w:val="00223CAE"/>
    <w:rsid w:val="002241CA"/>
    <w:rsid w:val="002249A0"/>
    <w:rsid w:val="00224DE2"/>
    <w:rsid w:val="00225463"/>
    <w:rsid w:val="00225652"/>
    <w:rsid w:val="00226CCA"/>
    <w:rsid w:val="00227176"/>
    <w:rsid w:val="002274F4"/>
    <w:rsid w:val="00230E6D"/>
    <w:rsid w:val="00231776"/>
    <w:rsid w:val="00231DCC"/>
    <w:rsid w:val="00232020"/>
    <w:rsid w:val="002321FE"/>
    <w:rsid w:val="002324F7"/>
    <w:rsid w:val="00233214"/>
    <w:rsid w:val="002334DA"/>
    <w:rsid w:val="00233847"/>
    <w:rsid w:val="00233968"/>
    <w:rsid w:val="00233A85"/>
    <w:rsid w:val="00233C39"/>
    <w:rsid w:val="00233D2D"/>
    <w:rsid w:val="002340C6"/>
    <w:rsid w:val="0023413F"/>
    <w:rsid w:val="0023461C"/>
    <w:rsid w:val="0023507C"/>
    <w:rsid w:val="002354E8"/>
    <w:rsid w:val="00235A28"/>
    <w:rsid w:val="00235C45"/>
    <w:rsid w:val="00235F8E"/>
    <w:rsid w:val="002362A7"/>
    <w:rsid w:val="00236A96"/>
    <w:rsid w:val="00236E2C"/>
    <w:rsid w:val="00237303"/>
    <w:rsid w:val="00237643"/>
    <w:rsid w:val="0023769F"/>
    <w:rsid w:val="00240077"/>
    <w:rsid w:val="00240455"/>
    <w:rsid w:val="00240FC0"/>
    <w:rsid w:val="002412CD"/>
    <w:rsid w:val="002412DA"/>
    <w:rsid w:val="00241DA8"/>
    <w:rsid w:val="00241FF5"/>
    <w:rsid w:val="00242B85"/>
    <w:rsid w:val="00242F9C"/>
    <w:rsid w:val="00243D25"/>
    <w:rsid w:val="00243DA8"/>
    <w:rsid w:val="0024422B"/>
    <w:rsid w:val="002448F6"/>
    <w:rsid w:val="00244EC7"/>
    <w:rsid w:val="00245144"/>
    <w:rsid w:val="00245217"/>
    <w:rsid w:val="00245541"/>
    <w:rsid w:val="0024562D"/>
    <w:rsid w:val="002459E3"/>
    <w:rsid w:val="00245ACB"/>
    <w:rsid w:val="00247011"/>
    <w:rsid w:val="00247E00"/>
    <w:rsid w:val="002505A9"/>
    <w:rsid w:val="002507F0"/>
    <w:rsid w:val="00250CAC"/>
    <w:rsid w:val="00250D90"/>
    <w:rsid w:val="00250E64"/>
    <w:rsid w:val="002510E3"/>
    <w:rsid w:val="002513ED"/>
    <w:rsid w:val="00251CE1"/>
    <w:rsid w:val="00252173"/>
    <w:rsid w:val="0025243E"/>
    <w:rsid w:val="002526BD"/>
    <w:rsid w:val="0025275D"/>
    <w:rsid w:val="00252A10"/>
    <w:rsid w:val="0025344C"/>
    <w:rsid w:val="002538D2"/>
    <w:rsid w:val="002538FC"/>
    <w:rsid w:val="00253A4F"/>
    <w:rsid w:val="00253FC3"/>
    <w:rsid w:val="00254211"/>
    <w:rsid w:val="00254470"/>
    <w:rsid w:val="00254757"/>
    <w:rsid w:val="00254AD1"/>
    <w:rsid w:val="00255269"/>
    <w:rsid w:val="00255938"/>
    <w:rsid w:val="0025657E"/>
    <w:rsid w:val="00256CAA"/>
    <w:rsid w:val="00257A39"/>
    <w:rsid w:val="00257BFD"/>
    <w:rsid w:val="00257E9D"/>
    <w:rsid w:val="00260025"/>
    <w:rsid w:val="0026043E"/>
    <w:rsid w:val="002605EC"/>
    <w:rsid w:val="0026122F"/>
    <w:rsid w:val="00261988"/>
    <w:rsid w:val="00261D3D"/>
    <w:rsid w:val="00261D99"/>
    <w:rsid w:val="0026215A"/>
    <w:rsid w:val="00262563"/>
    <w:rsid w:val="002629C4"/>
    <w:rsid w:val="002638DD"/>
    <w:rsid w:val="0026413A"/>
    <w:rsid w:val="00264461"/>
    <w:rsid w:val="002646D9"/>
    <w:rsid w:val="002647B1"/>
    <w:rsid w:val="00264D89"/>
    <w:rsid w:val="00264E99"/>
    <w:rsid w:val="00264F00"/>
    <w:rsid w:val="002650B5"/>
    <w:rsid w:val="002661BB"/>
    <w:rsid w:val="00266519"/>
    <w:rsid w:val="00266F24"/>
    <w:rsid w:val="002673F9"/>
    <w:rsid w:val="00267578"/>
    <w:rsid w:val="0026791F"/>
    <w:rsid w:val="00267CB2"/>
    <w:rsid w:val="00267D4F"/>
    <w:rsid w:val="00267E1E"/>
    <w:rsid w:val="00270712"/>
    <w:rsid w:val="002708DC"/>
    <w:rsid w:val="00270CEA"/>
    <w:rsid w:val="00270EC6"/>
    <w:rsid w:val="00270F4E"/>
    <w:rsid w:val="00271ABE"/>
    <w:rsid w:val="00271F42"/>
    <w:rsid w:val="00272BF2"/>
    <w:rsid w:val="0027360A"/>
    <w:rsid w:val="00273745"/>
    <w:rsid w:val="002740F0"/>
    <w:rsid w:val="00274272"/>
    <w:rsid w:val="002746B3"/>
    <w:rsid w:val="00274C3A"/>
    <w:rsid w:val="00274DB0"/>
    <w:rsid w:val="00275022"/>
    <w:rsid w:val="00275750"/>
    <w:rsid w:val="00275782"/>
    <w:rsid w:val="00275905"/>
    <w:rsid w:val="00275E85"/>
    <w:rsid w:val="00275EB7"/>
    <w:rsid w:val="00276785"/>
    <w:rsid w:val="00276F08"/>
    <w:rsid w:val="002771ED"/>
    <w:rsid w:val="00277A7A"/>
    <w:rsid w:val="00280851"/>
    <w:rsid w:val="00280AE0"/>
    <w:rsid w:val="00280B9B"/>
    <w:rsid w:val="00280BD7"/>
    <w:rsid w:val="0028167B"/>
    <w:rsid w:val="00281749"/>
    <w:rsid w:val="00282337"/>
    <w:rsid w:val="002828DC"/>
    <w:rsid w:val="00282CEA"/>
    <w:rsid w:val="00282E0E"/>
    <w:rsid w:val="00282F88"/>
    <w:rsid w:val="00283214"/>
    <w:rsid w:val="00283417"/>
    <w:rsid w:val="0028360E"/>
    <w:rsid w:val="00283718"/>
    <w:rsid w:val="00283892"/>
    <w:rsid w:val="00283A39"/>
    <w:rsid w:val="00283B65"/>
    <w:rsid w:val="00284740"/>
    <w:rsid w:val="00284B74"/>
    <w:rsid w:val="00284C8E"/>
    <w:rsid w:val="00284D3B"/>
    <w:rsid w:val="00284ECB"/>
    <w:rsid w:val="00285355"/>
    <w:rsid w:val="00285AD1"/>
    <w:rsid w:val="00285AD7"/>
    <w:rsid w:val="0028630C"/>
    <w:rsid w:val="00286B38"/>
    <w:rsid w:val="00286C4E"/>
    <w:rsid w:val="00286F35"/>
    <w:rsid w:val="00287265"/>
    <w:rsid w:val="002873A9"/>
    <w:rsid w:val="00287773"/>
    <w:rsid w:val="00290106"/>
    <w:rsid w:val="00290506"/>
    <w:rsid w:val="002907A7"/>
    <w:rsid w:val="00290FC1"/>
    <w:rsid w:val="0029128D"/>
    <w:rsid w:val="00291624"/>
    <w:rsid w:val="00291B55"/>
    <w:rsid w:val="00292255"/>
    <w:rsid w:val="00292D52"/>
    <w:rsid w:val="00292FF0"/>
    <w:rsid w:val="002932E7"/>
    <w:rsid w:val="002934BD"/>
    <w:rsid w:val="002937A1"/>
    <w:rsid w:val="002943C9"/>
    <w:rsid w:val="002944C2"/>
    <w:rsid w:val="00294544"/>
    <w:rsid w:val="00294C36"/>
    <w:rsid w:val="002954D7"/>
    <w:rsid w:val="00296BC5"/>
    <w:rsid w:val="00297024"/>
    <w:rsid w:val="002971EF"/>
    <w:rsid w:val="0029748A"/>
    <w:rsid w:val="00297543"/>
    <w:rsid w:val="00297557"/>
    <w:rsid w:val="00297688"/>
    <w:rsid w:val="002978FD"/>
    <w:rsid w:val="00297C87"/>
    <w:rsid w:val="00297F2F"/>
    <w:rsid w:val="002A0145"/>
    <w:rsid w:val="002A0285"/>
    <w:rsid w:val="002A037C"/>
    <w:rsid w:val="002A0B71"/>
    <w:rsid w:val="002A12ED"/>
    <w:rsid w:val="002A17F1"/>
    <w:rsid w:val="002A1C60"/>
    <w:rsid w:val="002A266C"/>
    <w:rsid w:val="002A2FC5"/>
    <w:rsid w:val="002A30DD"/>
    <w:rsid w:val="002A3133"/>
    <w:rsid w:val="002A330E"/>
    <w:rsid w:val="002A3524"/>
    <w:rsid w:val="002A3620"/>
    <w:rsid w:val="002A43C0"/>
    <w:rsid w:val="002A458D"/>
    <w:rsid w:val="002A487B"/>
    <w:rsid w:val="002A5703"/>
    <w:rsid w:val="002A5956"/>
    <w:rsid w:val="002A5CFD"/>
    <w:rsid w:val="002A605C"/>
    <w:rsid w:val="002A68FC"/>
    <w:rsid w:val="002A6B3D"/>
    <w:rsid w:val="002A6EFD"/>
    <w:rsid w:val="002A74B5"/>
    <w:rsid w:val="002A7697"/>
    <w:rsid w:val="002A77D4"/>
    <w:rsid w:val="002A7B6E"/>
    <w:rsid w:val="002B131C"/>
    <w:rsid w:val="002B14FC"/>
    <w:rsid w:val="002B1789"/>
    <w:rsid w:val="002B185B"/>
    <w:rsid w:val="002B1E12"/>
    <w:rsid w:val="002B206F"/>
    <w:rsid w:val="002B2511"/>
    <w:rsid w:val="002B288F"/>
    <w:rsid w:val="002B291D"/>
    <w:rsid w:val="002B2AA8"/>
    <w:rsid w:val="002B2AC1"/>
    <w:rsid w:val="002B3390"/>
    <w:rsid w:val="002B34A9"/>
    <w:rsid w:val="002B3577"/>
    <w:rsid w:val="002B35EF"/>
    <w:rsid w:val="002B3857"/>
    <w:rsid w:val="002B3E17"/>
    <w:rsid w:val="002B4954"/>
    <w:rsid w:val="002B4A79"/>
    <w:rsid w:val="002B4E4E"/>
    <w:rsid w:val="002B554A"/>
    <w:rsid w:val="002B555A"/>
    <w:rsid w:val="002B5D2F"/>
    <w:rsid w:val="002B67FC"/>
    <w:rsid w:val="002B6A2C"/>
    <w:rsid w:val="002B6FFB"/>
    <w:rsid w:val="002B76FA"/>
    <w:rsid w:val="002B7AE5"/>
    <w:rsid w:val="002B7C42"/>
    <w:rsid w:val="002C0589"/>
    <w:rsid w:val="002C064E"/>
    <w:rsid w:val="002C12AB"/>
    <w:rsid w:val="002C13CE"/>
    <w:rsid w:val="002C1484"/>
    <w:rsid w:val="002C1B29"/>
    <w:rsid w:val="002C2389"/>
    <w:rsid w:val="002C28E1"/>
    <w:rsid w:val="002C2D35"/>
    <w:rsid w:val="002C2F46"/>
    <w:rsid w:val="002C2FBC"/>
    <w:rsid w:val="002C3080"/>
    <w:rsid w:val="002C32C3"/>
    <w:rsid w:val="002C38CA"/>
    <w:rsid w:val="002C38DD"/>
    <w:rsid w:val="002C3C41"/>
    <w:rsid w:val="002C4219"/>
    <w:rsid w:val="002C4C11"/>
    <w:rsid w:val="002C4C96"/>
    <w:rsid w:val="002C4C9B"/>
    <w:rsid w:val="002C4D7E"/>
    <w:rsid w:val="002C50AA"/>
    <w:rsid w:val="002C5169"/>
    <w:rsid w:val="002C52E5"/>
    <w:rsid w:val="002C5D7B"/>
    <w:rsid w:val="002C5E47"/>
    <w:rsid w:val="002C613B"/>
    <w:rsid w:val="002C67B3"/>
    <w:rsid w:val="002C6842"/>
    <w:rsid w:val="002C6912"/>
    <w:rsid w:val="002C69B8"/>
    <w:rsid w:val="002C6AB1"/>
    <w:rsid w:val="002C6BD8"/>
    <w:rsid w:val="002C6CA6"/>
    <w:rsid w:val="002C7308"/>
    <w:rsid w:val="002C7574"/>
    <w:rsid w:val="002D0106"/>
    <w:rsid w:val="002D0E83"/>
    <w:rsid w:val="002D1230"/>
    <w:rsid w:val="002D19A9"/>
    <w:rsid w:val="002D1EAD"/>
    <w:rsid w:val="002D246F"/>
    <w:rsid w:val="002D2573"/>
    <w:rsid w:val="002D2C43"/>
    <w:rsid w:val="002D3910"/>
    <w:rsid w:val="002D3936"/>
    <w:rsid w:val="002D3B27"/>
    <w:rsid w:val="002D4296"/>
    <w:rsid w:val="002D4593"/>
    <w:rsid w:val="002D483C"/>
    <w:rsid w:val="002D4B97"/>
    <w:rsid w:val="002D4D80"/>
    <w:rsid w:val="002D54F3"/>
    <w:rsid w:val="002D5985"/>
    <w:rsid w:val="002D6116"/>
    <w:rsid w:val="002D64A4"/>
    <w:rsid w:val="002D68C3"/>
    <w:rsid w:val="002D72DE"/>
    <w:rsid w:val="002D76DF"/>
    <w:rsid w:val="002D7861"/>
    <w:rsid w:val="002D7FA8"/>
    <w:rsid w:val="002E029E"/>
    <w:rsid w:val="002E083E"/>
    <w:rsid w:val="002E0922"/>
    <w:rsid w:val="002E0C56"/>
    <w:rsid w:val="002E0D3E"/>
    <w:rsid w:val="002E13B5"/>
    <w:rsid w:val="002E13F1"/>
    <w:rsid w:val="002E152E"/>
    <w:rsid w:val="002E18E4"/>
    <w:rsid w:val="002E190C"/>
    <w:rsid w:val="002E1DDF"/>
    <w:rsid w:val="002E2247"/>
    <w:rsid w:val="002E2539"/>
    <w:rsid w:val="002E2A8F"/>
    <w:rsid w:val="002E3A36"/>
    <w:rsid w:val="002E3D87"/>
    <w:rsid w:val="002E3E9C"/>
    <w:rsid w:val="002E3F48"/>
    <w:rsid w:val="002E406B"/>
    <w:rsid w:val="002E430B"/>
    <w:rsid w:val="002E4333"/>
    <w:rsid w:val="002E4D5E"/>
    <w:rsid w:val="002E5069"/>
    <w:rsid w:val="002E5225"/>
    <w:rsid w:val="002E55BB"/>
    <w:rsid w:val="002E5CBF"/>
    <w:rsid w:val="002E69F6"/>
    <w:rsid w:val="002E709B"/>
    <w:rsid w:val="002E70A5"/>
    <w:rsid w:val="002E7B8C"/>
    <w:rsid w:val="002F1959"/>
    <w:rsid w:val="002F1E11"/>
    <w:rsid w:val="002F1F86"/>
    <w:rsid w:val="002F30F4"/>
    <w:rsid w:val="002F3210"/>
    <w:rsid w:val="002F32A7"/>
    <w:rsid w:val="002F3433"/>
    <w:rsid w:val="002F3B0E"/>
    <w:rsid w:val="002F3DC2"/>
    <w:rsid w:val="002F3FE5"/>
    <w:rsid w:val="002F427F"/>
    <w:rsid w:val="002F4485"/>
    <w:rsid w:val="002F45CA"/>
    <w:rsid w:val="002F4977"/>
    <w:rsid w:val="002F4A2A"/>
    <w:rsid w:val="002F4BEF"/>
    <w:rsid w:val="002F4E0F"/>
    <w:rsid w:val="002F4E83"/>
    <w:rsid w:val="002F616F"/>
    <w:rsid w:val="002F67BD"/>
    <w:rsid w:val="002F6CDD"/>
    <w:rsid w:val="002F7710"/>
    <w:rsid w:val="002F784A"/>
    <w:rsid w:val="002F7B1A"/>
    <w:rsid w:val="002F7B51"/>
    <w:rsid w:val="002F7C88"/>
    <w:rsid w:val="003000A7"/>
    <w:rsid w:val="0030095F"/>
    <w:rsid w:val="00300B35"/>
    <w:rsid w:val="00300FBB"/>
    <w:rsid w:val="0030150E"/>
    <w:rsid w:val="003021F2"/>
    <w:rsid w:val="00302236"/>
    <w:rsid w:val="00302283"/>
    <w:rsid w:val="00302374"/>
    <w:rsid w:val="003025F1"/>
    <w:rsid w:val="00303037"/>
    <w:rsid w:val="003034E0"/>
    <w:rsid w:val="003034F7"/>
    <w:rsid w:val="003037BD"/>
    <w:rsid w:val="003040FA"/>
    <w:rsid w:val="003040FF"/>
    <w:rsid w:val="0030425B"/>
    <w:rsid w:val="003048CE"/>
    <w:rsid w:val="00305421"/>
    <w:rsid w:val="00305424"/>
    <w:rsid w:val="00305431"/>
    <w:rsid w:val="00305512"/>
    <w:rsid w:val="00305CAF"/>
    <w:rsid w:val="0030677E"/>
    <w:rsid w:val="00306A91"/>
    <w:rsid w:val="00306E88"/>
    <w:rsid w:val="0030700C"/>
    <w:rsid w:val="003072E3"/>
    <w:rsid w:val="0030770E"/>
    <w:rsid w:val="0031026E"/>
    <w:rsid w:val="003103D6"/>
    <w:rsid w:val="00310516"/>
    <w:rsid w:val="00310C63"/>
    <w:rsid w:val="00310CE2"/>
    <w:rsid w:val="00311C04"/>
    <w:rsid w:val="00311F16"/>
    <w:rsid w:val="00312416"/>
    <w:rsid w:val="003126AF"/>
    <w:rsid w:val="003128F8"/>
    <w:rsid w:val="00312C30"/>
    <w:rsid w:val="00312EF0"/>
    <w:rsid w:val="00312F62"/>
    <w:rsid w:val="00313033"/>
    <w:rsid w:val="00313452"/>
    <w:rsid w:val="00313943"/>
    <w:rsid w:val="00313961"/>
    <w:rsid w:val="003139CA"/>
    <w:rsid w:val="00313FD8"/>
    <w:rsid w:val="00314994"/>
    <w:rsid w:val="00314A3F"/>
    <w:rsid w:val="00314F12"/>
    <w:rsid w:val="00314F35"/>
    <w:rsid w:val="00314FE0"/>
    <w:rsid w:val="003158A5"/>
    <w:rsid w:val="00315A50"/>
    <w:rsid w:val="00315A9F"/>
    <w:rsid w:val="00315D13"/>
    <w:rsid w:val="00315DEE"/>
    <w:rsid w:val="00315E62"/>
    <w:rsid w:val="00315E80"/>
    <w:rsid w:val="0031673E"/>
    <w:rsid w:val="00316C9A"/>
    <w:rsid w:val="00316EAB"/>
    <w:rsid w:val="003172A7"/>
    <w:rsid w:val="003172FB"/>
    <w:rsid w:val="00317382"/>
    <w:rsid w:val="00317B1A"/>
    <w:rsid w:val="00317DEF"/>
    <w:rsid w:val="00320627"/>
    <w:rsid w:val="00320857"/>
    <w:rsid w:val="00320B79"/>
    <w:rsid w:val="003210A7"/>
    <w:rsid w:val="003212F3"/>
    <w:rsid w:val="003216CA"/>
    <w:rsid w:val="003220AD"/>
    <w:rsid w:val="0032258B"/>
    <w:rsid w:val="003225E6"/>
    <w:rsid w:val="00322750"/>
    <w:rsid w:val="0032302C"/>
    <w:rsid w:val="003232D6"/>
    <w:rsid w:val="0032354A"/>
    <w:rsid w:val="003237CE"/>
    <w:rsid w:val="00323E20"/>
    <w:rsid w:val="003246E5"/>
    <w:rsid w:val="00324DB4"/>
    <w:rsid w:val="003251FE"/>
    <w:rsid w:val="00325288"/>
    <w:rsid w:val="003255BC"/>
    <w:rsid w:val="003258D0"/>
    <w:rsid w:val="00325C4E"/>
    <w:rsid w:val="00326182"/>
    <w:rsid w:val="003261FC"/>
    <w:rsid w:val="00326459"/>
    <w:rsid w:val="003264BE"/>
    <w:rsid w:val="003266FA"/>
    <w:rsid w:val="00326828"/>
    <w:rsid w:val="003269F1"/>
    <w:rsid w:val="00326A7A"/>
    <w:rsid w:val="00326B8B"/>
    <w:rsid w:val="00326B92"/>
    <w:rsid w:val="00326EB4"/>
    <w:rsid w:val="00327A9A"/>
    <w:rsid w:val="00330151"/>
    <w:rsid w:val="0033025F"/>
    <w:rsid w:val="00331774"/>
    <w:rsid w:val="00332C4F"/>
    <w:rsid w:val="00332CBB"/>
    <w:rsid w:val="00332CCB"/>
    <w:rsid w:val="00333926"/>
    <w:rsid w:val="003339B5"/>
    <w:rsid w:val="00333ED5"/>
    <w:rsid w:val="003342E7"/>
    <w:rsid w:val="00334AF0"/>
    <w:rsid w:val="00334CC1"/>
    <w:rsid w:val="00335127"/>
    <w:rsid w:val="003352C5"/>
    <w:rsid w:val="0033566A"/>
    <w:rsid w:val="00335722"/>
    <w:rsid w:val="003358ED"/>
    <w:rsid w:val="00335AEC"/>
    <w:rsid w:val="00335FF8"/>
    <w:rsid w:val="00336337"/>
    <w:rsid w:val="00336895"/>
    <w:rsid w:val="00336E9D"/>
    <w:rsid w:val="00337DE8"/>
    <w:rsid w:val="00337E6A"/>
    <w:rsid w:val="0034004B"/>
    <w:rsid w:val="00340A4F"/>
    <w:rsid w:val="00341129"/>
    <w:rsid w:val="00341316"/>
    <w:rsid w:val="00341645"/>
    <w:rsid w:val="003416E8"/>
    <w:rsid w:val="00341A55"/>
    <w:rsid w:val="003420F1"/>
    <w:rsid w:val="00342195"/>
    <w:rsid w:val="003421C3"/>
    <w:rsid w:val="00343018"/>
    <w:rsid w:val="0034320E"/>
    <w:rsid w:val="00343593"/>
    <w:rsid w:val="003437CA"/>
    <w:rsid w:val="00343B09"/>
    <w:rsid w:val="00343E0A"/>
    <w:rsid w:val="003443BB"/>
    <w:rsid w:val="00344401"/>
    <w:rsid w:val="003444B4"/>
    <w:rsid w:val="00344DDF"/>
    <w:rsid w:val="0034599A"/>
    <w:rsid w:val="00345AE5"/>
    <w:rsid w:val="0034607D"/>
    <w:rsid w:val="00346660"/>
    <w:rsid w:val="00346E94"/>
    <w:rsid w:val="003475FE"/>
    <w:rsid w:val="00347D57"/>
    <w:rsid w:val="00347F74"/>
    <w:rsid w:val="00350040"/>
    <w:rsid w:val="0035007F"/>
    <w:rsid w:val="003504F4"/>
    <w:rsid w:val="00350BDD"/>
    <w:rsid w:val="00350C07"/>
    <w:rsid w:val="00351575"/>
    <w:rsid w:val="00351C1B"/>
    <w:rsid w:val="00351DA6"/>
    <w:rsid w:val="00351E6E"/>
    <w:rsid w:val="00352187"/>
    <w:rsid w:val="0035223D"/>
    <w:rsid w:val="00352B0F"/>
    <w:rsid w:val="00352D2F"/>
    <w:rsid w:val="00352DD9"/>
    <w:rsid w:val="003537E5"/>
    <w:rsid w:val="00353922"/>
    <w:rsid w:val="00353BCF"/>
    <w:rsid w:val="003540DF"/>
    <w:rsid w:val="00354248"/>
    <w:rsid w:val="00354606"/>
    <w:rsid w:val="003548AB"/>
    <w:rsid w:val="003554B7"/>
    <w:rsid w:val="003555EC"/>
    <w:rsid w:val="00355669"/>
    <w:rsid w:val="00355683"/>
    <w:rsid w:val="00355B56"/>
    <w:rsid w:val="00356986"/>
    <w:rsid w:val="00356D47"/>
    <w:rsid w:val="0035774F"/>
    <w:rsid w:val="003577CD"/>
    <w:rsid w:val="00357CB9"/>
    <w:rsid w:val="003606C6"/>
    <w:rsid w:val="0036138E"/>
    <w:rsid w:val="00361419"/>
    <w:rsid w:val="003615A9"/>
    <w:rsid w:val="00361AC7"/>
    <w:rsid w:val="00361F59"/>
    <w:rsid w:val="003620D4"/>
    <w:rsid w:val="003623CA"/>
    <w:rsid w:val="00362ADF"/>
    <w:rsid w:val="00362DF4"/>
    <w:rsid w:val="003630AF"/>
    <w:rsid w:val="003635BD"/>
    <w:rsid w:val="003636FF"/>
    <w:rsid w:val="00363F18"/>
    <w:rsid w:val="00364C3C"/>
    <w:rsid w:val="00364D1C"/>
    <w:rsid w:val="00364E61"/>
    <w:rsid w:val="00364EC6"/>
    <w:rsid w:val="00365055"/>
    <w:rsid w:val="003650D9"/>
    <w:rsid w:val="00365192"/>
    <w:rsid w:val="00365B23"/>
    <w:rsid w:val="00366122"/>
    <w:rsid w:val="0036615D"/>
    <w:rsid w:val="00366278"/>
    <w:rsid w:val="0036670F"/>
    <w:rsid w:val="0036763F"/>
    <w:rsid w:val="003702E2"/>
    <w:rsid w:val="00370AC1"/>
    <w:rsid w:val="00371101"/>
    <w:rsid w:val="00371608"/>
    <w:rsid w:val="00371764"/>
    <w:rsid w:val="0037185E"/>
    <w:rsid w:val="00371F1B"/>
    <w:rsid w:val="00372190"/>
    <w:rsid w:val="0037249D"/>
    <w:rsid w:val="003726C4"/>
    <w:rsid w:val="0037289D"/>
    <w:rsid w:val="00372A80"/>
    <w:rsid w:val="00372BC8"/>
    <w:rsid w:val="00373ECE"/>
    <w:rsid w:val="0037426C"/>
    <w:rsid w:val="00374598"/>
    <w:rsid w:val="00374AE0"/>
    <w:rsid w:val="00374C41"/>
    <w:rsid w:val="0037502F"/>
    <w:rsid w:val="003753E7"/>
    <w:rsid w:val="00375E32"/>
    <w:rsid w:val="00375EB2"/>
    <w:rsid w:val="00376177"/>
    <w:rsid w:val="003763B3"/>
    <w:rsid w:val="0037644C"/>
    <w:rsid w:val="00376554"/>
    <w:rsid w:val="00376AB2"/>
    <w:rsid w:val="00380407"/>
    <w:rsid w:val="00380DA2"/>
    <w:rsid w:val="00380FCA"/>
    <w:rsid w:val="00381394"/>
    <w:rsid w:val="003816B6"/>
    <w:rsid w:val="003817C9"/>
    <w:rsid w:val="00382122"/>
    <w:rsid w:val="0038254B"/>
    <w:rsid w:val="003830D8"/>
    <w:rsid w:val="00383BCF"/>
    <w:rsid w:val="00383EB9"/>
    <w:rsid w:val="003845EB"/>
    <w:rsid w:val="003846BA"/>
    <w:rsid w:val="003846DC"/>
    <w:rsid w:val="00384D0F"/>
    <w:rsid w:val="00384F71"/>
    <w:rsid w:val="003853C4"/>
    <w:rsid w:val="00385455"/>
    <w:rsid w:val="0038587F"/>
    <w:rsid w:val="00385A72"/>
    <w:rsid w:val="00385E86"/>
    <w:rsid w:val="0038617D"/>
    <w:rsid w:val="0038670E"/>
    <w:rsid w:val="00386805"/>
    <w:rsid w:val="00386933"/>
    <w:rsid w:val="0038747A"/>
    <w:rsid w:val="0038755B"/>
    <w:rsid w:val="003875D4"/>
    <w:rsid w:val="00387890"/>
    <w:rsid w:val="003906B3"/>
    <w:rsid w:val="003907D9"/>
    <w:rsid w:val="003907EF"/>
    <w:rsid w:val="00390905"/>
    <w:rsid w:val="00390A12"/>
    <w:rsid w:val="00390A9C"/>
    <w:rsid w:val="00390C57"/>
    <w:rsid w:val="00390F24"/>
    <w:rsid w:val="00390F8C"/>
    <w:rsid w:val="00391442"/>
    <w:rsid w:val="00392481"/>
    <w:rsid w:val="00392844"/>
    <w:rsid w:val="00392921"/>
    <w:rsid w:val="00392FD4"/>
    <w:rsid w:val="00393542"/>
    <w:rsid w:val="003935A7"/>
    <w:rsid w:val="0039360F"/>
    <w:rsid w:val="00393B12"/>
    <w:rsid w:val="00393BA3"/>
    <w:rsid w:val="0039415F"/>
    <w:rsid w:val="00394163"/>
    <w:rsid w:val="00394850"/>
    <w:rsid w:val="00394B04"/>
    <w:rsid w:val="00394BA3"/>
    <w:rsid w:val="00394C1B"/>
    <w:rsid w:val="003953D0"/>
    <w:rsid w:val="00395637"/>
    <w:rsid w:val="00395745"/>
    <w:rsid w:val="00395893"/>
    <w:rsid w:val="00395B56"/>
    <w:rsid w:val="0039644A"/>
    <w:rsid w:val="003965AA"/>
    <w:rsid w:val="00396E0C"/>
    <w:rsid w:val="0039703B"/>
    <w:rsid w:val="003978CF"/>
    <w:rsid w:val="00397C02"/>
    <w:rsid w:val="003A02A5"/>
    <w:rsid w:val="003A0542"/>
    <w:rsid w:val="003A081B"/>
    <w:rsid w:val="003A0EDB"/>
    <w:rsid w:val="003A0FBB"/>
    <w:rsid w:val="003A1001"/>
    <w:rsid w:val="003A1105"/>
    <w:rsid w:val="003A117C"/>
    <w:rsid w:val="003A15CA"/>
    <w:rsid w:val="003A1934"/>
    <w:rsid w:val="003A1DE1"/>
    <w:rsid w:val="003A2124"/>
    <w:rsid w:val="003A28F6"/>
    <w:rsid w:val="003A2949"/>
    <w:rsid w:val="003A2ACF"/>
    <w:rsid w:val="003A2B8E"/>
    <w:rsid w:val="003A2FD6"/>
    <w:rsid w:val="003A34F1"/>
    <w:rsid w:val="003A426B"/>
    <w:rsid w:val="003A43F8"/>
    <w:rsid w:val="003A45AB"/>
    <w:rsid w:val="003A4C69"/>
    <w:rsid w:val="003A5B3D"/>
    <w:rsid w:val="003A623D"/>
    <w:rsid w:val="003A641E"/>
    <w:rsid w:val="003A6FAC"/>
    <w:rsid w:val="003A7290"/>
    <w:rsid w:val="003A754E"/>
    <w:rsid w:val="003A7869"/>
    <w:rsid w:val="003A78EE"/>
    <w:rsid w:val="003A790F"/>
    <w:rsid w:val="003A7919"/>
    <w:rsid w:val="003A796E"/>
    <w:rsid w:val="003B04E8"/>
    <w:rsid w:val="003B0A27"/>
    <w:rsid w:val="003B0B38"/>
    <w:rsid w:val="003B0D75"/>
    <w:rsid w:val="003B0E71"/>
    <w:rsid w:val="003B1411"/>
    <w:rsid w:val="003B1724"/>
    <w:rsid w:val="003B177C"/>
    <w:rsid w:val="003B1925"/>
    <w:rsid w:val="003B21FA"/>
    <w:rsid w:val="003B2461"/>
    <w:rsid w:val="003B2696"/>
    <w:rsid w:val="003B2B77"/>
    <w:rsid w:val="003B36EA"/>
    <w:rsid w:val="003B3BD9"/>
    <w:rsid w:val="003B3E83"/>
    <w:rsid w:val="003B3E9C"/>
    <w:rsid w:val="003B4E42"/>
    <w:rsid w:val="003B4EE6"/>
    <w:rsid w:val="003B5508"/>
    <w:rsid w:val="003B5C27"/>
    <w:rsid w:val="003B5CE4"/>
    <w:rsid w:val="003B6DCF"/>
    <w:rsid w:val="003B7126"/>
    <w:rsid w:val="003B7690"/>
    <w:rsid w:val="003B7847"/>
    <w:rsid w:val="003B7EFD"/>
    <w:rsid w:val="003C0745"/>
    <w:rsid w:val="003C0A56"/>
    <w:rsid w:val="003C0B92"/>
    <w:rsid w:val="003C0C58"/>
    <w:rsid w:val="003C1D30"/>
    <w:rsid w:val="003C1DD1"/>
    <w:rsid w:val="003C23D6"/>
    <w:rsid w:val="003C326B"/>
    <w:rsid w:val="003C32A0"/>
    <w:rsid w:val="003C377D"/>
    <w:rsid w:val="003C3CE0"/>
    <w:rsid w:val="003C3E59"/>
    <w:rsid w:val="003C3EBA"/>
    <w:rsid w:val="003C4D1B"/>
    <w:rsid w:val="003C52E9"/>
    <w:rsid w:val="003C56C2"/>
    <w:rsid w:val="003C58B5"/>
    <w:rsid w:val="003C6262"/>
    <w:rsid w:val="003C69F8"/>
    <w:rsid w:val="003C6F27"/>
    <w:rsid w:val="003C70F1"/>
    <w:rsid w:val="003C7319"/>
    <w:rsid w:val="003C7599"/>
    <w:rsid w:val="003C761D"/>
    <w:rsid w:val="003C77D6"/>
    <w:rsid w:val="003C7AAC"/>
    <w:rsid w:val="003D01F2"/>
    <w:rsid w:val="003D1164"/>
    <w:rsid w:val="003D13BB"/>
    <w:rsid w:val="003D155F"/>
    <w:rsid w:val="003D16E5"/>
    <w:rsid w:val="003D17DB"/>
    <w:rsid w:val="003D1C41"/>
    <w:rsid w:val="003D23A4"/>
    <w:rsid w:val="003D296E"/>
    <w:rsid w:val="003D2C8F"/>
    <w:rsid w:val="003D2CE6"/>
    <w:rsid w:val="003D3137"/>
    <w:rsid w:val="003D364D"/>
    <w:rsid w:val="003D37F5"/>
    <w:rsid w:val="003D39FC"/>
    <w:rsid w:val="003D3DCA"/>
    <w:rsid w:val="003D3E89"/>
    <w:rsid w:val="003D4526"/>
    <w:rsid w:val="003D471E"/>
    <w:rsid w:val="003D56A3"/>
    <w:rsid w:val="003D57AF"/>
    <w:rsid w:val="003D582B"/>
    <w:rsid w:val="003D614D"/>
    <w:rsid w:val="003D61CF"/>
    <w:rsid w:val="003D634C"/>
    <w:rsid w:val="003D67AB"/>
    <w:rsid w:val="003D67C0"/>
    <w:rsid w:val="003D6869"/>
    <w:rsid w:val="003D6C1D"/>
    <w:rsid w:val="003D6D96"/>
    <w:rsid w:val="003D7976"/>
    <w:rsid w:val="003D7A60"/>
    <w:rsid w:val="003D7FDF"/>
    <w:rsid w:val="003E0178"/>
    <w:rsid w:val="003E2BCE"/>
    <w:rsid w:val="003E313E"/>
    <w:rsid w:val="003E3376"/>
    <w:rsid w:val="003E355D"/>
    <w:rsid w:val="003E3D64"/>
    <w:rsid w:val="003E3EFC"/>
    <w:rsid w:val="003E4107"/>
    <w:rsid w:val="003E426D"/>
    <w:rsid w:val="003E4736"/>
    <w:rsid w:val="003E48CC"/>
    <w:rsid w:val="003E4EFE"/>
    <w:rsid w:val="003E501E"/>
    <w:rsid w:val="003E553F"/>
    <w:rsid w:val="003E5615"/>
    <w:rsid w:val="003E5B1F"/>
    <w:rsid w:val="003E6076"/>
    <w:rsid w:val="003E62E1"/>
    <w:rsid w:val="003E658B"/>
    <w:rsid w:val="003E6914"/>
    <w:rsid w:val="003E6FD0"/>
    <w:rsid w:val="003E711A"/>
    <w:rsid w:val="003E730D"/>
    <w:rsid w:val="003E78AB"/>
    <w:rsid w:val="003E7E08"/>
    <w:rsid w:val="003F0132"/>
    <w:rsid w:val="003F0305"/>
    <w:rsid w:val="003F07C9"/>
    <w:rsid w:val="003F0946"/>
    <w:rsid w:val="003F0A82"/>
    <w:rsid w:val="003F0E87"/>
    <w:rsid w:val="003F10E6"/>
    <w:rsid w:val="003F177B"/>
    <w:rsid w:val="003F18F6"/>
    <w:rsid w:val="003F1985"/>
    <w:rsid w:val="003F19BD"/>
    <w:rsid w:val="003F1A0E"/>
    <w:rsid w:val="003F2705"/>
    <w:rsid w:val="003F2DB5"/>
    <w:rsid w:val="003F3204"/>
    <w:rsid w:val="003F356E"/>
    <w:rsid w:val="003F3598"/>
    <w:rsid w:val="003F375D"/>
    <w:rsid w:val="003F389D"/>
    <w:rsid w:val="003F3951"/>
    <w:rsid w:val="003F3A9F"/>
    <w:rsid w:val="003F4786"/>
    <w:rsid w:val="003F48B9"/>
    <w:rsid w:val="003F4DA0"/>
    <w:rsid w:val="003F6833"/>
    <w:rsid w:val="003F709B"/>
    <w:rsid w:val="003F70C4"/>
    <w:rsid w:val="003F7BA2"/>
    <w:rsid w:val="00400028"/>
    <w:rsid w:val="004000FB"/>
    <w:rsid w:val="00400592"/>
    <w:rsid w:val="00400617"/>
    <w:rsid w:val="004006A9"/>
    <w:rsid w:val="00401334"/>
    <w:rsid w:val="00401475"/>
    <w:rsid w:val="0040182F"/>
    <w:rsid w:val="00401908"/>
    <w:rsid w:val="00401BA8"/>
    <w:rsid w:val="00401DC3"/>
    <w:rsid w:val="00401EA2"/>
    <w:rsid w:val="00402450"/>
    <w:rsid w:val="004028B3"/>
    <w:rsid w:val="0040296B"/>
    <w:rsid w:val="00402D64"/>
    <w:rsid w:val="00402D89"/>
    <w:rsid w:val="00402E7D"/>
    <w:rsid w:val="00402F18"/>
    <w:rsid w:val="00402F32"/>
    <w:rsid w:val="00402F3C"/>
    <w:rsid w:val="004031D7"/>
    <w:rsid w:val="004037FC"/>
    <w:rsid w:val="00404583"/>
    <w:rsid w:val="004046A5"/>
    <w:rsid w:val="00404CB1"/>
    <w:rsid w:val="00404FF7"/>
    <w:rsid w:val="00405244"/>
    <w:rsid w:val="004054FF"/>
    <w:rsid w:val="00405834"/>
    <w:rsid w:val="004058BF"/>
    <w:rsid w:val="004060C1"/>
    <w:rsid w:val="0040629D"/>
    <w:rsid w:val="00406552"/>
    <w:rsid w:val="00406883"/>
    <w:rsid w:val="00406956"/>
    <w:rsid w:val="00406B44"/>
    <w:rsid w:val="00406B81"/>
    <w:rsid w:val="00407201"/>
    <w:rsid w:val="004072D1"/>
    <w:rsid w:val="0040756F"/>
    <w:rsid w:val="004077FD"/>
    <w:rsid w:val="00407899"/>
    <w:rsid w:val="00407C8B"/>
    <w:rsid w:val="0041028C"/>
    <w:rsid w:val="004104B7"/>
    <w:rsid w:val="00410970"/>
    <w:rsid w:val="0041102E"/>
    <w:rsid w:val="00411664"/>
    <w:rsid w:val="00411892"/>
    <w:rsid w:val="004123E7"/>
    <w:rsid w:val="004125B8"/>
    <w:rsid w:val="00412643"/>
    <w:rsid w:val="00412AF1"/>
    <w:rsid w:val="00412B18"/>
    <w:rsid w:val="00412C43"/>
    <w:rsid w:val="004132AD"/>
    <w:rsid w:val="00413CFD"/>
    <w:rsid w:val="00413D99"/>
    <w:rsid w:val="00413EAC"/>
    <w:rsid w:val="004140CD"/>
    <w:rsid w:val="004141FF"/>
    <w:rsid w:val="00415207"/>
    <w:rsid w:val="00415278"/>
    <w:rsid w:val="0041567D"/>
    <w:rsid w:val="00415E56"/>
    <w:rsid w:val="004162DB"/>
    <w:rsid w:val="004166C8"/>
    <w:rsid w:val="00416838"/>
    <w:rsid w:val="00416B3B"/>
    <w:rsid w:val="00416B8C"/>
    <w:rsid w:val="00417252"/>
    <w:rsid w:val="004172EC"/>
    <w:rsid w:val="0041730F"/>
    <w:rsid w:val="0041748D"/>
    <w:rsid w:val="004177E7"/>
    <w:rsid w:val="00417AFB"/>
    <w:rsid w:val="00420012"/>
    <w:rsid w:val="004200E4"/>
    <w:rsid w:val="0042079F"/>
    <w:rsid w:val="00420DC2"/>
    <w:rsid w:val="004213BB"/>
    <w:rsid w:val="00421B9C"/>
    <w:rsid w:val="00422AE7"/>
    <w:rsid w:val="00422B25"/>
    <w:rsid w:val="00423A54"/>
    <w:rsid w:val="00424520"/>
    <w:rsid w:val="00424638"/>
    <w:rsid w:val="00425620"/>
    <w:rsid w:val="00425690"/>
    <w:rsid w:val="00425AB3"/>
    <w:rsid w:val="00426153"/>
    <w:rsid w:val="00426320"/>
    <w:rsid w:val="004263F9"/>
    <w:rsid w:val="00426B61"/>
    <w:rsid w:val="00426D33"/>
    <w:rsid w:val="0042790E"/>
    <w:rsid w:val="00427B67"/>
    <w:rsid w:val="00427E18"/>
    <w:rsid w:val="00430A54"/>
    <w:rsid w:val="00431BC6"/>
    <w:rsid w:val="00431F8A"/>
    <w:rsid w:val="00432744"/>
    <w:rsid w:val="004327D4"/>
    <w:rsid w:val="0043334D"/>
    <w:rsid w:val="00433972"/>
    <w:rsid w:val="00433AEB"/>
    <w:rsid w:val="00433E7D"/>
    <w:rsid w:val="004341E5"/>
    <w:rsid w:val="004342B7"/>
    <w:rsid w:val="004347BF"/>
    <w:rsid w:val="004356F3"/>
    <w:rsid w:val="004359DC"/>
    <w:rsid w:val="0043643D"/>
    <w:rsid w:val="0043689C"/>
    <w:rsid w:val="00436EBA"/>
    <w:rsid w:val="00437363"/>
    <w:rsid w:val="004374EB"/>
    <w:rsid w:val="004376AD"/>
    <w:rsid w:val="00437A5B"/>
    <w:rsid w:val="00437B4C"/>
    <w:rsid w:val="00437C2C"/>
    <w:rsid w:val="00437D8B"/>
    <w:rsid w:val="00437DB5"/>
    <w:rsid w:val="00437E2F"/>
    <w:rsid w:val="00440771"/>
    <w:rsid w:val="004410BC"/>
    <w:rsid w:val="00441101"/>
    <w:rsid w:val="00441592"/>
    <w:rsid w:val="00441788"/>
    <w:rsid w:val="004420EB"/>
    <w:rsid w:val="00442E53"/>
    <w:rsid w:val="004435CB"/>
    <w:rsid w:val="004437D4"/>
    <w:rsid w:val="00443C79"/>
    <w:rsid w:val="00443DAC"/>
    <w:rsid w:val="004444B8"/>
    <w:rsid w:val="0044501D"/>
    <w:rsid w:val="00445406"/>
    <w:rsid w:val="00446332"/>
    <w:rsid w:val="0044641D"/>
    <w:rsid w:val="0044654B"/>
    <w:rsid w:val="00446612"/>
    <w:rsid w:val="00446ED0"/>
    <w:rsid w:val="0044720E"/>
    <w:rsid w:val="004472A0"/>
    <w:rsid w:val="00447375"/>
    <w:rsid w:val="00447A3E"/>
    <w:rsid w:val="00447E34"/>
    <w:rsid w:val="00447E59"/>
    <w:rsid w:val="00447F4A"/>
    <w:rsid w:val="0045005C"/>
    <w:rsid w:val="00450548"/>
    <w:rsid w:val="00450677"/>
    <w:rsid w:val="00450794"/>
    <w:rsid w:val="004507BF"/>
    <w:rsid w:val="0045134C"/>
    <w:rsid w:val="0045169B"/>
    <w:rsid w:val="00451739"/>
    <w:rsid w:val="00451B1D"/>
    <w:rsid w:val="00451F38"/>
    <w:rsid w:val="00451F69"/>
    <w:rsid w:val="004527F5"/>
    <w:rsid w:val="00453061"/>
    <w:rsid w:val="004530A6"/>
    <w:rsid w:val="0045383D"/>
    <w:rsid w:val="004538FF"/>
    <w:rsid w:val="00453AD8"/>
    <w:rsid w:val="00453F3F"/>
    <w:rsid w:val="004544D2"/>
    <w:rsid w:val="00454503"/>
    <w:rsid w:val="0045494F"/>
    <w:rsid w:val="00455165"/>
    <w:rsid w:val="00455542"/>
    <w:rsid w:val="00455823"/>
    <w:rsid w:val="004559C9"/>
    <w:rsid w:val="00455F4B"/>
    <w:rsid w:val="00456511"/>
    <w:rsid w:val="0045684A"/>
    <w:rsid w:val="0045713F"/>
    <w:rsid w:val="004574B4"/>
    <w:rsid w:val="00457776"/>
    <w:rsid w:val="004601C0"/>
    <w:rsid w:val="00460560"/>
    <w:rsid w:val="00461347"/>
    <w:rsid w:val="00461911"/>
    <w:rsid w:val="00461D93"/>
    <w:rsid w:val="00462379"/>
    <w:rsid w:val="00462602"/>
    <w:rsid w:val="00462B2F"/>
    <w:rsid w:val="00462E77"/>
    <w:rsid w:val="004632F7"/>
    <w:rsid w:val="00463A62"/>
    <w:rsid w:val="00463AE9"/>
    <w:rsid w:val="00464624"/>
    <w:rsid w:val="00464CAD"/>
    <w:rsid w:val="00465226"/>
    <w:rsid w:val="004652B1"/>
    <w:rsid w:val="004659BA"/>
    <w:rsid w:val="00465C2B"/>
    <w:rsid w:val="00466CB5"/>
    <w:rsid w:val="00466E97"/>
    <w:rsid w:val="004671C9"/>
    <w:rsid w:val="0046720E"/>
    <w:rsid w:val="00467C70"/>
    <w:rsid w:val="00467DE9"/>
    <w:rsid w:val="00470800"/>
    <w:rsid w:val="00470864"/>
    <w:rsid w:val="00470B8B"/>
    <w:rsid w:val="00471C19"/>
    <w:rsid w:val="00471D9A"/>
    <w:rsid w:val="00471E50"/>
    <w:rsid w:val="004720F6"/>
    <w:rsid w:val="00472666"/>
    <w:rsid w:val="00472705"/>
    <w:rsid w:val="00473160"/>
    <w:rsid w:val="00473183"/>
    <w:rsid w:val="0047319B"/>
    <w:rsid w:val="0047319E"/>
    <w:rsid w:val="004733A5"/>
    <w:rsid w:val="00473627"/>
    <w:rsid w:val="004736F3"/>
    <w:rsid w:val="004737E9"/>
    <w:rsid w:val="00473D91"/>
    <w:rsid w:val="00473E85"/>
    <w:rsid w:val="00473F10"/>
    <w:rsid w:val="004748ED"/>
    <w:rsid w:val="00474AD1"/>
    <w:rsid w:val="00474AFB"/>
    <w:rsid w:val="00475331"/>
    <w:rsid w:val="004755EF"/>
    <w:rsid w:val="0047578C"/>
    <w:rsid w:val="00475995"/>
    <w:rsid w:val="00475A66"/>
    <w:rsid w:val="00475B24"/>
    <w:rsid w:val="004762C9"/>
    <w:rsid w:val="004771FD"/>
    <w:rsid w:val="0047734A"/>
    <w:rsid w:val="0047761F"/>
    <w:rsid w:val="00480E98"/>
    <w:rsid w:val="00481321"/>
    <w:rsid w:val="00481481"/>
    <w:rsid w:val="00481670"/>
    <w:rsid w:val="00482913"/>
    <w:rsid w:val="0048352D"/>
    <w:rsid w:val="0048395D"/>
    <w:rsid w:val="00483E3E"/>
    <w:rsid w:val="004840C4"/>
    <w:rsid w:val="00484339"/>
    <w:rsid w:val="00485181"/>
    <w:rsid w:val="004856CF"/>
    <w:rsid w:val="00485854"/>
    <w:rsid w:val="00485B60"/>
    <w:rsid w:val="00485D91"/>
    <w:rsid w:val="00486299"/>
    <w:rsid w:val="00486346"/>
    <w:rsid w:val="0048680B"/>
    <w:rsid w:val="00486A98"/>
    <w:rsid w:val="00486C29"/>
    <w:rsid w:val="004873D5"/>
    <w:rsid w:val="00487464"/>
    <w:rsid w:val="004874BC"/>
    <w:rsid w:val="004875EA"/>
    <w:rsid w:val="00487C37"/>
    <w:rsid w:val="00487E5F"/>
    <w:rsid w:val="00487EEE"/>
    <w:rsid w:val="0048F6D1"/>
    <w:rsid w:val="00490234"/>
    <w:rsid w:val="004902A9"/>
    <w:rsid w:val="00490A95"/>
    <w:rsid w:val="00490F43"/>
    <w:rsid w:val="00491004"/>
    <w:rsid w:val="004913F8"/>
    <w:rsid w:val="00491572"/>
    <w:rsid w:val="00491691"/>
    <w:rsid w:val="0049241E"/>
    <w:rsid w:val="00492540"/>
    <w:rsid w:val="004929D7"/>
    <w:rsid w:val="00492C4F"/>
    <w:rsid w:val="00492CFE"/>
    <w:rsid w:val="00493099"/>
    <w:rsid w:val="004933F9"/>
    <w:rsid w:val="0049342D"/>
    <w:rsid w:val="0049386B"/>
    <w:rsid w:val="00493E32"/>
    <w:rsid w:val="004942B9"/>
    <w:rsid w:val="00494511"/>
    <w:rsid w:val="00494593"/>
    <w:rsid w:val="004948A9"/>
    <w:rsid w:val="00494B56"/>
    <w:rsid w:val="00495EB0"/>
    <w:rsid w:val="004971B7"/>
    <w:rsid w:val="00497A9C"/>
    <w:rsid w:val="00497B27"/>
    <w:rsid w:val="004A0BCF"/>
    <w:rsid w:val="004A161D"/>
    <w:rsid w:val="004A1AAE"/>
    <w:rsid w:val="004A1DDD"/>
    <w:rsid w:val="004A23F3"/>
    <w:rsid w:val="004A2A44"/>
    <w:rsid w:val="004A2FBD"/>
    <w:rsid w:val="004A459B"/>
    <w:rsid w:val="004A4AD3"/>
    <w:rsid w:val="004A4F42"/>
    <w:rsid w:val="004A58CE"/>
    <w:rsid w:val="004A621E"/>
    <w:rsid w:val="004A6B41"/>
    <w:rsid w:val="004A6D05"/>
    <w:rsid w:val="004A7025"/>
    <w:rsid w:val="004A7341"/>
    <w:rsid w:val="004A738B"/>
    <w:rsid w:val="004A7F2C"/>
    <w:rsid w:val="004B1302"/>
    <w:rsid w:val="004B1352"/>
    <w:rsid w:val="004B1615"/>
    <w:rsid w:val="004B17FE"/>
    <w:rsid w:val="004B19AA"/>
    <w:rsid w:val="004B1DB6"/>
    <w:rsid w:val="004B1E86"/>
    <w:rsid w:val="004B258D"/>
    <w:rsid w:val="004B2900"/>
    <w:rsid w:val="004B29C0"/>
    <w:rsid w:val="004B2AD6"/>
    <w:rsid w:val="004B2AEE"/>
    <w:rsid w:val="004B2D40"/>
    <w:rsid w:val="004B3039"/>
    <w:rsid w:val="004B3111"/>
    <w:rsid w:val="004B379D"/>
    <w:rsid w:val="004B3A07"/>
    <w:rsid w:val="004B3E21"/>
    <w:rsid w:val="004B3EF4"/>
    <w:rsid w:val="004B4165"/>
    <w:rsid w:val="004B42A0"/>
    <w:rsid w:val="004B477A"/>
    <w:rsid w:val="004B4A62"/>
    <w:rsid w:val="004B4AC7"/>
    <w:rsid w:val="004B5187"/>
    <w:rsid w:val="004B540B"/>
    <w:rsid w:val="004B640B"/>
    <w:rsid w:val="004B68F3"/>
    <w:rsid w:val="004B6920"/>
    <w:rsid w:val="004B69BF"/>
    <w:rsid w:val="004B6F41"/>
    <w:rsid w:val="004B75B4"/>
    <w:rsid w:val="004B7A44"/>
    <w:rsid w:val="004C053B"/>
    <w:rsid w:val="004C07DA"/>
    <w:rsid w:val="004C08C8"/>
    <w:rsid w:val="004C08F6"/>
    <w:rsid w:val="004C0CB0"/>
    <w:rsid w:val="004C0E05"/>
    <w:rsid w:val="004C1525"/>
    <w:rsid w:val="004C1A65"/>
    <w:rsid w:val="004C1D4B"/>
    <w:rsid w:val="004C2392"/>
    <w:rsid w:val="004C28FD"/>
    <w:rsid w:val="004C29CC"/>
    <w:rsid w:val="004C2B17"/>
    <w:rsid w:val="004C2CAC"/>
    <w:rsid w:val="004C2CAD"/>
    <w:rsid w:val="004C2F24"/>
    <w:rsid w:val="004C2FC1"/>
    <w:rsid w:val="004C2FC2"/>
    <w:rsid w:val="004C337C"/>
    <w:rsid w:val="004C3921"/>
    <w:rsid w:val="004C3D2F"/>
    <w:rsid w:val="004C3EA6"/>
    <w:rsid w:val="004C442E"/>
    <w:rsid w:val="004C45F5"/>
    <w:rsid w:val="004C4827"/>
    <w:rsid w:val="004C49D2"/>
    <w:rsid w:val="004C4AE0"/>
    <w:rsid w:val="004C4D1A"/>
    <w:rsid w:val="004C4E62"/>
    <w:rsid w:val="004C4EF6"/>
    <w:rsid w:val="004C51D7"/>
    <w:rsid w:val="004C597B"/>
    <w:rsid w:val="004C5C0B"/>
    <w:rsid w:val="004C67C6"/>
    <w:rsid w:val="004C6D2D"/>
    <w:rsid w:val="004C6F9B"/>
    <w:rsid w:val="004D0331"/>
    <w:rsid w:val="004D039C"/>
    <w:rsid w:val="004D03D6"/>
    <w:rsid w:val="004D04A8"/>
    <w:rsid w:val="004D0BDF"/>
    <w:rsid w:val="004D0FA1"/>
    <w:rsid w:val="004D0FCF"/>
    <w:rsid w:val="004D25E1"/>
    <w:rsid w:val="004D2919"/>
    <w:rsid w:val="004D2BDB"/>
    <w:rsid w:val="004D3567"/>
    <w:rsid w:val="004D3AAE"/>
    <w:rsid w:val="004D460E"/>
    <w:rsid w:val="004D495F"/>
    <w:rsid w:val="004D61A2"/>
    <w:rsid w:val="004D62C7"/>
    <w:rsid w:val="004D6504"/>
    <w:rsid w:val="004D67CE"/>
    <w:rsid w:val="004D68B0"/>
    <w:rsid w:val="004D6E83"/>
    <w:rsid w:val="004D705B"/>
    <w:rsid w:val="004D7A36"/>
    <w:rsid w:val="004E0225"/>
    <w:rsid w:val="004E0637"/>
    <w:rsid w:val="004E08D8"/>
    <w:rsid w:val="004E10B3"/>
    <w:rsid w:val="004E14F4"/>
    <w:rsid w:val="004E1947"/>
    <w:rsid w:val="004E291D"/>
    <w:rsid w:val="004E3325"/>
    <w:rsid w:val="004E3A0A"/>
    <w:rsid w:val="004E3BEE"/>
    <w:rsid w:val="004E3C67"/>
    <w:rsid w:val="004E3E66"/>
    <w:rsid w:val="004E44C4"/>
    <w:rsid w:val="004E4C03"/>
    <w:rsid w:val="004E4D0C"/>
    <w:rsid w:val="004E4E8F"/>
    <w:rsid w:val="004E4F74"/>
    <w:rsid w:val="004E5A84"/>
    <w:rsid w:val="004E6048"/>
    <w:rsid w:val="004E63EF"/>
    <w:rsid w:val="004E6BE4"/>
    <w:rsid w:val="004E6CDC"/>
    <w:rsid w:val="004E7238"/>
    <w:rsid w:val="004E74D5"/>
    <w:rsid w:val="004E7833"/>
    <w:rsid w:val="004E7914"/>
    <w:rsid w:val="004F0A5B"/>
    <w:rsid w:val="004F0BFD"/>
    <w:rsid w:val="004F0DC1"/>
    <w:rsid w:val="004F10FC"/>
    <w:rsid w:val="004F1231"/>
    <w:rsid w:val="004F181B"/>
    <w:rsid w:val="004F1FE3"/>
    <w:rsid w:val="004F21D7"/>
    <w:rsid w:val="004F234F"/>
    <w:rsid w:val="004F259B"/>
    <w:rsid w:val="004F2A57"/>
    <w:rsid w:val="004F2C72"/>
    <w:rsid w:val="004F2D92"/>
    <w:rsid w:val="004F38EB"/>
    <w:rsid w:val="004F3AC4"/>
    <w:rsid w:val="004F427F"/>
    <w:rsid w:val="004F4460"/>
    <w:rsid w:val="004F4495"/>
    <w:rsid w:val="004F47BF"/>
    <w:rsid w:val="004F4CCE"/>
    <w:rsid w:val="004F5186"/>
    <w:rsid w:val="004F594D"/>
    <w:rsid w:val="004F59A1"/>
    <w:rsid w:val="004F7057"/>
    <w:rsid w:val="004F7728"/>
    <w:rsid w:val="0050078D"/>
    <w:rsid w:val="00500DB2"/>
    <w:rsid w:val="00501195"/>
    <w:rsid w:val="005011BB"/>
    <w:rsid w:val="00501902"/>
    <w:rsid w:val="00501B31"/>
    <w:rsid w:val="00502024"/>
    <w:rsid w:val="00502387"/>
    <w:rsid w:val="00502A8E"/>
    <w:rsid w:val="00502B80"/>
    <w:rsid w:val="00502E3E"/>
    <w:rsid w:val="00502FCC"/>
    <w:rsid w:val="00503368"/>
    <w:rsid w:val="005037D1"/>
    <w:rsid w:val="00503D6B"/>
    <w:rsid w:val="00503F64"/>
    <w:rsid w:val="005042CE"/>
    <w:rsid w:val="005043A8"/>
    <w:rsid w:val="005045DB"/>
    <w:rsid w:val="005046F2"/>
    <w:rsid w:val="00504701"/>
    <w:rsid w:val="005047F5"/>
    <w:rsid w:val="005048C9"/>
    <w:rsid w:val="005048E0"/>
    <w:rsid w:val="00504DF0"/>
    <w:rsid w:val="00505227"/>
    <w:rsid w:val="0050527E"/>
    <w:rsid w:val="00505CC4"/>
    <w:rsid w:val="0050610B"/>
    <w:rsid w:val="005061BF"/>
    <w:rsid w:val="00506553"/>
    <w:rsid w:val="005065A8"/>
    <w:rsid w:val="00506A91"/>
    <w:rsid w:val="00506F28"/>
    <w:rsid w:val="00507584"/>
    <w:rsid w:val="005076D9"/>
    <w:rsid w:val="00507FD4"/>
    <w:rsid w:val="00510304"/>
    <w:rsid w:val="005107B0"/>
    <w:rsid w:val="00510BD1"/>
    <w:rsid w:val="005110A6"/>
    <w:rsid w:val="00511D85"/>
    <w:rsid w:val="005127A4"/>
    <w:rsid w:val="00512DFF"/>
    <w:rsid w:val="00513244"/>
    <w:rsid w:val="0051324B"/>
    <w:rsid w:val="00513363"/>
    <w:rsid w:val="00513603"/>
    <w:rsid w:val="00513654"/>
    <w:rsid w:val="00513C44"/>
    <w:rsid w:val="00513FF2"/>
    <w:rsid w:val="00514DE8"/>
    <w:rsid w:val="00515128"/>
    <w:rsid w:val="005151D4"/>
    <w:rsid w:val="005153CA"/>
    <w:rsid w:val="00515817"/>
    <w:rsid w:val="005167EA"/>
    <w:rsid w:val="00516889"/>
    <w:rsid w:val="00516DF4"/>
    <w:rsid w:val="00516E3D"/>
    <w:rsid w:val="00516F0F"/>
    <w:rsid w:val="00516F9F"/>
    <w:rsid w:val="005170D9"/>
    <w:rsid w:val="00517145"/>
    <w:rsid w:val="0051732F"/>
    <w:rsid w:val="00517D9A"/>
    <w:rsid w:val="005206DD"/>
    <w:rsid w:val="00520870"/>
    <w:rsid w:val="00521895"/>
    <w:rsid w:val="005219E1"/>
    <w:rsid w:val="00521FC6"/>
    <w:rsid w:val="005226E4"/>
    <w:rsid w:val="00522930"/>
    <w:rsid w:val="0052315E"/>
    <w:rsid w:val="005233A6"/>
    <w:rsid w:val="00523AF0"/>
    <w:rsid w:val="00523B62"/>
    <w:rsid w:val="00524149"/>
    <w:rsid w:val="00524573"/>
    <w:rsid w:val="005248BF"/>
    <w:rsid w:val="00525BDA"/>
    <w:rsid w:val="00526413"/>
    <w:rsid w:val="00527305"/>
    <w:rsid w:val="005274CC"/>
    <w:rsid w:val="005275D7"/>
    <w:rsid w:val="0052767D"/>
    <w:rsid w:val="00527B86"/>
    <w:rsid w:val="0053056C"/>
    <w:rsid w:val="005306CD"/>
    <w:rsid w:val="0053071A"/>
    <w:rsid w:val="005308E8"/>
    <w:rsid w:val="00530900"/>
    <w:rsid w:val="00530A5D"/>
    <w:rsid w:val="00530A94"/>
    <w:rsid w:val="00530BE1"/>
    <w:rsid w:val="00530C57"/>
    <w:rsid w:val="005310D9"/>
    <w:rsid w:val="005314C4"/>
    <w:rsid w:val="0053161D"/>
    <w:rsid w:val="00531640"/>
    <w:rsid w:val="00531E8F"/>
    <w:rsid w:val="00532221"/>
    <w:rsid w:val="00532F9C"/>
    <w:rsid w:val="00533958"/>
    <w:rsid w:val="0053454D"/>
    <w:rsid w:val="00534681"/>
    <w:rsid w:val="00534792"/>
    <w:rsid w:val="00534799"/>
    <w:rsid w:val="0053482D"/>
    <w:rsid w:val="00534F1E"/>
    <w:rsid w:val="00534FD2"/>
    <w:rsid w:val="005356C1"/>
    <w:rsid w:val="00535913"/>
    <w:rsid w:val="00535B66"/>
    <w:rsid w:val="00535CEF"/>
    <w:rsid w:val="00536099"/>
    <w:rsid w:val="0053646E"/>
    <w:rsid w:val="005365AC"/>
    <w:rsid w:val="005367A2"/>
    <w:rsid w:val="005369A8"/>
    <w:rsid w:val="005372C4"/>
    <w:rsid w:val="0053752C"/>
    <w:rsid w:val="00537603"/>
    <w:rsid w:val="005377E3"/>
    <w:rsid w:val="00537C53"/>
    <w:rsid w:val="005403AA"/>
    <w:rsid w:val="00540A60"/>
    <w:rsid w:val="00540B2D"/>
    <w:rsid w:val="00540BC7"/>
    <w:rsid w:val="00540D4B"/>
    <w:rsid w:val="00541090"/>
    <w:rsid w:val="0054109B"/>
    <w:rsid w:val="00541CEA"/>
    <w:rsid w:val="00541DE0"/>
    <w:rsid w:val="00541FB8"/>
    <w:rsid w:val="00542790"/>
    <w:rsid w:val="00542E49"/>
    <w:rsid w:val="00543478"/>
    <w:rsid w:val="00543559"/>
    <w:rsid w:val="00543AC6"/>
    <w:rsid w:val="00544D6E"/>
    <w:rsid w:val="00544EEF"/>
    <w:rsid w:val="005451DC"/>
    <w:rsid w:val="00545BFE"/>
    <w:rsid w:val="00546291"/>
    <w:rsid w:val="00546529"/>
    <w:rsid w:val="00546903"/>
    <w:rsid w:val="005471F1"/>
    <w:rsid w:val="005478A4"/>
    <w:rsid w:val="00547C05"/>
    <w:rsid w:val="00547D27"/>
    <w:rsid w:val="00547DA1"/>
    <w:rsid w:val="005505C4"/>
    <w:rsid w:val="00550A5A"/>
    <w:rsid w:val="00550E03"/>
    <w:rsid w:val="00550FA9"/>
    <w:rsid w:val="0055139F"/>
    <w:rsid w:val="00551939"/>
    <w:rsid w:val="00551E1C"/>
    <w:rsid w:val="00551E3E"/>
    <w:rsid w:val="00552A08"/>
    <w:rsid w:val="0055364C"/>
    <w:rsid w:val="005537FB"/>
    <w:rsid w:val="0055401E"/>
    <w:rsid w:val="005548C5"/>
    <w:rsid w:val="005548DB"/>
    <w:rsid w:val="005551C3"/>
    <w:rsid w:val="0055525B"/>
    <w:rsid w:val="005552AA"/>
    <w:rsid w:val="005553DB"/>
    <w:rsid w:val="005556BF"/>
    <w:rsid w:val="00555EEA"/>
    <w:rsid w:val="00556048"/>
    <w:rsid w:val="005562DD"/>
    <w:rsid w:val="00556A07"/>
    <w:rsid w:val="00556C46"/>
    <w:rsid w:val="00556C93"/>
    <w:rsid w:val="00556FFE"/>
    <w:rsid w:val="005570B5"/>
    <w:rsid w:val="00557179"/>
    <w:rsid w:val="0055717D"/>
    <w:rsid w:val="00557872"/>
    <w:rsid w:val="00557AF9"/>
    <w:rsid w:val="00557B6B"/>
    <w:rsid w:val="00557C19"/>
    <w:rsid w:val="0056024F"/>
    <w:rsid w:val="005604C6"/>
    <w:rsid w:val="005606FE"/>
    <w:rsid w:val="00560737"/>
    <w:rsid w:val="005612F6"/>
    <w:rsid w:val="0056172D"/>
    <w:rsid w:val="0056195C"/>
    <w:rsid w:val="00562158"/>
    <w:rsid w:val="005624C7"/>
    <w:rsid w:val="00562D17"/>
    <w:rsid w:val="00562E91"/>
    <w:rsid w:val="00562EB5"/>
    <w:rsid w:val="00562EE3"/>
    <w:rsid w:val="0056372D"/>
    <w:rsid w:val="00563AE5"/>
    <w:rsid w:val="00563CB4"/>
    <w:rsid w:val="00563E83"/>
    <w:rsid w:val="00564241"/>
    <w:rsid w:val="00564517"/>
    <w:rsid w:val="005648C4"/>
    <w:rsid w:val="00564BB1"/>
    <w:rsid w:val="00565034"/>
    <w:rsid w:val="0056659D"/>
    <w:rsid w:val="00567283"/>
    <w:rsid w:val="00570703"/>
    <w:rsid w:val="005708C6"/>
    <w:rsid w:val="00570967"/>
    <w:rsid w:val="00570DE4"/>
    <w:rsid w:val="00570F30"/>
    <w:rsid w:val="00570F85"/>
    <w:rsid w:val="00570FAA"/>
    <w:rsid w:val="0057100B"/>
    <w:rsid w:val="005710F3"/>
    <w:rsid w:val="0057155F"/>
    <w:rsid w:val="00571C87"/>
    <w:rsid w:val="00571CE0"/>
    <w:rsid w:val="00571EE8"/>
    <w:rsid w:val="00571F2D"/>
    <w:rsid w:val="0057296C"/>
    <w:rsid w:val="005735C1"/>
    <w:rsid w:val="00573C3B"/>
    <w:rsid w:val="0057418F"/>
    <w:rsid w:val="00574584"/>
    <w:rsid w:val="00574610"/>
    <w:rsid w:val="00574C0A"/>
    <w:rsid w:val="0057560E"/>
    <w:rsid w:val="00575DD0"/>
    <w:rsid w:val="00576525"/>
    <w:rsid w:val="00576D17"/>
    <w:rsid w:val="0057707B"/>
    <w:rsid w:val="00577B46"/>
    <w:rsid w:val="00580C55"/>
    <w:rsid w:val="0058106B"/>
    <w:rsid w:val="005816CF"/>
    <w:rsid w:val="00581983"/>
    <w:rsid w:val="00581A7D"/>
    <w:rsid w:val="00581F68"/>
    <w:rsid w:val="00582042"/>
    <w:rsid w:val="005820BD"/>
    <w:rsid w:val="005823DB"/>
    <w:rsid w:val="005827C2"/>
    <w:rsid w:val="00582D7E"/>
    <w:rsid w:val="005832A0"/>
    <w:rsid w:val="005835DF"/>
    <w:rsid w:val="00583786"/>
    <w:rsid w:val="00583D24"/>
    <w:rsid w:val="00583F47"/>
    <w:rsid w:val="00584681"/>
    <w:rsid w:val="0058515C"/>
    <w:rsid w:val="00585218"/>
    <w:rsid w:val="005856C2"/>
    <w:rsid w:val="00585773"/>
    <w:rsid w:val="005858D2"/>
    <w:rsid w:val="005859E4"/>
    <w:rsid w:val="00585B19"/>
    <w:rsid w:val="00585BA5"/>
    <w:rsid w:val="00585F70"/>
    <w:rsid w:val="00586320"/>
    <w:rsid w:val="00586636"/>
    <w:rsid w:val="0058694D"/>
    <w:rsid w:val="00586FE2"/>
    <w:rsid w:val="005875BB"/>
    <w:rsid w:val="0058787A"/>
    <w:rsid w:val="0059029F"/>
    <w:rsid w:val="005905B4"/>
    <w:rsid w:val="00590C68"/>
    <w:rsid w:val="00590CAD"/>
    <w:rsid w:val="00591017"/>
    <w:rsid w:val="005911FA"/>
    <w:rsid w:val="005913DD"/>
    <w:rsid w:val="00591917"/>
    <w:rsid w:val="00591949"/>
    <w:rsid w:val="0059195C"/>
    <w:rsid w:val="00591F61"/>
    <w:rsid w:val="00591F76"/>
    <w:rsid w:val="00592214"/>
    <w:rsid w:val="00592249"/>
    <w:rsid w:val="005926EF"/>
    <w:rsid w:val="005927CF"/>
    <w:rsid w:val="00592927"/>
    <w:rsid w:val="00592E01"/>
    <w:rsid w:val="005931F4"/>
    <w:rsid w:val="00593336"/>
    <w:rsid w:val="0059334F"/>
    <w:rsid w:val="0059357F"/>
    <w:rsid w:val="005937B5"/>
    <w:rsid w:val="00593885"/>
    <w:rsid w:val="00593C66"/>
    <w:rsid w:val="00593F60"/>
    <w:rsid w:val="00593FCA"/>
    <w:rsid w:val="005941CA"/>
    <w:rsid w:val="0059453D"/>
    <w:rsid w:val="00594D23"/>
    <w:rsid w:val="00594EDE"/>
    <w:rsid w:val="005951AE"/>
    <w:rsid w:val="00595209"/>
    <w:rsid w:val="00595726"/>
    <w:rsid w:val="00595821"/>
    <w:rsid w:val="00595AC3"/>
    <w:rsid w:val="00595C6E"/>
    <w:rsid w:val="00595FDD"/>
    <w:rsid w:val="0059641F"/>
    <w:rsid w:val="00596877"/>
    <w:rsid w:val="00596D1E"/>
    <w:rsid w:val="00596D21"/>
    <w:rsid w:val="005977D2"/>
    <w:rsid w:val="00597867"/>
    <w:rsid w:val="00597C64"/>
    <w:rsid w:val="00597C9F"/>
    <w:rsid w:val="005A050C"/>
    <w:rsid w:val="005A065C"/>
    <w:rsid w:val="005A09B9"/>
    <w:rsid w:val="005A0B9D"/>
    <w:rsid w:val="005A1839"/>
    <w:rsid w:val="005A2034"/>
    <w:rsid w:val="005A2B54"/>
    <w:rsid w:val="005A2DA5"/>
    <w:rsid w:val="005A2F28"/>
    <w:rsid w:val="005A3766"/>
    <w:rsid w:val="005A3961"/>
    <w:rsid w:val="005A3C6A"/>
    <w:rsid w:val="005A3E94"/>
    <w:rsid w:val="005A3EAC"/>
    <w:rsid w:val="005A41B9"/>
    <w:rsid w:val="005A45C8"/>
    <w:rsid w:val="005A4AC2"/>
    <w:rsid w:val="005A4C5F"/>
    <w:rsid w:val="005A4E96"/>
    <w:rsid w:val="005A4EB6"/>
    <w:rsid w:val="005A57D7"/>
    <w:rsid w:val="005A5B2B"/>
    <w:rsid w:val="005A60A3"/>
    <w:rsid w:val="005A63B6"/>
    <w:rsid w:val="005A680E"/>
    <w:rsid w:val="005A71D1"/>
    <w:rsid w:val="005A7892"/>
    <w:rsid w:val="005B02FC"/>
    <w:rsid w:val="005B04F9"/>
    <w:rsid w:val="005B0AE0"/>
    <w:rsid w:val="005B0BBE"/>
    <w:rsid w:val="005B0D8C"/>
    <w:rsid w:val="005B0F96"/>
    <w:rsid w:val="005B1034"/>
    <w:rsid w:val="005B13AD"/>
    <w:rsid w:val="005B148D"/>
    <w:rsid w:val="005B163F"/>
    <w:rsid w:val="005B2673"/>
    <w:rsid w:val="005B295A"/>
    <w:rsid w:val="005B2F0E"/>
    <w:rsid w:val="005B317E"/>
    <w:rsid w:val="005B31C1"/>
    <w:rsid w:val="005B364A"/>
    <w:rsid w:val="005B375B"/>
    <w:rsid w:val="005B3AB2"/>
    <w:rsid w:val="005B3F23"/>
    <w:rsid w:val="005B4375"/>
    <w:rsid w:val="005B4842"/>
    <w:rsid w:val="005B4B2A"/>
    <w:rsid w:val="005B4D48"/>
    <w:rsid w:val="005B50FA"/>
    <w:rsid w:val="005B511B"/>
    <w:rsid w:val="005B57B6"/>
    <w:rsid w:val="005B5BF1"/>
    <w:rsid w:val="005B5D82"/>
    <w:rsid w:val="005B5DD9"/>
    <w:rsid w:val="005B5E84"/>
    <w:rsid w:val="005B5F6F"/>
    <w:rsid w:val="005B613C"/>
    <w:rsid w:val="005B6184"/>
    <w:rsid w:val="005B6450"/>
    <w:rsid w:val="005B657E"/>
    <w:rsid w:val="005B6C79"/>
    <w:rsid w:val="005B6F95"/>
    <w:rsid w:val="005B706E"/>
    <w:rsid w:val="005B7AF3"/>
    <w:rsid w:val="005B7DC1"/>
    <w:rsid w:val="005C0924"/>
    <w:rsid w:val="005C0B4B"/>
    <w:rsid w:val="005C0CDF"/>
    <w:rsid w:val="005C0EAD"/>
    <w:rsid w:val="005C0FAD"/>
    <w:rsid w:val="005C0FC5"/>
    <w:rsid w:val="005C143B"/>
    <w:rsid w:val="005C150A"/>
    <w:rsid w:val="005C1587"/>
    <w:rsid w:val="005C16B4"/>
    <w:rsid w:val="005C1909"/>
    <w:rsid w:val="005C1948"/>
    <w:rsid w:val="005C19D0"/>
    <w:rsid w:val="005C1A60"/>
    <w:rsid w:val="005C1CD8"/>
    <w:rsid w:val="005C1FAD"/>
    <w:rsid w:val="005C214B"/>
    <w:rsid w:val="005C233D"/>
    <w:rsid w:val="005C23CB"/>
    <w:rsid w:val="005C269D"/>
    <w:rsid w:val="005C28A1"/>
    <w:rsid w:val="005C2AE1"/>
    <w:rsid w:val="005C2BD9"/>
    <w:rsid w:val="005C3CED"/>
    <w:rsid w:val="005C3D6C"/>
    <w:rsid w:val="005C444E"/>
    <w:rsid w:val="005C480C"/>
    <w:rsid w:val="005C4878"/>
    <w:rsid w:val="005C4A54"/>
    <w:rsid w:val="005C4DAB"/>
    <w:rsid w:val="005C5157"/>
    <w:rsid w:val="005C5636"/>
    <w:rsid w:val="005C5971"/>
    <w:rsid w:val="005C5B8D"/>
    <w:rsid w:val="005C624F"/>
    <w:rsid w:val="005C661A"/>
    <w:rsid w:val="005C6974"/>
    <w:rsid w:val="005C6CFA"/>
    <w:rsid w:val="005C6D8C"/>
    <w:rsid w:val="005C7B10"/>
    <w:rsid w:val="005C7BAF"/>
    <w:rsid w:val="005D0089"/>
    <w:rsid w:val="005D0AE4"/>
    <w:rsid w:val="005D0F6F"/>
    <w:rsid w:val="005D1403"/>
    <w:rsid w:val="005D1B5A"/>
    <w:rsid w:val="005D1F3B"/>
    <w:rsid w:val="005D2B1C"/>
    <w:rsid w:val="005D2C3D"/>
    <w:rsid w:val="005D3659"/>
    <w:rsid w:val="005D3F42"/>
    <w:rsid w:val="005D3F53"/>
    <w:rsid w:val="005D44E3"/>
    <w:rsid w:val="005D48A5"/>
    <w:rsid w:val="005D4ACD"/>
    <w:rsid w:val="005D5307"/>
    <w:rsid w:val="005D5358"/>
    <w:rsid w:val="005D5B4B"/>
    <w:rsid w:val="005D5FA1"/>
    <w:rsid w:val="005D61D6"/>
    <w:rsid w:val="005D61EF"/>
    <w:rsid w:val="005D6462"/>
    <w:rsid w:val="005D6AD1"/>
    <w:rsid w:val="005D6E2F"/>
    <w:rsid w:val="005D7123"/>
    <w:rsid w:val="005D716B"/>
    <w:rsid w:val="005D7AAA"/>
    <w:rsid w:val="005D7C5A"/>
    <w:rsid w:val="005D7E89"/>
    <w:rsid w:val="005E0488"/>
    <w:rsid w:val="005E057D"/>
    <w:rsid w:val="005E0ABC"/>
    <w:rsid w:val="005E1282"/>
    <w:rsid w:val="005E18EA"/>
    <w:rsid w:val="005E1B04"/>
    <w:rsid w:val="005E1CDB"/>
    <w:rsid w:val="005E2849"/>
    <w:rsid w:val="005E305B"/>
    <w:rsid w:val="005E3427"/>
    <w:rsid w:val="005E3BED"/>
    <w:rsid w:val="005E3CF8"/>
    <w:rsid w:val="005E40C3"/>
    <w:rsid w:val="005E4583"/>
    <w:rsid w:val="005E45AB"/>
    <w:rsid w:val="005E4CC2"/>
    <w:rsid w:val="005E55EE"/>
    <w:rsid w:val="005E5F6A"/>
    <w:rsid w:val="005E6EF5"/>
    <w:rsid w:val="005E7A26"/>
    <w:rsid w:val="005F0376"/>
    <w:rsid w:val="005F080C"/>
    <w:rsid w:val="005F0813"/>
    <w:rsid w:val="005F0BA0"/>
    <w:rsid w:val="005F0DCE"/>
    <w:rsid w:val="005F1284"/>
    <w:rsid w:val="005F1788"/>
    <w:rsid w:val="005F19C6"/>
    <w:rsid w:val="005F1C96"/>
    <w:rsid w:val="005F1D93"/>
    <w:rsid w:val="005F1DF0"/>
    <w:rsid w:val="005F2E1B"/>
    <w:rsid w:val="005F30FD"/>
    <w:rsid w:val="005F328D"/>
    <w:rsid w:val="005F3A2F"/>
    <w:rsid w:val="005F3D99"/>
    <w:rsid w:val="005F3F6A"/>
    <w:rsid w:val="005F4195"/>
    <w:rsid w:val="005F4DC5"/>
    <w:rsid w:val="005F4E74"/>
    <w:rsid w:val="005F4EE6"/>
    <w:rsid w:val="005F4F39"/>
    <w:rsid w:val="005F5808"/>
    <w:rsid w:val="005F5D00"/>
    <w:rsid w:val="005F5E9E"/>
    <w:rsid w:val="005F636E"/>
    <w:rsid w:val="005F64D7"/>
    <w:rsid w:val="005F6D22"/>
    <w:rsid w:val="005F7083"/>
    <w:rsid w:val="005F71AA"/>
    <w:rsid w:val="005F7350"/>
    <w:rsid w:val="005F73B5"/>
    <w:rsid w:val="005F7B24"/>
    <w:rsid w:val="00600138"/>
    <w:rsid w:val="006007DE"/>
    <w:rsid w:val="00600AB9"/>
    <w:rsid w:val="00600ADA"/>
    <w:rsid w:val="00600BBB"/>
    <w:rsid w:val="0060113C"/>
    <w:rsid w:val="006012AD"/>
    <w:rsid w:val="00601E38"/>
    <w:rsid w:val="00601EBB"/>
    <w:rsid w:val="00602BB8"/>
    <w:rsid w:val="00602C91"/>
    <w:rsid w:val="00602FF5"/>
    <w:rsid w:val="00603221"/>
    <w:rsid w:val="0060330A"/>
    <w:rsid w:val="00603DF0"/>
    <w:rsid w:val="006042A5"/>
    <w:rsid w:val="00604682"/>
    <w:rsid w:val="00604A18"/>
    <w:rsid w:val="00604C83"/>
    <w:rsid w:val="00604E17"/>
    <w:rsid w:val="0060521C"/>
    <w:rsid w:val="00605432"/>
    <w:rsid w:val="00605434"/>
    <w:rsid w:val="0060574B"/>
    <w:rsid w:val="006059F1"/>
    <w:rsid w:val="006062B0"/>
    <w:rsid w:val="006067E8"/>
    <w:rsid w:val="00606B16"/>
    <w:rsid w:val="00607445"/>
    <w:rsid w:val="00607CC5"/>
    <w:rsid w:val="0061020D"/>
    <w:rsid w:val="00610DD3"/>
    <w:rsid w:val="00611BF3"/>
    <w:rsid w:val="00611DD8"/>
    <w:rsid w:val="0061276A"/>
    <w:rsid w:val="006128AD"/>
    <w:rsid w:val="00612A1C"/>
    <w:rsid w:val="00612EAA"/>
    <w:rsid w:val="006130A7"/>
    <w:rsid w:val="0061337B"/>
    <w:rsid w:val="00613432"/>
    <w:rsid w:val="0061357A"/>
    <w:rsid w:val="006138BD"/>
    <w:rsid w:val="00613A10"/>
    <w:rsid w:val="00613B5F"/>
    <w:rsid w:val="00613C1E"/>
    <w:rsid w:val="00613D3F"/>
    <w:rsid w:val="00613FD3"/>
    <w:rsid w:val="00614989"/>
    <w:rsid w:val="00614BA7"/>
    <w:rsid w:val="00615156"/>
    <w:rsid w:val="006157F5"/>
    <w:rsid w:val="00615BA5"/>
    <w:rsid w:val="00616334"/>
    <w:rsid w:val="0061695E"/>
    <w:rsid w:val="006171ED"/>
    <w:rsid w:val="006173EF"/>
    <w:rsid w:val="00617514"/>
    <w:rsid w:val="0061761A"/>
    <w:rsid w:val="00617901"/>
    <w:rsid w:val="00617AFB"/>
    <w:rsid w:val="00617C5F"/>
    <w:rsid w:val="00617C85"/>
    <w:rsid w:val="00617D47"/>
    <w:rsid w:val="006207A1"/>
    <w:rsid w:val="0062087C"/>
    <w:rsid w:val="00620D3F"/>
    <w:rsid w:val="00620E36"/>
    <w:rsid w:val="0062121E"/>
    <w:rsid w:val="00621623"/>
    <w:rsid w:val="006219A5"/>
    <w:rsid w:val="006220ED"/>
    <w:rsid w:val="006222AC"/>
    <w:rsid w:val="00622602"/>
    <w:rsid w:val="006226C3"/>
    <w:rsid w:val="006226FA"/>
    <w:rsid w:val="006227AD"/>
    <w:rsid w:val="00622B8B"/>
    <w:rsid w:val="00622BA0"/>
    <w:rsid w:val="00622EC4"/>
    <w:rsid w:val="006230D1"/>
    <w:rsid w:val="00623434"/>
    <w:rsid w:val="006234AA"/>
    <w:rsid w:val="00623BB9"/>
    <w:rsid w:val="00623E53"/>
    <w:rsid w:val="00624854"/>
    <w:rsid w:val="0062485A"/>
    <w:rsid w:val="00625372"/>
    <w:rsid w:val="00625C6F"/>
    <w:rsid w:val="00625F35"/>
    <w:rsid w:val="00626036"/>
    <w:rsid w:val="00626653"/>
    <w:rsid w:val="00626777"/>
    <w:rsid w:val="006267C8"/>
    <w:rsid w:val="00626B77"/>
    <w:rsid w:val="00626D3D"/>
    <w:rsid w:val="006271FD"/>
    <w:rsid w:val="006272F0"/>
    <w:rsid w:val="006278F6"/>
    <w:rsid w:val="00627B81"/>
    <w:rsid w:val="00627BEC"/>
    <w:rsid w:val="00627D38"/>
    <w:rsid w:val="006307AB"/>
    <w:rsid w:val="00630A62"/>
    <w:rsid w:val="00630C33"/>
    <w:rsid w:val="00630DEC"/>
    <w:rsid w:val="006310B8"/>
    <w:rsid w:val="00631341"/>
    <w:rsid w:val="00631471"/>
    <w:rsid w:val="0063147C"/>
    <w:rsid w:val="00631B4F"/>
    <w:rsid w:val="006320D6"/>
    <w:rsid w:val="006327B4"/>
    <w:rsid w:val="00632C19"/>
    <w:rsid w:val="00632C4B"/>
    <w:rsid w:val="00632EAC"/>
    <w:rsid w:val="006334A2"/>
    <w:rsid w:val="006337D8"/>
    <w:rsid w:val="00633C97"/>
    <w:rsid w:val="0063441C"/>
    <w:rsid w:val="00634A9F"/>
    <w:rsid w:val="00634FDB"/>
    <w:rsid w:val="006355A9"/>
    <w:rsid w:val="00635BAA"/>
    <w:rsid w:val="00636478"/>
    <w:rsid w:val="0063677B"/>
    <w:rsid w:val="00636C2E"/>
    <w:rsid w:val="00636DA8"/>
    <w:rsid w:val="00637705"/>
    <w:rsid w:val="006379B9"/>
    <w:rsid w:val="006379D9"/>
    <w:rsid w:val="00637B14"/>
    <w:rsid w:val="0064016E"/>
    <w:rsid w:val="0064116E"/>
    <w:rsid w:val="00641D9F"/>
    <w:rsid w:val="006420A5"/>
    <w:rsid w:val="00642696"/>
    <w:rsid w:val="00642C76"/>
    <w:rsid w:val="00643146"/>
    <w:rsid w:val="00643B8E"/>
    <w:rsid w:val="00644020"/>
    <w:rsid w:val="00644499"/>
    <w:rsid w:val="00644CEC"/>
    <w:rsid w:val="00644EA2"/>
    <w:rsid w:val="00645538"/>
    <w:rsid w:val="00645598"/>
    <w:rsid w:val="00645B0E"/>
    <w:rsid w:val="0064617D"/>
    <w:rsid w:val="006469F8"/>
    <w:rsid w:val="00646D20"/>
    <w:rsid w:val="00646E39"/>
    <w:rsid w:val="00646FFA"/>
    <w:rsid w:val="0064717F"/>
    <w:rsid w:val="0064721A"/>
    <w:rsid w:val="00647437"/>
    <w:rsid w:val="00647593"/>
    <w:rsid w:val="0064773E"/>
    <w:rsid w:val="006477B1"/>
    <w:rsid w:val="00647B35"/>
    <w:rsid w:val="00647BFC"/>
    <w:rsid w:val="00647F2D"/>
    <w:rsid w:val="006501E1"/>
    <w:rsid w:val="006503B5"/>
    <w:rsid w:val="0065050C"/>
    <w:rsid w:val="006512AD"/>
    <w:rsid w:val="00651405"/>
    <w:rsid w:val="00651EAB"/>
    <w:rsid w:val="00652233"/>
    <w:rsid w:val="0065244A"/>
    <w:rsid w:val="00652CA4"/>
    <w:rsid w:val="006534E9"/>
    <w:rsid w:val="00653713"/>
    <w:rsid w:val="0065374F"/>
    <w:rsid w:val="006542C3"/>
    <w:rsid w:val="00654A2D"/>
    <w:rsid w:val="00654E6E"/>
    <w:rsid w:val="0065587C"/>
    <w:rsid w:val="00655B14"/>
    <w:rsid w:val="00656985"/>
    <w:rsid w:val="00656DBF"/>
    <w:rsid w:val="00657581"/>
    <w:rsid w:val="006575B6"/>
    <w:rsid w:val="00657620"/>
    <w:rsid w:val="00657A0C"/>
    <w:rsid w:val="00657E91"/>
    <w:rsid w:val="0066044D"/>
    <w:rsid w:val="00660712"/>
    <w:rsid w:val="00660860"/>
    <w:rsid w:val="00660D62"/>
    <w:rsid w:val="006610CF"/>
    <w:rsid w:val="00661126"/>
    <w:rsid w:val="00661223"/>
    <w:rsid w:val="0066170E"/>
    <w:rsid w:val="0066192D"/>
    <w:rsid w:val="0066198B"/>
    <w:rsid w:val="00661F17"/>
    <w:rsid w:val="00661F5C"/>
    <w:rsid w:val="00661F9A"/>
    <w:rsid w:val="00662B1C"/>
    <w:rsid w:val="006637D2"/>
    <w:rsid w:val="00663A1A"/>
    <w:rsid w:val="006641D5"/>
    <w:rsid w:val="0066441F"/>
    <w:rsid w:val="00664465"/>
    <w:rsid w:val="00665483"/>
    <w:rsid w:val="00665E46"/>
    <w:rsid w:val="00666085"/>
    <w:rsid w:val="006660B2"/>
    <w:rsid w:val="006666CD"/>
    <w:rsid w:val="00666AB8"/>
    <w:rsid w:val="00666AC1"/>
    <w:rsid w:val="00666B9C"/>
    <w:rsid w:val="00666BBA"/>
    <w:rsid w:val="00666CE3"/>
    <w:rsid w:val="00667157"/>
    <w:rsid w:val="006677B0"/>
    <w:rsid w:val="00667D95"/>
    <w:rsid w:val="006704C2"/>
    <w:rsid w:val="006707AE"/>
    <w:rsid w:val="00670E99"/>
    <w:rsid w:val="006711FC"/>
    <w:rsid w:val="00671978"/>
    <w:rsid w:val="00671A92"/>
    <w:rsid w:val="00671F93"/>
    <w:rsid w:val="006720F8"/>
    <w:rsid w:val="006721B1"/>
    <w:rsid w:val="006725CC"/>
    <w:rsid w:val="006727BC"/>
    <w:rsid w:val="006728DD"/>
    <w:rsid w:val="0067368D"/>
    <w:rsid w:val="00673CB7"/>
    <w:rsid w:val="006741F1"/>
    <w:rsid w:val="0067493A"/>
    <w:rsid w:val="00674B08"/>
    <w:rsid w:val="00674D01"/>
    <w:rsid w:val="00674E46"/>
    <w:rsid w:val="00674F40"/>
    <w:rsid w:val="0067533A"/>
    <w:rsid w:val="00675CF9"/>
    <w:rsid w:val="00676FB3"/>
    <w:rsid w:val="006772AC"/>
    <w:rsid w:val="006772CB"/>
    <w:rsid w:val="006773C2"/>
    <w:rsid w:val="00680456"/>
    <w:rsid w:val="006809DC"/>
    <w:rsid w:val="00680BD1"/>
    <w:rsid w:val="0068108D"/>
    <w:rsid w:val="006815B2"/>
    <w:rsid w:val="006824B2"/>
    <w:rsid w:val="006828F9"/>
    <w:rsid w:val="00682968"/>
    <w:rsid w:val="00682A77"/>
    <w:rsid w:val="00682AE3"/>
    <w:rsid w:val="00682E5E"/>
    <w:rsid w:val="00682FD6"/>
    <w:rsid w:val="0068308C"/>
    <w:rsid w:val="0068328E"/>
    <w:rsid w:val="006832A8"/>
    <w:rsid w:val="00683563"/>
    <w:rsid w:val="00683795"/>
    <w:rsid w:val="006838C0"/>
    <w:rsid w:val="00683AAF"/>
    <w:rsid w:val="00683F5D"/>
    <w:rsid w:val="00684183"/>
    <w:rsid w:val="006841CC"/>
    <w:rsid w:val="006842CE"/>
    <w:rsid w:val="0068467E"/>
    <w:rsid w:val="0068524A"/>
    <w:rsid w:val="006853B2"/>
    <w:rsid w:val="00685963"/>
    <w:rsid w:val="00685C4B"/>
    <w:rsid w:val="00685EF7"/>
    <w:rsid w:val="006864C6"/>
    <w:rsid w:val="00686ACD"/>
    <w:rsid w:val="006872DC"/>
    <w:rsid w:val="006873C8"/>
    <w:rsid w:val="00687D26"/>
    <w:rsid w:val="006903DC"/>
    <w:rsid w:val="00690539"/>
    <w:rsid w:val="00690CAD"/>
    <w:rsid w:val="00690FD9"/>
    <w:rsid w:val="0069109B"/>
    <w:rsid w:val="006915F4"/>
    <w:rsid w:val="00692E1D"/>
    <w:rsid w:val="00693D42"/>
    <w:rsid w:val="00694545"/>
    <w:rsid w:val="00694620"/>
    <w:rsid w:val="0069485C"/>
    <w:rsid w:val="00694ADC"/>
    <w:rsid w:val="00694B37"/>
    <w:rsid w:val="0069523B"/>
    <w:rsid w:val="00695E3B"/>
    <w:rsid w:val="00695F73"/>
    <w:rsid w:val="00695FD3"/>
    <w:rsid w:val="0069611E"/>
    <w:rsid w:val="006965C6"/>
    <w:rsid w:val="0069669F"/>
    <w:rsid w:val="00696762"/>
    <w:rsid w:val="00696CFD"/>
    <w:rsid w:val="00696F56"/>
    <w:rsid w:val="0069732A"/>
    <w:rsid w:val="00697463"/>
    <w:rsid w:val="00697EB2"/>
    <w:rsid w:val="006A0500"/>
    <w:rsid w:val="006A0BE3"/>
    <w:rsid w:val="006A14E6"/>
    <w:rsid w:val="006A1D96"/>
    <w:rsid w:val="006A2173"/>
    <w:rsid w:val="006A24C6"/>
    <w:rsid w:val="006A25E7"/>
    <w:rsid w:val="006A3006"/>
    <w:rsid w:val="006A3950"/>
    <w:rsid w:val="006A3D35"/>
    <w:rsid w:val="006A3F3B"/>
    <w:rsid w:val="006A42E0"/>
    <w:rsid w:val="006A4310"/>
    <w:rsid w:val="006A44F7"/>
    <w:rsid w:val="006A462C"/>
    <w:rsid w:val="006A4D1B"/>
    <w:rsid w:val="006A4DF2"/>
    <w:rsid w:val="006A5037"/>
    <w:rsid w:val="006A517A"/>
    <w:rsid w:val="006A524A"/>
    <w:rsid w:val="006A55D9"/>
    <w:rsid w:val="006A6019"/>
    <w:rsid w:val="006A6D4C"/>
    <w:rsid w:val="006A6F3E"/>
    <w:rsid w:val="006A6FEB"/>
    <w:rsid w:val="006A728F"/>
    <w:rsid w:val="006A73DC"/>
    <w:rsid w:val="006A775B"/>
    <w:rsid w:val="006A78C3"/>
    <w:rsid w:val="006B03D9"/>
    <w:rsid w:val="006B0453"/>
    <w:rsid w:val="006B1634"/>
    <w:rsid w:val="006B1961"/>
    <w:rsid w:val="006B1DDE"/>
    <w:rsid w:val="006B1F26"/>
    <w:rsid w:val="006B1F76"/>
    <w:rsid w:val="006B1F78"/>
    <w:rsid w:val="006B22E7"/>
    <w:rsid w:val="006B230B"/>
    <w:rsid w:val="006B3358"/>
    <w:rsid w:val="006B374E"/>
    <w:rsid w:val="006B42BB"/>
    <w:rsid w:val="006B46C2"/>
    <w:rsid w:val="006B4816"/>
    <w:rsid w:val="006B4BCB"/>
    <w:rsid w:val="006B5043"/>
    <w:rsid w:val="006B554D"/>
    <w:rsid w:val="006B5DAD"/>
    <w:rsid w:val="006B63D9"/>
    <w:rsid w:val="006B67F6"/>
    <w:rsid w:val="006B68FC"/>
    <w:rsid w:val="006B6D77"/>
    <w:rsid w:val="006B7365"/>
    <w:rsid w:val="006B7A42"/>
    <w:rsid w:val="006B7ABF"/>
    <w:rsid w:val="006C01BA"/>
    <w:rsid w:val="006C03A3"/>
    <w:rsid w:val="006C07F8"/>
    <w:rsid w:val="006C0A16"/>
    <w:rsid w:val="006C138B"/>
    <w:rsid w:val="006C22F4"/>
    <w:rsid w:val="006C2454"/>
    <w:rsid w:val="006C24AC"/>
    <w:rsid w:val="006C2947"/>
    <w:rsid w:val="006C2D50"/>
    <w:rsid w:val="006C2E66"/>
    <w:rsid w:val="006C33E7"/>
    <w:rsid w:val="006C3891"/>
    <w:rsid w:val="006C3A8C"/>
    <w:rsid w:val="006C427C"/>
    <w:rsid w:val="006C47B2"/>
    <w:rsid w:val="006C4DF7"/>
    <w:rsid w:val="006C521F"/>
    <w:rsid w:val="006C5225"/>
    <w:rsid w:val="006C523A"/>
    <w:rsid w:val="006C5366"/>
    <w:rsid w:val="006C5635"/>
    <w:rsid w:val="006C569B"/>
    <w:rsid w:val="006C58F4"/>
    <w:rsid w:val="006C5CBD"/>
    <w:rsid w:val="006C5DEC"/>
    <w:rsid w:val="006C61E0"/>
    <w:rsid w:val="006C64A2"/>
    <w:rsid w:val="006C6739"/>
    <w:rsid w:val="006C6B2D"/>
    <w:rsid w:val="006C7259"/>
    <w:rsid w:val="006C7AA1"/>
    <w:rsid w:val="006C7D06"/>
    <w:rsid w:val="006C7D4D"/>
    <w:rsid w:val="006C7FF5"/>
    <w:rsid w:val="006D007C"/>
    <w:rsid w:val="006D009B"/>
    <w:rsid w:val="006D0355"/>
    <w:rsid w:val="006D03B0"/>
    <w:rsid w:val="006D0546"/>
    <w:rsid w:val="006D05D9"/>
    <w:rsid w:val="006D07AC"/>
    <w:rsid w:val="006D08B0"/>
    <w:rsid w:val="006D0AEC"/>
    <w:rsid w:val="006D0D90"/>
    <w:rsid w:val="006D14B8"/>
    <w:rsid w:val="006D19A8"/>
    <w:rsid w:val="006D2349"/>
    <w:rsid w:val="006D2553"/>
    <w:rsid w:val="006D275A"/>
    <w:rsid w:val="006D2F4A"/>
    <w:rsid w:val="006D3247"/>
    <w:rsid w:val="006D3766"/>
    <w:rsid w:val="006D3EF3"/>
    <w:rsid w:val="006D42BB"/>
    <w:rsid w:val="006D4524"/>
    <w:rsid w:val="006D464F"/>
    <w:rsid w:val="006D4BD7"/>
    <w:rsid w:val="006D503C"/>
    <w:rsid w:val="006D54EB"/>
    <w:rsid w:val="006D57E0"/>
    <w:rsid w:val="006D6361"/>
    <w:rsid w:val="006D709B"/>
    <w:rsid w:val="006D73DA"/>
    <w:rsid w:val="006E0037"/>
    <w:rsid w:val="006E0CB8"/>
    <w:rsid w:val="006E1AAB"/>
    <w:rsid w:val="006E1BFD"/>
    <w:rsid w:val="006E1E8B"/>
    <w:rsid w:val="006E24D7"/>
    <w:rsid w:val="006E27FB"/>
    <w:rsid w:val="006E2818"/>
    <w:rsid w:val="006E2E2C"/>
    <w:rsid w:val="006E3B5A"/>
    <w:rsid w:val="006E40E5"/>
    <w:rsid w:val="006E4BFA"/>
    <w:rsid w:val="006E5160"/>
    <w:rsid w:val="006E57ED"/>
    <w:rsid w:val="006E59EA"/>
    <w:rsid w:val="006E5D37"/>
    <w:rsid w:val="006E5D8B"/>
    <w:rsid w:val="006E5E9C"/>
    <w:rsid w:val="006E7087"/>
    <w:rsid w:val="006E766B"/>
    <w:rsid w:val="006F077B"/>
    <w:rsid w:val="006F1093"/>
    <w:rsid w:val="006F14A5"/>
    <w:rsid w:val="006F1546"/>
    <w:rsid w:val="006F168D"/>
    <w:rsid w:val="006F1803"/>
    <w:rsid w:val="006F18AE"/>
    <w:rsid w:val="006F1B3E"/>
    <w:rsid w:val="006F1E1C"/>
    <w:rsid w:val="006F1EDA"/>
    <w:rsid w:val="006F20D2"/>
    <w:rsid w:val="006F2FED"/>
    <w:rsid w:val="006F3068"/>
    <w:rsid w:val="006F32E4"/>
    <w:rsid w:val="006F33D9"/>
    <w:rsid w:val="006F36BC"/>
    <w:rsid w:val="006F3900"/>
    <w:rsid w:val="006F3F7D"/>
    <w:rsid w:val="006F4067"/>
    <w:rsid w:val="006F4381"/>
    <w:rsid w:val="006F4575"/>
    <w:rsid w:val="006F45F0"/>
    <w:rsid w:val="006F483F"/>
    <w:rsid w:val="006F53AA"/>
    <w:rsid w:val="006F561A"/>
    <w:rsid w:val="006F572B"/>
    <w:rsid w:val="006F6022"/>
    <w:rsid w:val="006F6874"/>
    <w:rsid w:val="006F697B"/>
    <w:rsid w:val="006F6C52"/>
    <w:rsid w:val="006F6FBE"/>
    <w:rsid w:val="007006F6"/>
    <w:rsid w:val="00700DCB"/>
    <w:rsid w:val="00700F5B"/>
    <w:rsid w:val="00700F6B"/>
    <w:rsid w:val="00701557"/>
    <w:rsid w:val="007021AC"/>
    <w:rsid w:val="00702562"/>
    <w:rsid w:val="007025CA"/>
    <w:rsid w:val="007028DF"/>
    <w:rsid w:val="00702B96"/>
    <w:rsid w:val="00702CA9"/>
    <w:rsid w:val="00702CE3"/>
    <w:rsid w:val="00702FC7"/>
    <w:rsid w:val="0070311B"/>
    <w:rsid w:val="007032C9"/>
    <w:rsid w:val="00703704"/>
    <w:rsid w:val="007043B0"/>
    <w:rsid w:val="0070444F"/>
    <w:rsid w:val="0070490B"/>
    <w:rsid w:val="00704B98"/>
    <w:rsid w:val="00704CEC"/>
    <w:rsid w:val="00704D2E"/>
    <w:rsid w:val="00705213"/>
    <w:rsid w:val="00705AC2"/>
    <w:rsid w:val="00705E02"/>
    <w:rsid w:val="007064D0"/>
    <w:rsid w:val="007067E5"/>
    <w:rsid w:val="00710060"/>
    <w:rsid w:val="00710A2C"/>
    <w:rsid w:val="00710A78"/>
    <w:rsid w:val="00710C57"/>
    <w:rsid w:val="007112D4"/>
    <w:rsid w:val="007116C7"/>
    <w:rsid w:val="00711802"/>
    <w:rsid w:val="00711943"/>
    <w:rsid w:val="00711DDA"/>
    <w:rsid w:val="00711DF7"/>
    <w:rsid w:val="00711F95"/>
    <w:rsid w:val="00711FD8"/>
    <w:rsid w:val="0071256F"/>
    <w:rsid w:val="007130D0"/>
    <w:rsid w:val="007148B3"/>
    <w:rsid w:val="007151AB"/>
    <w:rsid w:val="007152A5"/>
    <w:rsid w:val="00715585"/>
    <w:rsid w:val="00715595"/>
    <w:rsid w:val="007157C8"/>
    <w:rsid w:val="00715B5C"/>
    <w:rsid w:val="0071625F"/>
    <w:rsid w:val="007162A7"/>
    <w:rsid w:val="007163CB"/>
    <w:rsid w:val="0071677C"/>
    <w:rsid w:val="0071694D"/>
    <w:rsid w:val="00716C72"/>
    <w:rsid w:val="00716E09"/>
    <w:rsid w:val="00717063"/>
    <w:rsid w:val="00717849"/>
    <w:rsid w:val="0071784C"/>
    <w:rsid w:val="0071788B"/>
    <w:rsid w:val="00717A5F"/>
    <w:rsid w:val="00717A6E"/>
    <w:rsid w:val="00717C8C"/>
    <w:rsid w:val="00717D21"/>
    <w:rsid w:val="00717FA8"/>
    <w:rsid w:val="00720566"/>
    <w:rsid w:val="007208E3"/>
    <w:rsid w:val="00720A8C"/>
    <w:rsid w:val="007211CC"/>
    <w:rsid w:val="007215D4"/>
    <w:rsid w:val="00721969"/>
    <w:rsid w:val="00721CB5"/>
    <w:rsid w:val="00721DD8"/>
    <w:rsid w:val="00722868"/>
    <w:rsid w:val="007228A1"/>
    <w:rsid w:val="0072337E"/>
    <w:rsid w:val="007233E7"/>
    <w:rsid w:val="007237D0"/>
    <w:rsid w:val="0072398F"/>
    <w:rsid w:val="00723A39"/>
    <w:rsid w:val="00723C22"/>
    <w:rsid w:val="0072445E"/>
    <w:rsid w:val="00724570"/>
    <w:rsid w:val="00725314"/>
    <w:rsid w:val="007261E2"/>
    <w:rsid w:val="007267E1"/>
    <w:rsid w:val="00726C5D"/>
    <w:rsid w:val="00726EC1"/>
    <w:rsid w:val="00727185"/>
    <w:rsid w:val="007277C7"/>
    <w:rsid w:val="0072782A"/>
    <w:rsid w:val="0072788C"/>
    <w:rsid w:val="007300DB"/>
    <w:rsid w:val="0073119F"/>
    <w:rsid w:val="007316C0"/>
    <w:rsid w:val="00731969"/>
    <w:rsid w:val="00731ADF"/>
    <w:rsid w:val="00732830"/>
    <w:rsid w:val="007328C5"/>
    <w:rsid w:val="007329FB"/>
    <w:rsid w:val="00732B91"/>
    <w:rsid w:val="007330FC"/>
    <w:rsid w:val="0073310A"/>
    <w:rsid w:val="00735797"/>
    <w:rsid w:val="007359D8"/>
    <w:rsid w:val="00735B0E"/>
    <w:rsid w:val="007360AF"/>
    <w:rsid w:val="007360BA"/>
    <w:rsid w:val="00736766"/>
    <w:rsid w:val="00736DB7"/>
    <w:rsid w:val="00736E05"/>
    <w:rsid w:val="00737D81"/>
    <w:rsid w:val="00740012"/>
    <w:rsid w:val="007400BC"/>
    <w:rsid w:val="00741349"/>
    <w:rsid w:val="00741471"/>
    <w:rsid w:val="00741525"/>
    <w:rsid w:val="0074160B"/>
    <w:rsid w:val="00741667"/>
    <w:rsid w:val="00742260"/>
    <w:rsid w:val="00743150"/>
    <w:rsid w:val="0074450E"/>
    <w:rsid w:val="007446AD"/>
    <w:rsid w:val="00744BC1"/>
    <w:rsid w:val="00745735"/>
    <w:rsid w:val="0074607C"/>
    <w:rsid w:val="007461E7"/>
    <w:rsid w:val="00747AD8"/>
    <w:rsid w:val="00747FD4"/>
    <w:rsid w:val="007501D3"/>
    <w:rsid w:val="0075044A"/>
    <w:rsid w:val="00750A11"/>
    <w:rsid w:val="00750AE5"/>
    <w:rsid w:val="00750DA2"/>
    <w:rsid w:val="00750DE6"/>
    <w:rsid w:val="00750E60"/>
    <w:rsid w:val="00751010"/>
    <w:rsid w:val="007513CD"/>
    <w:rsid w:val="00751400"/>
    <w:rsid w:val="007518B0"/>
    <w:rsid w:val="007525EA"/>
    <w:rsid w:val="00752776"/>
    <w:rsid w:val="00752823"/>
    <w:rsid w:val="007529D5"/>
    <w:rsid w:val="00752D3D"/>
    <w:rsid w:val="00753248"/>
    <w:rsid w:val="00753439"/>
    <w:rsid w:val="0075394A"/>
    <w:rsid w:val="007548B1"/>
    <w:rsid w:val="0075565A"/>
    <w:rsid w:val="007559B2"/>
    <w:rsid w:val="007565BF"/>
    <w:rsid w:val="00757253"/>
    <w:rsid w:val="0075748D"/>
    <w:rsid w:val="0075754C"/>
    <w:rsid w:val="007609A2"/>
    <w:rsid w:val="0076120A"/>
    <w:rsid w:val="0076211B"/>
    <w:rsid w:val="007624D9"/>
    <w:rsid w:val="007628E0"/>
    <w:rsid w:val="007634C8"/>
    <w:rsid w:val="00763844"/>
    <w:rsid w:val="00763BC1"/>
    <w:rsid w:val="00763D8E"/>
    <w:rsid w:val="00764055"/>
    <w:rsid w:val="007651F0"/>
    <w:rsid w:val="007652E9"/>
    <w:rsid w:val="007653BC"/>
    <w:rsid w:val="00765510"/>
    <w:rsid w:val="007657AC"/>
    <w:rsid w:val="0076598E"/>
    <w:rsid w:val="00765BAE"/>
    <w:rsid w:val="00765DDC"/>
    <w:rsid w:val="00766716"/>
    <w:rsid w:val="00766726"/>
    <w:rsid w:val="007669F0"/>
    <w:rsid w:val="00766B94"/>
    <w:rsid w:val="00767051"/>
    <w:rsid w:val="00767910"/>
    <w:rsid w:val="00767A30"/>
    <w:rsid w:val="00767CCC"/>
    <w:rsid w:val="00767F6D"/>
    <w:rsid w:val="007700FE"/>
    <w:rsid w:val="0077036E"/>
    <w:rsid w:val="00770DCD"/>
    <w:rsid w:val="00770E33"/>
    <w:rsid w:val="00770E66"/>
    <w:rsid w:val="00771960"/>
    <w:rsid w:val="00771AF0"/>
    <w:rsid w:val="00771CD0"/>
    <w:rsid w:val="00772300"/>
    <w:rsid w:val="0077262F"/>
    <w:rsid w:val="00772705"/>
    <w:rsid w:val="00772C98"/>
    <w:rsid w:val="00773281"/>
    <w:rsid w:val="00773303"/>
    <w:rsid w:val="00773A9D"/>
    <w:rsid w:val="0077468A"/>
    <w:rsid w:val="00774DF5"/>
    <w:rsid w:val="0077559F"/>
    <w:rsid w:val="00775A4A"/>
    <w:rsid w:val="00775D64"/>
    <w:rsid w:val="00777350"/>
    <w:rsid w:val="00777B76"/>
    <w:rsid w:val="00780199"/>
    <w:rsid w:val="00781192"/>
    <w:rsid w:val="007812E1"/>
    <w:rsid w:val="00781734"/>
    <w:rsid w:val="007818B6"/>
    <w:rsid w:val="00781D62"/>
    <w:rsid w:val="00782EEC"/>
    <w:rsid w:val="007833FB"/>
    <w:rsid w:val="0078366C"/>
    <w:rsid w:val="00783760"/>
    <w:rsid w:val="007842DE"/>
    <w:rsid w:val="00784516"/>
    <w:rsid w:val="007846CF"/>
    <w:rsid w:val="0078481B"/>
    <w:rsid w:val="00784AA2"/>
    <w:rsid w:val="0078563F"/>
    <w:rsid w:val="00785C7B"/>
    <w:rsid w:val="00786AE0"/>
    <w:rsid w:val="00786D66"/>
    <w:rsid w:val="00787137"/>
    <w:rsid w:val="007872D3"/>
    <w:rsid w:val="00787550"/>
    <w:rsid w:val="00787646"/>
    <w:rsid w:val="007879A4"/>
    <w:rsid w:val="00787A13"/>
    <w:rsid w:val="00787A68"/>
    <w:rsid w:val="00787BBD"/>
    <w:rsid w:val="0079076C"/>
    <w:rsid w:val="00790BEA"/>
    <w:rsid w:val="0079100F"/>
    <w:rsid w:val="0079166E"/>
    <w:rsid w:val="007916DF"/>
    <w:rsid w:val="00791B07"/>
    <w:rsid w:val="00791CD3"/>
    <w:rsid w:val="00791FDC"/>
    <w:rsid w:val="0079206A"/>
    <w:rsid w:val="00792221"/>
    <w:rsid w:val="0079263C"/>
    <w:rsid w:val="00792E62"/>
    <w:rsid w:val="007930E1"/>
    <w:rsid w:val="0079329B"/>
    <w:rsid w:val="00793367"/>
    <w:rsid w:val="0079372D"/>
    <w:rsid w:val="0079384D"/>
    <w:rsid w:val="00793E8E"/>
    <w:rsid w:val="00793F4E"/>
    <w:rsid w:val="0079404F"/>
    <w:rsid w:val="007941B3"/>
    <w:rsid w:val="0079431C"/>
    <w:rsid w:val="007946EB"/>
    <w:rsid w:val="00794989"/>
    <w:rsid w:val="00794DA8"/>
    <w:rsid w:val="00795405"/>
    <w:rsid w:val="00795948"/>
    <w:rsid w:val="0079621F"/>
    <w:rsid w:val="00796554"/>
    <w:rsid w:val="00797030"/>
    <w:rsid w:val="00797398"/>
    <w:rsid w:val="00797B55"/>
    <w:rsid w:val="00797FCC"/>
    <w:rsid w:val="007A0E72"/>
    <w:rsid w:val="007A0ED1"/>
    <w:rsid w:val="007A1190"/>
    <w:rsid w:val="007A138C"/>
    <w:rsid w:val="007A139F"/>
    <w:rsid w:val="007A1450"/>
    <w:rsid w:val="007A1554"/>
    <w:rsid w:val="007A1600"/>
    <w:rsid w:val="007A16B0"/>
    <w:rsid w:val="007A1715"/>
    <w:rsid w:val="007A19E7"/>
    <w:rsid w:val="007A1B4D"/>
    <w:rsid w:val="007A1BA7"/>
    <w:rsid w:val="007A3260"/>
    <w:rsid w:val="007A39D6"/>
    <w:rsid w:val="007A4303"/>
    <w:rsid w:val="007A4618"/>
    <w:rsid w:val="007A48C1"/>
    <w:rsid w:val="007A49F1"/>
    <w:rsid w:val="007A5055"/>
    <w:rsid w:val="007A52AF"/>
    <w:rsid w:val="007A536C"/>
    <w:rsid w:val="007A5776"/>
    <w:rsid w:val="007A5A43"/>
    <w:rsid w:val="007A5E85"/>
    <w:rsid w:val="007A5FD5"/>
    <w:rsid w:val="007A6000"/>
    <w:rsid w:val="007A6048"/>
    <w:rsid w:val="007A626F"/>
    <w:rsid w:val="007A6676"/>
    <w:rsid w:val="007A66D5"/>
    <w:rsid w:val="007A6983"/>
    <w:rsid w:val="007A6AE0"/>
    <w:rsid w:val="007A6C2B"/>
    <w:rsid w:val="007A6E2A"/>
    <w:rsid w:val="007A6EB4"/>
    <w:rsid w:val="007A7399"/>
    <w:rsid w:val="007A745C"/>
    <w:rsid w:val="007A7B57"/>
    <w:rsid w:val="007A7DA8"/>
    <w:rsid w:val="007A7DFD"/>
    <w:rsid w:val="007A7F64"/>
    <w:rsid w:val="007B07FC"/>
    <w:rsid w:val="007B0B57"/>
    <w:rsid w:val="007B0CD6"/>
    <w:rsid w:val="007B0CDE"/>
    <w:rsid w:val="007B0E25"/>
    <w:rsid w:val="007B10D4"/>
    <w:rsid w:val="007B1221"/>
    <w:rsid w:val="007B12F2"/>
    <w:rsid w:val="007B2023"/>
    <w:rsid w:val="007B2533"/>
    <w:rsid w:val="007B320D"/>
    <w:rsid w:val="007B36E3"/>
    <w:rsid w:val="007B37C4"/>
    <w:rsid w:val="007B3A95"/>
    <w:rsid w:val="007B3B0A"/>
    <w:rsid w:val="007B3ECE"/>
    <w:rsid w:val="007B3F9E"/>
    <w:rsid w:val="007B48F6"/>
    <w:rsid w:val="007B4C22"/>
    <w:rsid w:val="007B5403"/>
    <w:rsid w:val="007B5E9C"/>
    <w:rsid w:val="007B5F78"/>
    <w:rsid w:val="007B65FD"/>
    <w:rsid w:val="007B6863"/>
    <w:rsid w:val="007B68C4"/>
    <w:rsid w:val="007B7836"/>
    <w:rsid w:val="007C0C97"/>
    <w:rsid w:val="007C1444"/>
    <w:rsid w:val="007C1CB3"/>
    <w:rsid w:val="007C1DD8"/>
    <w:rsid w:val="007C275D"/>
    <w:rsid w:val="007C2F8F"/>
    <w:rsid w:val="007C3E82"/>
    <w:rsid w:val="007C3FC1"/>
    <w:rsid w:val="007C47C1"/>
    <w:rsid w:val="007C4828"/>
    <w:rsid w:val="007C4F58"/>
    <w:rsid w:val="007C4F6A"/>
    <w:rsid w:val="007C5D7F"/>
    <w:rsid w:val="007C6B91"/>
    <w:rsid w:val="007C7100"/>
    <w:rsid w:val="007C7B84"/>
    <w:rsid w:val="007D00B2"/>
    <w:rsid w:val="007D01AD"/>
    <w:rsid w:val="007D0298"/>
    <w:rsid w:val="007D05B0"/>
    <w:rsid w:val="007D05C5"/>
    <w:rsid w:val="007D19B8"/>
    <w:rsid w:val="007D1AFB"/>
    <w:rsid w:val="007D1DDC"/>
    <w:rsid w:val="007D2160"/>
    <w:rsid w:val="007D2B7C"/>
    <w:rsid w:val="007D301D"/>
    <w:rsid w:val="007D32B2"/>
    <w:rsid w:val="007D3630"/>
    <w:rsid w:val="007D374D"/>
    <w:rsid w:val="007D3C6D"/>
    <w:rsid w:val="007D3C81"/>
    <w:rsid w:val="007D3D27"/>
    <w:rsid w:val="007D3E3B"/>
    <w:rsid w:val="007D3F09"/>
    <w:rsid w:val="007D4399"/>
    <w:rsid w:val="007D4E50"/>
    <w:rsid w:val="007D5461"/>
    <w:rsid w:val="007D5538"/>
    <w:rsid w:val="007D588D"/>
    <w:rsid w:val="007D5C9A"/>
    <w:rsid w:val="007D5CEF"/>
    <w:rsid w:val="007D5EE7"/>
    <w:rsid w:val="007D63B4"/>
    <w:rsid w:val="007D63B7"/>
    <w:rsid w:val="007D680F"/>
    <w:rsid w:val="007D6B3E"/>
    <w:rsid w:val="007D6CE4"/>
    <w:rsid w:val="007D7B47"/>
    <w:rsid w:val="007D7B67"/>
    <w:rsid w:val="007D7D49"/>
    <w:rsid w:val="007E073E"/>
    <w:rsid w:val="007E0976"/>
    <w:rsid w:val="007E0BEA"/>
    <w:rsid w:val="007E0D8A"/>
    <w:rsid w:val="007E1E3A"/>
    <w:rsid w:val="007E1FBD"/>
    <w:rsid w:val="007E226A"/>
    <w:rsid w:val="007E2782"/>
    <w:rsid w:val="007E2A61"/>
    <w:rsid w:val="007E2EC3"/>
    <w:rsid w:val="007E358E"/>
    <w:rsid w:val="007E3811"/>
    <w:rsid w:val="007E3949"/>
    <w:rsid w:val="007E3C50"/>
    <w:rsid w:val="007E3E36"/>
    <w:rsid w:val="007E4255"/>
    <w:rsid w:val="007E4C25"/>
    <w:rsid w:val="007E4D5A"/>
    <w:rsid w:val="007E50C3"/>
    <w:rsid w:val="007E51CC"/>
    <w:rsid w:val="007E599E"/>
    <w:rsid w:val="007E5F1D"/>
    <w:rsid w:val="007E6062"/>
    <w:rsid w:val="007E607E"/>
    <w:rsid w:val="007E6314"/>
    <w:rsid w:val="007E650F"/>
    <w:rsid w:val="007E69A7"/>
    <w:rsid w:val="007E6A5C"/>
    <w:rsid w:val="007E7177"/>
    <w:rsid w:val="007E7451"/>
    <w:rsid w:val="007E79C2"/>
    <w:rsid w:val="007F1BBC"/>
    <w:rsid w:val="007F250A"/>
    <w:rsid w:val="007F273D"/>
    <w:rsid w:val="007F2820"/>
    <w:rsid w:val="007F288D"/>
    <w:rsid w:val="007F2B37"/>
    <w:rsid w:val="007F308E"/>
    <w:rsid w:val="007F320E"/>
    <w:rsid w:val="007F346A"/>
    <w:rsid w:val="007F3DBD"/>
    <w:rsid w:val="007F45B9"/>
    <w:rsid w:val="007F45F9"/>
    <w:rsid w:val="007F477C"/>
    <w:rsid w:val="007F4FA4"/>
    <w:rsid w:val="007F5385"/>
    <w:rsid w:val="007F57A8"/>
    <w:rsid w:val="007F5818"/>
    <w:rsid w:val="007F6941"/>
    <w:rsid w:val="007F6996"/>
    <w:rsid w:val="007F72AC"/>
    <w:rsid w:val="007F74A8"/>
    <w:rsid w:val="007F7A48"/>
    <w:rsid w:val="007F7C59"/>
    <w:rsid w:val="008001E2"/>
    <w:rsid w:val="00800498"/>
    <w:rsid w:val="00801A0E"/>
    <w:rsid w:val="00801DA4"/>
    <w:rsid w:val="00801EC7"/>
    <w:rsid w:val="00801F4E"/>
    <w:rsid w:val="00801FC0"/>
    <w:rsid w:val="00802397"/>
    <w:rsid w:val="00802EBD"/>
    <w:rsid w:val="00803AF9"/>
    <w:rsid w:val="00803CCC"/>
    <w:rsid w:val="0080408B"/>
    <w:rsid w:val="0080430B"/>
    <w:rsid w:val="008048CB"/>
    <w:rsid w:val="00804A6A"/>
    <w:rsid w:val="00804DE3"/>
    <w:rsid w:val="00805030"/>
    <w:rsid w:val="00805118"/>
    <w:rsid w:val="0080531D"/>
    <w:rsid w:val="008056F0"/>
    <w:rsid w:val="00805B9F"/>
    <w:rsid w:val="00806074"/>
    <w:rsid w:val="00806B8F"/>
    <w:rsid w:val="00806E6D"/>
    <w:rsid w:val="00807171"/>
    <w:rsid w:val="00807676"/>
    <w:rsid w:val="008076E1"/>
    <w:rsid w:val="008078C7"/>
    <w:rsid w:val="00807BE6"/>
    <w:rsid w:val="008106C1"/>
    <w:rsid w:val="008106DB"/>
    <w:rsid w:val="0081089A"/>
    <w:rsid w:val="00810C1A"/>
    <w:rsid w:val="00810EB2"/>
    <w:rsid w:val="00811A3B"/>
    <w:rsid w:val="00811A70"/>
    <w:rsid w:val="00811BC3"/>
    <w:rsid w:val="00811D79"/>
    <w:rsid w:val="00812326"/>
    <w:rsid w:val="0081300F"/>
    <w:rsid w:val="00813194"/>
    <w:rsid w:val="008132E1"/>
    <w:rsid w:val="0081375D"/>
    <w:rsid w:val="008139BA"/>
    <w:rsid w:val="00814112"/>
    <w:rsid w:val="0081411B"/>
    <w:rsid w:val="0081415C"/>
    <w:rsid w:val="00814446"/>
    <w:rsid w:val="0081457A"/>
    <w:rsid w:val="008149F8"/>
    <w:rsid w:val="00814B76"/>
    <w:rsid w:val="00814EBC"/>
    <w:rsid w:val="00814F54"/>
    <w:rsid w:val="00815630"/>
    <w:rsid w:val="00815659"/>
    <w:rsid w:val="008157E0"/>
    <w:rsid w:val="00815919"/>
    <w:rsid w:val="00815D71"/>
    <w:rsid w:val="00815D90"/>
    <w:rsid w:val="008166B6"/>
    <w:rsid w:val="008168E8"/>
    <w:rsid w:val="008174C8"/>
    <w:rsid w:val="0081794C"/>
    <w:rsid w:val="00817F20"/>
    <w:rsid w:val="008204B1"/>
    <w:rsid w:val="008205F7"/>
    <w:rsid w:val="00820698"/>
    <w:rsid w:val="00820A65"/>
    <w:rsid w:val="00820F2E"/>
    <w:rsid w:val="00820F40"/>
    <w:rsid w:val="008215D9"/>
    <w:rsid w:val="00821AB1"/>
    <w:rsid w:val="00821B6D"/>
    <w:rsid w:val="00822200"/>
    <w:rsid w:val="0082262D"/>
    <w:rsid w:val="008229E2"/>
    <w:rsid w:val="00822AD1"/>
    <w:rsid w:val="00822E44"/>
    <w:rsid w:val="00822EFE"/>
    <w:rsid w:val="008232D1"/>
    <w:rsid w:val="00823483"/>
    <w:rsid w:val="00823C2E"/>
    <w:rsid w:val="00824206"/>
    <w:rsid w:val="0082439E"/>
    <w:rsid w:val="00824669"/>
    <w:rsid w:val="00824D78"/>
    <w:rsid w:val="00825446"/>
    <w:rsid w:val="00825A68"/>
    <w:rsid w:val="00825ABF"/>
    <w:rsid w:val="008263DE"/>
    <w:rsid w:val="00827077"/>
    <w:rsid w:val="00827DD5"/>
    <w:rsid w:val="00830AB6"/>
    <w:rsid w:val="00830C4C"/>
    <w:rsid w:val="00830E4A"/>
    <w:rsid w:val="00830F01"/>
    <w:rsid w:val="00831230"/>
    <w:rsid w:val="00831B8F"/>
    <w:rsid w:val="00832861"/>
    <w:rsid w:val="0083292F"/>
    <w:rsid w:val="008329D3"/>
    <w:rsid w:val="00833ADD"/>
    <w:rsid w:val="00834016"/>
    <w:rsid w:val="00834036"/>
    <w:rsid w:val="0083408E"/>
    <w:rsid w:val="008340CA"/>
    <w:rsid w:val="008341E3"/>
    <w:rsid w:val="00834AE8"/>
    <w:rsid w:val="008352B2"/>
    <w:rsid w:val="008357B6"/>
    <w:rsid w:val="00835864"/>
    <w:rsid w:val="00835DA7"/>
    <w:rsid w:val="00835E4A"/>
    <w:rsid w:val="00836583"/>
    <w:rsid w:val="008376E8"/>
    <w:rsid w:val="0084023B"/>
    <w:rsid w:val="008407B1"/>
    <w:rsid w:val="008408DA"/>
    <w:rsid w:val="00841576"/>
    <w:rsid w:val="00841C3F"/>
    <w:rsid w:val="00842302"/>
    <w:rsid w:val="0084246F"/>
    <w:rsid w:val="008428EE"/>
    <w:rsid w:val="00842F3E"/>
    <w:rsid w:val="00842F54"/>
    <w:rsid w:val="0084315C"/>
    <w:rsid w:val="008433A6"/>
    <w:rsid w:val="008436AA"/>
    <w:rsid w:val="00843CA1"/>
    <w:rsid w:val="00844051"/>
    <w:rsid w:val="00844248"/>
    <w:rsid w:val="00844852"/>
    <w:rsid w:val="00844CB6"/>
    <w:rsid w:val="00844FA3"/>
    <w:rsid w:val="00845228"/>
    <w:rsid w:val="0084552F"/>
    <w:rsid w:val="008455E0"/>
    <w:rsid w:val="00845B7A"/>
    <w:rsid w:val="00845F21"/>
    <w:rsid w:val="00846DE9"/>
    <w:rsid w:val="00847D6F"/>
    <w:rsid w:val="00847F67"/>
    <w:rsid w:val="00850127"/>
    <w:rsid w:val="0085036E"/>
    <w:rsid w:val="00850600"/>
    <w:rsid w:val="008507C4"/>
    <w:rsid w:val="0085084D"/>
    <w:rsid w:val="008509EC"/>
    <w:rsid w:val="0085110D"/>
    <w:rsid w:val="008520BB"/>
    <w:rsid w:val="008520D7"/>
    <w:rsid w:val="00852BDE"/>
    <w:rsid w:val="00852DA3"/>
    <w:rsid w:val="00852E85"/>
    <w:rsid w:val="008530E2"/>
    <w:rsid w:val="0085380D"/>
    <w:rsid w:val="00853915"/>
    <w:rsid w:val="00853C70"/>
    <w:rsid w:val="00853FBC"/>
    <w:rsid w:val="00854045"/>
    <w:rsid w:val="0085416C"/>
    <w:rsid w:val="008545CA"/>
    <w:rsid w:val="00854C48"/>
    <w:rsid w:val="00855186"/>
    <w:rsid w:val="00855337"/>
    <w:rsid w:val="008557AF"/>
    <w:rsid w:val="00855823"/>
    <w:rsid w:val="00855C91"/>
    <w:rsid w:val="008569F9"/>
    <w:rsid w:val="00856D8D"/>
    <w:rsid w:val="00856FBD"/>
    <w:rsid w:val="008570B3"/>
    <w:rsid w:val="00857CA9"/>
    <w:rsid w:val="00857EBE"/>
    <w:rsid w:val="0086018B"/>
    <w:rsid w:val="0086158F"/>
    <w:rsid w:val="00861C29"/>
    <w:rsid w:val="00862D7A"/>
    <w:rsid w:val="00863ABF"/>
    <w:rsid w:val="00863D68"/>
    <w:rsid w:val="0086419A"/>
    <w:rsid w:val="008657D6"/>
    <w:rsid w:val="008659E8"/>
    <w:rsid w:val="00865F7D"/>
    <w:rsid w:val="00866FA2"/>
    <w:rsid w:val="0086716D"/>
    <w:rsid w:val="008671B6"/>
    <w:rsid w:val="00867CB9"/>
    <w:rsid w:val="00870213"/>
    <w:rsid w:val="0087027F"/>
    <w:rsid w:val="0087031C"/>
    <w:rsid w:val="008708C5"/>
    <w:rsid w:val="00870900"/>
    <w:rsid w:val="00870AC3"/>
    <w:rsid w:val="00872183"/>
    <w:rsid w:val="008725EC"/>
    <w:rsid w:val="008726A8"/>
    <w:rsid w:val="00872B27"/>
    <w:rsid w:val="00872E48"/>
    <w:rsid w:val="00873192"/>
    <w:rsid w:val="00873A89"/>
    <w:rsid w:val="00873DE5"/>
    <w:rsid w:val="00874148"/>
    <w:rsid w:val="00874B2B"/>
    <w:rsid w:val="008756F8"/>
    <w:rsid w:val="00875880"/>
    <w:rsid w:val="00875B97"/>
    <w:rsid w:val="00875BA6"/>
    <w:rsid w:val="00875DA2"/>
    <w:rsid w:val="00876B88"/>
    <w:rsid w:val="00876FC7"/>
    <w:rsid w:val="00876FCB"/>
    <w:rsid w:val="00876FF4"/>
    <w:rsid w:val="00877069"/>
    <w:rsid w:val="008776E6"/>
    <w:rsid w:val="00880600"/>
    <w:rsid w:val="0088068A"/>
    <w:rsid w:val="0088076D"/>
    <w:rsid w:val="00880D0E"/>
    <w:rsid w:val="00881166"/>
    <w:rsid w:val="00881574"/>
    <w:rsid w:val="00881A90"/>
    <w:rsid w:val="00881BFB"/>
    <w:rsid w:val="00882066"/>
    <w:rsid w:val="0088211B"/>
    <w:rsid w:val="00882595"/>
    <w:rsid w:val="00882BAE"/>
    <w:rsid w:val="00882D28"/>
    <w:rsid w:val="00882D59"/>
    <w:rsid w:val="00882EDF"/>
    <w:rsid w:val="008830E0"/>
    <w:rsid w:val="008831A1"/>
    <w:rsid w:val="008831CF"/>
    <w:rsid w:val="00883513"/>
    <w:rsid w:val="00883700"/>
    <w:rsid w:val="00883F54"/>
    <w:rsid w:val="008844B7"/>
    <w:rsid w:val="00884826"/>
    <w:rsid w:val="00884D1C"/>
    <w:rsid w:val="00885208"/>
    <w:rsid w:val="0088558F"/>
    <w:rsid w:val="00885690"/>
    <w:rsid w:val="00885B53"/>
    <w:rsid w:val="00886302"/>
    <w:rsid w:val="00886402"/>
    <w:rsid w:val="00886CAF"/>
    <w:rsid w:val="00886EC2"/>
    <w:rsid w:val="00886F08"/>
    <w:rsid w:val="00886FF3"/>
    <w:rsid w:val="0088749F"/>
    <w:rsid w:val="0089026F"/>
    <w:rsid w:val="008909EA"/>
    <w:rsid w:val="008911C7"/>
    <w:rsid w:val="00891AE9"/>
    <w:rsid w:val="00891B6E"/>
    <w:rsid w:val="00891BA9"/>
    <w:rsid w:val="00892305"/>
    <w:rsid w:val="008923DC"/>
    <w:rsid w:val="008924D7"/>
    <w:rsid w:val="00892D5C"/>
    <w:rsid w:val="008931AD"/>
    <w:rsid w:val="00893A47"/>
    <w:rsid w:val="00893C97"/>
    <w:rsid w:val="00893FA5"/>
    <w:rsid w:val="00894531"/>
    <w:rsid w:val="00894B43"/>
    <w:rsid w:val="00894BDF"/>
    <w:rsid w:val="008957D5"/>
    <w:rsid w:val="00895C2E"/>
    <w:rsid w:val="00896173"/>
    <w:rsid w:val="00896231"/>
    <w:rsid w:val="0089631D"/>
    <w:rsid w:val="00896756"/>
    <w:rsid w:val="00897B22"/>
    <w:rsid w:val="00897BCE"/>
    <w:rsid w:val="00897EED"/>
    <w:rsid w:val="008A0061"/>
    <w:rsid w:val="008A0889"/>
    <w:rsid w:val="008A0C8D"/>
    <w:rsid w:val="008A0CA5"/>
    <w:rsid w:val="008A0CEA"/>
    <w:rsid w:val="008A0EF8"/>
    <w:rsid w:val="008A1725"/>
    <w:rsid w:val="008A19A5"/>
    <w:rsid w:val="008A19B2"/>
    <w:rsid w:val="008A1B34"/>
    <w:rsid w:val="008A1E10"/>
    <w:rsid w:val="008A232A"/>
    <w:rsid w:val="008A2479"/>
    <w:rsid w:val="008A2830"/>
    <w:rsid w:val="008A29A7"/>
    <w:rsid w:val="008A2B75"/>
    <w:rsid w:val="008A2D09"/>
    <w:rsid w:val="008A39A7"/>
    <w:rsid w:val="008A3AB1"/>
    <w:rsid w:val="008A3EFD"/>
    <w:rsid w:val="008A4269"/>
    <w:rsid w:val="008A43C4"/>
    <w:rsid w:val="008A4C89"/>
    <w:rsid w:val="008A5526"/>
    <w:rsid w:val="008A57D0"/>
    <w:rsid w:val="008A5E6A"/>
    <w:rsid w:val="008A65B5"/>
    <w:rsid w:val="008A6C28"/>
    <w:rsid w:val="008A6E61"/>
    <w:rsid w:val="008A6FBE"/>
    <w:rsid w:val="008A71AB"/>
    <w:rsid w:val="008A766A"/>
    <w:rsid w:val="008A77D5"/>
    <w:rsid w:val="008A7D29"/>
    <w:rsid w:val="008B1253"/>
    <w:rsid w:val="008B13FB"/>
    <w:rsid w:val="008B17A1"/>
    <w:rsid w:val="008B2485"/>
    <w:rsid w:val="008B2C8B"/>
    <w:rsid w:val="008B34BA"/>
    <w:rsid w:val="008B352B"/>
    <w:rsid w:val="008B356A"/>
    <w:rsid w:val="008B37A5"/>
    <w:rsid w:val="008B3E59"/>
    <w:rsid w:val="008B42E9"/>
    <w:rsid w:val="008B455B"/>
    <w:rsid w:val="008B4C45"/>
    <w:rsid w:val="008B4E38"/>
    <w:rsid w:val="008B5040"/>
    <w:rsid w:val="008B5A0C"/>
    <w:rsid w:val="008B5BB5"/>
    <w:rsid w:val="008B5C95"/>
    <w:rsid w:val="008B68AC"/>
    <w:rsid w:val="008B6D40"/>
    <w:rsid w:val="008B7CC0"/>
    <w:rsid w:val="008C06F0"/>
    <w:rsid w:val="008C077A"/>
    <w:rsid w:val="008C0A5C"/>
    <w:rsid w:val="008C0CA2"/>
    <w:rsid w:val="008C0DF1"/>
    <w:rsid w:val="008C0F28"/>
    <w:rsid w:val="008C1289"/>
    <w:rsid w:val="008C2130"/>
    <w:rsid w:val="008C251E"/>
    <w:rsid w:val="008C2761"/>
    <w:rsid w:val="008C2AF6"/>
    <w:rsid w:val="008C2F79"/>
    <w:rsid w:val="008C310C"/>
    <w:rsid w:val="008C3487"/>
    <w:rsid w:val="008C34E3"/>
    <w:rsid w:val="008C35D6"/>
    <w:rsid w:val="008C42F5"/>
    <w:rsid w:val="008C43C6"/>
    <w:rsid w:val="008C57DF"/>
    <w:rsid w:val="008C5A6C"/>
    <w:rsid w:val="008C5CF8"/>
    <w:rsid w:val="008C5F68"/>
    <w:rsid w:val="008C62AE"/>
    <w:rsid w:val="008C636A"/>
    <w:rsid w:val="008C6580"/>
    <w:rsid w:val="008C66F2"/>
    <w:rsid w:val="008C685C"/>
    <w:rsid w:val="008C6EB3"/>
    <w:rsid w:val="008C6F64"/>
    <w:rsid w:val="008C70CC"/>
    <w:rsid w:val="008C71EA"/>
    <w:rsid w:val="008C73BF"/>
    <w:rsid w:val="008C7682"/>
    <w:rsid w:val="008C7CC2"/>
    <w:rsid w:val="008C7DEF"/>
    <w:rsid w:val="008D0005"/>
    <w:rsid w:val="008D0007"/>
    <w:rsid w:val="008D020F"/>
    <w:rsid w:val="008D0EEE"/>
    <w:rsid w:val="008D1071"/>
    <w:rsid w:val="008D1523"/>
    <w:rsid w:val="008D152B"/>
    <w:rsid w:val="008D1567"/>
    <w:rsid w:val="008D1703"/>
    <w:rsid w:val="008D18CD"/>
    <w:rsid w:val="008D1A5E"/>
    <w:rsid w:val="008D1D98"/>
    <w:rsid w:val="008D243A"/>
    <w:rsid w:val="008D248A"/>
    <w:rsid w:val="008D2855"/>
    <w:rsid w:val="008D2885"/>
    <w:rsid w:val="008D386B"/>
    <w:rsid w:val="008D3937"/>
    <w:rsid w:val="008D404F"/>
    <w:rsid w:val="008D57C6"/>
    <w:rsid w:val="008D580F"/>
    <w:rsid w:val="008D5A62"/>
    <w:rsid w:val="008D60BA"/>
    <w:rsid w:val="008D6269"/>
    <w:rsid w:val="008D62CA"/>
    <w:rsid w:val="008D62E9"/>
    <w:rsid w:val="008D69B0"/>
    <w:rsid w:val="008D69D6"/>
    <w:rsid w:val="008D6B86"/>
    <w:rsid w:val="008D6BC7"/>
    <w:rsid w:val="008D6CDE"/>
    <w:rsid w:val="008D7162"/>
    <w:rsid w:val="008D72C6"/>
    <w:rsid w:val="008D7C88"/>
    <w:rsid w:val="008D7DAE"/>
    <w:rsid w:val="008E046C"/>
    <w:rsid w:val="008E050B"/>
    <w:rsid w:val="008E08D1"/>
    <w:rsid w:val="008E1635"/>
    <w:rsid w:val="008E187C"/>
    <w:rsid w:val="008E1F73"/>
    <w:rsid w:val="008E1FE9"/>
    <w:rsid w:val="008E289D"/>
    <w:rsid w:val="008E2DD2"/>
    <w:rsid w:val="008E3436"/>
    <w:rsid w:val="008E34CB"/>
    <w:rsid w:val="008E3C2E"/>
    <w:rsid w:val="008E4186"/>
    <w:rsid w:val="008E4842"/>
    <w:rsid w:val="008E4DDA"/>
    <w:rsid w:val="008E516F"/>
    <w:rsid w:val="008E5BF3"/>
    <w:rsid w:val="008E60E3"/>
    <w:rsid w:val="008E62EB"/>
    <w:rsid w:val="008E6683"/>
    <w:rsid w:val="008E6A1B"/>
    <w:rsid w:val="008E6E81"/>
    <w:rsid w:val="008E7BE5"/>
    <w:rsid w:val="008E7C18"/>
    <w:rsid w:val="008E7D59"/>
    <w:rsid w:val="008E7E5E"/>
    <w:rsid w:val="008E7F24"/>
    <w:rsid w:val="008F0542"/>
    <w:rsid w:val="008F061A"/>
    <w:rsid w:val="008F075D"/>
    <w:rsid w:val="008F09DF"/>
    <w:rsid w:val="008F1794"/>
    <w:rsid w:val="008F1876"/>
    <w:rsid w:val="008F1885"/>
    <w:rsid w:val="008F1EAE"/>
    <w:rsid w:val="008F21E9"/>
    <w:rsid w:val="008F22C0"/>
    <w:rsid w:val="008F2748"/>
    <w:rsid w:val="008F2845"/>
    <w:rsid w:val="008F2C50"/>
    <w:rsid w:val="008F2D87"/>
    <w:rsid w:val="008F3218"/>
    <w:rsid w:val="008F324A"/>
    <w:rsid w:val="008F33FE"/>
    <w:rsid w:val="008F3EF2"/>
    <w:rsid w:val="008F3F84"/>
    <w:rsid w:val="008F42AA"/>
    <w:rsid w:val="008F42EC"/>
    <w:rsid w:val="008F4EB3"/>
    <w:rsid w:val="008F507F"/>
    <w:rsid w:val="008F5EF0"/>
    <w:rsid w:val="008F62A9"/>
    <w:rsid w:val="008F631C"/>
    <w:rsid w:val="008F633F"/>
    <w:rsid w:val="008F64D1"/>
    <w:rsid w:val="008F673E"/>
    <w:rsid w:val="008F6A93"/>
    <w:rsid w:val="008F6C30"/>
    <w:rsid w:val="008F71D0"/>
    <w:rsid w:val="008F7D12"/>
    <w:rsid w:val="008F7FA1"/>
    <w:rsid w:val="00900A6A"/>
    <w:rsid w:val="00900AFC"/>
    <w:rsid w:val="00900ED7"/>
    <w:rsid w:val="00900F4D"/>
    <w:rsid w:val="00901023"/>
    <w:rsid w:val="00901BB2"/>
    <w:rsid w:val="00901EF5"/>
    <w:rsid w:val="00902860"/>
    <w:rsid w:val="00902989"/>
    <w:rsid w:val="00902DF8"/>
    <w:rsid w:val="0090329D"/>
    <w:rsid w:val="0090389D"/>
    <w:rsid w:val="00903FC3"/>
    <w:rsid w:val="00904514"/>
    <w:rsid w:val="009045C4"/>
    <w:rsid w:val="00904900"/>
    <w:rsid w:val="00904913"/>
    <w:rsid w:val="00904965"/>
    <w:rsid w:val="00904BB9"/>
    <w:rsid w:val="00904C45"/>
    <w:rsid w:val="00904C8E"/>
    <w:rsid w:val="00904F1F"/>
    <w:rsid w:val="00904FDB"/>
    <w:rsid w:val="00905119"/>
    <w:rsid w:val="00905E82"/>
    <w:rsid w:val="009060AB"/>
    <w:rsid w:val="00906138"/>
    <w:rsid w:val="009062F6"/>
    <w:rsid w:val="009064AE"/>
    <w:rsid w:val="00906ACD"/>
    <w:rsid w:val="00906C67"/>
    <w:rsid w:val="009074DD"/>
    <w:rsid w:val="0090776F"/>
    <w:rsid w:val="00907A72"/>
    <w:rsid w:val="0091003A"/>
    <w:rsid w:val="00910052"/>
    <w:rsid w:val="009101C9"/>
    <w:rsid w:val="00910511"/>
    <w:rsid w:val="009108F7"/>
    <w:rsid w:val="00910C8D"/>
    <w:rsid w:val="00910DE3"/>
    <w:rsid w:val="0091185C"/>
    <w:rsid w:val="00911A43"/>
    <w:rsid w:val="00911B98"/>
    <w:rsid w:val="00911BC5"/>
    <w:rsid w:val="0091206C"/>
    <w:rsid w:val="0091222E"/>
    <w:rsid w:val="009123CE"/>
    <w:rsid w:val="00912C44"/>
    <w:rsid w:val="00912C9F"/>
    <w:rsid w:val="00913F8D"/>
    <w:rsid w:val="00914200"/>
    <w:rsid w:val="00914E91"/>
    <w:rsid w:val="00914EF9"/>
    <w:rsid w:val="00914F43"/>
    <w:rsid w:val="00915428"/>
    <w:rsid w:val="00915A4B"/>
    <w:rsid w:val="00915A92"/>
    <w:rsid w:val="00915EDE"/>
    <w:rsid w:val="0091602D"/>
    <w:rsid w:val="009160FA"/>
    <w:rsid w:val="0091673A"/>
    <w:rsid w:val="0091708E"/>
    <w:rsid w:val="009174C0"/>
    <w:rsid w:val="009174FD"/>
    <w:rsid w:val="009178EB"/>
    <w:rsid w:val="009179F7"/>
    <w:rsid w:val="00920361"/>
    <w:rsid w:val="00920789"/>
    <w:rsid w:val="00920B1E"/>
    <w:rsid w:val="0092132E"/>
    <w:rsid w:val="009214F8"/>
    <w:rsid w:val="00921DC3"/>
    <w:rsid w:val="00922442"/>
    <w:rsid w:val="009224A9"/>
    <w:rsid w:val="0092258D"/>
    <w:rsid w:val="00922C26"/>
    <w:rsid w:val="00922C8D"/>
    <w:rsid w:val="00922EA3"/>
    <w:rsid w:val="00923231"/>
    <w:rsid w:val="0092329B"/>
    <w:rsid w:val="009237FD"/>
    <w:rsid w:val="00923C65"/>
    <w:rsid w:val="009248B4"/>
    <w:rsid w:val="00924BFE"/>
    <w:rsid w:val="00925434"/>
    <w:rsid w:val="009255B5"/>
    <w:rsid w:val="009257FE"/>
    <w:rsid w:val="009258FC"/>
    <w:rsid w:val="00925A9A"/>
    <w:rsid w:val="009262D4"/>
    <w:rsid w:val="00926BF9"/>
    <w:rsid w:val="00926FEA"/>
    <w:rsid w:val="00927E56"/>
    <w:rsid w:val="00927E8F"/>
    <w:rsid w:val="009303FB"/>
    <w:rsid w:val="00930502"/>
    <w:rsid w:val="00930BEF"/>
    <w:rsid w:val="00930EE6"/>
    <w:rsid w:val="00930F1D"/>
    <w:rsid w:val="009312FB"/>
    <w:rsid w:val="0093132B"/>
    <w:rsid w:val="00931E9F"/>
    <w:rsid w:val="009327F6"/>
    <w:rsid w:val="00932C84"/>
    <w:rsid w:val="00933536"/>
    <w:rsid w:val="0093369E"/>
    <w:rsid w:val="009336AA"/>
    <w:rsid w:val="0093385E"/>
    <w:rsid w:val="009339FD"/>
    <w:rsid w:val="00933AF0"/>
    <w:rsid w:val="00933BE1"/>
    <w:rsid w:val="00933D88"/>
    <w:rsid w:val="00933EF3"/>
    <w:rsid w:val="00934712"/>
    <w:rsid w:val="00934A63"/>
    <w:rsid w:val="00934B97"/>
    <w:rsid w:val="00934CE4"/>
    <w:rsid w:val="00935221"/>
    <w:rsid w:val="00935300"/>
    <w:rsid w:val="0093592A"/>
    <w:rsid w:val="00935E00"/>
    <w:rsid w:val="00935E10"/>
    <w:rsid w:val="0093607F"/>
    <w:rsid w:val="0093788D"/>
    <w:rsid w:val="009409F5"/>
    <w:rsid w:val="00941455"/>
    <w:rsid w:val="009416BD"/>
    <w:rsid w:val="009421FA"/>
    <w:rsid w:val="009422F3"/>
    <w:rsid w:val="00942AC1"/>
    <w:rsid w:val="00942E94"/>
    <w:rsid w:val="0094301F"/>
    <w:rsid w:val="009431D9"/>
    <w:rsid w:val="009435A1"/>
    <w:rsid w:val="00944619"/>
    <w:rsid w:val="00944BB2"/>
    <w:rsid w:val="00944E82"/>
    <w:rsid w:val="00945995"/>
    <w:rsid w:val="009473DD"/>
    <w:rsid w:val="00947DB9"/>
    <w:rsid w:val="00950886"/>
    <w:rsid w:val="00950956"/>
    <w:rsid w:val="00950964"/>
    <w:rsid w:val="009512A5"/>
    <w:rsid w:val="009514EF"/>
    <w:rsid w:val="00951CE7"/>
    <w:rsid w:val="00951FDA"/>
    <w:rsid w:val="0095203C"/>
    <w:rsid w:val="0095222F"/>
    <w:rsid w:val="009525E5"/>
    <w:rsid w:val="00952751"/>
    <w:rsid w:val="00952DFA"/>
    <w:rsid w:val="009534FF"/>
    <w:rsid w:val="00953542"/>
    <w:rsid w:val="00953BFA"/>
    <w:rsid w:val="00953C61"/>
    <w:rsid w:val="00953F38"/>
    <w:rsid w:val="00953FC5"/>
    <w:rsid w:val="009541C7"/>
    <w:rsid w:val="00954B60"/>
    <w:rsid w:val="00954B6D"/>
    <w:rsid w:val="00954FF7"/>
    <w:rsid w:val="009551E6"/>
    <w:rsid w:val="00955C49"/>
    <w:rsid w:val="009560E6"/>
    <w:rsid w:val="00956323"/>
    <w:rsid w:val="009567E2"/>
    <w:rsid w:val="00956BA6"/>
    <w:rsid w:val="009572B2"/>
    <w:rsid w:val="0095744C"/>
    <w:rsid w:val="00957C96"/>
    <w:rsid w:val="00957D2A"/>
    <w:rsid w:val="0096003C"/>
    <w:rsid w:val="00960C85"/>
    <w:rsid w:val="00960CF2"/>
    <w:rsid w:val="00960FF7"/>
    <w:rsid w:val="00961219"/>
    <w:rsid w:val="0096166D"/>
    <w:rsid w:val="00961737"/>
    <w:rsid w:val="00961FA4"/>
    <w:rsid w:val="00962081"/>
    <w:rsid w:val="00962282"/>
    <w:rsid w:val="009626F3"/>
    <w:rsid w:val="00962ADF"/>
    <w:rsid w:val="00962B3D"/>
    <w:rsid w:val="00963297"/>
    <w:rsid w:val="00964028"/>
    <w:rsid w:val="00964227"/>
    <w:rsid w:val="00964957"/>
    <w:rsid w:val="00964F3B"/>
    <w:rsid w:val="009659CD"/>
    <w:rsid w:val="0096626B"/>
    <w:rsid w:val="0096648D"/>
    <w:rsid w:val="009666AF"/>
    <w:rsid w:val="00966722"/>
    <w:rsid w:val="0096694C"/>
    <w:rsid w:val="00966B87"/>
    <w:rsid w:val="00966ED4"/>
    <w:rsid w:val="0096706F"/>
    <w:rsid w:val="00967702"/>
    <w:rsid w:val="00967961"/>
    <w:rsid w:val="00970315"/>
    <w:rsid w:val="00970CB8"/>
    <w:rsid w:val="00970F2B"/>
    <w:rsid w:val="009722BB"/>
    <w:rsid w:val="00972591"/>
    <w:rsid w:val="009725B1"/>
    <w:rsid w:val="00972B61"/>
    <w:rsid w:val="009731BC"/>
    <w:rsid w:val="009733C8"/>
    <w:rsid w:val="00973DA9"/>
    <w:rsid w:val="009744D7"/>
    <w:rsid w:val="0097454A"/>
    <w:rsid w:val="00974CFF"/>
    <w:rsid w:val="00974F2C"/>
    <w:rsid w:val="009750F8"/>
    <w:rsid w:val="00975320"/>
    <w:rsid w:val="009753AB"/>
    <w:rsid w:val="00975C50"/>
    <w:rsid w:val="00975C62"/>
    <w:rsid w:val="00977845"/>
    <w:rsid w:val="00980B6A"/>
    <w:rsid w:val="00980C92"/>
    <w:rsid w:val="00980C99"/>
    <w:rsid w:val="00981163"/>
    <w:rsid w:val="00981EE2"/>
    <w:rsid w:val="00981F44"/>
    <w:rsid w:val="00982879"/>
    <w:rsid w:val="00982895"/>
    <w:rsid w:val="00982BD4"/>
    <w:rsid w:val="00982D8F"/>
    <w:rsid w:val="00982DEF"/>
    <w:rsid w:val="009833FA"/>
    <w:rsid w:val="00983669"/>
    <w:rsid w:val="009836C7"/>
    <w:rsid w:val="00983831"/>
    <w:rsid w:val="0098386C"/>
    <w:rsid w:val="00983C49"/>
    <w:rsid w:val="00983D14"/>
    <w:rsid w:val="00983DC9"/>
    <w:rsid w:val="00983FE0"/>
    <w:rsid w:val="009844BF"/>
    <w:rsid w:val="00984A0B"/>
    <w:rsid w:val="00984B86"/>
    <w:rsid w:val="00984CA6"/>
    <w:rsid w:val="009851AB"/>
    <w:rsid w:val="009855F6"/>
    <w:rsid w:val="00985919"/>
    <w:rsid w:val="00986A6F"/>
    <w:rsid w:val="00986B1D"/>
    <w:rsid w:val="00986B1F"/>
    <w:rsid w:val="00986E16"/>
    <w:rsid w:val="00987430"/>
    <w:rsid w:val="009876F5"/>
    <w:rsid w:val="009912F5"/>
    <w:rsid w:val="009915BC"/>
    <w:rsid w:val="009918EA"/>
    <w:rsid w:val="00991F5A"/>
    <w:rsid w:val="00991FE8"/>
    <w:rsid w:val="00992BD1"/>
    <w:rsid w:val="0099368B"/>
    <w:rsid w:val="00993966"/>
    <w:rsid w:val="009941E7"/>
    <w:rsid w:val="0099426A"/>
    <w:rsid w:val="00994998"/>
    <w:rsid w:val="00994B6C"/>
    <w:rsid w:val="00994F0D"/>
    <w:rsid w:val="0099553A"/>
    <w:rsid w:val="00995FBF"/>
    <w:rsid w:val="0099605D"/>
    <w:rsid w:val="009961D3"/>
    <w:rsid w:val="00996260"/>
    <w:rsid w:val="00996893"/>
    <w:rsid w:val="00996BD4"/>
    <w:rsid w:val="00997095"/>
    <w:rsid w:val="0099740E"/>
    <w:rsid w:val="00997713"/>
    <w:rsid w:val="00997A2E"/>
    <w:rsid w:val="009A0152"/>
    <w:rsid w:val="009A0392"/>
    <w:rsid w:val="009A03EB"/>
    <w:rsid w:val="009A0856"/>
    <w:rsid w:val="009A0B7C"/>
    <w:rsid w:val="009A0D6A"/>
    <w:rsid w:val="009A1024"/>
    <w:rsid w:val="009A1446"/>
    <w:rsid w:val="009A1AFD"/>
    <w:rsid w:val="009A1D21"/>
    <w:rsid w:val="009A20E1"/>
    <w:rsid w:val="009A2CD2"/>
    <w:rsid w:val="009A2EC5"/>
    <w:rsid w:val="009A31B7"/>
    <w:rsid w:val="009A31D2"/>
    <w:rsid w:val="009A353F"/>
    <w:rsid w:val="009A356F"/>
    <w:rsid w:val="009A3667"/>
    <w:rsid w:val="009A388D"/>
    <w:rsid w:val="009A4B76"/>
    <w:rsid w:val="009A4C47"/>
    <w:rsid w:val="009A4E57"/>
    <w:rsid w:val="009A4EAD"/>
    <w:rsid w:val="009A5293"/>
    <w:rsid w:val="009A5B27"/>
    <w:rsid w:val="009A6464"/>
    <w:rsid w:val="009A678A"/>
    <w:rsid w:val="009A69A0"/>
    <w:rsid w:val="009A6E3A"/>
    <w:rsid w:val="009A7302"/>
    <w:rsid w:val="009A731A"/>
    <w:rsid w:val="009A74F6"/>
    <w:rsid w:val="009B022E"/>
    <w:rsid w:val="009B0B36"/>
    <w:rsid w:val="009B0BCB"/>
    <w:rsid w:val="009B0E43"/>
    <w:rsid w:val="009B1073"/>
    <w:rsid w:val="009B133F"/>
    <w:rsid w:val="009B1B85"/>
    <w:rsid w:val="009B1D5D"/>
    <w:rsid w:val="009B21BD"/>
    <w:rsid w:val="009B269B"/>
    <w:rsid w:val="009B2AC7"/>
    <w:rsid w:val="009B2CBF"/>
    <w:rsid w:val="009B2FE0"/>
    <w:rsid w:val="009B361F"/>
    <w:rsid w:val="009B371E"/>
    <w:rsid w:val="009B3C41"/>
    <w:rsid w:val="009B3E8C"/>
    <w:rsid w:val="009B43C6"/>
    <w:rsid w:val="009B4F50"/>
    <w:rsid w:val="009B5182"/>
    <w:rsid w:val="009B52FD"/>
    <w:rsid w:val="009B5633"/>
    <w:rsid w:val="009B599B"/>
    <w:rsid w:val="009B5B4F"/>
    <w:rsid w:val="009B63BF"/>
    <w:rsid w:val="009B6401"/>
    <w:rsid w:val="009B6421"/>
    <w:rsid w:val="009B6779"/>
    <w:rsid w:val="009B6E3A"/>
    <w:rsid w:val="009B7000"/>
    <w:rsid w:val="009B7038"/>
    <w:rsid w:val="009B7942"/>
    <w:rsid w:val="009B7ED7"/>
    <w:rsid w:val="009B7F66"/>
    <w:rsid w:val="009C01FC"/>
    <w:rsid w:val="009C0BA1"/>
    <w:rsid w:val="009C0D3F"/>
    <w:rsid w:val="009C15D1"/>
    <w:rsid w:val="009C1761"/>
    <w:rsid w:val="009C1CD5"/>
    <w:rsid w:val="009C27CC"/>
    <w:rsid w:val="009C2982"/>
    <w:rsid w:val="009C3026"/>
    <w:rsid w:val="009C329F"/>
    <w:rsid w:val="009C33D8"/>
    <w:rsid w:val="009C4398"/>
    <w:rsid w:val="009C44EC"/>
    <w:rsid w:val="009C4C7E"/>
    <w:rsid w:val="009C5722"/>
    <w:rsid w:val="009C5B1E"/>
    <w:rsid w:val="009C5BDF"/>
    <w:rsid w:val="009C61FF"/>
    <w:rsid w:val="009C64D8"/>
    <w:rsid w:val="009C6920"/>
    <w:rsid w:val="009C714C"/>
    <w:rsid w:val="009C7229"/>
    <w:rsid w:val="009C770B"/>
    <w:rsid w:val="009D0784"/>
    <w:rsid w:val="009D08FF"/>
    <w:rsid w:val="009D09CD"/>
    <w:rsid w:val="009D0C4D"/>
    <w:rsid w:val="009D160E"/>
    <w:rsid w:val="009D1BA5"/>
    <w:rsid w:val="009D1DA4"/>
    <w:rsid w:val="009D1E04"/>
    <w:rsid w:val="009D1FC2"/>
    <w:rsid w:val="009D1FD4"/>
    <w:rsid w:val="009D229C"/>
    <w:rsid w:val="009D24DC"/>
    <w:rsid w:val="009D24E1"/>
    <w:rsid w:val="009D2A0D"/>
    <w:rsid w:val="009D2DFE"/>
    <w:rsid w:val="009D34C9"/>
    <w:rsid w:val="009D3513"/>
    <w:rsid w:val="009D3F4F"/>
    <w:rsid w:val="009D409C"/>
    <w:rsid w:val="009D44A2"/>
    <w:rsid w:val="009D462E"/>
    <w:rsid w:val="009D4956"/>
    <w:rsid w:val="009D4B9B"/>
    <w:rsid w:val="009D5864"/>
    <w:rsid w:val="009D5F5D"/>
    <w:rsid w:val="009D669F"/>
    <w:rsid w:val="009D6B7A"/>
    <w:rsid w:val="009D70A0"/>
    <w:rsid w:val="009D7418"/>
    <w:rsid w:val="009D7674"/>
    <w:rsid w:val="009D7AFD"/>
    <w:rsid w:val="009E0471"/>
    <w:rsid w:val="009E04F9"/>
    <w:rsid w:val="009E0655"/>
    <w:rsid w:val="009E0682"/>
    <w:rsid w:val="009E09B4"/>
    <w:rsid w:val="009E192F"/>
    <w:rsid w:val="009E1B13"/>
    <w:rsid w:val="009E1D26"/>
    <w:rsid w:val="009E1D47"/>
    <w:rsid w:val="009E22EC"/>
    <w:rsid w:val="009E2549"/>
    <w:rsid w:val="009E2BF1"/>
    <w:rsid w:val="009E32B5"/>
    <w:rsid w:val="009E36DA"/>
    <w:rsid w:val="009E3845"/>
    <w:rsid w:val="009E3DE6"/>
    <w:rsid w:val="009E40CE"/>
    <w:rsid w:val="009E4283"/>
    <w:rsid w:val="009E428E"/>
    <w:rsid w:val="009E44A1"/>
    <w:rsid w:val="009E45BF"/>
    <w:rsid w:val="009E5166"/>
    <w:rsid w:val="009E5999"/>
    <w:rsid w:val="009E5B9F"/>
    <w:rsid w:val="009E5BFF"/>
    <w:rsid w:val="009E5E2B"/>
    <w:rsid w:val="009E638B"/>
    <w:rsid w:val="009E6395"/>
    <w:rsid w:val="009E68B1"/>
    <w:rsid w:val="009E7141"/>
    <w:rsid w:val="009E73EA"/>
    <w:rsid w:val="009E7C79"/>
    <w:rsid w:val="009E7FAA"/>
    <w:rsid w:val="009F0014"/>
    <w:rsid w:val="009F0103"/>
    <w:rsid w:val="009F02F1"/>
    <w:rsid w:val="009F034E"/>
    <w:rsid w:val="009F0720"/>
    <w:rsid w:val="009F080C"/>
    <w:rsid w:val="009F0AF0"/>
    <w:rsid w:val="009F110D"/>
    <w:rsid w:val="009F14F0"/>
    <w:rsid w:val="009F17F2"/>
    <w:rsid w:val="009F261F"/>
    <w:rsid w:val="009F26E3"/>
    <w:rsid w:val="009F2B0A"/>
    <w:rsid w:val="009F2EB9"/>
    <w:rsid w:val="009F33CA"/>
    <w:rsid w:val="009F375F"/>
    <w:rsid w:val="009F39A7"/>
    <w:rsid w:val="009F3D6C"/>
    <w:rsid w:val="009F3DD5"/>
    <w:rsid w:val="009F4625"/>
    <w:rsid w:val="009F4650"/>
    <w:rsid w:val="009F4AA6"/>
    <w:rsid w:val="009F4F65"/>
    <w:rsid w:val="009F52B6"/>
    <w:rsid w:val="009F547E"/>
    <w:rsid w:val="009F5E3E"/>
    <w:rsid w:val="009F604A"/>
    <w:rsid w:val="009F6137"/>
    <w:rsid w:val="009F616F"/>
    <w:rsid w:val="009F61C3"/>
    <w:rsid w:val="009F63CE"/>
    <w:rsid w:val="009F6561"/>
    <w:rsid w:val="009F657B"/>
    <w:rsid w:val="009F6E6A"/>
    <w:rsid w:val="009F718B"/>
    <w:rsid w:val="009F72DE"/>
    <w:rsid w:val="009F7416"/>
    <w:rsid w:val="00A000C7"/>
    <w:rsid w:val="00A001B0"/>
    <w:rsid w:val="00A013CB"/>
    <w:rsid w:val="00A01E6A"/>
    <w:rsid w:val="00A01F89"/>
    <w:rsid w:val="00A02C67"/>
    <w:rsid w:val="00A030CE"/>
    <w:rsid w:val="00A03331"/>
    <w:rsid w:val="00A03775"/>
    <w:rsid w:val="00A038C2"/>
    <w:rsid w:val="00A03A2A"/>
    <w:rsid w:val="00A040A4"/>
    <w:rsid w:val="00A04141"/>
    <w:rsid w:val="00A042CD"/>
    <w:rsid w:val="00A04746"/>
    <w:rsid w:val="00A0528F"/>
    <w:rsid w:val="00A05662"/>
    <w:rsid w:val="00A05990"/>
    <w:rsid w:val="00A06281"/>
    <w:rsid w:val="00A065AF"/>
    <w:rsid w:val="00A06D2A"/>
    <w:rsid w:val="00A070F0"/>
    <w:rsid w:val="00A07287"/>
    <w:rsid w:val="00A07A7D"/>
    <w:rsid w:val="00A07EF5"/>
    <w:rsid w:val="00A106C6"/>
    <w:rsid w:val="00A10896"/>
    <w:rsid w:val="00A10A38"/>
    <w:rsid w:val="00A10B02"/>
    <w:rsid w:val="00A10D81"/>
    <w:rsid w:val="00A117CF"/>
    <w:rsid w:val="00A117E1"/>
    <w:rsid w:val="00A11805"/>
    <w:rsid w:val="00A118B1"/>
    <w:rsid w:val="00A1191C"/>
    <w:rsid w:val="00A11B98"/>
    <w:rsid w:val="00A11DA2"/>
    <w:rsid w:val="00A120FA"/>
    <w:rsid w:val="00A1254E"/>
    <w:rsid w:val="00A12574"/>
    <w:rsid w:val="00A12ACA"/>
    <w:rsid w:val="00A12F66"/>
    <w:rsid w:val="00A131BD"/>
    <w:rsid w:val="00A137A0"/>
    <w:rsid w:val="00A13D1F"/>
    <w:rsid w:val="00A13EEA"/>
    <w:rsid w:val="00A1422E"/>
    <w:rsid w:val="00A14302"/>
    <w:rsid w:val="00A14540"/>
    <w:rsid w:val="00A14736"/>
    <w:rsid w:val="00A14E28"/>
    <w:rsid w:val="00A15BE7"/>
    <w:rsid w:val="00A15C9C"/>
    <w:rsid w:val="00A16634"/>
    <w:rsid w:val="00A16960"/>
    <w:rsid w:val="00A16C08"/>
    <w:rsid w:val="00A16EB3"/>
    <w:rsid w:val="00A170F7"/>
    <w:rsid w:val="00A17352"/>
    <w:rsid w:val="00A1791E"/>
    <w:rsid w:val="00A179E3"/>
    <w:rsid w:val="00A17A8E"/>
    <w:rsid w:val="00A17CE7"/>
    <w:rsid w:val="00A20245"/>
    <w:rsid w:val="00A2061B"/>
    <w:rsid w:val="00A2069B"/>
    <w:rsid w:val="00A207E7"/>
    <w:rsid w:val="00A20D5D"/>
    <w:rsid w:val="00A212DC"/>
    <w:rsid w:val="00A21354"/>
    <w:rsid w:val="00A214AF"/>
    <w:rsid w:val="00A21CB7"/>
    <w:rsid w:val="00A21D7D"/>
    <w:rsid w:val="00A22D62"/>
    <w:rsid w:val="00A232F5"/>
    <w:rsid w:val="00A232FA"/>
    <w:rsid w:val="00A235A8"/>
    <w:rsid w:val="00A239D9"/>
    <w:rsid w:val="00A23A6B"/>
    <w:rsid w:val="00A23A96"/>
    <w:rsid w:val="00A24159"/>
    <w:rsid w:val="00A2475A"/>
    <w:rsid w:val="00A24A37"/>
    <w:rsid w:val="00A25F33"/>
    <w:rsid w:val="00A2645B"/>
    <w:rsid w:val="00A264E3"/>
    <w:rsid w:val="00A26611"/>
    <w:rsid w:val="00A26678"/>
    <w:rsid w:val="00A26CA5"/>
    <w:rsid w:val="00A2710D"/>
    <w:rsid w:val="00A272EC"/>
    <w:rsid w:val="00A278D2"/>
    <w:rsid w:val="00A27C00"/>
    <w:rsid w:val="00A30087"/>
    <w:rsid w:val="00A3023F"/>
    <w:rsid w:val="00A3129E"/>
    <w:rsid w:val="00A31354"/>
    <w:rsid w:val="00A31930"/>
    <w:rsid w:val="00A319C7"/>
    <w:rsid w:val="00A31B6C"/>
    <w:rsid w:val="00A32042"/>
    <w:rsid w:val="00A322BA"/>
    <w:rsid w:val="00A324CF"/>
    <w:rsid w:val="00A32518"/>
    <w:rsid w:val="00A3260C"/>
    <w:rsid w:val="00A3294E"/>
    <w:rsid w:val="00A32A63"/>
    <w:rsid w:val="00A32C07"/>
    <w:rsid w:val="00A33327"/>
    <w:rsid w:val="00A334EB"/>
    <w:rsid w:val="00A335C4"/>
    <w:rsid w:val="00A335E0"/>
    <w:rsid w:val="00A33A33"/>
    <w:rsid w:val="00A33BE5"/>
    <w:rsid w:val="00A34295"/>
    <w:rsid w:val="00A34811"/>
    <w:rsid w:val="00A34FF8"/>
    <w:rsid w:val="00A35978"/>
    <w:rsid w:val="00A3637B"/>
    <w:rsid w:val="00A364A8"/>
    <w:rsid w:val="00A3673C"/>
    <w:rsid w:val="00A36C71"/>
    <w:rsid w:val="00A402BC"/>
    <w:rsid w:val="00A405B5"/>
    <w:rsid w:val="00A409BD"/>
    <w:rsid w:val="00A40D8D"/>
    <w:rsid w:val="00A41356"/>
    <w:rsid w:val="00A413E6"/>
    <w:rsid w:val="00A416ED"/>
    <w:rsid w:val="00A41736"/>
    <w:rsid w:val="00A41763"/>
    <w:rsid w:val="00A41887"/>
    <w:rsid w:val="00A41ABE"/>
    <w:rsid w:val="00A41E4E"/>
    <w:rsid w:val="00A41F2D"/>
    <w:rsid w:val="00A4257A"/>
    <w:rsid w:val="00A42B87"/>
    <w:rsid w:val="00A42F84"/>
    <w:rsid w:val="00A434BC"/>
    <w:rsid w:val="00A43709"/>
    <w:rsid w:val="00A43F75"/>
    <w:rsid w:val="00A44061"/>
    <w:rsid w:val="00A44441"/>
    <w:rsid w:val="00A4449D"/>
    <w:rsid w:val="00A44531"/>
    <w:rsid w:val="00A449D8"/>
    <w:rsid w:val="00A45151"/>
    <w:rsid w:val="00A453D6"/>
    <w:rsid w:val="00A4585F"/>
    <w:rsid w:val="00A459F1"/>
    <w:rsid w:val="00A45BAD"/>
    <w:rsid w:val="00A45E18"/>
    <w:rsid w:val="00A46049"/>
    <w:rsid w:val="00A46054"/>
    <w:rsid w:val="00A460D8"/>
    <w:rsid w:val="00A4629A"/>
    <w:rsid w:val="00A4642C"/>
    <w:rsid w:val="00A46617"/>
    <w:rsid w:val="00A468C8"/>
    <w:rsid w:val="00A46B35"/>
    <w:rsid w:val="00A46B7C"/>
    <w:rsid w:val="00A46C04"/>
    <w:rsid w:val="00A47023"/>
    <w:rsid w:val="00A47306"/>
    <w:rsid w:val="00A475F6"/>
    <w:rsid w:val="00A47B89"/>
    <w:rsid w:val="00A47C4F"/>
    <w:rsid w:val="00A47FEA"/>
    <w:rsid w:val="00A500F1"/>
    <w:rsid w:val="00A508B9"/>
    <w:rsid w:val="00A5129B"/>
    <w:rsid w:val="00A512AE"/>
    <w:rsid w:val="00A51373"/>
    <w:rsid w:val="00A51D90"/>
    <w:rsid w:val="00A51FCE"/>
    <w:rsid w:val="00A52023"/>
    <w:rsid w:val="00A520AF"/>
    <w:rsid w:val="00A52187"/>
    <w:rsid w:val="00A524D2"/>
    <w:rsid w:val="00A5268E"/>
    <w:rsid w:val="00A52DB6"/>
    <w:rsid w:val="00A52F75"/>
    <w:rsid w:val="00A5359E"/>
    <w:rsid w:val="00A53A29"/>
    <w:rsid w:val="00A53CCD"/>
    <w:rsid w:val="00A54363"/>
    <w:rsid w:val="00A544FA"/>
    <w:rsid w:val="00A54B0A"/>
    <w:rsid w:val="00A55B24"/>
    <w:rsid w:val="00A56092"/>
    <w:rsid w:val="00A5628B"/>
    <w:rsid w:val="00A563DD"/>
    <w:rsid w:val="00A56408"/>
    <w:rsid w:val="00A57453"/>
    <w:rsid w:val="00A57C17"/>
    <w:rsid w:val="00A605A3"/>
    <w:rsid w:val="00A6132B"/>
    <w:rsid w:val="00A6144E"/>
    <w:rsid w:val="00A6190F"/>
    <w:rsid w:val="00A62B06"/>
    <w:rsid w:val="00A62DFA"/>
    <w:rsid w:val="00A62E8A"/>
    <w:rsid w:val="00A63033"/>
    <w:rsid w:val="00A632F6"/>
    <w:rsid w:val="00A637BF"/>
    <w:rsid w:val="00A6430D"/>
    <w:rsid w:val="00A64546"/>
    <w:rsid w:val="00A64FEA"/>
    <w:rsid w:val="00A65225"/>
    <w:rsid w:val="00A662F3"/>
    <w:rsid w:val="00A663BD"/>
    <w:rsid w:val="00A6650B"/>
    <w:rsid w:val="00A66D80"/>
    <w:rsid w:val="00A66EA4"/>
    <w:rsid w:val="00A674EB"/>
    <w:rsid w:val="00A676E9"/>
    <w:rsid w:val="00A67B55"/>
    <w:rsid w:val="00A67BCB"/>
    <w:rsid w:val="00A701C5"/>
    <w:rsid w:val="00A705FF"/>
    <w:rsid w:val="00A71190"/>
    <w:rsid w:val="00A71591"/>
    <w:rsid w:val="00A7168B"/>
    <w:rsid w:val="00A71EF0"/>
    <w:rsid w:val="00A71FDE"/>
    <w:rsid w:val="00A721A5"/>
    <w:rsid w:val="00A72516"/>
    <w:rsid w:val="00A725DD"/>
    <w:rsid w:val="00A72D9C"/>
    <w:rsid w:val="00A72DD4"/>
    <w:rsid w:val="00A72E5D"/>
    <w:rsid w:val="00A731B1"/>
    <w:rsid w:val="00A7397F"/>
    <w:rsid w:val="00A73C9B"/>
    <w:rsid w:val="00A74A8F"/>
    <w:rsid w:val="00A74DA0"/>
    <w:rsid w:val="00A74ECA"/>
    <w:rsid w:val="00A758FA"/>
    <w:rsid w:val="00A764E2"/>
    <w:rsid w:val="00A766B3"/>
    <w:rsid w:val="00A76872"/>
    <w:rsid w:val="00A768BD"/>
    <w:rsid w:val="00A76A65"/>
    <w:rsid w:val="00A76EC4"/>
    <w:rsid w:val="00A774FB"/>
    <w:rsid w:val="00A7755E"/>
    <w:rsid w:val="00A7770F"/>
    <w:rsid w:val="00A777E8"/>
    <w:rsid w:val="00A77C2F"/>
    <w:rsid w:val="00A77F29"/>
    <w:rsid w:val="00A80CB8"/>
    <w:rsid w:val="00A80CCF"/>
    <w:rsid w:val="00A81A99"/>
    <w:rsid w:val="00A81B34"/>
    <w:rsid w:val="00A81BD7"/>
    <w:rsid w:val="00A820A2"/>
    <w:rsid w:val="00A8228C"/>
    <w:rsid w:val="00A82CA8"/>
    <w:rsid w:val="00A82E5A"/>
    <w:rsid w:val="00A83546"/>
    <w:rsid w:val="00A841BC"/>
    <w:rsid w:val="00A84298"/>
    <w:rsid w:val="00A856ED"/>
    <w:rsid w:val="00A85A52"/>
    <w:rsid w:val="00A85D54"/>
    <w:rsid w:val="00A86453"/>
    <w:rsid w:val="00A8646B"/>
    <w:rsid w:val="00A866F3"/>
    <w:rsid w:val="00A86F9B"/>
    <w:rsid w:val="00A87221"/>
    <w:rsid w:val="00A90679"/>
    <w:rsid w:val="00A90715"/>
    <w:rsid w:val="00A90974"/>
    <w:rsid w:val="00A9154B"/>
    <w:rsid w:val="00A9159A"/>
    <w:rsid w:val="00A91A31"/>
    <w:rsid w:val="00A924FA"/>
    <w:rsid w:val="00A92CF8"/>
    <w:rsid w:val="00A92E4C"/>
    <w:rsid w:val="00A93110"/>
    <w:rsid w:val="00A9338F"/>
    <w:rsid w:val="00A93993"/>
    <w:rsid w:val="00A93C26"/>
    <w:rsid w:val="00A93C61"/>
    <w:rsid w:val="00A94440"/>
    <w:rsid w:val="00A946B2"/>
    <w:rsid w:val="00A94D6F"/>
    <w:rsid w:val="00A951AC"/>
    <w:rsid w:val="00A954DE"/>
    <w:rsid w:val="00A95A89"/>
    <w:rsid w:val="00A965E1"/>
    <w:rsid w:val="00A96CD8"/>
    <w:rsid w:val="00A96D40"/>
    <w:rsid w:val="00A96DF0"/>
    <w:rsid w:val="00A976B7"/>
    <w:rsid w:val="00A97976"/>
    <w:rsid w:val="00A97F29"/>
    <w:rsid w:val="00AA003F"/>
    <w:rsid w:val="00AA10EE"/>
    <w:rsid w:val="00AA1519"/>
    <w:rsid w:val="00AA191D"/>
    <w:rsid w:val="00AA19F2"/>
    <w:rsid w:val="00AA1AC6"/>
    <w:rsid w:val="00AA1DAC"/>
    <w:rsid w:val="00AA2A3F"/>
    <w:rsid w:val="00AA2A79"/>
    <w:rsid w:val="00AA2C96"/>
    <w:rsid w:val="00AA36D0"/>
    <w:rsid w:val="00AA3850"/>
    <w:rsid w:val="00AA3E3C"/>
    <w:rsid w:val="00AA3EF1"/>
    <w:rsid w:val="00AA44C6"/>
    <w:rsid w:val="00AA4B89"/>
    <w:rsid w:val="00AA57B7"/>
    <w:rsid w:val="00AA613A"/>
    <w:rsid w:val="00AA634C"/>
    <w:rsid w:val="00AA682E"/>
    <w:rsid w:val="00AA68A8"/>
    <w:rsid w:val="00AA6947"/>
    <w:rsid w:val="00AA6A3F"/>
    <w:rsid w:val="00AA74EA"/>
    <w:rsid w:val="00AA752D"/>
    <w:rsid w:val="00AA78CF"/>
    <w:rsid w:val="00AB025C"/>
    <w:rsid w:val="00AB0363"/>
    <w:rsid w:val="00AB0887"/>
    <w:rsid w:val="00AB115A"/>
    <w:rsid w:val="00AB1191"/>
    <w:rsid w:val="00AB1D0A"/>
    <w:rsid w:val="00AB25F5"/>
    <w:rsid w:val="00AB27B8"/>
    <w:rsid w:val="00AB2D13"/>
    <w:rsid w:val="00AB2ED5"/>
    <w:rsid w:val="00AB2FB8"/>
    <w:rsid w:val="00AB327F"/>
    <w:rsid w:val="00AB34FF"/>
    <w:rsid w:val="00AB3710"/>
    <w:rsid w:val="00AB3AAF"/>
    <w:rsid w:val="00AB3B3B"/>
    <w:rsid w:val="00AB3BBD"/>
    <w:rsid w:val="00AB483F"/>
    <w:rsid w:val="00AB5245"/>
    <w:rsid w:val="00AB528B"/>
    <w:rsid w:val="00AB536F"/>
    <w:rsid w:val="00AB55B4"/>
    <w:rsid w:val="00AB5AB6"/>
    <w:rsid w:val="00AB5C01"/>
    <w:rsid w:val="00AB5C5F"/>
    <w:rsid w:val="00AB5DAA"/>
    <w:rsid w:val="00AB6021"/>
    <w:rsid w:val="00AB646F"/>
    <w:rsid w:val="00AB64A1"/>
    <w:rsid w:val="00AB65EC"/>
    <w:rsid w:val="00AB66D2"/>
    <w:rsid w:val="00AB68C0"/>
    <w:rsid w:val="00AB6BE2"/>
    <w:rsid w:val="00AB720D"/>
    <w:rsid w:val="00AB729E"/>
    <w:rsid w:val="00AB7422"/>
    <w:rsid w:val="00AB7905"/>
    <w:rsid w:val="00AB7D81"/>
    <w:rsid w:val="00AB7F0A"/>
    <w:rsid w:val="00AC0232"/>
    <w:rsid w:val="00AC0535"/>
    <w:rsid w:val="00AC075E"/>
    <w:rsid w:val="00AC0E31"/>
    <w:rsid w:val="00AC1EC1"/>
    <w:rsid w:val="00AC2F04"/>
    <w:rsid w:val="00AC36AC"/>
    <w:rsid w:val="00AC377C"/>
    <w:rsid w:val="00AC3843"/>
    <w:rsid w:val="00AC3C2E"/>
    <w:rsid w:val="00AC4BAC"/>
    <w:rsid w:val="00AC5DCD"/>
    <w:rsid w:val="00AC64AD"/>
    <w:rsid w:val="00AC66FC"/>
    <w:rsid w:val="00AC6A4F"/>
    <w:rsid w:val="00AC6B1E"/>
    <w:rsid w:val="00AC6FFE"/>
    <w:rsid w:val="00AD03C9"/>
    <w:rsid w:val="00AD06FF"/>
    <w:rsid w:val="00AD0A8B"/>
    <w:rsid w:val="00AD16DE"/>
    <w:rsid w:val="00AD18AA"/>
    <w:rsid w:val="00AD21D3"/>
    <w:rsid w:val="00AD21FB"/>
    <w:rsid w:val="00AD25CB"/>
    <w:rsid w:val="00AD27BC"/>
    <w:rsid w:val="00AD2A92"/>
    <w:rsid w:val="00AD2B9A"/>
    <w:rsid w:val="00AD333D"/>
    <w:rsid w:val="00AD369B"/>
    <w:rsid w:val="00AD3A11"/>
    <w:rsid w:val="00AD3C01"/>
    <w:rsid w:val="00AD4122"/>
    <w:rsid w:val="00AD4B82"/>
    <w:rsid w:val="00AD4B9C"/>
    <w:rsid w:val="00AD4BDF"/>
    <w:rsid w:val="00AD4D6E"/>
    <w:rsid w:val="00AD500B"/>
    <w:rsid w:val="00AD543E"/>
    <w:rsid w:val="00AD54A6"/>
    <w:rsid w:val="00AD5908"/>
    <w:rsid w:val="00AD5F97"/>
    <w:rsid w:val="00AD603C"/>
    <w:rsid w:val="00AD61F6"/>
    <w:rsid w:val="00AD6851"/>
    <w:rsid w:val="00AD6BA2"/>
    <w:rsid w:val="00AD6E8A"/>
    <w:rsid w:val="00AD7256"/>
    <w:rsid w:val="00AD74F5"/>
    <w:rsid w:val="00AD7AC7"/>
    <w:rsid w:val="00AD7CBC"/>
    <w:rsid w:val="00AE01AE"/>
    <w:rsid w:val="00AE0B0B"/>
    <w:rsid w:val="00AE0D93"/>
    <w:rsid w:val="00AE135D"/>
    <w:rsid w:val="00AE166D"/>
    <w:rsid w:val="00AE1745"/>
    <w:rsid w:val="00AE1A86"/>
    <w:rsid w:val="00AE1BA8"/>
    <w:rsid w:val="00AE20CC"/>
    <w:rsid w:val="00AE2188"/>
    <w:rsid w:val="00AE2253"/>
    <w:rsid w:val="00AE2806"/>
    <w:rsid w:val="00AE2A9E"/>
    <w:rsid w:val="00AE2CB8"/>
    <w:rsid w:val="00AE3298"/>
    <w:rsid w:val="00AE451E"/>
    <w:rsid w:val="00AE507C"/>
    <w:rsid w:val="00AE550E"/>
    <w:rsid w:val="00AE5A79"/>
    <w:rsid w:val="00AE5B96"/>
    <w:rsid w:val="00AE6120"/>
    <w:rsid w:val="00AE613D"/>
    <w:rsid w:val="00AE6429"/>
    <w:rsid w:val="00AE6A6E"/>
    <w:rsid w:val="00AE6ACD"/>
    <w:rsid w:val="00AE6BEE"/>
    <w:rsid w:val="00AE6D20"/>
    <w:rsid w:val="00AE74BA"/>
    <w:rsid w:val="00AE7695"/>
    <w:rsid w:val="00AE7A6C"/>
    <w:rsid w:val="00AF000B"/>
    <w:rsid w:val="00AF0039"/>
    <w:rsid w:val="00AF0854"/>
    <w:rsid w:val="00AF089F"/>
    <w:rsid w:val="00AF0DDD"/>
    <w:rsid w:val="00AF0E71"/>
    <w:rsid w:val="00AF0FFD"/>
    <w:rsid w:val="00AF1901"/>
    <w:rsid w:val="00AF19C7"/>
    <w:rsid w:val="00AF23E5"/>
    <w:rsid w:val="00AF3238"/>
    <w:rsid w:val="00AF326E"/>
    <w:rsid w:val="00AF329C"/>
    <w:rsid w:val="00AF32C2"/>
    <w:rsid w:val="00AF373E"/>
    <w:rsid w:val="00AF38EB"/>
    <w:rsid w:val="00AF3C7D"/>
    <w:rsid w:val="00AF4A3C"/>
    <w:rsid w:val="00AF4CE7"/>
    <w:rsid w:val="00AF4E1B"/>
    <w:rsid w:val="00AF4EB5"/>
    <w:rsid w:val="00AF57A1"/>
    <w:rsid w:val="00AF5F39"/>
    <w:rsid w:val="00AF6122"/>
    <w:rsid w:val="00AF613B"/>
    <w:rsid w:val="00AF6179"/>
    <w:rsid w:val="00AF6FFE"/>
    <w:rsid w:val="00AF70D2"/>
    <w:rsid w:val="00AF7423"/>
    <w:rsid w:val="00B000B9"/>
    <w:rsid w:val="00B00759"/>
    <w:rsid w:val="00B00773"/>
    <w:rsid w:val="00B00933"/>
    <w:rsid w:val="00B0116F"/>
    <w:rsid w:val="00B017E8"/>
    <w:rsid w:val="00B02262"/>
    <w:rsid w:val="00B02451"/>
    <w:rsid w:val="00B02B5D"/>
    <w:rsid w:val="00B03057"/>
    <w:rsid w:val="00B037EC"/>
    <w:rsid w:val="00B03B36"/>
    <w:rsid w:val="00B03C8E"/>
    <w:rsid w:val="00B03E90"/>
    <w:rsid w:val="00B0414D"/>
    <w:rsid w:val="00B0535C"/>
    <w:rsid w:val="00B05538"/>
    <w:rsid w:val="00B05E07"/>
    <w:rsid w:val="00B0614D"/>
    <w:rsid w:val="00B066B0"/>
    <w:rsid w:val="00B06A86"/>
    <w:rsid w:val="00B06AC1"/>
    <w:rsid w:val="00B06DB8"/>
    <w:rsid w:val="00B06DF9"/>
    <w:rsid w:val="00B07193"/>
    <w:rsid w:val="00B0745E"/>
    <w:rsid w:val="00B076BE"/>
    <w:rsid w:val="00B079EA"/>
    <w:rsid w:val="00B1113C"/>
    <w:rsid w:val="00B117C7"/>
    <w:rsid w:val="00B11B04"/>
    <w:rsid w:val="00B11E13"/>
    <w:rsid w:val="00B11F24"/>
    <w:rsid w:val="00B12236"/>
    <w:rsid w:val="00B12B18"/>
    <w:rsid w:val="00B131DB"/>
    <w:rsid w:val="00B13200"/>
    <w:rsid w:val="00B13464"/>
    <w:rsid w:val="00B1359D"/>
    <w:rsid w:val="00B13718"/>
    <w:rsid w:val="00B13729"/>
    <w:rsid w:val="00B13F92"/>
    <w:rsid w:val="00B141FD"/>
    <w:rsid w:val="00B145BB"/>
    <w:rsid w:val="00B1472D"/>
    <w:rsid w:val="00B1482D"/>
    <w:rsid w:val="00B14CC2"/>
    <w:rsid w:val="00B155C4"/>
    <w:rsid w:val="00B15A7C"/>
    <w:rsid w:val="00B15ACF"/>
    <w:rsid w:val="00B15B69"/>
    <w:rsid w:val="00B15CE5"/>
    <w:rsid w:val="00B15DBD"/>
    <w:rsid w:val="00B16511"/>
    <w:rsid w:val="00B169BA"/>
    <w:rsid w:val="00B16DBE"/>
    <w:rsid w:val="00B17200"/>
    <w:rsid w:val="00B17599"/>
    <w:rsid w:val="00B178C7"/>
    <w:rsid w:val="00B17A5B"/>
    <w:rsid w:val="00B17A5E"/>
    <w:rsid w:val="00B20124"/>
    <w:rsid w:val="00B201E6"/>
    <w:rsid w:val="00B205B7"/>
    <w:rsid w:val="00B20626"/>
    <w:rsid w:val="00B20914"/>
    <w:rsid w:val="00B20EFD"/>
    <w:rsid w:val="00B21A3A"/>
    <w:rsid w:val="00B21A69"/>
    <w:rsid w:val="00B21C80"/>
    <w:rsid w:val="00B2228C"/>
    <w:rsid w:val="00B225EF"/>
    <w:rsid w:val="00B22963"/>
    <w:rsid w:val="00B22B29"/>
    <w:rsid w:val="00B22B51"/>
    <w:rsid w:val="00B22D69"/>
    <w:rsid w:val="00B22DAA"/>
    <w:rsid w:val="00B23640"/>
    <w:rsid w:val="00B2386C"/>
    <w:rsid w:val="00B239E5"/>
    <w:rsid w:val="00B245F7"/>
    <w:rsid w:val="00B247D0"/>
    <w:rsid w:val="00B25648"/>
    <w:rsid w:val="00B25715"/>
    <w:rsid w:val="00B25D10"/>
    <w:rsid w:val="00B26818"/>
    <w:rsid w:val="00B27B8A"/>
    <w:rsid w:val="00B27F57"/>
    <w:rsid w:val="00B3026D"/>
    <w:rsid w:val="00B3072E"/>
    <w:rsid w:val="00B30C6E"/>
    <w:rsid w:val="00B315FB"/>
    <w:rsid w:val="00B31682"/>
    <w:rsid w:val="00B31CFD"/>
    <w:rsid w:val="00B31DA2"/>
    <w:rsid w:val="00B31E0D"/>
    <w:rsid w:val="00B3204A"/>
    <w:rsid w:val="00B32533"/>
    <w:rsid w:val="00B32571"/>
    <w:rsid w:val="00B3287D"/>
    <w:rsid w:val="00B32CF2"/>
    <w:rsid w:val="00B333B1"/>
    <w:rsid w:val="00B333BE"/>
    <w:rsid w:val="00B33628"/>
    <w:rsid w:val="00B34C4A"/>
    <w:rsid w:val="00B34FCC"/>
    <w:rsid w:val="00B35493"/>
    <w:rsid w:val="00B35532"/>
    <w:rsid w:val="00B35BB8"/>
    <w:rsid w:val="00B35C22"/>
    <w:rsid w:val="00B3634F"/>
    <w:rsid w:val="00B368ED"/>
    <w:rsid w:val="00B36D9A"/>
    <w:rsid w:val="00B370BF"/>
    <w:rsid w:val="00B377D4"/>
    <w:rsid w:val="00B37F71"/>
    <w:rsid w:val="00B40731"/>
    <w:rsid w:val="00B40D17"/>
    <w:rsid w:val="00B414C7"/>
    <w:rsid w:val="00B41695"/>
    <w:rsid w:val="00B4204C"/>
    <w:rsid w:val="00B42B4C"/>
    <w:rsid w:val="00B432EF"/>
    <w:rsid w:val="00B43BF5"/>
    <w:rsid w:val="00B43F32"/>
    <w:rsid w:val="00B442EF"/>
    <w:rsid w:val="00B446EC"/>
    <w:rsid w:val="00B44A37"/>
    <w:rsid w:val="00B44B29"/>
    <w:rsid w:val="00B44F67"/>
    <w:rsid w:val="00B44FFF"/>
    <w:rsid w:val="00B45348"/>
    <w:rsid w:val="00B4560D"/>
    <w:rsid w:val="00B457F8"/>
    <w:rsid w:val="00B45C13"/>
    <w:rsid w:val="00B45C7D"/>
    <w:rsid w:val="00B45EBF"/>
    <w:rsid w:val="00B461E6"/>
    <w:rsid w:val="00B462C3"/>
    <w:rsid w:val="00B464E0"/>
    <w:rsid w:val="00B465CA"/>
    <w:rsid w:val="00B46834"/>
    <w:rsid w:val="00B46AF9"/>
    <w:rsid w:val="00B46DD3"/>
    <w:rsid w:val="00B4786C"/>
    <w:rsid w:val="00B4797A"/>
    <w:rsid w:val="00B47B23"/>
    <w:rsid w:val="00B47E16"/>
    <w:rsid w:val="00B50073"/>
    <w:rsid w:val="00B506D1"/>
    <w:rsid w:val="00B51017"/>
    <w:rsid w:val="00B516CD"/>
    <w:rsid w:val="00B5195D"/>
    <w:rsid w:val="00B52AFA"/>
    <w:rsid w:val="00B53569"/>
    <w:rsid w:val="00B53854"/>
    <w:rsid w:val="00B53CE5"/>
    <w:rsid w:val="00B5428F"/>
    <w:rsid w:val="00B544B0"/>
    <w:rsid w:val="00B545C4"/>
    <w:rsid w:val="00B54C62"/>
    <w:rsid w:val="00B551FB"/>
    <w:rsid w:val="00B5549C"/>
    <w:rsid w:val="00B5562A"/>
    <w:rsid w:val="00B559BD"/>
    <w:rsid w:val="00B55D0E"/>
    <w:rsid w:val="00B5629C"/>
    <w:rsid w:val="00B563D4"/>
    <w:rsid w:val="00B56556"/>
    <w:rsid w:val="00B567A9"/>
    <w:rsid w:val="00B56A6F"/>
    <w:rsid w:val="00B572E8"/>
    <w:rsid w:val="00B5748C"/>
    <w:rsid w:val="00B57599"/>
    <w:rsid w:val="00B57F0C"/>
    <w:rsid w:val="00B60092"/>
    <w:rsid w:val="00B60527"/>
    <w:rsid w:val="00B60AE2"/>
    <w:rsid w:val="00B60B19"/>
    <w:rsid w:val="00B60B26"/>
    <w:rsid w:val="00B60F48"/>
    <w:rsid w:val="00B61918"/>
    <w:rsid w:val="00B61A62"/>
    <w:rsid w:val="00B61BFD"/>
    <w:rsid w:val="00B61FF2"/>
    <w:rsid w:val="00B621DB"/>
    <w:rsid w:val="00B622DF"/>
    <w:rsid w:val="00B623B2"/>
    <w:rsid w:val="00B63251"/>
    <w:rsid w:val="00B63B93"/>
    <w:rsid w:val="00B63B9F"/>
    <w:rsid w:val="00B63DC5"/>
    <w:rsid w:val="00B63FC9"/>
    <w:rsid w:val="00B641CA"/>
    <w:rsid w:val="00B6446B"/>
    <w:rsid w:val="00B64532"/>
    <w:rsid w:val="00B64898"/>
    <w:rsid w:val="00B649F6"/>
    <w:rsid w:val="00B64B32"/>
    <w:rsid w:val="00B64E18"/>
    <w:rsid w:val="00B65710"/>
    <w:rsid w:val="00B6581D"/>
    <w:rsid w:val="00B659B6"/>
    <w:rsid w:val="00B6618C"/>
    <w:rsid w:val="00B66654"/>
    <w:rsid w:val="00B66918"/>
    <w:rsid w:val="00B66CC6"/>
    <w:rsid w:val="00B66ECB"/>
    <w:rsid w:val="00B67293"/>
    <w:rsid w:val="00B673B5"/>
    <w:rsid w:val="00B6754A"/>
    <w:rsid w:val="00B678F6"/>
    <w:rsid w:val="00B67F2F"/>
    <w:rsid w:val="00B70191"/>
    <w:rsid w:val="00B70265"/>
    <w:rsid w:val="00B70AD5"/>
    <w:rsid w:val="00B70EB2"/>
    <w:rsid w:val="00B71109"/>
    <w:rsid w:val="00B71241"/>
    <w:rsid w:val="00B714E3"/>
    <w:rsid w:val="00B71691"/>
    <w:rsid w:val="00B71F44"/>
    <w:rsid w:val="00B72111"/>
    <w:rsid w:val="00B723A3"/>
    <w:rsid w:val="00B72793"/>
    <w:rsid w:val="00B73010"/>
    <w:rsid w:val="00B7304F"/>
    <w:rsid w:val="00B732E9"/>
    <w:rsid w:val="00B73832"/>
    <w:rsid w:val="00B73F88"/>
    <w:rsid w:val="00B742AF"/>
    <w:rsid w:val="00B755A7"/>
    <w:rsid w:val="00B75782"/>
    <w:rsid w:val="00B75822"/>
    <w:rsid w:val="00B75D40"/>
    <w:rsid w:val="00B75E67"/>
    <w:rsid w:val="00B76173"/>
    <w:rsid w:val="00B7633A"/>
    <w:rsid w:val="00B764D0"/>
    <w:rsid w:val="00B764F7"/>
    <w:rsid w:val="00B76508"/>
    <w:rsid w:val="00B76F0F"/>
    <w:rsid w:val="00B771D7"/>
    <w:rsid w:val="00B77214"/>
    <w:rsid w:val="00B77AC9"/>
    <w:rsid w:val="00B77DE0"/>
    <w:rsid w:val="00B8002A"/>
    <w:rsid w:val="00B81383"/>
    <w:rsid w:val="00B81AAA"/>
    <w:rsid w:val="00B8202F"/>
    <w:rsid w:val="00B826E8"/>
    <w:rsid w:val="00B829F2"/>
    <w:rsid w:val="00B83E0C"/>
    <w:rsid w:val="00B841B8"/>
    <w:rsid w:val="00B84515"/>
    <w:rsid w:val="00B8499B"/>
    <w:rsid w:val="00B84EE2"/>
    <w:rsid w:val="00B85165"/>
    <w:rsid w:val="00B851AB"/>
    <w:rsid w:val="00B8542A"/>
    <w:rsid w:val="00B854C1"/>
    <w:rsid w:val="00B85A88"/>
    <w:rsid w:val="00B86671"/>
    <w:rsid w:val="00B86B67"/>
    <w:rsid w:val="00B86E3F"/>
    <w:rsid w:val="00B8705A"/>
    <w:rsid w:val="00B877C5"/>
    <w:rsid w:val="00B87935"/>
    <w:rsid w:val="00B87ACA"/>
    <w:rsid w:val="00B90471"/>
    <w:rsid w:val="00B90EB5"/>
    <w:rsid w:val="00B9166B"/>
    <w:rsid w:val="00B916E0"/>
    <w:rsid w:val="00B926C8"/>
    <w:rsid w:val="00B926F2"/>
    <w:rsid w:val="00B92C15"/>
    <w:rsid w:val="00B92E30"/>
    <w:rsid w:val="00B9308C"/>
    <w:rsid w:val="00B93DEE"/>
    <w:rsid w:val="00B93E03"/>
    <w:rsid w:val="00B94B34"/>
    <w:rsid w:val="00B94F5F"/>
    <w:rsid w:val="00B95035"/>
    <w:rsid w:val="00B958A7"/>
    <w:rsid w:val="00B95B67"/>
    <w:rsid w:val="00B95E6F"/>
    <w:rsid w:val="00B960F5"/>
    <w:rsid w:val="00B9631B"/>
    <w:rsid w:val="00B96543"/>
    <w:rsid w:val="00B9683B"/>
    <w:rsid w:val="00B9691B"/>
    <w:rsid w:val="00B96D30"/>
    <w:rsid w:val="00B96DB9"/>
    <w:rsid w:val="00B96E1F"/>
    <w:rsid w:val="00B973DA"/>
    <w:rsid w:val="00B9741B"/>
    <w:rsid w:val="00B9746D"/>
    <w:rsid w:val="00B977CC"/>
    <w:rsid w:val="00B97C09"/>
    <w:rsid w:val="00BA1D08"/>
    <w:rsid w:val="00BA1DAD"/>
    <w:rsid w:val="00BA1FC2"/>
    <w:rsid w:val="00BA22A1"/>
    <w:rsid w:val="00BA240A"/>
    <w:rsid w:val="00BA3D05"/>
    <w:rsid w:val="00BA3E92"/>
    <w:rsid w:val="00BA44BD"/>
    <w:rsid w:val="00BA45E8"/>
    <w:rsid w:val="00BA4DA2"/>
    <w:rsid w:val="00BA4E02"/>
    <w:rsid w:val="00BA4E0C"/>
    <w:rsid w:val="00BA4F3B"/>
    <w:rsid w:val="00BA50B7"/>
    <w:rsid w:val="00BA51E8"/>
    <w:rsid w:val="00BA58B4"/>
    <w:rsid w:val="00BA5E51"/>
    <w:rsid w:val="00BA6188"/>
    <w:rsid w:val="00BA61B3"/>
    <w:rsid w:val="00BA61DB"/>
    <w:rsid w:val="00BA6F7B"/>
    <w:rsid w:val="00BA7655"/>
    <w:rsid w:val="00BA7688"/>
    <w:rsid w:val="00BA7F45"/>
    <w:rsid w:val="00BB08F1"/>
    <w:rsid w:val="00BB10F1"/>
    <w:rsid w:val="00BB1199"/>
    <w:rsid w:val="00BB124A"/>
    <w:rsid w:val="00BB131A"/>
    <w:rsid w:val="00BB1CE8"/>
    <w:rsid w:val="00BB239F"/>
    <w:rsid w:val="00BB23BA"/>
    <w:rsid w:val="00BB258F"/>
    <w:rsid w:val="00BB2684"/>
    <w:rsid w:val="00BB2902"/>
    <w:rsid w:val="00BB2A08"/>
    <w:rsid w:val="00BB375B"/>
    <w:rsid w:val="00BB3C93"/>
    <w:rsid w:val="00BB3CCA"/>
    <w:rsid w:val="00BB3CF7"/>
    <w:rsid w:val="00BB4687"/>
    <w:rsid w:val="00BB5D3F"/>
    <w:rsid w:val="00BB619D"/>
    <w:rsid w:val="00BB6220"/>
    <w:rsid w:val="00BB6E11"/>
    <w:rsid w:val="00BB708D"/>
    <w:rsid w:val="00BB72EB"/>
    <w:rsid w:val="00BB748F"/>
    <w:rsid w:val="00BB7A3C"/>
    <w:rsid w:val="00BB7A56"/>
    <w:rsid w:val="00BB7F6E"/>
    <w:rsid w:val="00BC0185"/>
    <w:rsid w:val="00BC0959"/>
    <w:rsid w:val="00BC0E39"/>
    <w:rsid w:val="00BC0F54"/>
    <w:rsid w:val="00BC0FF9"/>
    <w:rsid w:val="00BC134C"/>
    <w:rsid w:val="00BC162A"/>
    <w:rsid w:val="00BC3044"/>
    <w:rsid w:val="00BC3D2B"/>
    <w:rsid w:val="00BC405F"/>
    <w:rsid w:val="00BC43C4"/>
    <w:rsid w:val="00BC470A"/>
    <w:rsid w:val="00BC4F2B"/>
    <w:rsid w:val="00BC5235"/>
    <w:rsid w:val="00BC561D"/>
    <w:rsid w:val="00BC5A84"/>
    <w:rsid w:val="00BC5D27"/>
    <w:rsid w:val="00BC5D4C"/>
    <w:rsid w:val="00BC5F2E"/>
    <w:rsid w:val="00BC6DC0"/>
    <w:rsid w:val="00BC7843"/>
    <w:rsid w:val="00BD029B"/>
    <w:rsid w:val="00BD051D"/>
    <w:rsid w:val="00BD0EA9"/>
    <w:rsid w:val="00BD124C"/>
    <w:rsid w:val="00BD17CE"/>
    <w:rsid w:val="00BD18E4"/>
    <w:rsid w:val="00BD1BCE"/>
    <w:rsid w:val="00BD1D8D"/>
    <w:rsid w:val="00BD1EEC"/>
    <w:rsid w:val="00BD1F17"/>
    <w:rsid w:val="00BD257B"/>
    <w:rsid w:val="00BD3D96"/>
    <w:rsid w:val="00BD40EB"/>
    <w:rsid w:val="00BD41E0"/>
    <w:rsid w:val="00BD42AD"/>
    <w:rsid w:val="00BD4B71"/>
    <w:rsid w:val="00BD4C7D"/>
    <w:rsid w:val="00BD507A"/>
    <w:rsid w:val="00BD5521"/>
    <w:rsid w:val="00BD598C"/>
    <w:rsid w:val="00BD6070"/>
    <w:rsid w:val="00BD60E6"/>
    <w:rsid w:val="00BD6822"/>
    <w:rsid w:val="00BD6F6C"/>
    <w:rsid w:val="00BD7353"/>
    <w:rsid w:val="00BE0270"/>
    <w:rsid w:val="00BE1356"/>
    <w:rsid w:val="00BE1973"/>
    <w:rsid w:val="00BE1CC4"/>
    <w:rsid w:val="00BE20B7"/>
    <w:rsid w:val="00BE2DFB"/>
    <w:rsid w:val="00BE30B0"/>
    <w:rsid w:val="00BE3348"/>
    <w:rsid w:val="00BE42DA"/>
    <w:rsid w:val="00BE440B"/>
    <w:rsid w:val="00BE4C4E"/>
    <w:rsid w:val="00BE4D85"/>
    <w:rsid w:val="00BE52EF"/>
    <w:rsid w:val="00BE54FC"/>
    <w:rsid w:val="00BE55E4"/>
    <w:rsid w:val="00BE6176"/>
    <w:rsid w:val="00BE68F2"/>
    <w:rsid w:val="00BE6A0F"/>
    <w:rsid w:val="00BE6E22"/>
    <w:rsid w:val="00BE6EB8"/>
    <w:rsid w:val="00BE7480"/>
    <w:rsid w:val="00BE7DE2"/>
    <w:rsid w:val="00BF0AFF"/>
    <w:rsid w:val="00BF14BD"/>
    <w:rsid w:val="00BF17E6"/>
    <w:rsid w:val="00BF1C2F"/>
    <w:rsid w:val="00BF1E95"/>
    <w:rsid w:val="00BF2558"/>
    <w:rsid w:val="00BF257F"/>
    <w:rsid w:val="00BF267F"/>
    <w:rsid w:val="00BF28CB"/>
    <w:rsid w:val="00BF28D9"/>
    <w:rsid w:val="00BF2A3D"/>
    <w:rsid w:val="00BF2BDB"/>
    <w:rsid w:val="00BF2D74"/>
    <w:rsid w:val="00BF3297"/>
    <w:rsid w:val="00BF332D"/>
    <w:rsid w:val="00BF33AB"/>
    <w:rsid w:val="00BF371A"/>
    <w:rsid w:val="00BF3848"/>
    <w:rsid w:val="00BF3AB4"/>
    <w:rsid w:val="00BF42C0"/>
    <w:rsid w:val="00BF476C"/>
    <w:rsid w:val="00BF4DDC"/>
    <w:rsid w:val="00BF618D"/>
    <w:rsid w:val="00BF61C3"/>
    <w:rsid w:val="00BF636E"/>
    <w:rsid w:val="00BF69B8"/>
    <w:rsid w:val="00BF69DB"/>
    <w:rsid w:val="00BF6A2A"/>
    <w:rsid w:val="00BF6C41"/>
    <w:rsid w:val="00BF6C71"/>
    <w:rsid w:val="00C0019D"/>
    <w:rsid w:val="00C00B61"/>
    <w:rsid w:val="00C00D3B"/>
    <w:rsid w:val="00C010EF"/>
    <w:rsid w:val="00C01902"/>
    <w:rsid w:val="00C01CBC"/>
    <w:rsid w:val="00C02464"/>
    <w:rsid w:val="00C02465"/>
    <w:rsid w:val="00C02B3D"/>
    <w:rsid w:val="00C02CF4"/>
    <w:rsid w:val="00C031F0"/>
    <w:rsid w:val="00C03352"/>
    <w:rsid w:val="00C035DA"/>
    <w:rsid w:val="00C04219"/>
    <w:rsid w:val="00C043E4"/>
    <w:rsid w:val="00C04683"/>
    <w:rsid w:val="00C047BB"/>
    <w:rsid w:val="00C04BA2"/>
    <w:rsid w:val="00C04C7A"/>
    <w:rsid w:val="00C05108"/>
    <w:rsid w:val="00C05DE5"/>
    <w:rsid w:val="00C0609B"/>
    <w:rsid w:val="00C060A4"/>
    <w:rsid w:val="00C060F9"/>
    <w:rsid w:val="00C06D8D"/>
    <w:rsid w:val="00C06E86"/>
    <w:rsid w:val="00C07258"/>
    <w:rsid w:val="00C07634"/>
    <w:rsid w:val="00C077FA"/>
    <w:rsid w:val="00C078A2"/>
    <w:rsid w:val="00C10105"/>
    <w:rsid w:val="00C1147D"/>
    <w:rsid w:val="00C1193C"/>
    <w:rsid w:val="00C11BDE"/>
    <w:rsid w:val="00C11C78"/>
    <w:rsid w:val="00C11F5E"/>
    <w:rsid w:val="00C12157"/>
    <w:rsid w:val="00C12443"/>
    <w:rsid w:val="00C126EB"/>
    <w:rsid w:val="00C12EF6"/>
    <w:rsid w:val="00C131D3"/>
    <w:rsid w:val="00C13451"/>
    <w:rsid w:val="00C13576"/>
    <w:rsid w:val="00C13B45"/>
    <w:rsid w:val="00C13F69"/>
    <w:rsid w:val="00C1446C"/>
    <w:rsid w:val="00C14580"/>
    <w:rsid w:val="00C1546D"/>
    <w:rsid w:val="00C154EE"/>
    <w:rsid w:val="00C159B2"/>
    <w:rsid w:val="00C15D61"/>
    <w:rsid w:val="00C15F56"/>
    <w:rsid w:val="00C165C4"/>
    <w:rsid w:val="00C16794"/>
    <w:rsid w:val="00C16959"/>
    <w:rsid w:val="00C169C0"/>
    <w:rsid w:val="00C16B89"/>
    <w:rsid w:val="00C1701C"/>
    <w:rsid w:val="00C17804"/>
    <w:rsid w:val="00C1789C"/>
    <w:rsid w:val="00C200C9"/>
    <w:rsid w:val="00C206AA"/>
    <w:rsid w:val="00C20974"/>
    <w:rsid w:val="00C20DFC"/>
    <w:rsid w:val="00C2183E"/>
    <w:rsid w:val="00C218FC"/>
    <w:rsid w:val="00C21DD2"/>
    <w:rsid w:val="00C22A3F"/>
    <w:rsid w:val="00C23204"/>
    <w:rsid w:val="00C232CF"/>
    <w:rsid w:val="00C2345F"/>
    <w:rsid w:val="00C238B1"/>
    <w:rsid w:val="00C23A0F"/>
    <w:rsid w:val="00C23D6D"/>
    <w:rsid w:val="00C23DDE"/>
    <w:rsid w:val="00C2405C"/>
    <w:rsid w:val="00C24D42"/>
    <w:rsid w:val="00C25005"/>
    <w:rsid w:val="00C2590E"/>
    <w:rsid w:val="00C259FB"/>
    <w:rsid w:val="00C25CD4"/>
    <w:rsid w:val="00C262BF"/>
    <w:rsid w:val="00C26683"/>
    <w:rsid w:val="00C26A9C"/>
    <w:rsid w:val="00C26C85"/>
    <w:rsid w:val="00C27116"/>
    <w:rsid w:val="00C27F08"/>
    <w:rsid w:val="00C27F82"/>
    <w:rsid w:val="00C30581"/>
    <w:rsid w:val="00C308DC"/>
    <w:rsid w:val="00C30CA3"/>
    <w:rsid w:val="00C30ED3"/>
    <w:rsid w:val="00C3113E"/>
    <w:rsid w:val="00C32038"/>
    <w:rsid w:val="00C32200"/>
    <w:rsid w:val="00C32261"/>
    <w:rsid w:val="00C32824"/>
    <w:rsid w:val="00C330F6"/>
    <w:rsid w:val="00C33371"/>
    <w:rsid w:val="00C33493"/>
    <w:rsid w:val="00C334A4"/>
    <w:rsid w:val="00C33514"/>
    <w:rsid w:val="00C336D3"/>
    <w:rsid w:val="00C33DFF"/>
    <w:rsid w:val="00C33F16"/>
    <w:rsid w:val="00C33F87"/>
    <w:rsid w:val="00C34427"/>
    <w:rsid w:val="00C34D55"/>
    <w:rsid w:val="00C34DAF"/>
    <w:rsid w:val="00C34F6F"/>
    <w:rsid w:val="00C34FAC"/>
    <w:rsid w:val="00C35A05"/>
    <w:rsid w:val="00C36098"/>
    <w:rsid w:val="00C36191"/>
    <w:rsid w:val="00C36588"/>
    <w:rsid w:val="00C3686F"/>
    <w:rsid w:val="00C368CF"/>
    <w:rsid w:val="00C36D67"/>
    <w:rsid w:val="00C37DFE"/>
    <w:rsid w:val="00C40550"/>
    <w:rsid w:val="00C40CD7"/>
    <w:rsid w:val="00C426B9"/>
    <w:rsid w:val="00C42AA9"/>
    <w:rsid w:val="00C42B09"/>
    <w:rsid w:val="00C42B14"/>
    <w:rsid w:val="00C4305A"/>
    <w:rsid w:val="00C435C7"/>
    <w:rsid w:val="00C43A1D"/>
    <w:rsid w:val="00C44326"/>
    <w:rsid w:val="00C4459E"/>
    <w:rsid w:val="00C44DCD"/>
    <w:rsid w:val="00C44F73"/>
    <w:rsid w:val="00C44FC3"/>
    <w:rsid w:val="00C45A09"/>
    <w:rsid w:val="00C46119"/>
    <w:rsid w:val="00C46337"/>
    <w:rsid w:val="00C46B33"/>
    <w:rsid w:val="00C46B3D"/>
    <w:rsid w:val="00C46DAF"/>
    <w:rsid w:val="00C4742B"/>
    <w:rsid w:val="00C4782A"/>
    <w:rsid w:val="00C478BB"/>
    <w:rsid w:val="00C47D2B"/>
    <w:rsid w:val="00C501B3"/>
    <w:rsid w:val="00C505A8"/>
    <w:rsid w:val="00C50CB1"/>
    <w:rsid w:val="00C50D2E"/>
    <w:rsid w:val="00C51950"/>
    <w:rsid w:val="00C525CB"/>
    <w:rsid w:val="00C52B83"/>
    <w:rsid w:val="00C52DBE"/>
    <w:rsid w:val="00C52FC2"/>
    <w:rsid w:val="00C536E9"/>
    <w:rsid w:val="00C53859"/>
    <w:rsid w:val="00C53AAA"/>
    <w:rsid w:val="00C53B5A"/>
    <w:rsid w:val="00C53CA5"/>
    <w:rsid w:val="00C53D1B"/>
    <w:rsid w:val="00C543C0"/>
    <w:rsid w:val="00C54D52"/>
    <w:rsid w:val="00C55F52"/>
    <w:rsid w:val="00C56060"/>
    <w:rsid w:val="00C56465"/>
    <w:rsid w:val="00C565F3"/>
    <w:rsid w:val="00C56A1E"/>
    <w:rsid w:val="00C56B48"/>
    <w:rsid w:val="00C56B58"/>
    <w:rsid w:val="00C5716E"/>
    <w:rsid w:val="00C5744A"/>
    <w:rsid w:val="00C57595"/>
    <w:rsid w:val="00C5772E"/>
    <w:rsid w:val="00C577BA"/>
    <w:rsid w:val="00C5784E"/>
    <w:rsid w:val="00C57AB1"/>
    <w:rsid w:val="00C60AE5"/>
    <w:rsid w:val="00C61277"/>
    <w:rsid w:val="00C616BA"/>
    <w:rsid w:val="00C61925"/>
    <w:rsid w:val="00C61951"/>
    <w:rsid w:val="00C61D91"/>
    <w:rsid w:val="00C620C9"/>
    <w:rsid w:val="00C624D4"/>
    <w:rsid w:val="00C62B80"/>
    <w:rsid w:val="00C62BB3"/>
    <w:rsid w:val="00C6344F"/>
    <w:rsid w:val="00C6429E"/>
    <w:rsid w:val="00C6514E"/>
    <w:rsid w:val="00C657E9"/>
    <w:rsid w:val="00C658F5"/>
    <w:rsid w:val="00C65C5B"/>
    <w:rsid w:val="00C65D7A"/>
    <w:rsid w:val="00C663D9"/>
    <w:rsid w:val="00C66492"/>
    <w:rsid w:val="00C67017"/>
    <w:rsid w:val="00C6757D"/>
    <w:rsid w:val="00C67705"/>
    <w:rsid w:val="00C7008F"/>
    <w:rsid w:val="00C70166"/>
    <w:rsid w:val="00C70908"/>
    <w:rsid w:val="00C70AAE"/>
    <w:rsid w:val="00C70C46"/>
    <w:rsid w:val="00C713EF"/>
    <w:rsid w:val="00C71722"/>
    <w:rsid w:val="00C71A75"/>
    <w:rsid w:val="00C71A8D"/>
    <w:rsid w:val="00C71BE7"/>
    <w:rsid w:val="00C71E54"/>
    <w:rsid w:val="00C71F0F"/>
    <w:rsid w:val="00C72096"/>
    <w:rsid w:val="00C722A1"/>
    <w:rsid w:val="00C723DB"/>
    <w:rsid w:val="00C72953"/>
    <w:rsid w:val="00C72B41"/>
    <w:rsid w:val="00C733EF"/>
    <w:rsid w:val="00C7370F"/>
    <w:rsid w:val="00C739BC"/>
    <w:rsid w:val="00C73A80"/>
    <w:rsid w:val="00C741EB"/>
    <w:rsid w:val="00C743D5"/>
    <w:rsid w:val="00C74590"/>
    <w:rsid w:val="00C756F2"/>
    <w:rsid w:val="00C7595C"/>
    <w:rsid w:val="00C75B3F"/>
    <w:rsid w:val="00C75EE3"/>
    <w:rsid w:val="00C76259"/>
    <w:rsid w:val="00C762BD"/>
    <w:rsid w:val="00C764CE"/>
    <w:rsid w:val="00C7654D"/>
    <w:rsid w:val="00C76A82"/>
    <w:rsid w:val="00C77006"/>
    <w:rsid w:val="00C77956"/>
    <w:rsid w:val="00C77CD8"/>
    <w:rsid w:val="00C80240"/>
    <w:rsid w:val="00C806F6"/>
    <w:rsid w:val="00C80BCC"/>
    <w:rsid w:val="00C80C7B"/>
    <w:rsid w:val="00C80FFB"/>
    <w:rsid w:val="00C81237"/>
    <w:rsid w:val="00C8126B"/>
    <w:rsid w:val="00C81486"/>
    <w:rsid w:val="00C81605"/>
    <w:rsid w:val="00C8162D"/>
    <w:rsid w:val="00C81949"/>
    <w:rsid w:val="00C81A6B"/>
    <w:rsid w:val="00C81D50"/>
    <w:rsid w:val="00C81E2B"/>
    <w:rsid w:val="00C82541"/>
    <w:rsid w:val="00C83347"/>
    <w:rsid w:val="00C83848"/>
    <w:rsid w:val="00C83BB3"/>
    <w:rsid w:val="00C83E03"/>
    <w:rsid w:val="00C84329"/>
    <w:rsid w:val="00C846AA"/>
    <w:rsid w:val="00C847B8"/>
    <w:rsid w:val="00C84DB8"/>
    <w:rsid w:val="00C84DEE"/>
    <w:rsid w:val="00C84FF6"/>
    <w:rsid w:val="00C85999"/>
    <w:rsid w:val="00C85E16"/>
    <w:rsid w:val="00C861CC"/>
    <w:rsid w:val="00C862D6"/>
    <w:rsid w:val="00C86C79"/>
    <w:rsid w:val="00C872BB"/>
    <w:rsid w:val="00C87970"/>
    <w:rsid w:val="00C87DE0"/>
    <w:rsid w:val="00C902BB"/>
    <w:rsid w:val="00C907FB"/>
    <w:rsid w:val="00C911F8"/>
    <w:rsid w:val="00C914C3"/>
    <w:rsid w:val="00C916BF"/>
    <w:rsid w:val="00C91F91"/>
    <w:rsid w:val="00C927CC"/>
    <w:rsid w:val="00C92DC9"/>
    <w:rsid w:val="00C92E6A"/>
    <w:rsid w:val="00C92F47"/>
    <w:rsid w:val="00C930C9"/>
    <w:rsid w:val="00C93776"/>
    <w:rsid w:val="00C937BD"/>
    <w:rsid w:val="00C9418C"/>
    <w:rsid w:val="00C94568"/>
    <w:rsid w:val="00C94751"/>
    <w:rsid w:val="00C94D5F"/>
    <w:rsid w:val="00C95206"/>
    <w:rsid w:val="00C95AC5"/>
    <w:rsid w:val="00C95FAF"/>
    <w:rsid w:val="00C96748"/>
    <w:rsid w:val="00C96BA0"/>
    <w:rsid w:val="00C9700F"/>
    <w:rsid w:val="00C97128"/>
    <w:rsid w:val="00CA0779"/>
    <w:rsid w:val="00CA0A68"/>
    <w:rsid w:val="00CA0B09"/>
    <w:rsid w:val="00CA14D1"/>
    <w:rsid w:val="00CA1A58"/>
    <w:rsid w:val="00CA1E64"/>
    <w:rsid w:val="00CA20B1"/>
    <w:rsid w:val="00CA243A"/>
    <w:rsid w:val="00CA2AF7"/>
    <w:rsid w:val="00CA2C83"/>
    <w:rsid w:val="00CA3719"/>
    <w:rsid w:val="00CA371C"/>
    <w:rsid w:val="00CA3898"/>
    <w:rsid w:val="00CA39FC"/>
    <w:rsid w:val="00CA3E92"/>
    <w:rsid w:val="00CA424F"/>
    <w:rsid w:val="00CA439E"/>
    <w:rsid w:val="00CA4508"/>
    <w:rsid w:val="00CA4695"/>
    <w:rsid w:val="00CA5374"/>
    <w:rsid w:val="00CA59F0"/>
    <w:rsid w:val="00CA5E2F"/>
    <w:rsid w:val="00CA5EE6"/>
    <w:rsid w:val="00CA5FBB"/>
    <w:rsid w:val="00CA635B"/>
    <w:rsid w:val="00CA6542"/>
    <w:rsid w:val="00CA65DA"/>
    <w:rsid w:val="00CA69C1"/>
    <w:rsid w:val="00CA6F31"/>
    <w:rsid w:val="00CA765F"/>
    <w:rsid w:val="00CA7CC6"/>
    <w:rsid w:val="00CA7F0C"/>
    <w:rsid w:val="00CB0226"/>
    <w:rsid w:val="00CB0759"/>
    <w:rsid w:val="00CB083E"/>
    <w:rsid w:val="00CB08AF"/>
    <w:rsid w:val="00CB09F4"/>
    <w:rsid w:val="00CB0D99"/>
    <w:rsid w:val="00CB1434"/>
    <w:rsid w:val="00CB15EB"/>
    <w:rsid w:val="00CB1D26"/>
    <w:rsid w:val="00CB1D82"/>
    <w:rsid w:val="00CB2253"/>
    <w:rsid w:val="00CB22C6"/>
    <w:rsid w:val="00CB24B3"/>
    <w:rsid w:val="00CB2AE7"/>
    <w:rsid w:val="00CB3233"/>
    <w:rsid w:val="00CB39CA"/>
    <w:rsid w:val="00CB3BFB"/>
    <w:rsid w:val="00CB42AD"/>
    <w:rsid w:val="00CB46A2"/>
    <w:rsid w:val="00CB47AD"/>
    <w:rsid w:val="00CB4A06"/>
    <w:rsid w:val="00CB4CE0"/>
    <w:rsid w:val="00CB55E0"/>
    <w:rsid w:val="00CB5F47"/>
    <w:rsid w:val="00CB68F5"/>
    <w:rsid w:val="00CB6A20"/>
    <w:rsid w:val="00CB6B6A"/>
    <w:rsid w:val="00CB6D00"/>
    <w:rsid w:val="00CB7216"/>
    <w:rsid w:val="00CB767F"/>
    <w:rsid w:val="00CB7961"/>
    <w:rsid w:val="00CC01A8"/>
    <w:rsid w:val="00CC07DD"/>
    <w:rsid w:val="00CC1702"/>
    <w:rsid w:val="00CC1865"/>
    <w:rsid w:val="00CC18E5"/>
    <w:rsid w:val="00CC1D50"/>
    <w:rsid w:val="00CC1F06"/>
    <w:rsid w:val="00CC2467"/>
    <w:rsid w:val="00CC27A2"/>
    <w:rsid w:val="00CC27AA"/>
    <w:rsid w:val="00CC28C2"/>
    <w:rsid w:val="00CC320D"/>
    <w:rsid w:val="00CC351D"/>
    <w:rsid w:val="00CC35D6"/>
    <w:rsid w:val="00CC35F1"/>
    <w:rsid w:val="00CC3A7F"/>
    <w:rsid w:val="00CC3B2D"/>
    <w:rsid w:val="00CC3B3E"/>
    <w:rsid w:val="00CC40D0"/>
    <w:rsid w:val="00CC42EC"/>
    <w:rsid w:val="00CC4601"/>
    <w:rsid w:val="00CC4631"/>
    <w:rsid w:val="00CC48DD"/>
    <w:rsid w:val="00CC4BED"/>
    <w:rsid w:val="00CC54CA"/>
    <w:rsid w:val="00CC5C74"/>
    <w:rsid w:val="00CC65A5"/>
    <w:rsid w:val="00CC698F"/>
    <w:rsid w:val="00CC7029"/>
    <w:rsid w:val="00CC728A"/>
    <w:rsid w:val="00CC765E"/>
    <w:rsid w:val="00CC7742"/>
    <w:rsid w:val="00CC7832"/>
    <w:rsid w:val="00CC7DC0"/>
    <w:rsid w:val="00CC7E9E"/>
    <w:rsid w:val="00CD03E8"/>
    <w:rsid w:val="00CD0520"/>
    <w:rsid w:val="00CD0710"/>
    <w:rsid w:val="00CD0872"/>
    <w:rsid w:val="00CD0948"/>
    <w:rsid w:val="00CD0DB1"/>
    <w:rsid w:val="00CD11EF"/>
    <w:rsid w:val="00CD181F"/>
    <w:rsid w:val="00CD201A"/>
    <w:rsid w:val="00CD27EA"/>
    <w:rsid w:val="00CD31DE"/>
    <w:rsid w:val="00CD3496"/>
    <w:rsid w:val="00CD3545"/>
    <w:rsid w:val="00CD4FBF"/>
    <w:rsid w:val="00CD51E0"/>
    <w:rsid w:val="00CD5401"/>
    <w:rsid w:val="00CD578C"/>
    <w:rsid w:val="00CD5CBB"/>
    <w:rsid w:val="00CD5D17"/>
    <w:rsid w:val="00CD6215"/>
    <w:rsid w:val="00CD6310"/>
    <w:rsid w:val="00CD6D51"/>
    <w:rsid w:val="00CD75B0"/>
    <w:rsid w:val="00CD787E"/>
    <w:rsid w:val="00CD7EF2"/>
    <w:rsid w:val="00CE1119"/>
    <w:rsid w:val="00CE2098"/>
    <w:rsid w:val="00CE2146"/>
    <w:rsid w:val="00CE2802"/>
    <w:rsid w:val="00CE2A28"/>
    <w:rsid w:val="00CE2A86"/>
    <w:rsid w:val="00CE3009"/>
    <w:rsid w:val="00CE302E"/>
    <w:rsid w:val="00CE32FD"/>
    <w:rsid w:val="00CE365E"/>
    <w:rsid w:val="00CE38A0"/>
    <w:rsid w:val="00CE3B02"/>
    <w:rsid w:val="00CE3B7F"/>
    <w:rsid w:val="00CE3B8D"/>
    <w:rsid w:val="00CE3D9F"/>
    <w:rsid w:val="00CE3F8D"/>
    <w:rsid w:val="00CE4673"/>
    <w:rsid w:val="00CE4E45"/>
    <w:rsid w:val="00CE51FD"/>
    <w:rsid w:val="00CE5918"/>
    <w:rsid w:val="00CE5B71"/>
    <w:rsid w:val="00CE62A2"/>
    <w:rsid w:val="00CE6F26"/>
    <w:rsid w:val="00CE707A"/>
    <w:rsid w:val="00CE72E2"/>
    <w:rsid w:val="00CE72F3"/>
    <w:rsid w:val="00CE7680"/>
    <w:rsid w:val="00CE7BF6"/>
    <w:rsid w:val="00CF0239"/>
    <w:rsid w:val="00CF063B"/>
    <w:rsid w:val="00CF0789"/>
    <w:rsid w:val="00CF0AF0"/>
    <w:rsid w:val="00CF1393"/>
    <w:rsid w:val="00CF1544"/>
    <w:rsid w:val="00CF1A6E"/>
    <w:rsid w:val="00CF1E37"/>
    <w:rsid w:val="00CF2738"/>
    <w:rsid w:val="00CF2C52"/>
    <w:rsid w:val="00CF2E70"/>
    <w:rsid w:val="00CF30D6"/>
    <w:rsid w:val="00CF32F2"/>
    <w:rsid w:val="00CF3977"/>
    <w:rsid w:val="00CF3D25"/>
    <w:rsid w:val="00CF3E3F"/>
    <w:rsid w:val="00CF42E1"/>
    <w:rsid w:val="00CF4511"/>
    <w:rsid w:val="00CF49B2"/>
    <w:rsid w:val="00CF4FC5"/>
    <w:rsid w:val="00CF5035"/>
    <w:rsid w:val="00CF53AA"/>
    <w:rsid w:val="00CF5820"/>
    <w:rsid w:val="00CF58E0"/>
    <w:rsid w:val="00CF5A0A"/>
    <w:rsid w:val="00CF5C6B"/>
    <w:rsid w:val="00CF5FD7"/>
    <w:rsid w:val="00CF60B6"/>
    <w:rsid w:val="00CF61C3"/>
    <w:rsid w:val="00CF6681"/>
    <w:rsid w:val="00CF6AFC"/>
    <w:rsid w:val="00CF7ACB"/>
    <w:rsid w:val="00CF7B3A"/>
    <w:rsid w:val="00CF7C07"/>
    <w:rsid w:val="00CF7ECB"/>
    <w:rsid w:val="00D00768"/>
    <w:rsid w:val="00D0086F"/>
    <w:rsid w:val="00D00AE1"/>
    <w:rsid w:val="00D00CE6"/>
    <w:rsid w:val="00D01138"/>
    <w:rsid w:val="00D0116E"/>
    <w:rsid w:val="00D01220"/>
    <w:rsid w:val="00D012AD"/>
    <w:rsid w:val="00D01381"/>
    <w:rsid w:val="00D0142A"/>
    <w:rsid w:val="00D01BB2"/>
    <w:rsid w:val="00D02033"/>
    <w:rsid w:val="00D024F4"/>
    <w:rsid w:val="00D02616"/>
    <w:rsid w:val="00D02673"/>
    <w:rsid w:val="00D02CBD"/>
    <w:rsid w:val="00D02E4C"/>
    <w:rsid w:val="00D03332"/>
    <w:rsid w:val="00D0372A"/>
    <w:rsid w:val="00D04885"/>
    <w:rsid w:val="00D04A04"/>
    <w:rsid w:val="00D04A0D"/>
    <w:rsid w:val="00D04C4B"/>
    <w:rsid w:val="00D04CC3"/>
    <w:rsid w:val="00D04CFA"/>
    <w:rsid w:val="00D056D3"/>
    <w:rsid w:val="00D05A01"/>
    <w:rsid w:val="00D06075"/>
    <w:rsid w:val="00D0671E"/>
    <w:rsid w:val="00D06835"/>
    <w:rsid w:val="00D06BE8"/>
    <w:rsid w:val="00D06F97"/>
    <w:rsid w:val="00D071C6"/>
    <w:rsid w:val="00D0721E"/>
    <w:rsid w:val="00D07604"/>
    <w:rsid w:val="00D07ECF"/>
    <w:rsid w:val="00D10185"/>
    <w:rsid w:val="00D101C6"/>
    <w:rsid w:val="00D101EF"/>
    <w:rsid w:val="00D1085D"/>
    <w:rsid w:val="00D10892"/>
    <w:rsid w:val="00D10EDD"/>
    <w:rsid w:val="00D11495"/>
    <w:rsid w:val="00D116A9"/>
    <w:rsid w:val="00D12172"/>
    <w:rsid w:val="00D12656"/>
    <w:rsid w:val="00D12725"/>
    <w:rsid w:val="00D128E7"/>
    <w:rsid w:val="00D12945"/>
    <w:rsid w:val="00D12F2B"/>
    <w:rsid w:val="00D13E6D"/>
    <w:rsid w:val="00D14108"/>
    <w:rsid w:val="00D1430D"/>
    <w:rsid w:val="00D151BA"/>
    <w:rsid w:val="00D15225"/>
    <w:rsid w:val="00D16189"/>
    <w:rsid w:val="00D16306"/>
    <w:rsid w:val="00D17492"/>
    <w:rsid w:val="00D176D3"/>
    <w:rsid w:val="00D17AA4"/>
    <w:rsid w:val="00D17DC1"/>
    <w:rsid w:val="00D17F45"/>
    <w:rsid w:val="00D2054F"/>
    <w:rsid w:val="00D210AC"/>
    <w:rsid w:val="00D2134E"/>
    <w:rsid w:val="00D216A2"/>
    <w:rsid w:val="00D21C6D"/>
    <w:rsid w:val="00D21D19"/>
    <w:rsid w:val="00D21D5B"/>
    <w:rsid w:val="00D21FAE"/>
    <w:rsid w:val="00D222F0"/>
    <w:rsid w:val="00D224B7"/>
    <w:rsid w:val="00D228BE"/>
    <w:rsid w:val="00D23105"/>
    <w:rsid w:val="00D23320"/>
    <w:rsid w:val="00D23455"/>
    <w:rsid w:val="00D240CC"/>
    <w:rsid w:val="00D245AF"/>
    <w:rsid w:val="00D24E8B"/>
    <w:rsid w:val="00D25350"/>
    <w:rsid w:val="00D25581"/>
    <w:rsid w:val="00D25645"/>
    <w:rsid w:val="00D25828"/>
    <w:rsid w:val="00D266E0"/>
    <w:rsid w:val="00D2698B"/>
    <w:rsid w:val="00D269F7"/>
    <w:rsid w:val="00D26A6D"/>
    <w:rsid w:val="00D26D30"/>
    <w:rsid w:val="00D301C7"/>
    <w:rsid w:val="00D3041B"/>
    <w:rsid w:val="00D3057A"/>
    <w:rsid w:val="00D314C0"/>
    <w:rsid w:val="00D31C03"/>
    <w:rsid w:val="00D31E19"/>
    <w:rsid w:val="00D31ECB"/>
    <w:rsid w:val="00D31FB9"/>
    <w:rsid w:val="00D32C26"/>
    <w:rsid w:val="00D32FB0"/>
    <w:rsid w:val="00D332B2"/>
    <w:rsid w:val="00D33C7B"/>
    <w:rsid w:val="00D33DED"/>
    <w:rsid w:val="00D33E20"/>
    <w:rsid w:val="00D3425E"/>
    <w:rsid w:val="00D34BF3"/>
    <w:rsid w:val="00D357AD"/>
    <w:rsid w:val="00D35E8E"/>
    <w:rsid w:val="00D367D4"/>
    <w:rsid w:val="00D36BA0"/>
    <w:rsid w:val="00D36D8D"/>
    <w:rsid w:val="00D37392"/>
    <w:rsid w:val="00D374AB"/>
    <w:rsid w:val="00D377AF"/>
    <w:rsid w:val="00D37E76"/>
    <w:rsid w:val="00D40061"/>
    <w:rsid w:val="00D40999"/>
    <w:rsid w:val="00D41A25"/>
    <w:rsid w:val="00D41AD7"/>
    <w:rsid w:val="00D42146"/>
    <w:rsid w:val="00D421A3"/>
    <w:rsid w:val="00D422C6"/>
    <w:rsid w:val="00D427BD"/>
    <w:rsid w:val="00D42B8A"/>
    <w:rsid w:val="00D43714"/>
    <w:rsid w:val="00D43819"/>
    <w:rsid w:val="00D438CE"/>
    <w:rsid w:val="00D43DCF"/>
    <w:rsid w:val="00D43F4F"/>
    <w:rsid w:val="00D446B6"/>
    <w:rsid w:val="00D448AE"/>
    <w:rsid w:val="00D45693"/>
    <w:rsid w:val="00D45A84"/>
    <w:rsid w:val="00D45D9E"/>
    <w:rsid w:val="00D45DA9"/>
    <w:rsid w:val="00D46E31"/>
    <w:rsid w:val="00D475C6"/>
    <w:rsid w:val="00D475E1"/>
    <w:rsid w:val="00D478FE"/>
    <w:rsid w:val="00D50643"/>
    <w:rsid w:val="00D5068B"/>
    <w:rsid w:val="00D50C45"/>
    <w:rsid w:val="00D51459"/>
    <w:rsid w:val="00D51662"/>
    <w:rsid w:val="00D52332"/>
    <w:rsid w:val="00D5290D"/>
    <w:rsid w:val="00D52B40"/>
    <w:rsid w:val="00D5344C"/>
    <w:rsid w:val="00D5345E"/>
    <w:rsid w:val="00D536D1"/>
    <w:rsid w:val="00D53B9F"/>
    <w:rsid w:val="00D54342"/>
    <w:rsid w:val="00D54361"/>
    <w:rsid w:val="00D54F17"/>
    <w:rsid w:val="00D55099"/>
    <w:rsid w:val="00D55629"/>
    <w:rsid w:val="00D55AE9"/>
    <w:rsid w:val="00D55FFB"/>
    <w:rsid w:val="00D5609A"/>
    <w:rsid w:val="00D560E1"/>
    <w:rsid w:val="00D56277"/>
    <w:rsid w:val="00D5633C"/>
    <w:rsid w:val="00D56369"/>
    <w:rsid w:val="00D564AD"/>
    <w:rsid w:val="00D566B7"/>
    <w:rsid w:val="00D56A1A"/>
    <w:rsid w:val="00D56F1B"/>
    <w:rsid w:val="00D57156"/>
    <w:rsid w:val="00D575A9"/>
    <w:rsid w:val="00D57640"/>
    <w:rsid w:val="00D57803"/>
    <w:rsid w:val="00D57B96"/>
    <w:rsid w:val="00D57BE0"/>
    <w:rsid w:val="00D57D51"/>
    <w:rsid w:val="00D6059B"/>
    <w:rsid w:val="00D606D4"/>
    <w:rsid w:val="00D607BA"/>
    <w:rsid w:val="00D608C1"/>
    <w:rsid w:val="00D6169C"/>
    <w:rsid w:val="00D61836"/>
    <w:rsid w:val="00D61CE8"/>
    <w:rsid w:val="00D6244E"/>
    <w:rsid w:val="00D626A1"/>
    <w:rsid w:val="00D628D8"/>
    <w:rsid w:val="00D62B0F"/>
    <w:rsid w:val="00D62BE7"/>
    <w:rsid w:val="00D62CD9"/>
    <w:rsid w:val="00D62F57"/>
    <w:rsid w:val="00D6328F"/>
    <w:rsid w:val="00D63636"/>
    <w:rsid w:val="00D637E7"/>
    <w:rsid w:val="00D63A1D"/>
    <w:rsid w:val="00D63AD8"/>
    <w:rsid w:val="00D63BF4"/>
    <w:rsid w:val="00D64768"/>
    <w:rsid w:val="00D64AB3"/>
    <w:rsid w:val="00D64F80"/>
    <w:rsid w:val="00D64FD4"/>
    <w:rsid w:val="00D6518B"/>
    <w:rsid w:val="00D652F0"/>
    <w:rsid w:val="00D653D5"/>
    <w:rsid w:val="00D65521"/>
    <w:rsid w:val="00D6588F"/>
    <w:rsid w:val="00D65998"/>
    <w:rsid w:val="00D659AF"/>
    <w:rsid w:val="00D65B68"/>
    <w:rsid w:val="00D666D3"/>
    <w:rsid w:val="00D67E5A"/>
    <w:rsid w:val="00D70E6B"/>
    <w:rsid w:val="00D70F6B"/>
    <w:rsid w:val="00D7166D"/>
    <w:rsid w:val="00D71C7D"/>
    <w:rsid w:val="00D71DDC"/>
    <w:rsid w:val="00D71E52"/>
    <w:rsid w:val="00D71EFE"/>
    <w:rsid w:val="00D7241D"/>
    <w:rsid w:val="00D7317D"/>
    <w:rsid w:val="00D73264"/>
    <w:rsid w:val="00D7354A"/>
    <w:rsid w:val="00D7381A"/>
    <w:rsid w:val="00D73C43"/>
    <w:rsid w:val="00D7401F"/>
    <w:rsid w:val="00D740A5"/>
    <w:rsid w:val="00D741A8"/>
    <w:rsid w:val="00D743B6"/>
    <w:rsid w:val="00D74661"/>
    <w:rsid w:val="00D74788"/>
    <w:rsid w:val="00D74C8E"/>
    <w:rsid w:val="00D74FB5"/>
    <w:rsid w:val="00D753D6"/>
    <w:rsid w:val="00D754A9"/>
    <w:rsid w:val="00D7562B"/>
    <w:rsid w:val="00D756AA"/>
    <w:rsid w:val="00D75A60"/>
    <w:rsid w:val="00D75A67"/>
    <w:rsid w:val="00D76116"/>
    <w:rsid w:val="00D76655"/>
    <w:rsid w:val="00D76772"/>
    <w:rsid w:val="00D77173"/>
    <w:rsid w:val="00D771E8"/>
    <w:rsid w:val="00D7736D"/>
    <w:rsid w:val="00D77447"/>
    <w:rsid w:val="00D77844"/>
    <w:rsid w:val="00D7797B"/>
    <w:rsid w:val="00D8068F"/>
    <w:rsid w:val="00D80892"/>
    <w:rsid w:val="00D80B69"/>
    <w:rsid w:val="00D80CCA"/>
    <w:rsid w:val="00D80D64"/>
    <w:rsid w:val="00D80D8C"/>
    <w:rsid w:val="00D80E62"/>
    <w:rsid w:val="00D81922"/>
    <w:rsid w:val="00D81D58"/>
    <w:rsid w:val="00D81FFC"/>
    <w:rsid w:val="00D82AEB"/>
    <w:rsid w:val="00D82C8A"/>
    <w:rsid w:val="00D82E18"/>
    <w:rsid w:val="00D82E5F"/>
    <w:rsid w:val="00D83944"/>
    <w:rsid w:val="00D83EC7"/>
    <w:rsid w:val="00D84A81"/>
    <w:rsid w:val="00D85A91"/>
    <w:rsid w:val="00D8635D"/>
    <w:rsid w:val="00D86453"/>
    <w:rsid w:val="00D86673"/>
    <w:rsid w:val="00D8774A"/>
    <w:rsid w:val="00D878A3"/>
    <w:rsid w:val="00D900A0"/>
    <w:rsid w:val="00D902E9"/>
    <w:rsid w:val="00D90366"/>
    <w:rsid w:val="00D90643"/>
    <w:rsid w:val="00D906D3"/>
    <w:rsid w:val="00D906D9"/>
    <w:rsid w:val="00D90A8C"/>
    <w:rsid w:val="00D90B58"/>
    <w:rsid w:val="00D90E3A"/>
    <w:rsid w:val="00D911EC"/>
    <w:rsid w:val="00D9176E"/>
    <w:rsid w:val="00D91967"/>
    <w:rsid w:val="00D91E21"/>
    <w:rsid w:val="00D91F03"/>
    <w:rsid w:val="00D9208E"/>
    <w:rsid w:val="00D920C6"/>
    <w:rsid w:val="00D92BA2"/>
    <w:rsid w:val="00D92CE3"/>
    <w:rsid w:val="00D92F56"/>
    <w:rsid w:val="00D930C4"/>
    <w:rsid w:val="00D93137"/>
    <w:rsid w:val="00D932FF"/>
    <w:rsid w:val="00D938EF"/>
    <w:rsid w:val="00D9390E"/>
    <w:rsid w:val="00D93CAD"/>
    <w:rsid w:val="00D93D25"/>
    <w:rsid w:val="00D93E11"/>
    <w:rsid w:val="00D93FD9"/>
    <w:rsid w:val="00D94508"/>
    <w:rsid w:val="00D948D3"/>
    <w:rsid w:val="00D94A01"/>
    <w:rsid w:val="00D9548E"/>
    <w:rsid w:val="00D954DD"/>
    <w:rsid w:val="00D96B1B"/>
    <w:rsid w:val="00D96EF3"/>
    <w:rsid w:val="00D9766F"/>
    <w:rsid w:val="00D97941"/>
    <w:rsid w:val="00DA012C"/>
    <w:rsid w:val="00DA01F0"/>
    <w:rsid w:val="00DA03A7"/>
    <w:rsid w:val="00DA0461"/>
    <w:rsid w:val="00DA068B"/>
    <w:rsid w:val="00DA0733"/>
    <w:rsid w:val="00DA08A0"/>
    <w:rsid w:val="00DA0C56"/>
    <w:rsid w:val="00DA0F95"/>
    <w:rsid w:val="00DA132F"/>
    <w:rsid w:val="00DA135F"/>
    <w:rsid w:val="00DA15EC"/>
    <w:rsid w:val="00DA1603"/>
    <w:rsid w:val="00DA1606"/>
    <w:rsid w:val="00DA19A8"/>
    <w:rsid w:val="00DA20AF"/>
    <w:rsid w:val="00DA215F"/>
    <w:rsid w:val="00DA2247"/>
    <w:rsid w:val="00DA2D45"/>
    <w:rsid w:val="00DA3D54"/>
    <w:rsid w:val="00DA3E5A"/>
    <w:rsid w:val="00DA3EC0"/>
    <w:rsid w:val="00DA4628"/>
    <w:rsid w:val="00DA4902"/>
    <w:rsid w:val="00DA4D9A"/>
    <w:rsid w:val="00DA54FA"/>
    <w:rsid w:val="00DA565D"/>
    <w:rsid w:val="00DA5A11"/>
    <w:rsid w:val="00DA5ECE"/>
    <w:rsid w:val="00DA6CE6"/>
    <w:rsid w:val="00DA776A"/>
    <w:rsid w:val="00DA7815"/>
    <w:rsid w:val="00DB02F2"/>
    <w:rsid w:val="00DB0537"/>
    <w:rsid w:val="00DB1A97"/>
    <w:rsid w:val="00DB1AF9"/>
    <w:rsid w:val="00DB1CCE"/>
    <w:rsid w:val="00DB1DF1"/>
    <w:rsid w:val="00DB1DF6"/>
    <w:rsid w:val="00DB2453"/>
    <w:rsid w:val="00DB2AD9"/>
    <w:rsid w:val="00DB2C4E"/>
    <w:rsid w:val="00DB307B"/>
    <w:rsid w:val="00DB30EE"/>
    <w:rsid w:val="00DB3A26"/>
    <w:rsid w:val="00DB3A29"/>
    <w:rsid w:val="00DB3A77"/>
    <w:rsid w:val="00DB43C0"/>
    <w:rsid w:val="00DB43FE"/>
    <w:rsid w:val="00DB4892"/>
    <w:rsid w:val="00DB4913"/>
    <w:rsid w:val="00DB4969"/>
    <w:rsid w:val="00DB4B1C"/>
    <w:rsid w:val="00DB4B5E"/>
    <w:rsid w:val="00DB4B82"/>
    <w:rsid w:val="00DB573E"/>
    <w:rsid w:val="00DB6B5E"/>
    <w:rsid w:val="00DB7055"/>
    <w:rsid w:val="00DB720D"/>
    <w:rsid w:val="00DB7CD2"/>
    <w:rsid w:val="00DB7EAA"/>
    <w:rsid w:val="00DB7F5B"/>
    <w:rsid w:val="00DC0019"/>
    <w:rsid w:val="00DC0065"/>
    <w:rsid w:val="00DC06C3"/>
    <w:rsid w:val="00DC0736"/>
    <w:rsid w:val="00DC0921"/>
    <w:rsid w:val="00DC0CD0"/>
    <w:rsid w:val="00DC12B4"/>
    <w:rsid w:val="00DC1658"/>
    <w:rsid w:val="00DC180C"/>
    <w:rsid w:val="00DC2BDF"/>
    <w:rsid w:val="00DC2CEC"/>
    <w:rsid w:val="00DC2E33"/>
    <w:rsid w:val="00DC35A9"/>
    <w:rsid w:val="00DC36A8"/>
    <w:rsid w:val="00DC3846"/>
    <w:rsid w:val="00DC3A5D"/>
    <w:rsid w:val="00DC3E9A"/>
    <w:rsid w:val="00DC42B8"/>
    <w:rsid w:val="00DC4BDA"/>
    <w:rsid w:val="00DC4E8C"/>
    <w:rsid w:val="00DC5154"/>
    <w:rsid w:val="00DC537E"/>
    <w:rsid w:val="00DC599E"/>
    <w:rsid w:val="00DC5CA4"/>
    <w:rsid w:val="00DC5ED2"/>
    <w:rsid w:val="00DC643B"/>
    <w:rsid w:val="00DC66EB"/>
    <w:rsid w:val="00DC6743"/>
    <w:rsid w:val="00DC72AA"/>
    <w:rsid w:val="00DC73AB"/>
    <w:rsid w:val="00DD0622"/>
    <w:rsid w:val="00DD0AA7"/>
    <w:rsid w:val="00DD0AC5"/>
    <w:rsid w:val="00DD0C1A"/>
    <w:rsid w:val="00DD0DED"/>
    <w:rsid w:val="00DD1003"/>
    <w:rsid w:val="00DD1232"/>
    <w:rsid w:val="00DD1472"/>
    <w:rsid w:val="00DD223F"/>
    <w:rsid w:val="00DD23BB"/>
    <w:rsid w:val="00DD2D32"/>
    <w:rsid w:val="00DD2E55"/>
    <w:rsid w:val="00DD2E91"/>
    <w:rsid w:val="00DD3199"/>
    <w:rsid w:val="00DD4C34"/>
    <w:rsid w:val="00DD51F9"/>
    <w:rsid w:val="00DD5B63"/>
    <w:rsid w:val="00DD5C68"/>
    <w:rsid w:val="00DD6763"/>
    <w:rsid w:val="00DD690E"/>
    <w:rsid w:val="00DD692F"/>
    <w:rsid w:val="00DD6A8B"/>
    <w:rsid w:val="00DD6F35"/>
    <w:rsid w:val="00DD71BF"/>
    <w:rsid w:val="00DD7419"/>
    <w:rsid w:val="00DD7FCD"/>
    <w:rsid w:val="00DE0516"/>
    <w:rsid w:val="00DE0755"/>
    <w:rsid w:val="00DE079B"/>
    <w:rsid w:val="00DE1033"/>
    <w:rsid w:val="00DE1D76"/>
    <w:rsid w:val="00DE201C"/>
    <w:rsid w:val="00DE207A"/>
    <w:rsid w:val="00DE20C3"/>
    <w:rsid w:val="00DE20F0"/>
    <w:rsid w:val="00DE2407"/>
    <w:rsid w:val="00DE2491"/>
    <w:rsid w:val="00DE24A5"/>
    <w:rsid w:val="00DE2F32"/>
    <w:rsid w:val="00DE3260"/>
    <w:rsid w:val="00DE3AE2"/>
    <w:rsid w:val="00DE3B47"/>
    <w:rsid w:val="00DE3E70"/>
    <w:rsid w:val="00DE3EAF"/>
    <w:rsid w:val="00DE43A0"/>
    <w:rsid w:val="00DE45C6"/>
    <w:rsid w:val="00DE4F43"/>
    <w:rsid w:val="00DE534B"/>
    <w:rsid w:val="00DE5595"/>
    <w:rsid w:val="00DE5654"/>
    <w:rsid w:val="00DE56E3"/>
    <w:rsid w:val="00DE5897"/>
    <w:rsid w:val="00DE5E7B"/>
    <w:rsid w:val="00DE62BB"/>
    <w:rsid w:val="00DE631E"/>
    <w:rsid w:val="00DE64D8"/>
    <w:rsid w:val="00DE64DD"/>
    <w:rsid w:val="00DE6A63"/>
    <w:rsid w:val="00DE6BC2"/>
    <w:rsid w:val="00DE6ECF"/>
    <w:rsid w:val="00DE700C"/>
    <w:rsid w:val="00DE7151"/>
    <w:rsid w:val="00DE72FC"/>
    <w:rsid w:val="00DE7B94"/>
    <w:rsid w:val="00DE7EEA"/>
    <w:rsid w:val="00DF0154"/>
    <w:rsid w:val="00DF0771"/>
    <w:rsid w:val="00DF08B9"/>
    <w:rsid w:val="00DF09FA"/>
    <w:rsid w:val="00DF1154"/>
    <w:rsid w:val="00DF133C"/>
    <w:rsid w:val="00DF146C"/>
    <w:rsid w:val="00DF1506"/>
    <w:rsid w:val="00DF1E40"/>
    <w:rsid w:val="00DF1FAD"/>
    <w:rsid w:val="00DF2777"/>
    <w:rsid w:val="00DF28BE"/>
    <w:rsid w:val="00DF2AD9"/>
    <w:rsid w:val="00DF2F47"/>
    <w:rsid w:val="00DF2F4A"/>
    <w:rsid w:val="00DF3497"/>
    <w:rsid w:val="00DF3AFE"/>
    <w:rsid w:val="00DF3E53"/>
    <w:rsid w:val="00DF4727"/>
    <w:rsid w:val="00DF4733"/>
    <w:rsid w:val="00DF4CDD"/>
    <w:rsid w:val="00DF4EF3"/>
    <w:rsid w:val="00DF5354"/>
    <w:rsid w:val="00DF5F25"/>
    <w:rsid w:val="00DF6212"/>
    <w:rsid w:val="00DF655C"/>
    <w:rsid w:val="00DF671D"/>
    <w:rsid w:val="00DF6973"/>
    <w:rsid w:val="00DF7167"/>
    <w:rsid w:val="00DF774A"/>
    <w:rsid w:val="00DF7B1D"/>
    <w:rsid w:val="00E00502"/>
    <w:rsid w:val="00E00631"/>
    <w:rsid w:val="00E00D05"/>
    <w:rsid w:val="00E00FE8"/>
    <w:rsid w:val="00E01797"/>
    <w:rsid w:val="00E01A7F"/>
    <w:rsid w:val="00E01B2B"/>
    <w:rsid w:val="00E02157"/>
    <w:rsid w:val="00E02229"/>
    <w:rsid w:val="00E0243B"/>
    <w:rsid w:val="00E025A1"/>
    <w:rsid w:val="00E025DD"/>
    <w:rsid w:val="00E02D0C"/>
    <w:rsid w:val="00E02FFC"/>
    <w:rsid w:val="00E031D1"/>
    <w:rsid w:val="00E031E3"/>
    <w:rsid w:val="00E0334C"/>
    <w:rsid w:val="00E033BB"/>
    <w:rsid w:val="00E042A3"/>
    <w:rsid w:val="00E05039"/>
    <w:rsid w:val="00E05383"/>
    <w:rsid w:val="00E05499"/>
    <w:rsid w:val="00E06269"/>
    <w:rsid w:val="00E06970"/>
    <w:rsid w:val="00E069D0"/>
    <w:rsid w:val="00E074EC"/>
    <w:rsid w:val="00E075A3"/>
    <w:rsid w:val="00E0782F"/>
    <w:rsid w:val="00E0785E"/>
    <w:rsid w:val="00E078F8"/>
    <w:rsid w:val="00E07D67"/>
    <w:rsid w:val="00E07EAE"/>
    <w:rsid w:val="00E1011E"/>
    <w:rsid w:val="00E1111D"/>
    <w:rsid w:val="00E112D3"/>
    <w:rsid w:val="00E1142A"/>
    <w:rsid w:val="00E11BAF"/>
    <w:rsid w:val="00E11DA0"/>
    <w:rsid w:val="00E120AE"/>
    <w:rsid w:val="00E1212D"/>
    <w:rsid w:val="00E12168"/>
    <w:rsid w:val="00E122BC"/>
    <w:rsid w:val="00E12BBE"/>
    <w:rsid w:val="00E137A9"/>
    <w:rsid w:val="00E139A9"/>
    <w:rsid w:val="00E13A7F"/>
    <w:rsid w:val="00E13F77"/>
    <w:rsid w:val="00E14850"/>
    <w:rsid w:val="00E1555A"/>
    <w:rsid w:val="00E16638"/>
    <w:rsid w:val="00E16A52"/>
    <w:rsid w:val="00E1733D"/>
    <w:rsid w:val="00E1760C"/>
    <w:rsid w:val="00E17754"/>
    <w:rsid w:val="00E20998"/>
    <w:rsid w:val="00E20B79"/>
    <w:rsid w:val="00E21554"/>
    <w:rsid w:val="00E2158D"/>
    <w:rsid w:val="00E21D23"/>
    <w:rsid w:val="00E22069"/>
    <w:rsid w:val="00E22414"/>
    <w:rsid w:val="00E2347B"/>
    <w:rsid w:val="00E235A3"/>
    <w:rsid w:val="00E23AC7"/>
    <w:rsid w:val="00E2427B"/>
    <w:rsid w:val="00E2433F"/>
    <w:rsid w:val="00E25549"/>
    <w:rsid w:val="00E2557F"/>
    <w:rsid w:val="00E2584B"/>
    <w:rsid w:val="00E25EDE"/>
    <w:rsid w:val="00E260E7"/>
    <w:rsid w:val="00E2681D"/>
    <w:rsid w:val="00E27914"/>
    <w:rsid w:val="00E27CC4"/>
    <w:rsid w:val="00E27DCC"/>
    <w:rsid w:val="00E30020"/>
    <w:rsid w:val="00E302FB"/>
    <w:rsid w:val="00E304A7"/>
    <w:rsid w:val="00E305F3"/>
    <w:rsid w:val="00E30BA7"/>
    <w:rsid w:val="00E30DA9"/>
    <w:rsid w:val="00E3123B"/>
    <w:rsid w:val="00E31A12"/>
    <w:rsid w:val="00E31B72"/>
    <w:rsid w:val="00E31C47"/>
    <w:rsid w:val="00E31E5F"/>
    <w:rsid w:val="00E32078"/>
    <w:rsid w:val="00E328AE"/>
    <w:rsid w:val="00E32A85"/>
    <w:rsid w:val="00E32D39"/>
    <w:rsid w:val="00E333CF"/>
    <w:rsid w:val="00E346B7"/>
    <w:rsid w:val="00E34C94"/>
    <w:rsid w:val="00E354B2"/>
    <w:rsid w:val="00E3674E"/>
    <w:rsid w:val="00E369EC"/>
    <w:rsid w:val="00E36C00"/>
    <w:rsid w:val="00E36C41"/>
    <w:rsid w:val="00E3704A"/>
    <w:rsid w:val="00E370C2"/>
    <w:rsid w:val="00E37503"/>
    <w:rsid w:val="00E377D4"/>
    <w:rsid w:val="00E37CDE"/>
    <w:rsid w:val="00E37DB6"/>
    <w:rsid w:val="00E37EF0"/>
    <w:rsid w:val="00E407AA"/>
    <w:rsid w:val="00E407E9"/>
    <w:rsid w:val="00E40C60"/>
    <w:rsid w:val="00E40CE3"/>
    <w:rsid w:val="00E40FDA"/>
    <w:rsid w:val="00E4113D"/>
    <w:rsid w:val="00E411C5"/>
    <w:rsid w:val="00E4134B"/>
    <w:rsid w:val="00E41372"/>
    <w:rsid w:val="00E415F2"/>
    <w:rsid w:val="00E42551"/>
    <w:rsid w:val="00E42EAE"/>
    <w:rsid w:val="00E43338"/>
    <w:rsid w:val="00E43B3C"/>
    <w:rsid w:val="00E44442"/>
    <w:rsid w:val="00E44529"/>
    <w:rsid w:val="00E4461B"/>
    <w:rsid w:val="00E44757"/>
    <w:rsid w:val="00E44FEE"/>
    <w:rsid w:val="00E45489"/>
    <w:rsid w:val="00E45D16"/>
    <w:rsid w:val="00E45F06"/>
    <w:rsid w:val="00E464AF"/>
    <w:rsid w:val="00E466FC"/>
    <w:rsid w:val="00E470CF"/>
    <w:rsid w:val="00E471C3"/>
    <w:rsid w:val="00E47B0A"/>
    <w:rsid w:val="00E47B45"/>
    <w:rsid w:val="00E47C5B"/>
    <w:rsid w:val="00E47E05"/>
    <w:rsid w:val="00E47E25"/>
    <w:rsid w:val="00E500B6"/>
    <w:rsid w:val="00E5019A"/>
    <w:rsid w:val="00E5026B"/>
    <w:rsid w:val="00E506ED"/>
    <w:rsid w:val="00E50960"/>
    <w:rsid w:val="00E511D1"/>
    <w:rsid w:val="00E51593"/>
    <w:rsid w:val="00E51812"/>
    <w:rsid w:val="00E51888"/>
    <w:rsid w:val="00E51CCF"/>
    <w:rsid w:val="00E52027"/>
    <w:rsid w:val="00E52813"/>
    <w:rsid w:val="00E52AD4"/>
    <w:rsid w:val="00E52BC3"/>
    <w:rsid w:val="00E52D68"/>
    <w:rsid w:val="00E5380B"/>
    <w:rsid w:val="00E53DC1"/>
    <w:rsid w:val="00E54D3F"/>
    <w:rsid w:val="00E54DD5"/>
    <w:rsid w:val="00E557E5"/>
    <w:rsid w:val="00E55938"/>
    <w:rsid w:val="00E559CB"/>
    <w:rsid w:val="00E5713A"/>
    <w:rsid w:val="00E574CC"/>
    <w:rsid w:val="00E577C7"/>
    <w:rsid w:val="00E57E47"/>
    <w:rsid w:val="00E601A6"/>
    <w:rsid w:val="00E605F0"/>
    <w:rsid w:val="00E60742"/>
    <w:rsid w:val="00E60951"/>
    <w:rsid w:val="00E60AAA"/>
    <w:rsid w:val="00E60E96"/>
    <w:rsid w:val="00E61469"/>
    <w:rsid w:val="00E61565"/>
    <w:rsid w:val="00E617EF"/>
    <w:rsid w:val="00E6185D"/>
    <w:rsid w:val="00E618F4"/>
    <w:rsid w:val="00E61ADD"/>
    <w:rsid w:val="00E61CB8"/>
    <w:rsid w:val="00E61DD4"/>
    <w:rsid w:val="00E622B7"/>
    <w:rsid w:val="00E623E7"/>
    <w:rsid w:val="00E62964"/>
    <w:rsid w:val="00E63D32"/>
    <w:rsid w:val="00E63EBD"/>
    <w:rsid w:val="00E63F71"/>
    <w:rsid w:val="00E63FAE"/>
    <w:rsid w:val="00E64034"/>
    <w:rsid w:val="00E64E3C"/>
    <w:rsid w:val="00E65228"/>
    <w:rsid w:val="00E652D3"/>
    <w:rsid w:val="00E65503"/>
    <w:rsid w:val="00E6603F"/>
    <w:rsid w:val="00E6678A"/>
    <w:rsid w:val="00E66AB1"/>
    <w:rsid w:val="00E66EC8"/>
    <w:rsid w:val="00E6717B"/>
    <w:rsid w:val="00E676CE"/>
    <w:rsid w:val="00E677CA"/>
    <w:rsid w:val="00E70496"/>
    <w:rsid w:val="00E70890"/>
    <w:rsid w:val="00E70EA8"/>
    <w:rsid w:val="00E71122"/>
    <w:rsid w:val="00E71971"/>
    <w:rsid w:val="00E71CBE"/>
    <w:rsid w:val="00E71E3E"/>
    <w:rsid w:val="00E72151"/>
    <w:rsid w:val="00E724D0"/>
    <w:rsid w:val="00E72840"/>
    <w:rsid w:val="00E7296A"/>
    <w:rsid w:val="00E72DAA"/>
    <w:rsid w:val="00E72F50"/>
    <w:rsid w:val="00E73F02"/>
    <w:rsid w:val="00E73FBA"/>
    <w:rsid w:val="00E7439E"/>
    <w:rsid w:val="00E74D72"/>
    <w:rsid w:val="00E74DB3"/>
    <w:rsid w:val="00E74FF0"/>
    <w:rsid w:val="00E7500A"/>
    <w:rsid w:val="00E7510E"/>
    <w:rsid w:val="00E754B1"/>
    <w:rsid w:val="00E756AF"/>
    <w:rsid w:val="00E75855"/>
    <w:rsid w:val="00E7593A"/>
    <w:rsid w:val="00E75EBA"/>
    <w:rsid w:val="00E7663C"/>
    <w:rsid w:val="00E76E34"/>
    <w:rsid w:val="00E76FCC"/>
    <w:rsid w:val="00E804E6"/>
    <w:rsid w:val="00E8083A"/>
    <w:rsid w:val="00E815E6"/>
    <w:rsid w:val="00E8163C"/>
    <w:rsid w:val="00E8189B"/>
    <w:rsid w:val="00E821A1"/>
    <w:rsid w:val="00E82778"/>
    <w:rsid w:val="00E82A55"/>
    <w:rsid w:val="00E82CD0"/>
    <w:rsid w:val="00E8404D"/>
    <w:rsid w:val="00E84148"/>
    <w:rsid w:val="00E841C0"/>
    <w:rsid w:val="00E84DE2"/>
    <w:rsid w:val="00E84F9F"/>
    <w:rsid w:val="00E8501A"/>
    <w:rsid w:val="00E85270"/>
    <w:rsid w:val="00E85478"/>
    <w:rsid w:val="00E8557C"/>
    <w:rsid w:val="00E856D4"/>
    <w:rsid w:val="00E85777"/>
    <w:rsid w:val="00E85970"/>
    <w:rsid w:val="00E863BA"/>
    <w:rsid w:val="00E87001"/>
    <w:rsid w:val="00E8760F"/>
    <w:rsid w:val="00E876A8"/>
    <w:rsid w:val="00E87A8E"/>
    <w:rsid w:val="00E906C8"/>
    <w:rsid w:val="00E90AA1"/>
    <w:rsid w:val="00E90BF1"/>
    <w:rsid w:val="00E90BF3"/>
    <w:rsid w:val="00E90C31"/>
    <w:rsid w:val="00E90FBC"/>
    <w:rsid w:val="00E91273"/>
    <w:rsid w:val="00E91440"/>
    <w:rsid w:val="00E91AA7"/>
    <w:rsid w:val="00E91FE7"/>
    <w:rsid w:val="00E926FD"/>
    <w:rsid w:val="00E929E6"/>
    <w:rsid w:val="00E92ABF"/>
    <w:rsid w:val="00E92C05"/>
    <w:rsid w:val="00E92C30"/>
    <w:rsid w:val="00E92C9C"/>
    <w:rsid w:val="00E9350B"/>
    <w:rsid w:val="00E94242"/>
    <w:rsid w:val="00E9454F"/>
    <w:rsid w:val="00E945CA"/>
    <w:rsid w:val="00E94625"/>
    <w:rsid w:val="00E94ACF"/>
    <w:rsid w:val="00E94AD5"/>
    <w:rsid w:val="00E94B41"/>
    <w:rsid w:val="00E94DCE"/>
    <w:rsid w:val="00E94FE3"/>
    <w:rsid w:val="00E95006"/>
    <w:rsid w:val="00E953EA"/>
    <w:rsid w:val="00E95478"/>
    <w:rsid w:val="00E95562"/>
    <w:rsid w:val="00E957DC"/>
    <w:rsid w:val="00E95A64"/>
    <w:rsid w:val="00E95E24"/>
    <w:rsid w:val="00E95EFB"/>
    <w:rsid w:val="00E95F20"/>
    <w:rsid w:val="00E96109"/>
    <w:rsid w:val="00E966C0"/>
    <w:rsid w:val="00E97223"/>
    <w:rsid w:val="00E97C60"/>
    <w:rsid w:val="00EA02FA"/>
    <w:rsid w:val="00EA0538"/>
    <w:rsid w:val="00EA07AA"/>
    <w:rsid w:val="00EA08FA"/>
    <w:rsid w:val="00EA0D26"/>
    <w:rsid w:val="00EA0F2C"/>
    <w:rsid w:val="00EA0F2D"/>
    <w:rsid w:val="00EA110A"/>
    <w:rsid w:val="00EA11B6"/>
    <w:rsid w:val="00EA1E22"/>
    <w:rsid w:val="00EA20F2"/>
    <w:rsid w:val="00EA2222"/>
    <w:rsid w:val="00EA22A0"/>
    <w:rsid w:val="00EA2F1E"/>
    <w:rsid w:val="00EA2F7D"/>
    <w:rsid w:val="00EA4924"/>
    <w:rsid w:val="00EA49E7"/>
    <w:rsid w:val="00EA5384"/>
    <w:rsid w:val="00EA53A9"/>
    <w:rsid w:val="00EA60EB"/>
    <w:rsid w:val="00EA6123"/>
    <w:rsid w:val="00EA678E"/>
    <w:rsid w:val="00EA68BD"/>
    <w:rsid w:val="00EA7545"/>
    <w:rsid w:val="00EA7DF2"/>
    <w:rsid w:val="00EA7E47"/>
    <w:rsid w:val="00EB03C6"/>
    <w:rsid w:val="00EB0420"/>
    <w:rsid w:val="00EB05C4"/>
    <w:rsid w:val="00EB0D35"/>
    <w:rsid w:val="00EB12BF"/>
    <w:rsid w:val="00EB1759"/>
    <w:rsid w:val="00EB1AB3"/>
    <w:rsid w:val="00EB1F5C"/>
    <w:rsid w:val="00EB212E"/>
    <w:rsid w:val="00EB22B6"/>
    <w:rsid w:val="00EB232E"/>
    <w:rsid w:val="00EB241E"/>
    <w:rsid w:val="00EB2BE9"/>
    <w:rsid w:val="00EB2C50"/>
    <w:rsid w:val="00EB2CEA"/>
    <w:rsid w:val="00EB2D96"/>
    <w:rsid w:val="00EB3237"/>
    <w:rsid w:val="00EB3C00"/>
    <w:rsid w:val="00EB3F7B"/>
    <w:rsid w:val="00EB421C"/>
    <w:rsid w:val="00EB44C2"/>
    <w:rsid w:val="00EB4B47"/>
    <w:rsid w:val="00EB4C2C"/>
    <w:rsid w:val="00EB4F6B"/>
    <w:rsid w:val="00EB56F6"/>
    <w:rsid w:val="00EB589D"/>
    <w:rsid w:val="00EB5996"/>
    <w:rsid w:val="00EB6095"/>
    <w:rsid w:val="00EB70AF"/>
    <w:rsid w:val="00EB7675"/>
    <w:rsid w:val="00EB7714"/>
    <w:rsid w:val="00EC0583"/>
    <w:rsid w:val="00EC0683"/>
    <w:rsid w:val="00EC1646"/>
    <w:rsid w:val="00EC1E35"/>
    <w:rsid w:val="00EC230D"/>
    <w:rsid w:val="00EC2791"/>
    <w:rsid w:val="00EC2BF0"/>
    <w:rsid w:val="00EC2C35"/>
    <w:rsid w:val="00EC32E2"/>
    <w:rsid w:val="00EC33D3"/>
    <w:rsid w:val="00EC409E"/>
    <w:rsid w:val="00EC4817"/>
    <w:rsid w:val="00EC5365"/>
    <w:rsid w:val="00EC57CE"/>
    <w:rsid w:val="00EC5806"/>
    <w:rsid w:val="00EC6391"/>
    <w:rsid w:val="00EC646A"/>
    <w:rsid w:val="00EC7A59"/>
    <w:rsid w:val="00EC7B6C"/>
    <w:rsid w:val="00ED00E5"/>
    <w:rsid w:val="00ED034F"/>
    <w:rsid w:val="00ED0BF8"/>
    <w:rsid w:val="00ED0C2C"/>
    <w:rsid w:val="00ED10D5"/>
    <w:rsid w:val="00ED1264"/>
    <w:rsid w:val="00ED1E84"/>
    <w:rsid w:val="00ED22C8"/>
    <w:rsid w:val="00ED2933"/>
    <w:rsid w:val="00ED2A73"/>
    <w:rsid w:val="00ED2CB1"/>
    <w:rsid w:val="00ED2E43"/>
    <w:rsid w:val="00ED332C"/>
    <w:rsid w:val="00ED3431"/>
    <w:rsid w:val="00ED3A22"/>
    <w:rsid w:val="00ED3ADD"/>
    <w:rsid w:val="00ED404A"/>
    <w:rsid w:val="00ED4077"/>
    <w:rsid w:val="00ED4634"/>
    <w:rsid w:val="00ED4917"/>
    <w:rsid w:val="00ED4D03"/>
    <w:rsid w:val="00ED4FC4"/>
    <w:rsid w:val="00ED5599"/>
    <w:rsid w:val="00ED57CA"/>
    <w:rsid w:val="00ED5D6A"/>
    <w:rsid w:val="00ED61C7"/>
    <w:rsid w:val="00ED7A29"/>
    <w:rsid w:val="00ED7CA2"/>
    <w:rsid w:val="00EE0063"/>
    <w:rsid w:val="00EE0A1E"/>
    <w:rsid w:val="00EE0B9B"/>
    <w:rsid w:val="00EE1100"/>
    <w:rsid w:val="00EE1541"/>
    <w:rsid w:val="00EE1631"/>
    <w:rsid w:val="00EE1EDF"/>
    <w:rsid w:val="00EE20E8"/>
    <w:rsid w:val="00EE413E"/>
    <w:rsid w:val="00EE4A0D"/>
    <w:rsid w:val="00EE50D6"/>
    <w:rsid w:val="00EE50DE"/>
    <w:rsid w:val="00EE52CE"/>
    <w:rsid w:val="00EE55BF"/>
    <w:rsid w:val="00EE5627"/>
    <w:rsid w:val="00EE5A96"/>
    <w:rsid w:val="00EE5EBA"/>
    <w:rsid w:val="00EE61AA"/>
    <w:rsid w:val="00EE681B"/>
    <w:rsid w:val="00EE6A70"/>
    <w:rsid w:val="00EE70D1"/>
    <w:rsid w:val="00EE764B"/>
    <w:rsid w:val="00EE7C1B"/>
    <w:rsid w:val="00EE7E9D"/>
    <w:rsid w:val="00EE7F68"/>
    <w:rsid w:val="00EF03D1"/>
    <w:rsid w:val="00EF075A"/>
    <w:rsid w:val="00EF0EA4"/>
    <w:rsid w:val="00EF0EDE"/>
    <w:rsid w:val="00EF1567"/>
    <w:rsid w:val="00EF1D2A"/>
    <w:rsid w:val="00EF2C3E"/>
    <w:rsid w:val="00EF3800"/>
    <w:rsid w:val="00EF383D"/>
    <w:rsid w:val="00EF4259"/>
    <w:rsid w:val="00EF44F7"/>
    <w:rsid w:val="00EF4622"/>
    <w:rsid w:val="00EF4996"/>
    <w:rsid w:val="00EF4E1B"/>
    <w:rsid w:val="00EF553F"/>
    <w:rsid w:val="00EF5880"/>
    <w:rsid w:val="00EF5B7C"/>
    <w:rsid w:val="00EF60B9"/>
    <w:rsid w:val="00EF61CF"/>
    <w:rsid w:val="00EF628B"/>
    <w:rsid w:val="00EF6728"/>
    <w:rsid w:val="00EF7030"/>
    <w:rsid w:val="00EF753A"/>
    <w:rsid w:val="00EF7733"/>
    <w:rsid w:val="00EF7839"/>
    <w:rsid w:val="00EF7D00"/>
    <w:rsid w:val="00F003E2"/>
    <w:rsid w:val="00F007FA"/>
    <w:rsid w:val="00F008F7"/>
    <w:rsid w:val="00F00D1C"/>
    <w:rsid w:val="00F0112B"/>
    <w:rsid w:val="00F0158B"/>
    <w:rsid w:val="00F01599"/>
    <w:rsid w:val="00F016A5"/>
    <w:rsid w:val="00F01A6B"/>
    <w:rsid w:val="00F0264C"/>
    <w:rsid w:val="00F028B6"/>
    <w:rsid w:val="00F03A0A"/>
    <w:rsid w:val="00F03AA4"/>
    <w:rsid w:val="00F0404B"/>
    <w:rsid w:val="00F0444A"/>
    <w:rsid w:val="00F04766"/>
    <w:rsid w:val="00F04C37"/>
    <w:rsid w:val="00F04CE1"/>
    <w:rsid w:val="00F052CD"/>
    <w:rsid w:val="00F05648"/>
    <w:rsid w:val="00F05966"/>
    <w:rsid w:val="00F05B17"/>
    <w:rsid w:val="00F05C51"/>
    <w:rsid w:val="00F05EB5"/>
    <w:rsid w:val="00F06076"/>
    <w:rsid w:val="00F06344"/>
    <w:rsid w:val="00F066DC"/>
    <w:rsid w:val="00F0698D"/>
    <w:rsid w:val="00F06F45"/>
    <w:rsid w:val="00F07161"/>
    <w:rsid w:val="00F07422"/>
    <w:rsid w:val="00F07DD5"/>
    <w:rsid w:val="00F1123A"/>
    <w:rsid w:val="00F11300"/>
    <w:rsid w:val="00F1153A"/>
    <w:rsid w:val="00F1158C"/>
    <w:rsid w:val="00F115EE"/>
    <w:rsid w:val="00F11E56"/>
    <w:rsid w:val="00F127EC"/>
    <w:rsid w:val="00F12A32"/>
    <w:rsid w:val="00F12BB3"/>
    <w:rsid w:val="00F13749"/>
    <w:rsid w:val="00F138C0"/>
    <w:rsid w:val="00F13945"/>
    <w:rsid w:val="00F13B6B"/>
    <w:rsid w:val="00F13C9D"/>
    <w:rsid w:val="00F13FD8"/>
    <w:rsid w:val="00F144AD"/>
    <w:rsid w:val="00F14573"/>
    <w:rsid w:val="00F1463B"/>
    <w:rsid w:val="00F148E8"/>
    <w:rsid w:val="00F15204"/>
    <w:rsid w:val="00F1521F"/>
    <w:rsid w:val="00F154DD"/>
    <w:rsid w:val="00F15B50"/>
    <w:rsid w:val="00F15C80"/>
    <w:rsid w:val="00F160A5"/>
    <w:rsid w:val="00F160F1"/>
    <w:rsid w:val="00F16211"/>
    <w:rsid w:val="00F166F6"/>
    <w:rsid w:val="00F16863"/>
    <w:rsid w:val="00F16D49"/>
    <w:rsid w:val="00F16E42"/>
    <w:rsid w:val="00F17451"/>
    <w:rsid w:val="00F177C1"/>
    <w:rsid w:val="00F17A67"/>
    <w:rsid w:val="00F17C74"/>
    <w:rsid w:val="00F17DA9"/>
    <w:rsid w:val="00F17F43"/>
    <w:rsid w:val="00F200E8"/>
    <w:rsid w:val="00F202AE"/>
    <w:rsid w:val="00F208FC"/>
    <w:rsid w:val="00F209E1"/>
    <w:rsid w:val="00F20E6C"/>
    <w:rsid w:val="00F2110F"/>
    <w:rsid w:val="00F21531"/>
    <w:rsid w:val="00F216CE"/>
    <w:rsid w:val="00F21DF1"/>
    <w:rsid w:val="00F22090"/>
    <w:rsid w:val="00F22130"/>
    <w:rsid w:val="00F22200"/>
    <w:rsid w:val="00F22510"/>
    <w:rsid w:val="00F227BB"/>
    <w:rsid w:val="00F22CF5"/>
    <w:rsid w:val="00F22DEC"/>
    <w:rsid w:val="00F22F5F"/>
    <w:rsid w:val="00F23D71"/>
    <w:rsid w:val="00F23EEE"/>
    <w:rsid w:val="00F23F38"/>
    <w:rsid w:val="00F240A3"/>
    <w:rsid w:val="00F24416"/>
    <w:rsid w:val="00F24716"/>
    <w:rsid w:val="00F25075"/>
    <w:rsid w:val="00F252AE"/>
    <w:rsid w:val="00F252E3"/>
    <w:rsid w:val="00F2617F"/>
    <w:rsid w:val="00F26295"/>
    <w:rsid w:val="00F26583"/>
    <w:rsid w:val="00F267DA"/>
    <w:rsid w:val="00F27052"/>
    <w:rsid w:val="00F27A23"/>
    <w:rsid w:val="00F27BA3"/>
    <w:rsid w:val="00F27BB0"/>
    <w:rsid w:val="00F3014F"/>
    <w:rsid w:val="00F3076E"/>
    <w:rsid w:val="00F30939"/>
    <w:rsid w:val="00F30FB1"/>
    <w:rsid w:val="00F31108"/>
    <w:rsid w:val="00F31396"/>
    <w:rsid w:val="00F31486"/>
    <w:rsid w:val="00F315EA"/>
    <w:rsid w:val="00F317F5"/>
    <w:rsid w:val="00F32631"/>
    <w:rsid w:val="00F329E6"/>
    <w:rsid w:val="00F32CFC"/>
    <w:rsid w:val="00F3309B"/>
    <w:rsid w:val="00F336EA"/>
    <w:rsid w:val="00F3403A"/>
    <w:rsid w:val="00F341C3"/>
    <w:rsid w:val="00F347E8"/>
    <w:rsid w:val="00F34809"/>
    <w:rsid w:val="00F34D38"/>
    <w:rsid w:val="00F3502D"/>
    <w:rsid w:val="00F35575"/>
    <w:rsid w:val="00F355A8"/>
    <w:rsid w:val="00F357BA"/>
    <w:rsid w:val="00F36A78"/>
    <w:rsid w:val="00F36C23"/>
    <w:rsid w:val="00F37221"/>
    <w:rsid w:val="00F377D8"/>
    <w:rsid w:val="00F37B6A"/>
    <w:rsid w:val="00F40534"/>
    <w:rsid w:val="00F40585"/>
    <w:rsid w:val="00F40C11"/>
    <w:rsid w:val="00F41504"/>
    <w:rsid w:val="00F41972"/>
    <w:rsid w:val="00F41A4B"/>
    <w:rsid w:val="00F41AC9"/>
    <w:rsid w:val="00F42995"/>
    <w:rsid w:val="00F43425"/>
    <w:rsid w:val="00F43DBB"/>
    <w:rsid w:val="00F4410D"/>
    <w:rsid w:val="00F44A95"/>
    <w:rsid w:val="00F44BEB"/>
    <w:rsid w:val="00F44F65"/>
    <w:rsid w:val="00F450C4"/>
    <w:rsid w:val="00F4525B"/>
    <w:rsid w:val="00F457E9"/>
    <w:rsid w:val="00F45921"/>
    <w:rsid w:val="00F45AA7"/>
    <w:rsid w:val="00F45F07"/>
    <w:rsid w:val="00F467D0"/>
    <w:rsid w:val="00F46A9B"/>
    <w:rsid w:val="00F47200"/>
    <w:rsid w:val="00F47DA5"/>
    <w:rsid w:val="00F47EC7"/>
    <w:rsid w:val="00F501C2"/>
    <w:rsid w:val="00F50A75"/>
    <w:rsid w:val="00F50E41"/>
    <w:rsid w:val="00F512BA"/>
    <w:rsid w:val="00F512D7"/>
    <w:rsid w:val="00F51367"/>
    <w:rsid w:val="00F522A7"/>
    <w:rsid w:val="00F522F9"/>
    <w:rsid w:val="00F529D6"/>
    <w:rsid w:val="00F5337D"/>
    <w:rsid w:val="00F53446"/>
    <w:rsid w:val="00F5365C"/>
    <w:rsid w:val="00F53AB5"/>
    <w:rsid w:val="00F53BB6"/>
    <w:rsid w:val="00F541E5"/>
    <w:rsid w:val="00F54A28"/>
    <w:rsid w:val="00F54B1C"/>
    <w:rsid w:val="00F54CD3"/>
    <w:rsid w:val="00F54D15"/>
    <w:rsid w:val="00F54EDA"/>
    <w:rsid w:val="00F551CB"/>
    <w:rsid w:val="00F552C6"/>
    <w:rsid w:val="00F554F0"/>
    <w:rsid w:val="00F55503"/>
    <w:rsid w:val="00F55884"/>
    <w:rsid w:val="00F55DC1"/>
    <w:rsid w:val="00F565A8"/>
    <w:rsid w:val="00F565D8"/>
    <w:rsid w:val="00F567EA"/>
    <w:rsid w:val="00F56A3B"/>
    <w:rsid w:val="00F56C22"/>
    <w:rsid w:val="00F57025"/>
    <w:rsid w:val="00F578CD"/>
    <w:rsid w:val="00F60B77"/>
    <w:rsid w:val="00F60C08"/>
    <w:rsid w:val="00F60F7B"/>
    <w:rsid w:val="00F6105F"/>
    <w:rsid w:val="00F61C8E"/>
    <w:rsid w:val="00F61E0C"/>
    <w:rsid w:val="00F6241A"/>
    <w:rsid w:val="00F62A82"/>
    <w:rsid w:val="00F630B4"/>
    <w:rsid w:val="00F6315E"/>
    <w:rsid w:val="00F634EE"/>
    <w:rsid w:val="00F63F5F"/>
    <w:rsid w:val="00F63FA4"/>
    <w:rsid w:val="00F64390"/>
    <w:rsid w:val="00F64863"/>
    <w:rsid w:val="00F64902"/>
    <w:rsid w:val="00F65244"/>
    <w:rsid w:val="00F65B9A"/>
    <w:rsid w:val="00F665AD"/>
    <w:rsid w:val="00F666F5"/>
    <w:rsid w:val="00F6685A"/>
    <w:rsid w:val="00F668D1"/>
    <w:rsid w:val="00F66923"/>
    <w:rsid w:val="00F66A7B"/>
    <w:rsid w:val="00F66C51"/>
    <w:rsid w:val="00F66F66"/>
    <w:rsid w:val="00F670E2"/>
    <w:rsid w:val="00F67739"/>
    <w:rsid w:val="00F704E6"/>
    <w:rsid w:val="00F705CA"/>
    <w:rsid w:val="00F71022"/>
    <w:rsid w:val="00F7106E"/>
    <w:rsid w:val="00F710DD"/>
    <w:rsid w:val="00F71EEF"/>
    <w:rsid w:val="00F72A18"/>
    <w:rsid w:val="00F72EDB"/>
    <w:rsid w:val="00F73B65"/>
    <w:rsid w:val="00F748CC"/>
    <w:rsid w:val="00F74B17"/>
    <w:rsid w:val="00F74C6F"/>
    <w:rsid w:val="00F7560F"/>
    <w:rsid w:val="00F75ADF"/>
    <w:rsid w:val="00F75EC9"/>
    <w:rsid w:val="00F75ED2"/>
    <w:rsid w:val="00F7674A"/>
    <w:rsid w:val="00F767B6"/>
    <w:rsid w:val="00F768D7"/>
    <w:rsid w:val="00F76A78"/>
    <w:rsid w:val="00F76E6D"/>
    <w:rsid w:val="00F76ECD"/>
    <w:rsid w:val="00F76FED"/>
    <w:rsid w:val="00F7705B"/>
    <w:rsid w:val="00F770C0"/>
    <w:rsid w:val="00F776DE"/>
    <w:rsid w:val="00F77761"/>
    <w:rsid w:val="00F77833"/>
    <w:rsid w:val="00F77CCA"/>
    <w:rsid w:val="00F77FFD"/>
    <w:rsid w:val="00F80C3A"/>
    <w:rsid w:val="00F81319"/>
    <w:rsid w:val="00F817F9"/>
    <w:rsid w:val="00F81950"/>
    <w:rsid w:val="00F8202E"/>
    <w:rsid w:val="00F822ED"/>
    <w:rsid w:val="00F8231C"/>
    <w:rsid w:val="00F82455"/>
    <w:rsid w:val="00F82597"/>
    <w:rsid w:val="00F82D6F"/>
    <w:rsid w:val="00F833BD"/>
    <w:rsid w:val="00F8378D"/>
    <w:rsid w:val="00F8399D"/>
    <w:rsid w:val="00F83D2B"/>
    <w:rsid w:val="00F841E1"/>
    <w:rsid w:val="00F842BB"/>
    <w:rsid w:val="00F8497E"/>
    <w:rsid w:val="00F84FCD"/>
    <w:rsid w:val="00F85592"/>
    <w:rsid w:val="00F857F2"/>
    <w:rsid w:val="00F85A2E"/>
    <w:rsid w:val="00F85C07"/>
    <w:rsid w:val="00F8664C"/>
    <w:rsid w:val="00F8704C"/>
    <w:rsid w:val="00F873D0"/>
    <w:rsid w:val="00F87CA4"/>
    <w:rsid w:val="00F87E5F"/>
    <w:rsid w:val="00F90146"/>
    <w:rsid w:val="00F902F6"/>
    <w:rsid w:val="00F904A8"/>
    <w:rsid w:val="00F908C3"/>
    <w:rsid w:val="00F909E6"/>
    <w:rsid w:val="00F9139D"/>
    <w:rsid w:val="00F9150D"/>
    <w:rsid w:val="00F92151"/>
    <w:rsid w:val="00F926D1"/>
    <w:rsid w:val="00F92845"/>
    <w:rsid w:val="00F92D40"/>
    <w:rsid w:val="00F92FA8"/>
    <w:rsid w:val="00F93158"/>
    <w:rsid w:val="00F931B3"/>
    <w:rsid w:val="00F93D70"/>
    <w:rsid w:val="00F941C7"/>
    <w:rsid w:val="00F948D2"/>
    <w:rsid w:val="00F94933"/>
    <w:rsid w:val="00F951A5"/>
    <w:rsid w:val="00F951EA"/>
    <w:rsid w:val="00F95418"/>
    <w:rsid w:val="00F955B4"/>
    <w:rsid w:val="00F95747"/>
    <w:rsid w:val="00F958A2"/>
    <w:rsid w:val="00F96253"/>
    <w:rsid w:val="00F9641C"/>
    <w:rsid w:val="00F9646C"/>
    <w:rsid w:val="00F97168"/>
    <w:rsid w:val="00F977A0"/>
    <w:rsid w:val="00F97844"/>
    <w:rsid w:val="00F9797F"/>
    <w:rsid w:val="00F979C0"/>
    <w:rsid w:val="00F97ADA"/>
    <w:rsid w:val="00F97BC3"/>
    <w:rsid w:val="00F97CBB"/>
    <w:rsid w:val="00F97EBE"/>
    <w:rsid w:val="00FA00F0"/>
    <w:rsid w:val="00FA0921"/>
    <w:rsid w:val="00FA1006"/>
    <w:rsid w:val="00FA1216"/>
    <w:rsid w:val="00FA1B0E"/>
    <w:rsid w:val="00FA2027"/>
    <w:rsid w:val="00FA20F2"/>
    <w:rsid w:val="00FA24AB"/>
    <w:rsid w:val="00FA27F8"/>
    <w:rsid w:val="00FA2C10"/>
    <w:rsid w:val="00FA2C24"/>
    <w:rsid w:val="00FA2E87"/>
    <w:rsid w:val="00FA2FD7"/>
    <w:rsid w:val="00FA3150"/>
    <w:rsid w:val="00FA3AD5"/>
    <w:rsid w:val="00FA49C3"/>
    <w:rsid w:val="00FA4B66"/>
    <w:rsid w:val="00FA50C4"/>
    <w:rsid w:val="00FA51C5"/>
    <w:rsid w:val="00FA5ACB"/>
    <w:rsid w:val="00FA5B4C"/>
    <w:rsid w:val="00FA5B78"/>
    <w:rsid w:val="00FA6682"/>
    <w:rsid w:val="00FA682F"/>
    <w:rsid w:val="00FA6A48"/>
    <w:rsid w:val="00FA7059"/>
    <w:rsid w:val="00FA7287"/>
    <w:rsid w:val="00FA73EB"/>
    <w:rsid w:val="00FA7F35"/>
    <w:rsid w:val="00FB09EF"/>
    <w:rsid w:val="00FB0A15"/>
    <w:rsid w:val="00FB0C59"/>
    <w:rsid w:val="00FB115D"/>
    <w:rsid w:val="00FB1497"/>
    <w:rsid w:val="00FB1689"/>
    <w:rsid w:val="00FB17C7"/>
    <w:rsid w:val="00FB17FC"/>
    <w:rsid w:val="00FB1B44"/>
    <w:rsid w:val="00FB1C5C"/>
    <w:rsid w:val="00FB2064"/>
    <w:rsid w:val="00FB22BF"/>
    <w:rsid w:val="00FB2D82"/>
    <w:rsid w:val="00FB2E54"/>
    <w:rsid w:val="00FB308A"/>
    <w:rsid w:val="00FB38EC"/>
    <w:rsid w:val="00FB3B77"/>
    <w:rsid w:val="00FB430B"/>
    <w:rsid w:val="00FB43FD"/>
    <w:rsid w:val="00FB453B"/>
    <w:rsid w:val="00FB4811"/>
    <w:rsid w:val="00FB4AEB"/>
    <w:rsid w:val="00FB4E25"/>
    <w:rsid w:val="00FB51AE"/>
    <w:rsid w:val="00FB53A2"/>
    <w:rsid w:val="00FB555E"/>
    <w:rsid w:val="00FB61F2"/>
    <w:rsid w:val="00FB6CC1"/>
    <w:rsid w:val="00FB72EC"/>
    <w:rsid w:val="00FB7609"/>
    <w:rsid w:val="00FB77F3"/>
    <w:rsid w:val="00FC0112"/>
    <w:rsid w:val="00FC04E2"/>
    <w:rsid w:val="00FC074D"/>
    <w:rsid w:val="00FC0767"/>
    <w:rsid w:val="00FC0AFB"/>
    <w:rsid w:val="00FC149D"/>
    <w:rsid w:val="00FC249F"/>
    <w:rsid w:val="00FC2BF6"/>
    <w:rsid w:val="00FC375A"/>
    <w:rsid w:val="00FC3A15"/>
    <w:rsid w:val="00FC448C"/>
    <w:rsid w:val="00FC4B77"/>
    <w:rsid w:val="00FC4DCB"/>
    <w:rsid w:val="00FC4E61"/>
    <w:rsid w:val="00FC53D6"/>
    <w:rsid w:val="00FC5880"/>
    <w:rsid w:val="00FC5C05"/>
    <w:rsid w:val="00FC5F80"/>
    <w:rsid w:val="00FC6ED1"/>
    <w:rsid w:val="00FC6F65"/>
    <w:rsid w:val="00FC6F66"/>
    <w:rsid w:val="00FC6FA9"/>
    <w:rsid w:val="00FC75B6"/>
    <w:rsid w:val="00FC7680"/>
    <w:rsid w:val="00FC79CF"/>
    <w:rsid w:val="00FD00BA"/>
    <w:rsid w:val="00FD042E"/>
    <w:rsid w:val="00FD0723"/>
    <w:rsid w:val="00FD0F36"/>
    <w:rsid w:val="00FD1156"/>
    <w:rsid w:val="00FD11E4"/>
    <w:rsid w:val="00FD1395"/>
    <w:rsid w:val="00FD13F8"/>
    <w:rsid w:val="00FD1810"/>
    <w:rsid w:val="00FD1FF0"/>
    <w:rsid w:val="00FD2133"/>
    <w:rsid w:val="00FD2AFB"/>
    <w:rsid w:val="00FD2CC8"/>
    <w:rsid w:val="00FD2D35"/>
    <w:rsid w:val="00FD2E6B"/>
    <w:rsid w:val="00FD3252"/>
    <w:rsid w:val="00FD32F6"/>
    <w:rsid w:val="00FD3302"/>
    <w:rsid w:val="00FD37CE"/>
    <w:rsid w:val="00FD43A9"/>
    <w:rsid w:val="00FD4AB4"/>
    <w:rsid w:val="00FD4AEB"/>
    <w:rsid w:val="00FD504F"/>
    <w:rsid w:val="00FD5840"/>
    <w:rsid w:val="00FD6690"/>
    <w:rsid w:val="00FD6976"/>
    <w:rsid w:val="00FD69A7"/>
    <w:rsid w:val="00FD70DF"/>
    <w:rsid w:val="00FD75F3"/>
    <w:rsid w:val="00FD7F4B"/>
    <w:rsid w:val="00FE0541"/>
    <w:rsid w:val="00FE0884"/>
    <w:rsid w:val="00FE0BF4"/>
    <w:rsid w:val="00FE0DFE"/>
    <w:rsid w:val="00FE18B6"/>
    <w:rsid w:val="00FE1D89"/>
    <w:rsid w:val="00FE1F0B"/>
    <w:rsid w:val="00FE20E7"/>
    <w:rsid w:val="00FE273A"/>
    <w:rsid w:val="00FE2A67"/>
    <w:rsid w:val="00FE2B0A"/>
    <w:rsid w:val="00FE2E80"/>
    <w:rsid w:val="00FE37A3"/>
    <w:rsid w:val="00FE3BF1"/>
    <w:rsid w:val="00FE3C3B"/>
    <w:rsid w:val="00FE3E24"/>
    <w:rsid w:val="00FE47C4"/>
    <w:rsid w:val="00FE4E80"/>
    <w:rsid w:val="00FE57F4"/>
    <w:rsid w:val="00FE5B1E"/>
    <w:rsid w:val="00FE5C20"/>
    <w:rsid w:val="00FE5D3C"/>
    <w:rsid w:val="00FE5EE1"/>
    <w:rsid w:val="00FE60C0"/>
    <w:rsid w:val="00FE64BF"/>
    <w:rsid w:val="00FE664E"/>
    <w:rsid w:val="00FE6CEF"/>
    <w:rsid w:val="00FE7C1B"/>
    <w:rsid w:val="00FE7E0F"/>
    <w:rsid w:val="00FF0432"/>
    <w:rsid w:val="00FF0515"/>
    <w:rsid w:val="00FF0731"/>
    <w:rsid w:val="00FF0C4E"/>
    <w:rsid w:val="00FF115F"/>
    <w:rsid w:val="00FF173D"/>
    <w:rsid w:val="00FF1874"/>
    <w:rsid w:val="00FF26D6"/>
    <w:rsid w:val="00FF293B"/>
    <w:rsid w:val="00FF2AF6"/>
    <w:rsid w:val="00FF34A2"/>
    <w:rsid w:val="00FF365C"/>
    <w:rsid w:val="00FF3678"/>
    <w:rsid w:val="00FF3A30"/>
    <w:rsid w:val="00FF3AF4"/>
    <w:rsid w:val="00FF3E77"/>
    <w:rsid w:val="00FF404D"/>
    <w:rsid w:val="00FF4558"/>
    <w:rsid w:val="00FF45F4"/>
    <w:rsid w:val="00FF4BF7"/>
    <w:rsid w:val="00FF4C84"/>
    <w:rsid w:val="00FF4CBF"/>
    <w:rsid w:val="00FF4F21"/>
    <w:rsid w:val="00FF4FA5"/>
    <w:rsid w:val="00FF5262"/>
    <w:rsid w:val="00FF5349"/>
    <w:rsid w:val="00FF5852"/>
    <w:rsid w:val="00FF607D"/>
    <w:rsid w:val="00FF6779"/>
    <w:rsid w:val="00FF6C73"/>
    <w:rsid w:val="00FF7142"/>
    <w:rsid w:val="00FF783F"/>
    <w:rsid w:val="00FF7C05"/>
    <w:rsid w:val="00FF7DB6"/>
    <w:rsid w:val="01D7D85F"/>
    <w:rsid w:val="03133B32"/>
    <w:rsid w:val="03953322"/>
    <w:rsid w:val="047E1197"/>
    <w:rsid w:val="04E9FDCB"/>
    <w:rsid w:val="06B065F3"/>
    <w:rsid w:val="06E19ADD"/>
    <w:rsid w:val="0786D877"/>
    <w:rsid w:val="0A9DF341"/>
    <w:rsid w:val="0AE7FDB6"/>
    <w:rsid w:val="0C4626AF"/>
    <w:rsid w:val="0D0F8D59"/>
    <w:rsid w:val="0E107545"/>
    <w:rsid w:val="0F02C26D"/>
    <w:rsid w:val="100C9F71"/>
    <w:rsid w:val="101F9799"/>
    <w:rsid w:val="1026B574"/>
    <w:rsid w:val="11A23319"/>
    <w:rsid w:val="1208F520"/>
    <w:rsid w:val="12FE27F0"/>
    <w:rsid w:val="141F49A1"/>
    <w:rsid w:val="14240C91"/>
    <w:rsid w:val="1460F7BE"/>
    <w:rsid w:val="15A57AC0"/>
    <w:rsid w:val="18FA2F07"/>
    <w:rsid w:val="19240E71"/>
    <w:rsid w:val="19A81E15"/>
    <w:rsid w:val="19AB8925"/>
    <w:rsid w:val="19BFA71A"/>
    <w:rsid w:val="1A4E11A0"/>
    <w:rsid w:val="1AACA5B7"/>
    <w:rsid w:val="1ACE0DAE"/>
    <w:rsid w:val="1BA7BB62"/>
    <w:rsid w:val="1C6B2267"/>
    <w:rsid w:val="1D22685B"/>
    <w:rsid w:val="1D79662D"/>
    <w:rsid w:val="1DD11D7C"/>
    <w:rsid w:val="1DD29499"/>
    <w:rsid w:val="1E109B2B"/>
    <w:rsid w:val="21A09085"/>
    <w:rsid w:val="21B410B7"/>
    <w:rsid w:val="247C399A"/>
    <w:rsid w:val="24F33B2E"/>
    <w:rsid w:val="2534C07E"/>
    <w:rsid w:val="25B56A68"/>
    <w:rsid w:val="25BD7B1C"/>
    <w:rsid w:val="25C61102"/>
    <w:rsid w:val="2621E5C5"/>
    <w:rsid w:val="2684553E"/>
    <w:rsid w:val="27D84F48"/>
    <w:rsid w:val="2879362F"/>
    <w:rsid w:val="2A078E93"/>
    <w:rsid w:val="2B55889C"/>
    <w:rsid w:val="2BBFF2E0"/>
    <w:rsid w:val="2E7BB163"/>
    <w:rsid w:val="2EE8A08A"/>
    <w:rsid w:val="3157D5F0"/>
    <w:rsid w:val="31F130E5"/>
    <w:rsid w:val="3324A331"/>
    <w:rsid w:val="33F5F268"/>
    <w:rsid w:val="34DA6EF0"/>
    <w:rsid w:val="351814BE"/>
    <w:rsid w:val="37A35CCF"/>
    <w:rsid w:val="391CC27F"/>
    <w:rsid w:val="394B6BB3"/>
    <w:rsid w:val="3B9ACABD"/>
    <w:rsid w:val="3BD2A0F5"/>
    <w:rsid w:val="3D22BEBE"/>
    <w:rsid w:val="3E0BD06E"/>
    <w:rsid w:val="3E9E472C"/>
    <w:rsid w:val="3F3734CF"/>
    <w:rsid w:val="404E096C"/>
    <w:rsid w:val="40A71514"/>
    <w:rsid w:val="40FBDCCE"/>
    <w:rsid w:val="414B0F87"/>
    <w:rsid w:val="41C2594E"/>
    <w:rsid w:val="41D654A2"/>
    <w:rsid w:val="41D9EAC4"/>
    <w:rsid w:val="424B9C5B"/>
    <w:rsid w:val="453AF76C"/>
    <w:rsid w:val="457F305C"/>
    <w:rsid w:val="45C32E3D"/>
    <w:rsid w:val="46706B01"/>
    <w:rsid w:val="46989546"/>
    <w:rsid w:val="46E8891A"/>
    <w:rsid w:val="473D664E"/>
    <w:rsid w:val="47DAEECB"/>
    <w:rsid w:val="49E34D98"/>
    <w:rsid w:val="4A899709"/>
    <w:rsid w:val="4C2073E2"/>
    <w:rsid w:val="4D272210"/>
    <w:rsid w:val="4DBA8374"/>
    <w:rsid w:val="4DC1FC97"/>
    <w:rsid w:val="4DFE8506"/>
    <w:rsid w:val="4E343C4E"/>
    <w:rsid w:val="4E5FD1DF"/>
    <w:rsid w:val="4E6E5B86"/>
    <w:rsid w:val="4F6B26DD"/>
    <w:rsid w:val="506E8C76"/>
    <w:rsid w:val="50DE2A19"/>
    <w:rsid w:val="518FA599"/>
    <w:rsid w:val="520C3E17"/>
    <w:rsid w:val="54339FBC"/>
    <w:rsid w:val="557C31E6"/>
    <w:rsid w:val="55CC3C17"/>
    <w:rsid w:val="563409D5"/>
    <w:rsid w:val="58AD362F"/>
    <w:rsid w:val="596C3667"/>
    <w:rsid w:val="59E58E6B"/>
    <w:rsid w:val="59EED39A"/>
    <w:rsid w:val="5C6347B7"/>
    <w:rsid w:val="5D103393"/>
    <w:rsid w:val="5F6A9FDB"/>
    <w:rsid w:val="6030F3DD"/>
    <w:rsid w:val="609319B2"/>
    <w:rsid w:val="619BBCC7"/>
    <w:rsid w:val="62391057"/>
    <w:rsid w:val="62F7D990"/>
    <w:rsid w:val="63270744"/>
    <w:rsid w:val="6378434C"/>
    <w:rsid w:val="63B98CF5"/>
    <w:rsid w:val="67172497"/>
    <w:rsid w:val="68E520B0"/>
    <w:rsid w:val="6909EFAA"/>
    <w:rsid w:val="69D0ADAA"/>
    <w:rsid w:val="6A372200"/>
    <w:rsid w:val="6A72CACC"/>
    <w:rsid w:val="6E4DAC8B"/>
    <w:rsid w:val="6ECA3AD7"/>
    <w:rsid w:val="6F43674A"/>
    <w:rsid w:val="6F47CE22"/>
    <w:rsid w:val="70F622FB"/>
    <w:rsid w:val="70FDB0F6"/>
    <w:rsid w:val="718ACEE3"/>
    <w:rsid w:val="718BB813"/>
    <w:rsid w:val="72403701"/>
    <w:rsid w:val="72906C11"/>
    <w:rsid w:val="72F918E0"/>
    <w:rsid w:val="7317D6A4"/>
    <w:rsid w:val="73CF4974"/>
    <w:rsid w:val="76161244"/>
    <w:rsid w:val="76372138"/>
    <w:rsid w:val="76D02584"/>
    <w:rsid w:val="7879EE13"/>
    <w:rsid w:val="7950CF8E"/>
    <w:rsid w:val="79EC6323"/>
    <w:rsid w:val="7AB50CD4"/>
    <w:rsid w:val="7D22A96F"/>
    <w:rsid w:val="7F0313F6"/>
    <w:rsid w:val="7F8E079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EB58"/>
  <w15:chartTrackingRefBased/>
  <w15:docId w15:val="{B84CCC67-26DB-4D01-8B53-4014AA48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D57D51"/>
    <w:pPr>
      <w:keepNext/>
      <w:keepLines/>
      <w:numPr>
        <w:numId w:val="1"/>
      </w:numPr>
      <w:spacing w:before="240" w:after="0"/>
      <w:outlineLvl w:val="0"/>
    </w:pPr>
    <w:rPr>
      <w:rFonts w:asciiTheme="majorHAnsi" w:eastAsiaTheme="majorEastAsia" w:hAnsiTheme="majorHAnsi" w:cstheme="majorBidi"/>
      <w:b/>
      <w:bCs/>
      <w:color w:val="0000DC"/>
      <w:lang w:val="en-US"/>
    </w:rPr>
  </w:style>
  <w:style w:type="paragraph" w:styleId="Heading2">
    <w:name w:val="heading 2"/>
    <w:basedOn w:val="Heading1"/>
    <w:next w:val="Normal"/>
    <w:link w:val="Heading2Char"/>
    <w:uiPriority w:val="9"/>
    <w:unhideWhenUsed/>
    <w:qFormat/>
    <w:rsid w:val="00600138"/>
    <w:pPr>
      <w:numPr>
        <w:ilvl w:val="1"/>
      </w:numPr>
      <w:ind w:left="567" w:hanging="567"/>
      <w:outlineLvl w:val="1"/>
    </w:pPr>
  </w:style>
  <w:style w:type="paragraph" w:styleId="Heading3">
    <w:name w:val="heading 3"/>
    <w:basedOn w:val="Heading2"/>
    <w:next w:val="Normal"/>
    <w:link w:val="Heading3Char"/>
    <w:uiPriority w:val="9"/>
    <w:unhideWhenUsed/>
    <w:qFormat/>
    <w:rsid w:val="00D57D51"/>
    <w:pPr>
      <w:numPr>
        <w:ilvl w:val="2"/>
      </w:numPr>
      <w:ind w:left="709" w:hanging="709"/>
      <w:outlineLvl w:val="2"/>
    </w:pPr>
  </w:style>
  <w:style w:type="paragraph" w:styleId="Heading4">
    <w:name w:val="heading 4"/>
    <w:basedOn w:val="Heading3"/>
    <w:next w:val="Normal"/>
    <w:link w:val="Heading4Char"/>
    <w:uiPriority w:val="9"/>
    <w:unhideWhenUsed/>
    <w:qFormat/>
    <w:rsid w:val="00D57D51"/>
    <w:pPr>
      <w:numPr>
        <w:ilvl w:val="3"/>
      </w:numPr>
      <w:ind w:left="709" w:hanging="709"/>
      <w:outlineLvl w:val="3"/>
    </w:pPr>
  </w:style>
  <w:style w:type="paragraph" w:styleId="Heading5">
    <w:name w:val="heading 5"/>
    <w:basedOn w:val="Heading4"/>
    <w:next w:val="Normal"/>
    <w:link w:val="Heading5Char"/>
    <w:uiPriority w:val="9"/>
    <w:unhideWhenUsed/>
    <w:rsid w:val="003B3BD9"/>
    <w:pPr>
      <w:numPr>
        <w:ilvl w:val="4"/>
      </w:numPr>
      <w:ind w:left="720" w:hanging="720"/>
      <w:outlineLvl w:val="4"/>
    </w:pPr>
  </w:style>
  <w:style w:type="paragraph" w:styleId="Heading6">
    <w:name w:val="heading 6"/>
    <w:basedOn w:val="Normal"/>
    <w:next w:val="Normal"/>
    <w:link w:val="Heading6Char"/>
    <w:uiPriority w:val="9"/>
    <w:unhideWhenUsed/>
    <w:rsid w:val="00EE20E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51"/>
    <w:rPr>
      <w:rFonts w:asciiTheme="majorHAnsi" w:eastAsiaTheme="majorEastAsia" w:hAnsiTheme="majorHAnsi" w:cstheme="majorBidi"/>
      <w:b/>
      <w:bCs/>
      <w:color w:val="0000DC"/>
      <w:lang w:val="en-US"/>
    </w:rPr>
  </w:style>
  <w:style w:type="character" w:customStyle="1" w:styleId="Heading2Char">
    <w:name w:val="Heading 2 Char"/>
    <w:basedOn w:val="DefaultParagraphFont"/>
    <w:link w:val="Heading2"/>
    <w:uiPriority w:val="9"/>
    <w:rsid w:val="00600138"/>
    <w:rPr>
      <w:rFonts w:asciiTheme="majorHAnsi" w:eastAsiaTheme="majorEastAsia" w:hAnsiTheme="majorHAnsi" w:cstheme="majorBidi"/>
      <w:color w:val="2F5496" w:themeColor="accent1" w:themeShade="BF"/>
      <w:sz w:val="34"/>
      <w:szCs w:val="34"/>
      <w:lang w:val="en-US"/>
    </w:rPr>
  </w:style>
  <w:style w:type="character" w:customStyle="1" w:styleId="Heading3Char">
    <w:name w:val="Heading 3 Char"/>
    <w:basedOn w:val="DefaultParagraphFont"/>
    <w:link w:val="Heading3"/>
    <w:uiPriority w:val="9"/>
    <w:rsid w:val="00D57D51"/>
    <w:rPr>
      <w:rFonts w:asciiTheme="majorHAnsi" w:eastAsiaTheme="majorEastAsia" w:hAnsiTheme="majorHAnsi" w:cstheme="majorBidi"/>
      <w:b/>
      <w:bCs/>
      <w:color w:val="0000DC"/>
      <w:lang w:val="en-US"/>
    </w:rPr>
  </w:style>
  <w:style w:type="character" w:customStyle="1" w:styleId="Heading4Char">
    <w:name w:val="Heading 4 Char"/>
    <w:basedOn w:val="DefaultParagraphFont"/>
    <w:link w:val="Heading4"/>
    <w:uiPriority w:val="9"/>
    <w:rsid w:val="00D57D51"/>
    <w:rPr>
      <w:rFonts w:asciiTheme="majorHAnsi" w:eastAsiaTheme="majorEastAsia" w:hAnsiTheme="majorHAnsi" w:cstheme="majorBidi"/>
      <w:b/>
      <w:bCs/>
      <w:color w:val="0000DC"/>
      <w:lang w:val="en-US"/>
    </w:rPr>
  </w:style>
  <w:style w:type="paragraph" w:styleId="Quote">
    <w:name w:val="Quote"/>
    <w:basedOn w:val="Normal"/>
    <w:next w:val="Normal"/>
    <w:link w:val="QuoteChar"/>
    <w:uiPriority w:val="29"/>
    <w:qFormat/>
    <w:rsid w:val="00C6344F"/>
    <w:pPr>
      <w:spacing w:before="240" w:after="240" w:line="300" w:lineRule="atLeast"/>
      <w:ind w:left="960" w:right="960"/>
      <w:contextualSpacing/>
      <w:jc w:val="center"/>
    </w:pPr>
    <w:rPr>
      <w:rFonts w:ascii="Cambria" w:eastAsia="Times New Roman" w:hAnsi="Cambria" w:cs="Times New Roman"/>
      <w:i/>
      <w:kern w:val="0"/>
      <w:lang w:val="en-US" w:eastAsia="cs-CZ"/>
      <w14:ligatures w14:val="none"/>
    </w:rPr>
  </w:style>
  <w:style w:type="character" w:customStyle="1" w:styleId="QuoteChar">
    <w:name w:val="Quote Char"/>
    <w:basedOn w:val="DefaultParagraphFont"/>
    <w:link w:val="Quote"/>
    <w:uiPriority w:val="29"/>
    <w:rsid w:val="00C6344F"/>
    <w:rPr>
      <w:rFonts w:ascii="Cambria" w:eastAsia="Times New Roman" w:hAnsi="Cambria" w:cs="Times New Roman"/>
      <w:i/>
      <w:kern w:val="0"/>
      <w:lang w:val="en-US" w:eastAsia="cs-CZ"/>
      <w14:ligatures w14:val="none"/>
    </w:rPr>
  </w:style>
  <w:style w:type="paragraph" w:customStyle="1" w:styleId="Firstparagraph">
    <w:name w:val="First paragraph"/>
    <w:basedOn w:val="Normal"/>
    <w:next w:val="Nextparagraphs"/>
    <w:link w:val="FirstparagraphChar"/>
    <w:uiPriority w:val="9"/>
    <w:qFormat/>
    <w:rsid w:val="006A5037"/>
    <w:pPr>
      <w:jc w:val="both"/>
    </w:pPr>
    <w:rPr>
      <w:lang w:val="en-GB"/>
    </w:rPr>
  </w:style>
  <w:style w:type="character" w:customStyle="1" w:styleId="FirstparagraphChar">
    <w:name w:val="First paragraph Char"/>
    <w:basedOn w:val="DefaultParagraphFont"/>
    <w:link w:val="Firstparagraph"/>
    <w:uiPriority w:val="9"/>
    <w:rsid w:val="006A5037"/>
    <w:rPr>
      <w:lang w:val="en-GB"/>
    </w:rPr>
  </w:style>
  <w:style w:type="paragraph" w:customStyle="1" w:styleId="Nextparagraphs">
    <w:name w:val="Next paragraphs"/>
    <w:basedOn w:val="Normal"/>
    <w:link w:val="NextparagraphsChar"/>
    <w:uiPriority w:val="20"/>
    <w:qFormat/>
    <w:rsid w:val="008C2761"/>
    <w:pPr>
      <w:suppressAutoHyphens/>
      <w:spacing w:after="120" w:line="300" w:lineRule="atLeast"/>
      <w:ind w:firstLine="482"/>
      <w:jc w:val="both"/>
    </w:pPr>
    <w:rPr>
      <w:rFonts w:eastAsia="Times New Roman" w:cstheme="minorHAnsi"/>
      <w:kern w:val="0"/>
      <w:lang w:val="en-GB" w:eastAsia="cs-CZ"/>
      <w14:ligatures w14:val="none"/>
    </w:rPr>
  </w:style>
  <w:style w:type="character" w:customStyle="1" w:styleId="NextparagraphsChar">
    <w:name w:val="Next paragraphs Char"/>
    <w:basedOn w:val="DefaultParagraphFont"/>
    <w:link w:val="Nextparagraphs"/>
    <w:uiPriority w:val="20"/>
    <w:rsid w:val="008C2761"/>
    <w:rPr>
      <w:rFonts w:eastAsia="Times New Roman" w:cstheme="minorHAnsi"/>
      <w:kern w:val="0"/>
      <w:lang w:val="en-GB" w:eastAsia="cs-CZ"/>
      <w14:ligatures w14:val="none"/>
    </w:rPr>
  </w:style>
  <w:style w:type="paragraph" w:styleId="CommentText">
    <w:name w:val="annotation text"/>
    <w:basedOn w:val="Normal"/>
    <w:link w:val="CommentTextChar"/>
    <w:uiPriority w:val="99"/>
    <w:rsid w:val="00D00768"/>
    <w:pPr>
      <w:spacing w:after="0" w:line="240" w:lineRule="auto"/>
    </w:pPr>
    <w:rPr>
      <w:rFonts w:ascii="Cambria" w:eastAsia="Times New Roman" w:hAnsi="Cambria" w:cs="Times New Roman"/>
      <w:kern w:val="0"/>
      <w:sz w:val="20"/>
      <w:szCs w:val="20"/>
      <w:lang w:val="en-GB" w:eastAsia="cs-CZ"/>
      <w14:ligatures w14:val="none"/>
    </w:rPr>
  </w:style>
  <w:style w:type="character" w:customStyle="1" w:styleId="CommentTextChar">
    <w:name w:val="Comment Text Char"/>
    <w:basedOn w:val="DefaultParagraphFont"/>
    <w:link w:val="CommentText"/>
    <w:uiPriority w:val="99"/>
    <w:rsid w:val="00D00768"/>
    <w:rPr>
      <w:rFonts w:ascii="Cambria" w:eastAsia="Times New Roman" w:hAnsi="Cambria" w:cs="Times New Roman"/>
      <w:kern w:val="0"/>
      <w:sz w:val="20"/>
      <w:szCs w:val="20"/>
      <w:lang w:val="en-GB" w:eastAsia="cs-CZ"/>
      <w14:ligatures w14:val="none"/>
    </w:rPr>
  </w:style>
  <w:style w:type="character" w:styleId="CommentReference">
    <w:name w:val="annotation reference"/>
    <w:basedOn w:val="DefaultParagraphFont"/>
    <w:uiPriority w:val="99"/>
    <w:rsid w:val="00D00768"/>
    <w:rPr>
      <w:sz w:val="16"/>
      <w:szCs w:val="16"/>
    </w:rPr>
  </w:style>
  <w:style w:type="paragraph" w:styleId="FootnoteText">
    <w:name w:val="footnote text"/>
    <w:basedOn w:val="Normal"/>
    <w:link w:val="FootnoteTextChar"/>
    <w:uiPriority w:val="99"/>
    <w:unhideWhenUsed/>
    <w:qFormat/>
    <w:rsid w:val="00284B74"/>
    <w:pPr>
      <w:spacing w:after="0" w:line="240" w:lineRule="auto"/>
    </w:pPr>
    <w:rPr>
      <w:sz w:val="20"/>
      <w:szCs w:val="20"/>
    </w:rPr>
  </w:style>
  <w:style w:type="character" w:customStyle="1" w:styleId="FootnoteTextChar">
    <w:name w:val="Footnote Text Char"/>
    <w:basedOn w:val="DefaultParagraphFont"/>
    <w:link w:val="FootnoteText"/>
    <w:uiPriority w:val="99"/>
    <w:rsid w:val="00284B74"/>
    <w:rPr>
      <w:sz w:val="20"/>
      <w:szCs w:val="20"/>
    </w:rPr>
  </w:style>
  <w:style w:type="character" w:styleId="FootnoteReference">
    <w:name w:val="footnote reference"/>
    <w:basedOn w:val="DefaultParagraphFont"/>
    <w:uiPriority w:val="99"/>
    <w:unhideWhenUsed/>
    <w:rsid w:val="00284B74"/>
    <w:rPr>
      <w:vertAlign w:val="superscript"/>
    </w:rPr>
  </w:style>
  <w:style w:type="paragraph" w:styleId="CommentSubject">
    <w:name w:val="annotation subject"/>
    <w:basedOn w:val="CommentText"/>
    <w:next w:val="CommentText"/>
    <w:link w:val="CommentSubjectChar"/>
    <w:uiPriority w:val="99"/>
    <w:semiHidden/>
    <w:unhideWhenUsed/>
    <w:rsid w:val="00694B37"/>
    <w:pPr>
      <w:spacing w:after="160"/>
    </w:pPr>
    <w:rPr>
      <w:rFonts w:asciiTheme="minorHAnsi" w:eastAsiaTheme="minorHAnsi" w:hAnsiTheme="minorHAnsi" w:cstheme="minorBidi"/>
      <w:b/>
      <w:bCs/>
      <w:kern w:val="2"/>
      <w:lang w:val="cs-CZ" w:eastAsia="en-US"/>
      <w14:ligatures w14:val="standardContextual"/>
    </w:rPr>
  </w:style>
  <w:style w:type="character" w:customStyle="1" w:styleId="CommentSubjectChar">
    <w:name w:val="Comment Subject Char"/>
    <w:basedOn w:val="CommentTextChar"/>
    <w:link w:val="CommentSubject"/>
    <w:uiPriority w:val="99"/>
    <w:semiHidden/>
    <w:rsid w:val="00694B37"/>
    <w:rPr>
      <w:rFonts w:ascii="Cambria" w:eastAsia="Times New Roman" w:hAnsi="Cambria" w:cs="Times New Roman"/>
      <w:b/>
      <w:bCs/>
      <w:kern w:val="0"/>
      <w:sz w:val="20"/>
      <w:szCs w:val="20"/>
      <w:lang w:val="en-GB" w:eastAsia="cs-CZ"/>
      <w14:ligatures w14:val="none"/>
    </w:rPr>
  </w:style>
  <w:style w:type="paragraph" w:customStyle="1" w:styleId="Footnote">
    <w:name w:val="Footnote"/>
    <w:basedOn w:val="FootnoteText"/>
    <w:link w:val="FootnoteChar"/>
    <w:rsid w:val="00231DCC"/>
  </w:style>
  <w:style w:type="character" w:customStyle="1" w:styleId="FootnoteChar">
    <w:name w:val="Footnote Char"/>
    <w:basedOn w:val="DefaultParagraphFont"/>
    <w:link w:val="Footnote"/>
    <w:rsid w:val="00231DCC"/>
    <w:rPr>
      <w:sz w:val="20"/>
      <w:szCs w:val="20"/>
    </w:rPr>
  </w:style>
  <w:style w:type="paragraph" w:styleId="ListParagraph">
    <w:name w:val="List Paragraph"/>
    <w:basedOn w:val="Normal"/>
    <w:uiPriority w:val="34"/>
    <w:rsid w:val="007651F0"/>
    <w:pPr>
      <w:ind w:left="720"/>
      <w:contextualSpacing/>
    </w:pPr>
  </w:style>
  <w:style w:type="character" w:styleId="Hyperlink">
    <w:name w:val="Hyperlink"/>
    <w:basedOn w:val="DefaultParagraphFont"/>
    <w:uiPriority w:val="99"/>
    <w:unhideWhenUsed/>
    <w:rsid w:val="00402E7D"/>
    <w:rPr>
      <w:color w:val="0563C1" w:themeColor="hyperlink"/>
      <w:u w:val="single"/>
    </w:rPr>
  </w:style>
  <w:style w:type="character" w:styleId="UnresolvedMention">
    <w:name w:val="Unresolved Mention"/>
    <w:basedOn w:val="DefaultParagraphFont"/>
    <w:uiPriority w:val="99"/>
    <w:semiHidden/>
    <w:unhideWhenUsed/>
    <w:rsid w:val="000F1A4F"/>
    <w:rPr>
      <w:color w:val="605E5C"/>
      <w:shd w:val="clear" w:color="auto" w:fill="E1DFDD"/>
    </w:rPr>
  </w:style>
  <w:style w:type="paragraph" w:styleId="EndnoteText">
    <w:name w:val="endnote text"/>
    <w:basedOn w:val="Normal"/>
    <w:link w:val="EndnoteTextChar"/>
    <w:uiPriority w:val="99"/>
    <w:semiHidden/>
    <w:unhideWhenUsed/>
    <w:rsid w:val="00666A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6AC1"/>
    <w:rPr>
      <w:sz w:val="20"/>
      <w:szCs w:val="20"/>
    </w:rPr>
  </w:style>
  <w:style w:type="character" w:styleId="EndnoteReference">
    <w:name w:val="endnote reference"/>
    <w:basedOn w:val="DefaultParagraphFont"/>
    <w:uiPriority w:val="99"/>
    <w:semiHidden/>
    <w:unhideWhenUsed/>
    <w:rsid w:val="00666AC1"/>
    <w:rPr>
      <w:vertAlign w:val="superscript"/>
    </w:rPr>
  </w:style>
  <w:style w:type="character" w:customStyle="1" w:styleId="Heading5Char">
    <w:name w:val="Heading 5 Char"/>
    <w:basedOn w:val="DefaultParagraphFont"/>
    <w:link w:val="Heading5"/>
    <w:uiPriority w:val="9"/>
    <w:rsid w:val="003B3BD9"/>
    <w:rPr>
      <w:rFonts w:asciiTheme="majorHAnsi" w:eastAsiaTheme="majorEastAsia" w:hAnsiTheme="majorHAnsi" w:cstheme="majorBidi"/>
      <w:b/>
      <w:bCs/>
      <w:color w:val="0000DC"/>
      <w:sz w:val="24"/>
      <w:szCs w:val="24"/>
      <w:lang w:val="en-US"/>
    </w:rPr>
  </w:style>
  <w:style w:type="character" w:customStyle="1" w:styleId="Heading6Char">
    <w:name w:val="Heading 6 Char"/>
    <w:basedOn w:val="DefaultParagraphFont"/>
    <w:link w:val="Heading6"/>
    <w:uiPriority w:val="9"/>
    <w:rsid w:val="00EE20E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C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985"/>
  </w:style>
  <w:style w:type="paragraph" w:styleId="Footer">
    <w:name w:val="footer"/>
    <w:basedOn w:val="Normal"/>
    <w:link w:val="FooterChar"/>
    <w:uiPriority w:val="99"/>
    <w:unhideWhenUsed/>
    <w:rsid w:val="002C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985"/>
  </w:style>
  <w:style w:type="paragraph" w:styleId="Revision">
    <w:name w:val="Revision"/>
    <w:hidden/>
    <w:uiPriority w:val="99"/>
    <w:semiHidden/>
    <w:rsid w:val="000C30ED"/>
    <w:pPr>
      <w:spacing w:after="0" w:line="240" w:lineRule="auto"/>
    </w:pPr>
  </w:style>
  <w:style w:type="paragraph" w:styleId="Bibliography">
    <w:name w:val="Bibliography"/>
    <w:basedOn w:val="Normal"/>
    <w:next w:val="Normal"/>
    <w:uiPriority w:val="37"/>
    <w:unhideWhenUsed/>
    <w:rsid w:val="00767CCC"/>
  </w:style>
  <w:style w:type="paragraph" w:customStyle="1" w:styleId="pf0">
    <w:name w:val="pf0"/>
    <w:basedOn w:val="Normal"/>
    <w:rsid w:val="006E708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cf01">
    <w:name w:val="cf01"/>
    <w:basedOn w:val="DefaultParagraphFont"/>
    <w:rsid w:val="006E7087"/>
    <w:rPr>
      <w:rFonts w:ascii="Segoe UI" w:hAnsi="Segoe UI" w:cs="Segoe UI" w:hint="default"/>
      <w:sz w:val="18"/>
      <w:szCs w:val="18"/>
    </w:rPr>
  </w:style>
  <w:style w:type="paragraph" w:styleId="Title">
    <w:name w:val="Title"/>
    <w:basedOn w:val="Heading1"/>
    <w:next w:val="Normal"/>
    <w:link w:val="TitleChar"/>
    <w:uiPriority w:val="10"/>
    <w:qFormat/>
    <w:rsid w:val="006E24D7"/>
    <w:pPr>
      <w:numPr>
        <w:numId w:val="0"/>
      </w:numPr>
      <w:spacing w:before="0" w:after="240"/>
      <w:jc w:val="both"/>
    </w:pPr>
    <w:rPr>
      <w:sz w:val="28"/>
      <w:szCs w:val="28"/>
    </w:rPr>
  </w:style>
  <w:style w:type="character" w:customStyle="1" w:styleId="TitleChar">
    <w:name w:val="Title Char"/>
    <w:basedOn w:val="DefaultParagraphFont"/>
    <w:link w:val="Title"/>
    <w:uiPriority w:val="10"/>
    <w:rsid w:val="006E24D7"/>
    <w:rPr>
      <w:rFonts w:asciiTheme="majorHAnsi" w:eastAsiaTheme="majorEastAsia" w:hAnsiTheme="majorHAnsi" w:cstheme="majorBidi"/>
      <w:b/>
      <w:bCs/>
      <w:color w:val="0000DC"/>
      <w:sz w:val="28"/>
      <w:szCs w:val="28"/>
      <w:lang w:val="en-US"/>
    </w:rPr>
  </w:style>
  <w:style w:type="character" w:styleId="Mention">
    <w:name w:val="Mention"/>
    <w:basedOn w:val="DefaultParagraphFont"/>
    <w:uiPriority w:val="99"/>
    <w:unhideWhenUsed/>
    <w:rsid w:val="00FB555E"/>
    <w:rPr>
      <w:color w:val="2B579A"/>
      <w:shd w:val="clear" w:color="auto" w:fill="E1DFDD"/>
    </w:rPr>
  </w:style>
  <w:style w:type="character" w:styleId="FollowedHyperlink">
    <w:name w:val="FollowedHyperlink"/>
    <w:basedOn w:val="DefaultParagraphFont"/>
    <w:uiPriority w:val="99"/>
    <w:semiHidden/>
    <w:unhideWhenUsed/>
    <w:rsid w:val="00CC351D"/>
    <w:rPr>
      <w:color w:val="954F72" w:themeColor="followedHyperlink"/>
      <w:u w:val="single"/>
    </w:rPr>
  </w:style>
  <w:style w:type="paragraph" w:styleId="TOCHeading">
    <w:name w:val="TOC Heading"/>
    <w:basedOn w:val="Heading1"/>
    <w:next w:val="Normal"/>
    <w:uiPriority w:val="39"/>
    <w:unhideWhenUsed/>
    <w:qFormat/>
    <w:rsid w:val="008C7DEF"/>
    <w:pPr>
      <w:numPr>
        <w:numId w:val="0"/>
      </w:numPr>
      <w:outlineLvl w:val="9"/>
    </w:pPr>
    <w:rPr>
      <w:b w:val="0"/>
      <w:bCs w:val="0"/>
      <w:color w:val="2F5496" w:themeColor="accent1" w:themeShade="BF"/>
      <w:kern w:val="0"/>
      <w:sz w:val="32"/>
      <w:szCs w:val="32"/>
      <w:lang w:val="cs-CZ" w:eastAsia="cs-CZ"/>
      <w14:ligatures w14:val="none"/>
    </w:rPr>
  </w:style>
  <w:style w:type="paragraph" w:styleId="TOC1">
    <w:name w:val="toc 1"/>
    <w:basedOn w:val="Normal"/>
    <w:next w:val="Normal"/>
    <w:autoRedefine/>
    <w:uiPriority w:val="39"/>
    <w:unhideWhenUsed/>
    <w:rsid w:val="008C7DEF"/>
    <w:pPr>
      <w:spacing w:after="100"/>
    </w:pPr>
  </w:style>
  <w:style w:type="paragraph" w:styleId="TOC2">
    <w:name w:val="toc 2"/>
    <w:basedOn w:val="Normal"/>
    <w:next w:val="Normal"/>
    <w:autoRedefine/>
    <w:uiPriority w:val="39"/>
    <w:unhideWhenUsed/>
    <w:rsid w:val="008C7DEF"/>
    <w:pPr>
      <w:spacing w:after="100"/>
      <w:ind w:left="220"/>
    </w:pPr>
  </w:style>
  <w:style w:type="paragraph" w:styleId="TOC3">
    <w:name w:val="toc 3"/>
    <w:basedOn w:val="Normal"/>
    <w:next w:val="Normal"/>
    <w:autoRedefine/>
    <w:uiPriority w:val="39"/>
    <w:unhideWhenUsed/>
    <w:rsid w:val="008C7DEF"/>
    <w:pPr>
      <w:spacing w:after="100"/>
      <w:ind w:left="440"/>
    </w:pPr>
  </w:style>
  <w:style w:type="paragraph" w:styleId="NormalWeb">
    <w:name w:val="Normal (Web)"/>
    <w:basedOn w:val="Normal"/>
    <w:uiPriority w:val="99"/>
    <w:semiHidden/>
    <w:unhideWhenUsed/>
    <w:rsid w:val="00F76A78"/>
    <w:rPr>
      <w:rFonts w:ascii="Times New Roman" w:hAnsi="Times New Roman" w:cs="Times New Roman"/>
      <w:sz w:val="24"/>
      <w:szCs w:val="24"/>
    </w:rPr>
  </w:style>
  <w:style w:type="table" w:styleId="PlainTable2">
    <w:name w:val="Plain Table 2"/>
    <w:basedOn w:val="TableNormal"/>
    <w:uiPriority w:val="42"/>
    <w:rsid w:val="005B6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279">
      <w:bodyDiv w:val="1"/>
      <w:marLeft w:val="0"/>
      <w:marRight w:val="0"/>
      <w:marTop w:val="0"/>
      <w:marBottom w:val="0"/>
      <w:divBdr>
        <w:top w:val="none" w:sz="0" w:space="0" w:color="auto"/>
        <w:left w:val="none" w:sz="0" w:space="0" w:color="auto"/>
        <w:bottom w:val="none" w:sz="0" w:space="0" w:color="auto"/>
        <w:right w:val="none" w:sz="0" w:space="0" w:color="auto"/>
      </w:divBdr>
    </w:div>
    <w:div w:id="369957030">
      <w:bodyDiv w:val="1"/>
      <w:marLeft w:val="0"/>
      <w:marRight w:val="0"/>
      <w:marTop w:val="0"/>
      <w:marBottom w:val="0"/>
      <w:divBdr>
        <w:top w:val="none" w:sz="0" w:space="0" w:color="auto"/>
        <w:left w:val="none" w:sz="0" w:space="0" w:color="auto"/>
        <w:bottom w:val="none" w:sz="0" w:space="0" w:color="auto"/>
        <w:right w:val="none" w:sz="0" w:space="0" w:color="auto"/>
      </w:divBdr>
    </w:div>
    <w:div w:id="454494032">
      <w:bodyDiv w:val="1"/>
      <w:marLeft w:val="0"/>
      <w:marRight w:val="0"/>
      <w:marTop w:val="0"/>
      <w:marBottom w:val="0"/>
      <w:divBdr>
        <w:top w:val="none" w:sz="0" w:space="0" w:color="auto"/>
        <w:left w:val="none" w:sz="0" w:space="0" w:color="auto"/>
        <w:bottom w:val="none" w:sz="0" w:space="0" w:color="auto"/>
        <w:right w:val="none" w:sz="0" w:space="0" w:color="auto"/>
      </w:divBdr>
    </w:div>
    <w:div w:id="515192994">
      <w:bodyDiv w:val="1"/>
      <w:marLeft w:val="0"/>
      <w:marRight w:val="0"/>
      <w:marTop w:val="0"/>
      <w:marBottom w:val="0"/>
      <w:divBdr>
        <w:top w:val="none" w:sz="0" w:space="0" w:color="auto"/>
        <w:left w:val="none" w:sz="0" w:space="0" w:color="auto"/>
        <w:bottom w:val="none" w:sz="0" w:space="0" w:color="auto"/>
        <w:right w:val="none" w:sz="0" w:space="0" w:color="auto"/>
      </w:divBdr>
    </w:div>
    <w:div w:id="778795383">
      <w:bodyDiv w:val="1"/>
      <w:marLeft w:val="0"/>
      <w:marRight w:val="0"/>
      <w:marTop w:val="0"/>
      <w:marBottom w:val="0"/>
      <w:divBdr>
        <w:top w:val="none" w:sz="0" w:space="0" w:color="auto"/>
        <w:left w:val="none" w:sz="0" w:space="0" w:color="auto"/>
        <w:bottom w:val="none" w:sz="0" w:space="0" w:color="auto"/>
        <w:right w:val="none" w:sz="0" w:space="0" w:color="auto"/>
      </w:divBdr>
    </w:div>
    <w:div w:id="939752622">
      <w:bodyDiv w:val="1"/>
      <w:marLeft w:val="0"/>
      <w:marRight w:val="0"/>
      <w:marTop w:val="0"/>
      <w:marBottom w:val="0"/>
      <w:divBdr>
        <w:top w:val="none" w:sz="0" w:space="0" w:color="auto"/>
        <w:left w:val="none" w:sz="0" w:space="0" w:color="auto"/>
        <w:bottom w:val="none" w:sz="0" w:space="0" w:color="auto"/>
        <w:right w:val="none" w:sz="0" w:space="0" w:color="auto"/>
      </w:divBdr>
    </w:div>
    <w:div w:id="1062753597">
      <w:bodyDiv w:val="1"/>
      <w:marLeft w:val="0"/>
      <w:marRight w:val="0"/>
      <w:marTop w:val="0"/>
      <w:marBottom w:val="0"/>
      <w:divBdr>
        <w:top w:val="none" w:sz="0" w:space="0" w:color="auto"/>
        <w:left w:val="none" w:sz="0" w:space="0" w:color="auto"/>
        <w:bottom w:val="none" w:sz="0" w:space="0" w:color="auto"/>
        <w:right w:val="none" w:sz="0" w:space="0" w:color="auto"/>
      </w:divBdr>
    </w:div>
    <w:div w:id="1093162811">
      <w:bodyDiv w:val="1"/>
      <w:marLeft w:val="0"/>
      <w:marRight w:val="0"/>
      <w:marTop w:val="0"/>
      <w:marBottom w:val="0"/>
      <w:divBdr>
        <w:top w:val="none" w:sz="0" w:space="0" w:color="auto"/>
        <w:left w:val="none" w:sz="0" w:space="0" w:color="auto"/>
        <w:bottom w:val="none" w:sz="0" w:space="0" w:color="auto"/>
        <w:right w:val="none" w:sz="0" w:space="0" w:color="auto"/>
      </w:divBdr>
    </w:div>
    <w:div w:id="1387030978">
      <w:bodyDiv w:val="1"/>
      <w:marLeft w:val="0"/>
      <w:marRight w:val="0"/>
      <w:marTop w:val="0"/>
      <w:marBottom w:val="0"/>
      <w:divBdr>
        <w:top w:val="none" w:sz="0" w:space="0" w:color="auto"/>
        <w:left w:val="none" w:sz="0" w:space="0" w:color="auto"/>
        <w:bottom w:val="none" w:sz="0" w:space="0" w:color="auto"/>
        <w:right w:val="none" w:sz="0" w:space="0" w:color="auto"/>
      </w:divBdr>
    </w:div>
    <w:div w:id="1403258966">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539708348">
      <w:bodyDiv w:val="1"/>
      <w:marLeft w:val="0"/>
      <w:marRight w:val="0"/>
      <w:marTop w:val="0"/>
      <w:marBottom w:val="0"/>
      <w:divBdr>
        <w:top w:val="none" w:sz="0" w:space="0" w:color="auto"/>
        <w:left w:val="none" w:sz="0" w:space="0" w:color="auto"/>
        <w:bottom w:val="none" w:sz="0" w:space="0" w:color="auto"/>
        <w:right w:val="none" w:sz="0" w:space="0" w:color="auto"/>
      </w:divBdr>
    </w:div>
    <w:div w:id="1716196694">
      <w:bodyDiv w:val="1"/>
      <w:marLeft w:val="0"/>
      <w:marRight w:val="0"/>
      <w:marTop w:val="0"/>
      <w:marBottom w:val="0"/>
      <w:divBdr>
        <w:top w:val="none" w:sz="0" w:space="0" w:color="auto"/>
        <w:left w:val="none" w:sz="0" w:space="0" w:color="auto"/>
        <w:bottom w:val="none" w:sz="0" w:space="0" w:color="auto"/>
        <w:right w:val="none" w:sz="0" w:space="0" w:color="auto"/>
      </w:divBdr>
    </w:div>
    <w:div w:id="1940988448">
      <w:bodyDiv w:val="1"/>
      <w:marLeft w:val="0"/>
      <w:marRight w:val="0"/>
      <w:marTop w:val="0"/>
      <w:marBottom w:val="0"/>
      <w:divBdr>
        <w:top w:val="none" w:sz="0" w:space="0" w:color="auto"/>
        <w:left w:val="none" w:sz="0" w:space="0" w:color="auto"/>
        <w:bottom w:val="none" w:sz="0" w:space="0" w:color="auto"/>
        <w:right w:val="none" w:sz="0" w:space="0" w:color="auto"/>
      </w:divBdr>
    </w:div>
    <w:div w:id="1947955104">
      <w:bodyDiv w:val="1"/>
      <w:marLeft w:val="0"/>
      <w:marRight w:val="0"/>
      <w:marTop w:val="0"/>
      <w:marBottom w:val="0"/>
      <w:divBdr>
        <w:top w:val="none" w:sz="0" w:space="0" w:color="auto"/>
        <w:left w:val="none" w:sz="0" w:space="0" w:color="auto"/>
        <w:bottom w:val="none" w:sz="0" w:space="0" w:color="auto"/>
        <w:right w:val="none" w:sz="0" w:space="0" w:color="auto"/>
      </w:divBdr>
    </w:div>
    <w:div w:id="2004695146">
      <w:bodyDiv w:val="1"/>
      <w:marLeft w:val="0"/>
      <w:marRight w:val="0"/>
      <w:marTop w:val="0"/>
      <w:marBottom w:val="0"/>
      <w:divBdr>
        <w:top w:val="none" w:sz="0" w:space="0" w:color="auto"/>
        <w:left w:val="none" w:sz="0" w:space="0" w:color="auto"/>
        <w:bottom w:val="none" w:sz="0" w:space="0" w:color="auto"/>
        <w:right w:val="none" w:sz="0" w:space="0" w:color="auto"/>
      </w:divBdr>
    </w:div>
    <w:div w:id="2020084004">
      <w:bodyDiv w:val="1"/>
      <w:marLeft w:val="0"/>
      <w:marRight w:val="0"/>
      <w:marTop w:val="0"/>
      <w:marBottom w:val="0"/>
      <w:divBdr>
        <w:top w:val="none" w:sz="0" w:space="0" w:color="auto"/>
        <w:left w:val="none" w:sz="0" w:space="0" w:color="auto"/>
        <w:bottom w:val="none" w:sz="0" w:space="0" w:color="auto"/>
        <w:right w:val="none" w:sz="0" w:space="0" w:color="auto"/>
      </w:divBdr>
    </w:div>
    <w:div w:id="2030372334">
      <w:bodyDiv w:val="1"/>
      <w:marLeft w:val="0"/>
      <w:marRight w:val="0"/>
      <w:marTop w:val="0"/>
      <w:marBottom w:val="0"/>
      <w:divBdr>
        <w:top w:val="none" w:sz="0" w:space="0" w:color="auto"/>
        <w:left w:val="none" w:sz="0" w:space="0" w:color="auto"/>
        <w:bottom w:val="none" w:sz="0" w:space="0" w:color="auto"/>
        <w:right w:val="none" w:sz="0" w:space="0" w:color="auto"/>
      </w:divBdr>
    </w:div>
    <w:div w:id="207141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dre\Documents\Vlastn&#237;%20&#353;ablony%20Office\&#268;l&#225;ne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1CB6C4E664FA54C8A44026ED9435AC8" ma:contentTypeVersion="4" ma:contentTypeDescription="Vytvoří nový dokument" ma:contentTypeScope="" ma:versionID="e7bdc9caed03a3b1e40043b41d305474">
  <xsd:schema xmlns:xsd="http://www.w3.org/2001/XMLSchema" xmlns:xs="http://www.w3.org/2001/XMLSchema" xmlns:p="http://schemas.microsoft.com/office/2006/metadata/properties" xmlns:ns2="761b0fe4-9dcf-45ea-9e88-0056949cc800" targetNamespace="http://schemas.microsoft.com/office/2006/metadata/properties" ma:root="true" ma:fieldsID="98314026961626573bcd3fe344d66cf5" ns2:_="">
    <xsd:import namespace="761b0fe4-9dcf-45ea-9e88-0056949cc8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b0fe4-9dcf-45ea-9e88-0056949cc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135A7-4C7A-4F91-BD7A-1496E4B043EC}">
  <ds:schemaRefs>
    <ds:schemaRef ds:uri="http://schemas.microsoft.com/sharepoint/v3/contenttype/forms"/>
  </ds:schemaRefs>
</ds:datastoreItem>
</file>

<file path=customXml/itemProps2.xml><?xml version="1.0" encoding="utf-8"?>
<ds:datastoreItem xmlns:ds="http://schemas.openxmlformats.org/officeDocument/2006/customXml" ds:itemID="{AA219569-5208-469F-9B01-06E94B8A66A3}">
  <ds:schemaRefs>
    <ds:schemaRef ds:uri="http://schemas.openxmlformats.org/officeDocument/2006/bibliography"/>
  </ds:schemaRefs>
</ds:datastoreItem>
</file>

<file path=customXml/itemProps3.xml><?xml version="1.0" encoding="utf-8"?>
<ds:datastoreItem xmlns:ds="http://schemas.openxmlformats.org/officeDocument/2006/customXml" ds:itemID="{C996D3D9-AB76-4163-AA6D-6C075EB4E5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1EA75-1724-4B58-B1B3-451E90ED9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b0fe4-9dcf-45ea-9e88-0056949cc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Článek</Template>
  <TotalTime>111</TotalTime>
  <Pages>27</Pages>
  <Words>7754</Words>
  <Characters>45753</Characters>
  <Application>Microsoft Office Word</Application>
  <DocSecurity>0</DocSecurity>
  <Lines>381</Lines>
  <Paragraphs>106</Paragraphs>
  <ScaleCrop>false</ScaleCrop>
  <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Woznica</dc:creator>
  <cp:keywords/>
  <dc:description/>
  <cp:lastModifiedBy>Ondřej Woznica</cp:lastModifiedBy>
  <cp:revision>1463</cp:revision>
  <cp:lastPrinted>2024-09-02T16:35:00Z</cp:lastPrinted>
  <dcterms:created xsi:type="dcterms:W3CDTF">2025-02-25T15:44:00Z</dcterms:created>
  <dcterms:modified xsi:type="dcterms:W3CDTF">2025-12-04T13:44:00Z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35e8ad3d8593352d1d61dc98a0edab6a541f8aa168a2736df3161b952102cc82</vt:lpwstr>
  </property>
  <property fmtid="{D5CDD505-2E9C-101B-9397-08002B2CF9AE}" pid="3" name="ContentTypeId">
    <vt:lpwstr>0x01010091CB6C4E664FA54C8A44026ED9435AC8</vt:lpwstr>
  </property>
  <property fmtid="{D5CDD505-2E9C-101B-9397-08002B2CF9AE}" pid="4" name="ZOTERO_PREF_2">
    <vt:lpwstr> name="dontAskDelayCitationUpdates" value="true"/&gt;&lt;/prefs&gt;&lt;/data&gt;</vt:lpwstr>
  </property>
  <property fmtid="{D5CDD505-2E9C-101B-9397-08002B2CF9AE}" pid="5" name="ZOTERO_PREF_1">
    <vt:lpwstr>&lt;data data-version="3" zotero-version="7.0.30"&gt;&lt;session id="njS2q1xr"/&gt;&lt;style id="http://www.zotero.org/styles/oscola" hasBibliography="1" bibliographyStyleHasBeenSet="0"/&gt;&lt;prefs&gt;&lt;pref name="fieldType" value="Field"/&gt;&lt;pref name="noteType" value="1"/&gt;&lt;pref</vt:lpwstr>
  </property>
</Properties>
</file>